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ECD" w:rsidRPr="00954645" w:rsidRDefault="007A3ECD" w:rsidP="005E374F">
      <w:pPr>
        <w:spacing w:line="360" w:lineRule="auto"/>
        <w:jc w:val="center"/>
        <w:rPr>
          <w:rFonts w:ascii="Arial" w:hAnsi="Arial" w:cs="Arial"/>
          <w:sz w:val="24"/>
          <w:szCs w:val="24"/>
          <w:u w:val="single"/>
        </w:rPr>
      </w:pPr>
      <w:r w:rsidRPr="00954645">
        <w:rPr>
          <w:rFonts w:ascii="Arial" w:hAnsi="Arial" w:cs="Arial"/>
        </w:rPr>
        <w:t>'Development of a high throughput UHPLC-MS/MS (SRM) method for the quantitation of endogenous glucagon from human plasma</w:t>
      </w:r>
    </w:p>
    <w:p w:rsidR="00AC2C50" w:rsidRPr="005D677F" w:rsidRDefault="00AC2C50" w:rsidP="00AC2C50">
      <w:pPr>
        <w:spacing w:line="360" w:lineRule="auto"/>
        <w:jc w:val="center"/>
        <w:rPr>
          <w:rFonts w:ascii="Arial" w:hAnsi="Arial" w:cs="Arial"/>
        </w:rPr>
      </w:pPr>
      <w:r w:rsidRPr="005D677F">
        <w:rPr>
          <w:rFonts w:ascii="Arial" w:hAnsi="Arial" w:cs="Arial"/>
        </w:rPr>
        <w:t>James W Howard</w:t>
      </w:r>
      <w:r w:rsidRPr="005D677F">
        <w:rPr>
          <w:rFonts w:ascii="Arial" w:hAnsi="Arial" w:cs="Arial"/>
          <w:vertAlign w:val="superscript"/>
        </w:rPr>
        <w:t>1</w:t>
      </w:r>
      <w:r w:rsidR="00376012">
        <w:rPr>
          <w:rFonts w:ascii="Arial" w:hAnsi="Arial" w:cs="Arial"/>
          <w:vertAlign w:val="superscript"/>
        </w:rPr>
        <w:t>, 2</w:t>
      </w:r>
      <w:r w:rsidRPr="005D677F">
        <w:rPr>
          <w:rFonts w:ascii="Arial" w:hAnsi="Arial" w:cs="Arial"/>
          <w:vertAlign w:val="superscript"/>
        </w:rPr>
        <w:t>†</w:t>
      </w:r>
      <w:r w:rsidRPr="005D677F">
        <w:rPr>
          <w:rFonts w:ascii="Arial" w:hAnsi="Arial" w:cs="Arial"/>
        </w:rPr>
        <w:t>, Richard G Kay</w:t>
      </w:r>
      <w:r w:rsidRPr="007330E8">
        <w:rPr>
          <w:rFonts w:ascii="Arial" w:hAnsi="Arial" w:cs="Arial"/>
          <w:vertAlign w:val="superscript"/>
        </w:rPr>
        <w:t>1</w:t>
      </w:r>
      <w:r w:rsidR="00BC03A7">
        <w:rPr>
          <w:rFonts w:ascii="Arial" w:hAnsi="Arial" w:cs="Arial"/>
        </w:rPr>
        <w:t>, Tricia Tan</w:t>
      </w:r>
      <w:r w:rsidR="00361E81">
        <w:rPr>
          <w:rFonts w:ascii="Arial" w:hAnsi="Arial" w:cs="Arial"/>
          <w:vertAlign w:val="superscript"/>
        </w:rPr>
        <w:t>3</w:t>
      </w:r>
      <w:r w:rsidR="008D3540">
        <w:rPr>
          <w:rFonts w:ascii="Arial" w:hAnsi="Arial" w:cs="Arial"/>
        </w:rPr>
        <w:t>, James Mi</w:t>
      </w:r>
      <w:r w:rsidR="00E13026">
        <w:rPr>
          <w:rFonts w:ascii="Arial" w:hAnsi="Arial" w:cs="Arial"/>
        </w:rPr>
        <w:t>n</w:t>
      </w:r>
      <w:r w:rsidR="008D3540">
        <w:rPr>
          <w:rFonts w:ascii="Arial" w:hAnsi="Arial" w:cs="Arial"/>
        </w:rPr>
        <w:t>nion</w:t>
      </w:r>
      <w:r w:rsidR="00DB112B" w:rsidRPr="00DB112B">
        <w:rPr>
          <w:rFonts w:ascii="Arial" w:hAnsi="Arial" w:cs="Arial"/>
          <w:vertAlign w:val="superscript"/>
        </w:rPr>
        <w:t>3</w:t>
      </w:r>
      <w:r w:rsidR="00DB112B">
        <w:rPr>
          <w:rFonts w:ascii="Arial" w:hAnsi="Arial" w:cs="Arial"/>
        </w:rPr>
        <w:t>,</w:t>
      </w:r>
      <w:r w:rsidR="00DB112B" w:rsidRPr="00DB112B">
        <w:rPr>
          <w:rFonts w:ascii="Arial" w:hAnsi="Arial" w:cs="Arial"/>
        </w:rPr>
        <w:t xml:space="preserve"> Mohammad Ghatei</w:t>
      </w:r>
      <w:r w:rsidR="00DB112B" w:rsidRPr="00DB112B">
        <w:rPr>
          <w:rFonts w:ascii="Arial" w:hAnsi="Arial" w:cs="Arial"/>
          <w:vertAlign w:val="superscript"/>
        </w:rPr>
        <w:t>3</w:t>
      </w:r>
      <w:r w:rsidR="00DE6085">
        <w:rPr>
          <w:rFonts w:ascii="Arial" w:hAnsi="Arial" w:cs="Arial"/>
        </w:rPr>
        <w:t>,</w:t>
      </w:r>
      <w:r w:rsidR="00DE6085" w:rsidRPr="00DB112B">
        <w:rPr>
          <w:rFonts w:ascii="Arial" w:hAnsi="Arial" w:cs="Arial"/>
        </w:rPr>
        <w:t xml:space="preserve"> Steve</w:t>
      </w:r>
      <w:r w:rsidR="00DB112B" w:rsidRPr="00DB112B">
        <w:rPr>
          <w:rFonts w:ascii="Arial" w:hAnsi="Arial" w:cs="Arial"/>
        </w:rPr>
        <w:t xml:space="preserve"> Bloom</w:t>
      </w:r>
      <w:r w:rsidR="00DB112B" w:rsidRPr="00DB112B">
        <w:rPr>
          <w:rFonts w:ascii="Arial" w:hAnsi="Arial" w:cs="Arial"/>
          <w:vertAlign w:val="superscript"/>
        </w:rPr>
        <w:t>3</w:t>
      </w:r>
      <w:r w:rsidRPr="005D677F">
        <w:rPr>
          <w:rFonts w:ascii="Arial" w:hAnsi="Arial" w:cs="Arial"/>
        </w:rPr>
        <w:t xml:space="preserve"> and Colin S Creaser</w:t>
      </w:r>
      <w:r w:rsidR="00361E81">
        <w:rPr>
          <w:rFonts w:ascii="Arial" w:hAnsi="Arial" w:cs="Arial"/>
          <w:vertAlign w:val="superscript"/>
        </w:rPr>
        <w:t>2</w:t>
      </w:r>
    </w:p>
    <w:p w:rsidR="00AC2C50" w:rsidRDefault="00AC2C50" w:rsidP="00AC2C50">
      <w:pPr>
        <w:spacing w:line="360" w:lineRule="auto"/>
        <w:jc w:val="center"/>
        <w:rPr>
          <w:rFonts w:ascii="Arial" w:hAnsi="Arial" w:cs="Arial"/>
        </w:rPr>
      </w:pPr>
      <w:r w:rsidRPr="005D677F">
        <w:rPr>
          <w:rFonts w:ascii="Arial" w:hAnsi="Arial" w:cs="Arial"/>
        </w:rPr>
        <w:t xml:space="preserve">1 </w:t>
      </w:r>
      <w:r w:rsidR="00C93507">
        <w:rPr>
          <w:rFonts w:ascii="Arial" w:hAnsi="Arial" w:cs="Arial"/>
        </w:rPr>
        <w:t>LGC</w:t>
      </w:r>
      <w:r w:rsidR="00271195">
        <w:rPr>
          <w:rFonts w:ascii="Arial" w:hAnsi="Arial" w:cs="Arial"/>
        </w:rPr>
        <w:t xml:space="preserve"> Limited</w:t>
      </w:r>
      <w:r w:rsidRPr="005D677F">
        <w:rPr>
          <w:rFonts w:ascii="Arial" w:hAnsi="Arial" w:cs="Arial"/>
        </w:rPr>
        <w:t xml:space="preserve">, Newmarket Road, Fordham, Cambridgeshire, </w:t>
      </w:r>
      <w:r w:rsidR="005F04FB">
        <w:rPr>
          <w:rFonts w:ascii="Arial" w:hAnsi="Arial" w:cs="Arial"/>
        </w:rPr>
        <w:br/>
      </w:r>
      <w:r w:rsidRPr="005D677F">
        <w:rPr>
          <w:rFonts w:ascii="Arial" w:hAnsi="Arial" w:cs="Arial"/>
        </w:rPr>
        <w:t>CB7 5WW, UK</w:t>
      </w:r>
    </w:p>
    <w:p w:rsidR="00361E81" w:rsidRPr="005D677F" w:rsidRDefault="00361E81" w:rsidP="00361E81">
      <w:pPr>
        <w:spacing w:line="360" w:lineRule="auto"/>
        <w:jc w:val="center"/>
        <w:rPr>
          <w:rFonts w:ascii="Arial" w:hAnsi="Arial" w:cs="Arial"/>
        </w:rPr>
      </w:pPr>
      <w:r>
        <w:rPr>
          <w:rFonts w:ascii="Arial" w:hAnsi="Arial" w:cs="Arial"/>
        </w:rPr>
        <w:t>2</w:t>
      </w:r>
      <w:r w:rsidRPr="005D677F">
        <w:rPr>
          <w:rFonts w:ascii="Arial" w:hAnsi="Arial" w:cs="Arial"/>
        </w:rPr>
        <w:t xml:space="preserve"> Centre for Analytical Science, Department of Chemistry, Loughborough University, Leicestershire, LE11 3TU, UK</w:t>
      </w:r>
    </w:p>
    <w:p w:rsidR="00BC03A7" w:rsidRPr="005D677F" w:rsidRDefault="00361E81" w:rsidP="00AC2C50">
      <w:pPr>
        <w:spacing w:line="360" w:lineRule="auto"/>
        <w:jc w:val="center"/>
        <w:rPr>
          <w:rFonts w:ascii="Arial" w:hAnsi="Arial" w:cs="Arial"/>
        </w:rPr>
      </w:pPr>
      <w:r>
        <w:rPr>
          <w:rFonts w:ascii="Arial" w:hAnsi="Arial" w:cs="Arial"/>
        </w:rPr>
        <w:t>3</w:t>
      </w:r>
      <w:r w:rsidR="00BC03A7">
        <w:rPr>
          <w:rFonts w:ascii="Arial" w:hAnsi="Arial" w:cs="Arial"/>
        </w:rPr>
        <w:t xml:space="preserve"> </w:t>
      </w:r>
      <w:r w:rsidR="00BC03A7" w:rsidRPr="00BC03A7">
        <w:rPr>
          <w:rFonts w:ascii="Arial" w:hAnsi="Arial" w:cs="Arial"/>
        </w:rPr>
        <w:t xml:space="preserve">Imperial </w:t>
      </w:r>
      <w:r w:rsidR="00BC03A7">
        <w:rPr>
          <w:rFonts w:ascii="Arial" w:hAnsi="Arial" w:cs="Arial"/>
        </w:rPr>
        <w:t xml:space="preserve">College, </w:t>
      </w:r>
      <w:r w:rsidR="00BC03A7" w:rsidRPr="00BC03A7">
        <w:rPr>
          <w:rFonts w:ascii="Arial" w:hAnsi="Arial" w:cs="Arial"/>
        </w:rPr>
        <w:t>Department of Investigative Medicine</w:t>
      </w:r>
      <w:r w:rsidR="00BC03A7">
        <w:rPr>
          <w:rFonts w:ascii="Arial" w:hAnsi="Arial" w:cs="Arial"/>
        </w:rPr>
        <w:t xml:space="preserve">, </w:t>
      </w:r>
      <w:r w:rsidR="00BC03A7" w:rsidRPr="00BC03A7">
        <w:rPr>
          <w:rFonts w:ascii="Arial" w:hAnsi="Arial" w:cs="Arial"/>
        </w:rPr>
        <w:t>Hammersmith Hospital Campus</w:t>
      </w:r>
      <w:r w:rsidR="00BC03A7">
        <w:rPr>
          <w:rFonts w:ascii="Arial" w:hAnsi="Arial" w:cs="Arial"/>
        </w:rPr>
        <w:t>,</w:t>
      </w:r>
      <w:r w:rsidR="00BC03A7" w:rsidRPr="00BC03A7">
        <w:t xml:space="preserve"> </w:t>
      </w:r>
      <w:r w:rsidR="00BC03A7" w:rsidRPr="00BC03A7">
        <w:rPr>
          <w:rFonts w:ascii="Arial" w:hAnsi="Arial" w:cs="Arial"/>
        </w:rPr>
        <w:t>Du Cane Road</w:t>
      </w:r>
      <w:r w:rsidR="00BC03A7">
        <w:rPr>
          <w:rFonts w:ascii="Arial" w:hAnsi="Arial" w:cs="Arial"/>
        </w:rPr>
        <w:t xml:space="preserve">, London, </w:t>
      </w:r>
      <w:r w:rsidR="00BC03A7" w:rsidRPr="00BC03A7">
        <w:rPr>
          <w:rFonts w:ascii="Arial" w:hAnsi="Arial" w:cs="Arial"/>
        </w:rPr>
        <w:t>W12 0NN</w:t>
      </w:r>
      <w:r w:rsidR="00BC03A7">
        <w:rPr>
          <w:rFonts w:ascii="Arial" w:hAnsi="Arial" w:cs="Arial"/>
        </w:rPr>
        <w:t>, UK</w:t>
      </w:r>
    </w:p>
    <w:p w:rsidR="00AC2C50" w:rsidRPr="005D677F" w:rsidRDefault="00AC2C50" w:rsidP="00AC2C50">
      <w:pPr>
        <w:spacing w:line="360" w:lineRule="auto"/>
        <w:jc w:val="center"/>
        <w:rPr>
          <w:rFonts w:ascii="Arial" w:hAnsi="Arial" w:cs="Arial"/>
        </w:rPr>
      </w:pPr>
      <w:r w:rsidRPr="005D677F">
        <w:rPr>
          <w:rFonts w:ascii="Arial" w:hAnsi="Arial" w:cs="Arial"/>
        </w:rPr>
        <w:t>† Author for correspondence. Tel: +44 (0) 1638 720 500. Fax: +44 (0)1638 724 200</w:t>
      </w:r>
    </w:p>
    <w:p w:rsidR="005F04FB" w:rsidRPr="005F04FB" w:rsidRDefault="00AC2C50" w:rsidP="005F04FB">
      <w:pPr>
        <w:spacing w:line="360" w:lineRule="auto"/>
        <w:jc w:val="center"/>
        <w:rPr>
          <w:rFonts w:ascii="Arial" w:hAnsi="Arial" w:cs="Arial"/>
          <w:color w:val="0000FF" w:themeColor="hyperlink"/>
          <w:u w:val="single"/>
        </w:rPr>
      </w:pPr>
      <w:r w:rsidRPr="005D677F">
        <w:rPr>
          <w:rFonts w:ascii="Arial" w:hAnsi="Arial" w:cs="Arial"/>
        </w:rPr>
        <w:t xml:space="preserve">Email: </w:t>
      </w:r>
      <w:hyperlink r:id="rId9" w:history="1">
        <w:r w:rsidR="005F04FB" w:rsidRPr="00603C29">
          <w:rPr>
            <w:rStyle w:val="Hyperlink"/>
            <w:rFonts w:ascii="Arial" w:hAnsi="Arial" w:cs="Arial"/>
          </w:rPr>
          <w:t>james.howard@lgcgroup.com</w:t>
        </w:r>
      </w:hyperlink>
    </w:p>
    <w:p w:rsidR="00565F85" w:rsidRPr="005D677F" w:rsidRDefault="00565F85" w:rsidP="00AD1840">
      <w:pPr>
        <w:spacing w:line="360" w:lineRule="auto"/>
        <w:rPr>
          <w:rFonts w:ascii="Arial" w:hAnsi="Arial" w:cs="Arial"/>
          <w:b/>
          <w:sz w:val="24"/>
          <w:szCs w:val="24"/>
          <w:u w:val="single"/>
        </w:rPr>
      </w:pPr>
      <w:r w:rsidRPr="005D677F">
        <w:rPr>
          <w:rFonts w:ascii="Arial" w:hAnsi="Arial" w:cs="Arial"/>
          <w:b/>
          <w:sz w:val="24"/>
          <w:szCs w:val="24"/>
          <w:u w:val="single"/>
        </w:rPr>
        <w:t>Abstract</w:t>
      </w:r>
    </w:p>
    <w:p w:rsidR="00565F85" w:rsidRDefault="00215097" w:rsidP="00BB0523">
      <w:pPr>
        <w:spacing w:line="360" w:lineRule="auto"/>
        <w:jc w:val="both"/>
        <w:rPr>
          <w:rFonts w:ascii="Arial" w:hAnsi="Arial" w:cs="Arial"/>
        </w:rPr>
      </w:pPr>
      <w:r w:rsidRPr="00BF323E">
        <w:rPr>
          <w:rFonts w:ascii="Arial" w:hAnsi="Arial" w:cs="Arial"/>
          <w:b/>
        </w:rPr>
        <w:t>Background:</w:t>
      </w:r>
      <w:r w:rsidRPr="00215097">
        <w:rPr>
          <w:rFonts w:ascii="Arial" w:hAnsi="Arial" w:cs="Arial"/>
        </w:rPr>
        <w:t xml:space="preserve"> </w:t>
      </w:r>
      <w:r w:rsidR="00BB0523">
        <w:rPr>
          <w:rFonts w:ascii="Arial" w:hAnsi="Arial" w:cs="Arial"/>
        </w:rPr>
        <w:t>P</w:t>
      </w:r>
      <w:r w:rsidRPr="00215097">
        <w:rPr>
          <w:rFonts w:ascii="Arial" w:hAnsi="Arial" w:cs="Arial"/>
        </w:rPr>
        <w:t>ublished LC-MS/MS methods are not sensitive enough to quantify endogenous levels of glucagon.</w:t>
      </w:r>
      <w:r w:rsidRPr="00BF323E">
        <w:rPr>
          <w:rFonts w:ascii="Arial" w:hAnsi="Arial" w:cs="Arial"/>
          <w:b/>
        </w:rPr>
        <w:t xml:space="preserve"> Results:</w:t>
      </w:r>
      <w:r>
        <w:rPr>
          <w:rFonts w:ascii="Arial" w:hAnsi="Arial" w:cs="Arial"/>
        </w:rPr>
        <w:t xml:space="preserve"> </w:t>
      </w:r>
      <w:r w:rsidR="00BF323E">
        <w:rPr>
          <w:rFonts w:ascii="Arial" w:hAnsi="Arial" w:cs="Arial"/>
        </w:rPr>
        <w:t xml:space="preserve">A </w:t>
      </w:r>
      <w:r w:rsidR="00BF323E" w:rsidRPr="00BF323E">
        <w:rPr>
          <w:rFonts w:ascii="Arial" w:hAnsi="Arial" w:cs="Arial"/>
        </w:rPr>
        <w:t>UHPLC-MS/MS (SRM)</w:t>
      </w:r>
      <w:r w:rsidR="00BF323E">
        <w:rPr>
          <w:rFonts w:ascii="Arial" w:hAnsi="Arial" w:cs="Arial"/>
        </w:rPr>
        <w:t xml:space="preserve"> method for the </w:t>
      </w:r>
      <w:r w:rsidR="002047CD">
        <w:rPr>
          <w:rFonts w:ascii="Arial" w:hAnsi="Arial" w:cs="Arial"/>
        </w:rPr>
        <w:t>quantitation</w:t>
      </w:r>
      <w:r w:rsidR="00BF323E">
        <w:rPr>
          <w:rFonts w:ascii="Arial" w:hAnsi="Arial" w:cs="Arial"/>
        </w:rPr>
        <w:t xml:space="preserve"> of endogenous levels glucagon was successfully developed </w:t>
      </w:r>
      <w:r w:rsidR="00BF323E" w:rsidRPr="00CC2BFF">
        <w:rPr>
          <w:rFonts w:ascii="Arial" w:hAnsi="Arial" w:cs="Arial"/>
        </w:rPr>
        <w:t xml:space="preserve">and </w:t>
      </w:r>
      <w:r w:rsidR="005F04FB">
        <w:rPr>
          <w:rFonts w:ascii="Arial" w:hAnsi="Arial" w:cs="Arial"/>
        </w:rPr>
        <w:t xml:space="preserve">qualified. </w:t>
      </w:r>
      <w:r w:rsidR="00BF323E">
        <w:rPr>
          <w:rFonts w:ascii="Arial" w:hAnsi="Arial" w:cs="Arial"/>
        </w:rPr>
        <w:t>A</w:t>
      </w:r>
      <w:r w:rsidR="0029527A">
        <w:rPr>
          <w:rFonts w:ascii="Arial" w:hAnsi="Arial" w:cs="Arial"/>
        </w:rPr>
        <w:t xml:space="preserve"> novel</w:t>
      </w:r>
      <w:r w:rsidR="00BF323E">
        <w:rPr>
          <w:rFonts w:ascii="Arial" w:hAnsi="Arial" w:cs="Arial"/>
        </w:rPr>
        <w:t xml:space="preserve"> 2D extraction procedure was used to reduce</w:t>
      </w:r>
      <w:r w:rsidR="00BF323E" w:rsidRPr="00BF323E">
        <w:rPr>
          <w:rFonts w:ascii="Arial" w:hAnsi="Arial" w:cs="Arial"/>
        </w:rPr>
        <w:t xml:space="preserve"> matrix</w:t>
      </w:r>
      <w:r w:rsidR="00361E81">
        <w:rPr>
          <w:rFonts w:ascii="Arial" w:hAnsi="Arial" w:cs="Arial"/>
        </w:rPr>
        <w:t xml:space="preserve"> suppression, background noise</w:t>
      </w:r>
      <w:r w:rsidR="008D3540">
        <w:rPr>
          <w:rFonts w:ascii="Arial" w:hAnsi="Arial" w:cs="Arial"/>
        </w:rPr>
        <w:t xml:space="preserve"> </w:t>
      </w:r>
      <w:r w:rsidR="00BF323E" w:rsidRPr="00BF323E">
        <w:rPr>
          <w:rFonts w:ascii="Arial" w:hAnsi="Arial" w:cs="Arial"/>
        </w:rPr>
        <w:t>and interferences</w:t>
      </w:r>
      <w:r w:rsidR="00BF323E">
        <w:rPr>
          <w:rFonts w:ascii="Arial" w:hAnsi="Arial" w:cs="Arial"/>
        </w:rPr>
        <w:t>. The method used a surrogate matrix based quantitation approach, which resulted in good precision and accuracy. Glucagon levels in samples from healthy volunteers were found to agree</w:t>
      </w:r>
      <w:r w:rsidR="0029527A">
        <w:rPr>
          <w:rFonts w:ascii="Arial" w:hAnsi="Arial" w:cs="Arial"/>
        </w:rPr>
        <w:t xml:space="preserve"> </w:t>
      </w:r>
      <w:r w:rsidR="0029527A" w:rsidRPr="000F7FC3">
        <w:rPr>
          <w:rFonts w:ascii="Arial" w:hAnsi="Arial" w:cs="Arial"/>
        </w:rPr>
        <w:t>well</w:t>
      </w:r>
      <w:r w:rsidR="00BF323E" w:rsidRPr="000F7FC3">
        <w:rPr>
          <w:rFonts w:ascii="Arial" w:hAnsi="Arial" w:cs="Arial"/>
        </w:rPr>
        <w:t xml:space="preserve"> with </w:t>
      </w:r>
      <w:r w:rsidR="00DF3AC1">
        <w:rPr>
          <w:rFonts w:ascii="Arial" w:hAnsi="Arial" w:cs="Arial"/>
        </w:rPr>
        <w:t xml:space="preserve">RIA derived </w:t>
      </w:r>
      <w:r w:rsidR="00BF323E" w:rsidRPr="000F7FC3">
        <w:rPr>
          <w:rFonts w:ascii="Arial" w:hAnsi="Arial" w:cs="Arial"/>
        </w:rPr>
        <w:t>literature values.</w:t>
      </w:r>
      <w:r w:rsidR="0021392D" w:rsidRPr="000F7FC3">
        <w:rPr>
          <w:rFonts w:ascii="Arial" w:hAnsi="Arial" w:cs="Arial"/>
        </w:rPr>
        <w:t xml:space="preserve"> </w:t>
      </w:r>
      <w:r w:rsidR="000F7FC3">
        <w:rPr>
          <w:rFonts w:ascii="Arial" w:hAnsi="Arial" w:cs="Arial"/>
        </w:rPr>
        <w:t>Bland-Altman analysis shows</w:t>
      </w:r>
      <w:r w:rsidR="00C93507">
        <w:rPr>
          <w:rFonts w:ascii="Arial" w:hAnsi="Arial" w:cs="Arial"/>
        </w:rPr>
        <w:t xml:space="preserve"> a concentration-dependent positive bias of the LC/MS-MS assay versus </w:t>
      </w:r>
      <w:r w:rsidR="009D0263">
        <w:rPr>
          <w:rFonts w:ascii="Arial" w:hAnsi="Arial" w:cs="Arial"/>
        </w:rPr>
        <w:t>an</w:t>
      </w:r>
      <w:r w:rsidR="00C93507">
        <w:rPr>
          <w:rFonts w:ascii="Arial" w:hAnsi="Arial" w:cs="Arial"/>
        </w:rPr>
        <w:t xml:space="preserve"> RIA</w:t>
      </w:r>
      <w:r w:rsidR="009D0263">
        <w:rPr>
          <w:rFonts w:ascii="Arial" w:hAnsi="Arial" w:cs="Arial"/>
        </w:rPr>
        <w:t>,</w:t>
      </w:r>
      <w:r w:rsidR="00C93507">
        <w:rPr>
          <w:rFonts w:ascii="Arial" w:hAnsi="Arial" w:cs="Arial"/>
        </w:rPr>
        <w:t xml:space="preserve"> with a mean bias of +45.06 pg/mL. </w:t>
      </w:r>
      <w:r w:rsidR="00A61AB3">
        <w:rPr>
          <w:rFonts w:ascii="Arial" w:hAnsi="Arial" w:cs="Arial"/>
        </w:rPr>
        <w:t xml:space="preserve"> Both</w:t>
      </w:r>
      <w:r w:rsidR="00951501">
        <w:rPr>
          <w:rFonts w:ascii="Arial" w:hAnsi="Arial" w:cs="Arial"/>
        </w:rPr>
        <w:t xml:space="preserve"> </w:t>
      </w:r>
      <w:r w:rsidR="009D0263">
        <w:rPr>
          <w:rFonts w:ascii="Arial" w:hAnsi="Arial" w:cs="Arial"/>
        </w:rPr>
        <w:t xml:space="preserve">assays </w:t>
      </w:r>
      <w:r w:rsidR="0021392D" w:rsidRPr="000F7FC3">
        <w:rPr>
          <w:rFonts w:ascii="Arial" w:hAnsi="Arial" w:cs="Arial"/>
        </w:rPr>
        <w:t xml:space="preserve">produced similar </w:t>
      </w:r>
      <w:r w:rsidR="00962250">
        <w:rPr>
          <w:rFonts w:ascii="Arial" w:hAnsi="Arial" w:cs="Arial"/>
        </w:rPr>
        <w:t>pharmacokinetic</w:t>
      </w:r>
      <w:r w:rsidR="0021392D" w:rsidRPr="000F7FC3">
        <w:rPr>
          <w:rFonts w:ascii="Arial" w:hAnsi="Arial" w:cs="Arial"/>
        </w:rPr>
        <w:t xml:space="preserve"> profiles, both of which were feasible considering the nature of the study. </w:t>
      </w:r>
      <w:r w:rsidR="00BF323E" w:rsidRPr="000F7FC3">
        <w:rPr>
          <w:rFonts w:ascii="Arial" w:hAnsi="Arial" w:cs="Arial"/>
          <w:b/>
        </w:rPr>
        <w:t xml:space="preserve">Conclusions: </w:t>
      </w:r>
      <w:r w:rsidR="00BC03A7" w:rsidRPr="000F7FC3">
        <w:rPr>
          <w:rFonts w:ascii="Arial" w:hAnsi="Arial" w:cs="Arial"/>
        </w:rPr>
        <w:t xml:space="preserve">Our </w:t>
      </w:r>
      <w:r w:rsidR="00BF323E" w:rsidRPr="000F7FC3">
        <w:rPr>
          <w:rFonts w:ascii="Arial" w:hAnsi="Arial" w:cs="Arial"/>
        </w:rPr>
        <w:t>method</w:t>
      </w:r>
      <w:r w:rsidR="00BF323E">
        <w:rPr>
          <w:rFonts w:ascii="Arial" w:hAnsi="Arial" w:cs="Arial"/>
        </w:rPr>
        <w:t xml:space="preserve"> is the first</w:t>
      </w:r>
      <w:r w:rsidR="00AA4E73">
        <w:rPr>
          <w:rFonts w:ascii="Arial" w:hAnsi="Arial" w:cs="Arial"/>
        </w:rPr>
        <w:t xml:space="preserve"> peer reviewed</w:t>
      </w:r>
      <w:r w:rsidR="00BF323E">
        <w:rPr>
          <w:rFonts w:ascii="Arial" w:hAnsi="Arial" w:cs="Arial"/>
        </w:rPr>
        <w:t xml:space="preserve"> LC-MS/MS method for the quantitation of endogenous levels of glucagon, and offers a viable alternative to RIA based approaches. </w:t>
      </w:r>
    </w:p>
    <w:p w:rsidR="00FB07A7" w:rsidRPr="005D677F" w:rsidRDefault="00FB07A7" w:rsidP="00AD1840">
      <w:pPr>
        <w:spacing w:line="360" w:lineRule="auto"/>
        <w:rPr>
          <w:rFonts w:ascii="Arial" w:hAnsi="Arial" w:cs="Arial"/>
          <w:b/>
          <w:sz w:val="24"/>
          <w:szCs w:val="24"/>
          <w:u w:val="single"/>
        </w:rPr>
      </w:pPr>
      <w:r w:rsidRPr="005D677F">
        <w:rPr>
          <w:rFonts w:ascii="Arial" w:hAnsi="Arial" w:cs="Arial"/>
          <w:b/>
          <w:sz w:val="24"/>
          <w:szCs w:val="24"/>
          <w:u w:val="single"/>
        </w:rPr>
        <w:t>Introduction</w:t>
      </w:r>
    </w:p>
    <w:p w:rsidR="00D95977" w:rsidRDefault="00AD1840" w:rsidP="00937662">
      <w:pPr>
        <w:spacing w:line="360" w:lineRule="auto"/>
        <w:jc w:val="both"/>
        <w:rPr>
          <w:rFonts w:ascii="Arial" w:hAnsi="Arial" w:cs="Arial"/>
        </w:rPr>
      </w:pPr>
      <w:r w:rsidRPr="00565F85">
        <w:rPr>
          <w:rFonts w:ascii="Arial" w:hAnsi="Arial" w:cs="Arial"/>
        </w:rPr>
        <w:t xml:space="preserve">Glucagon is a 29 amino </w:t>
      </w:r>
      <w:r w:rsidRPr="000343F1">
        <w:rPr>
          <w:rFonts w:ascii="Arial" w:hAnsi="Arial" w:cs="Arial"/>
        </w:rPr>
        <w:t>acid peptide which</w:t>
      </w:r>
      <w:r w:rsidR="00937662" w:rsidRPr="000343F1">
        <w:rPr>
          <w:rFonts w:ascii="Arial" w:hAnsi="Arial" w:cs="Arial"/>
        </w:rPr>
        <w:t xml:space="preserve"> is one of multiple hormones that </w:t>
      </w:r>
      <w:r w:rsidR="00833B77" w:rsidRPr="000343F1">
        <w:rPr>
          <w:rFonts w:ascii="Arial" w:hAnsi="Arial" w:cs="Arial"/>
        </w:rPr>
        <w:t>modulates</w:t>
      </w:r>
      <w:r w:rsidR="00937662" w:rsidRPr="000343F1">
        <w:rPr>
          <w:rFonts w:ascii="Arial" w:hAnsi="Arial" w:cs="Arial"/>
        </w:rPr>
        <w:t xml:space="preserve"> glucose production or utilisation to regulate</w:t>
      </w:r>
      <w:r w:rsidR="00833B77" w:rsidRPr="000343F1">
        <w:rPr>
          <w:rFonts w:ascii="Arial" w:hAnsi="Arial" w:cs="Arial"/>
        </w:rPr>
        <w:t xml:space="preserve"> </w:t>
      </w:r>
      <w:r w:rsidRPr="000343F1">
        <w:rPr>
          <w:rFonts w:ascii="Arial" w:hAnsi="Arial" w:cs="Arial"/>
        </w:rPr>
        <w:t xml:space="preserve">blood </w:t>
      </w:r>
      <w:r w:rsidR="001D7655">
        <w:rPr>
          <w:rFonts w:ascii="Arial" w:hAnsi="Arial" w:cs="Arial"/>
        </w:rPr>
        <w:lastRenderedPageBreak/>
        <w:t>glucose</w:t>
      </w:r>
      <w:r w:rsidR="001D7655" w:rsidRPr="000343F1">
        <w:rPr>
          <w:rFonts w:ascii="Arial" w:hAnsi="Arial" w:cs="Arial"/>
        </w:rPr>
        <w:t xml:space="preserve"> </w:t>
      </w:r>
      <w:r w:rsidRPr="000343F1">
        <w:rPr>
          <w:rFonts w:ascii="Arial" w:hAnsi="Arial" w:cs="Arial"/>
        </w:rPr>
        <w:t>levels</w:t>
      </w:r>
      <w:r w:rsidR="00E13026" w:rsidRPr="000343F1">
        <w:rPr>
          <w:rFonts w:ascii="Arial" w:hAnsi="Arial" w:cs="Arial"/>
        </w:rPr>
        <w:t xml:space="preserve">. It </w:t>
      </w:r>
      <w:r w:rsidRPr="000343F1">
        <w:rPr>
          <w:rFonts w:ascii="Arial" w:hAnsi="Arial" w:cs="Arial"/>
        </w:rPr>
        <w:t>is also a biomarker for pathologies such as diabetes</w:t>
      </w:r>
      <w:r w:rsidR="00E13026" w:rsidRPr="000343F1">
        <w:rPr>
          <w:rFonts w:ascii="Arial" w:hAnsi="Arial" w:cs="Arial"/>
        </w:rPr>
        <w:t xml:space="preserve">, </w:t>
      </w:r>
      <w:r w:rsidRPr="000343F1">
        <w:rPr>
          <w:rFonts w:ascii="Arial" w:hAnsi="Arial" w:cs="Arial"/>
        </w:rPr>
        <w:t>pancreatic</w:t>
      </w:r>
      <w:r w:rsidRPr="00565F85">
        <w:rPr>
          <w:rFonts w:ascii="Arial" w:hAnsi="Arial" w:cs="Arial"/>
        </w:rPr>
        <w:t xml:space="preserve"> cancer</w:t>
      </w:r>
      <w:r w:rsidR="00E13026">
        <w:rPr>
          <w:rFonts w:ascii="Arial" w:hAnsi="Arial" w:cs="Arial"/>
        </w:rPr>
        <w:t xml:space="preserve"> or certain neuroendocrine tumours</w:t>
      </w:r>
      <w:r w:rsidRPr="00565F85">
        <w:rPr>
          <w:rFonts w:ascii="Arial" w:hAnsi="Arial" w:cs="Arial"/>
        </w:rPr>
        <w:t xml:space="preserve"> </w:t>
      </w:r>
      <w:r w:rsidR="001B586C" w:rsidRPr="00565F85">
        <w:rPr>
          <w:rFonts w:ascii="Arial" w:hAnsi="Arial" w:cs="Arial"/>
        </w:rPr>
        <w:fldChar w:fldCharType="begin" w:fldLock="1"/>
      </w:r>
      <w:r w:rsidR="00261C24">
        <w:rPr>
          <w:rFonts w:ascii="Arial" w:hAnsi="Arial" w:cs="Arial"/>
        </w:rPr>
        <w:instrText>ADDIN CSL_CITATION { "citationItems" : [ { "id" : "ITEM-1", "itemData" : { "DOI" : "10.4161/cbt.8.16.9006", "ISSN" : "1538-4047", "PMID" : "19571666", "abstract" : "Pancreatic ductal adenocarcinoma (PDAC) is one of the most aggressive malignancies, with an overall 5-year survival rate of less than 5%. This dismal prognosis is largely due to the advanced stage of the disease at presentation, i.e., the late diagnosis. Therefore, early detection would have the potential to significantly improve the overall prognosis of PDAC patients. Diabetes mellitus (DM) has a high prevalence in PDAC patients and is frequently of new onset. The aim of this study was to analyze whether DM can be utilized as an early disease marker in PDAC. Quantitative RT-PCR analysis and immunohistochemistry for insulin and glucagon was performed in 22 PDAC and 16 normal pancreas tissues. Blood samples of 66 patients suffering from PDAC, 35 DM type 2 patients, and 29 healthy donors were analyzed for insulin, glucagon, C-peptide and glucose levels. Quantitative RT-PCR showed a two-fold increase of the glucagon/insulin ratio in pancreatic cancer tissues in comparison to the normal pancreas. By immunohistochemistry a shift in the expression pattern of glucagon and insulin, i.e., a higher glucagon/insulin ratio was found in PDAC associated islets compared to islets in the normal pancreas. Fasting insulin levels in PDAC patients were lower compared to DM patients. The calculated serum glucagon/insulin ratio was significantly different between PDAC and DM patients. At a cut-off of 7.4 ng/mU glucagon/insulin, pancreatic cancer induced new-onset DM could be discriminated from type 2 DM with 77% sensitivity and 69% specificity. In conclusion, the suggested serum glucagon/insulin ratio showed significant differences in patients with PDAC related DM and type 2 DM. Therefore, this analysis might help to identify PDAC in patients with new-onset DM in the age group at risk. Larger clinical trials have to confirm these findings.", "author" : [ { "dropping-particle" : "", "family" : "Kolb", "given" : "Armin", "non-dropping-particle" : "", "parse-names" : false, "suffix" : "" }, { "dropping-particle" : "", "family" : "Rieder", "given" : "Simon", "non-dropping-particle" : "", "parse-names" : false, "suffix" : "" }, { "dropping-particle" : "", "family" : "Born", "given" : "Diana", "non-dropping-particle" : "", "parse-names" : false, "suffix" : "" }, { "dropping-particle" : "", "family" : "Giese", "given" : "Nathalia A.", "non-dropping-particle" : "", "parse-names" : false, "suffix" : "" }, { "dropping-particle" : "", "family" : "Giese", "given" : "Thomas", "non-dropping-particle" : "", "parse-names" : false, "suffix" : "" }, { "dropping-particle" : "", "family" : "Rudofsky", "given" : "Gottfried", "non-dropping-particle" : "", "parse-names" : false, "suffix" : "" }, { "dropping-particle" : "", "family" : "Werner", "given" : "Jens", "non-dropping-particle" : "", "parse-names" : false, "suffix" : "" }, { "dropping-particle" : "", "family" : "B\u00fcchler", "given" : "Markus W", "non-dropping-particle" : "", "parse-names" : false, "suffix" : "" }, { "dropping-particle" : "", "family" : "Friess", "given" : "Helmut", "non-dropping-particle" : "", "parse-names" : false, "suffix" : "" }, { "dropping-particle" : "", "family" : "Esposito", "given" : "Irene", "non-dropping-particle" : "", "parse-names" : false, "suffix" : "" }, { "dropping-particle" : "", "family" : "Kleeff", "given" : "J\u00f6rg", "non-dropping-particle" : "", "parse-names" : false, "suffix" : "" } ], "container-title" : "Cancer Biology &amp; Therapy", "id" : "ITEM-1", "issue" : "16", "issued" : { "date-parts" : [ [ "2009", "8", "15" ] ] }, "note" : "From EMPW presentation\n        \n50.9 pg/mL \u00b13.0, range 24 \u2013 83 pg/mL (healthy volunteers, n = 24)\n      ", "page" : "1527-1533", "title" : "Glucagon/insulin ratio as a potential biomarker for pancreatic cancer in patients with new-onset diabetes mellitus", "type" : "article-journal", "volume" : "8" }, "uris" : [ "http://www.mendeley.com/documents/?uuid=4ad9e6cc-2ef0-45ea-a41a-62ad9c31224c" ] } ], "mendeley" : { "previouslyFormattedCitation" : "[1]" }, "properties" : { "noteIndex" : 0 }, "schema" : "https://github.com/citation-style-language/schema/raw/master/csl-citation.json" }</w:instrText>
      </w:r>
      <w:r w:rsidR="001B586C" w:rsidRPr="00565F85">
        <w:rPr>
          <w:rFonts w:ascii="Arial" w:hAnsi="Arial" w:cs="Arial"/>
        </w:rPr>
        <w:fldChar w:fldCharType="separate"/>
      </w:r>
      <w:r w:rsidR="00241343" w:rsidRPr="00241343">
        <w:rPr>
          <w:rFonts w:ascii="Arial" w:hAnsi="Arial" w:cs="Arial"/>
          <w:noProof/>
        </w:rPr>
        <w:t>[1]</w:t>
      </w:r>
      <w:r w:rsidR="001B586C" w:rsidRPr="00565F85">
        <w:rPr>
          <w:rFonts w:ascii="Arial" w:hAnsi="Arial" w:cs="Arial"/>
        </w:rPr>
        <w:fldChar w:fldCharType="end"/>
      </w:r>
      <w:r w:rsidRPr="00565F85">
        <w:rPr>
          <w:rFonts w:ascii="Arial" w:hAnsi="Arial" w:cs="Arial"/>
        </w:rPr>
        <w:t>.</w:t>
      </w:r>
      <w:r w:rsidR="00EA13B8" w:rsidRPr="00565F85">
        <w:rPr>
          <w:rFonts w:ascii="Arial" w:hAnsi="Arial" w:cs="Arial"/>
        </w:rPr>
        <w:t xml:space="preserve"> It is known to be degraded by</w:t>
      </w:r>
      <w:r w:rsidR="00E13026">
        <w:rPr>
          <w:rFonts w:ascii="Arial" w:hAnsi="Arial" w:cs="Arial"/>
        </w:rPr>
        <w:t xml:space="preserve"> peptidases such as</w:t>
      </w:r>
      <w:r w:rsidR="00EA13B8" w:rsidRPr="00565F85">
        <w:rPr>
          <w:rFonts w:ascii="Arial" w:hAnsi="Arial" w:cs="Arial"/>
        </w:rPr>
        <w:t xml:space="preserve"> dipeptidyl peptidase IV </w:t>
      </w:r>
      <w:r w:rsidR="001B586C" w:rsidRPr="00565F85">
        <w:rPr>
          <w:rFonts w:ascii="Arial" w:hAnsi="Arial" w:cs="Arial"/>
        </w:rPr>
        <w:fldChar w:fldCharType="begin" w:fldLock="1"/>
      </w:r>
      <w:r w:rsidR="00261C24">
        <w:rPr>
          <w:rFonts w:ascii="Arial" w:hAnsi="Arial" w:cs="Arial"/>
        </w:rPr>
        <w:instrText>ADDIN CSL_CITATION { "citationItems" : [ { "id" : "ITEM-1", "itemData" : { "ISSN" : "0021-9258", "PMID" : "10660533", "abstract" : "Over the past decade, numerous studies have been targeted at defining structure-activity relationships of glucagon. Recently, we have found that glucagon(1-29) is hydrolyzed by dipeptidyl peptidase IV (DPIV) to produce glucagon(3-29) and glucagon(5-29); in human serum, [pyroglutamyl (pGlu)(3)]glucagon(3-29) is formed from glucagon(3-29), and this prevents further hydrolysis of glucagon by DPIV (H.-U. Demuth, K. Glund, U. Heiser, J. Pospisilik, S. Hinke, T. Hoffmann, F. Rosche, D. Schlenzig, M. Wermann, C. McIntosh, and R. Pederson, manuscript in preparation). In the current study, the biological activity of these peptides was examined in vitro. The amino-terminally truncated peptides all behaved as partial agonists in cyclic AMP stimulation assays, with Chinese hamster ovary K1 cells overexpressing the human glucagon receptor (potency: glucagon(1-29) &gt; [pGlu(3)]glu- cagon(3-29) &gt; glucagon(3-29) &gt; glucagon(5-29) &gt; [Glu(9)]glu- cagon(2-29)). In competition binding experiments, [pGlu(3)]glucagon(3-29) and glucagon(5-29) both demonstrated 5-fold lower affinity for the receptor than glucagon(1-29), whereas glucagon(3-29) exhibited 18-fold lower affinity. Of the peptides tested, only glucagon(5-29) showed antagonist activity, and this was weak compared with the classical glucagon antagonist, [Glu(9)]glucagon(2-29). Hence, DPIV hydrolysis of glucagon yields low affinity agonists of the glucagon receptor. As a corollary to evidence indicating that DPIV degrades glucagon (Demuth, et al., manuscript in preparation), DPIV-resistant analogs were synthesized. Matrix-assisted laser desorption/ionization-time of flight mass spectrometry was used to assess DPIV resistance, and it allowed kinetic analysis of degradation. Of several analogs generated, only [D-Ser(2)] and [Gly(2)]glucagon retained high affinity binding and biological potency, similar to native glucagon in vitro. [D-Ser(2)]Glucagon exhibited enhanced hyperglycemic activity in a bioassay, whereas [Gly(2)]glucagon was not completely resistant to DPIV degradation.", "author" : [ { "dropping-particle" : "", "family" : "Hinke", "given" : "S A", "non-dropping-particle" : "", "parse-names" : false, "suffix" : "" }, { "dropping-particle" : "", "family" : "Pospisilik", "given" : "J A", "non-dropping-particle" : "", "parse-names" : false, "suffix" : "" }, { "dropping-particle" : "", "family" : "Demuth", "given" : "H U", "non-dropping-particle" : "", "parse-names" : false, "suffix" : "" }, { "dropping-particle" : "", "family" : "Mannhart", "given" : "S", "non-dropping-particle" : "", "parse-names" : false, "suffix" : "" }, { "dropping-particle" : "", "family" : "K\u00fchn-Wache", "given" : "K", "non-dropping-particle" : "", "parse-names" : false, "suffix" : "" }, { "dropping-particle" : "", "family" : "Hoffmann", "given" : "T", "non-dropping-particle" : "", "parse-names" : false, "suffix" : "" }, { "dropping-particle" : "", "family" : "Nishimura", "given" : "E", "non-dropping-particle" : "", "parse-names" : false, "suffix" : "" }, { "dropping-particle" : "", "family" : "Pederson", "given" : "R A", "non-dropping-particle" : "", "parse-names" : false, "suffix" : "" }, { "dropping-particle" : "", "family" : "McIntosh", "given" : "C H", "non-dropping-particle" : "", "parse-names" : false, "suffix" : "" } ], "container-title" : "The Journal of biological chemistry", "id" : "ITEM-1", "issue" : "6", "issued" : { "date-parts" : [ [ "2000", "2", "11" ] ] }, "note" : "Annotated paper copy. Added to mendley 5th June 2012.          \nAbstract        \nGlucagon 1-29 is hydrolysed by dipeptidyl peptidase IV (DPIV) to produce glucagon2-29 and 5-29 in human serum. \nProglutamyl (pGlu)3 glucagon2-29 is formed from glucagon2-29, and this prevents further hydrolysis by DPIV.\n                  \nIntro\n                \nHalf life immuno active glucagon between 5-6 mins in human &amp; dogs.\n                  \nrecently have been reports that glucagon degradation in blood or plasma is neglible. (ref 7&amp; 8)\n        \nRecently, been evidence that DPIV respsonsible in part for inactivation of glucagon. Finding is consistent with renal clearage of glucagon, but conflicts with absence of plasma degradtion. DPIV is foound on surface of lymphocytes and as a freely curculating enzyme in addtion to the apicial surface of renal proximal tubules.\n                  \nPurified pork DPIV can hydrolse glucagon1-29 to glucagon 3-29 and glucagon 5-29 in vitro. In human serum  it is convered first to glucagon 3-29 and then its amino terminus is cylized by a serum enzyme prenting further degradtion.         \n        \nStudy examined potential physiological activity of truncated amino fragments. Used chinesse hamster oveary cells transfected with the human glucagon receptor. Insvestigated agonsit, antagonist, and binding affinity.\n        \nAlso used DPIV resirance glucagon analogs to support exisiting evidence for glucagon DPIV degradation.\n                  \nResults\n                \nDPIV resistance was monitored using MALD-TOF. Incubated with porcine DPIV. Substituting second amino acid of glucagon (L-serine)with its D-isomer completely blocked degradtion. D-gln3 was moderateley reistance to DPIV. Altering chirality of 3rd a.a. also prevented further degradtion. Discsses other alterations too.\n        \nDPIV analogs has either enhanced or reduced activity cf glucagon.\n                  \nDiscussion\n                \nPreviously controvesy regarding invivo glucagon degradtion.\n        \nDipeptidyl petidase (IV) is a prime candidate for the inactivation of glucagon. \n        \nA measure of the degradtion in human serum obtained- (t1/2= 336 + 36 min) although only using 20% serum- underestimates true amount of degradtion. Further more serum DPIV degradtion only resprenents fraction of invivo as found on endothelial and surface of lymphocytes amoung other tisues.\n        \nThe D-ser2 analog was only analog that increased circualting glucose levels cg native glucagon.  Can be attriubuted to lack of DPIV degradtion as invitro potency moderately reduced. However substition made peptide more susceptible to degradtion by trypsin-llike enyzms. \n        \nDPIV primary enzyme in glucagon degradtion. \n        \n        \n        \n        \n        \n        \n        \n      ", "page" : "3827-34", "title" : "Dipeptidyl peptidase IV (DPIV/CD26) degradation of glucagon. Characterization of glucagon degradation products and DPIV-resistant analogs.", "type" : "article-journal", "volume" : "275" }, "uris" : [ "http://www.mendeley.com/documents/?uuid=c9617e5c-239a-4ede-8d24-3b66a6e4920c" ] } ], "mendeley" : { "previouslyFormattedCitation" : "[2]" }, "properties" : { "noteIndex" : 0 }, "schema" : "https://github.com/citation-style-language/schema/raw/master/csl-citation.json" }</w:instrText>
      </w:r>
      <w:r w:rsidR="001B586C" w:rsidRPr="00565F85">
        <w:rPr>
          <w:rFonts w:ascii="Arial" w:hAnsi="Arial" w:cs="Arial"/>
        </w:rPr>
        <w:fldChar w:fldCharType="separate"/>
      </w:r>
      <w:r w:rsidR="00241343" w:rsidRPr="00241343">
        <w:rPr>
          <w:rFonts w:ascii="Arial" w:hAnsi="Arial" w:cs="Arial"/>
          <w:noProof/>
        </w:rPr>
        <w:t>[2]</w:t>
      </w:r>
      <w:r w:rsidR="001B586C" w:rsidRPr="00565F85">
        <w:rPr>
          <w:rFonts w:ascii="Arial" w:hAnsi="Arial" w:cs="Arial"/>
        </w:rPr>
        <w:fldChar w:fldCharType="end"/>
      </w:r>
      <w:r w:rsidR="001B586C" w:rsidRPr="00565F85">
        <w:rPr>
          <w:rFonts w:ascii="Arial" w:hAnsi="Arial" w:cs="Arial"/>
        </w:rPr>
        <w:fldChar w:fldCharType="begin" w:fldLock="1"/>
      </w:r>
      <w:r w:rsidR="00261C24">
        <w:rPr>
          <w:rFonts w:ascii="Arial" w:hAnsi="Arial" w:cs="Arial"/>
        </w:rPr>
        <w:instrText>ADDIN CSL_CITATION { "citationItems" : [ { "id" : "ITEM-1", "itemData" : { "DOI" : "10.1074/jbc.M212355200", "ISSN" : "0021-9258", "PMID" : "12690116", "abstract" : "Dipeptidyl peptidase IV (DP-IV) is a cell surface serine dipeptidase that is involved in the regulation of the incretin hormones, glucagon-like peptide (GLP-1) and glucose-dependent insulinotropic polypeptide (GIP). There is accumulating evidence that other members of the glucagon family of peptides are also endogenous substrates for this enzyme. To identify candidate substrates for DP-IV, a mass spectrometry-based protease assay was developed that measures cleavage efficiencies (kcat/Km) of polypeptides in a mixture, using only a few picomoles of each substrate and physiological amounts of enzyme in a single kinetic experiment. Oxyntomodulin and the growth hormone-(1-43) fragment were identified as new candidate in vivo substrates. Pituitary adenylate cyclase-activating polypeptide-(1-38) (PACAP38), a critical mediator of lipid and carbohydrate metabolism, was also determined to be efficiently processed by DP-IV in vitro. The catabolism of exogenously administered PACAP38 in wild type and DP-IV-deficient C57Bl/6 mice was monitored by tandem mass spectrometry. Animals lacking DP-IV exhibited a significantly slower clearance of the circulating peptide with virtually complete suppression of the inactive DP-IV metabolite, PACAP-(3-38). These in vivo results suggest that DP-IV plays a major role in the degradation of circulating PACAP38.", "author" : [ { "dropping-particle" : "", "family" : "Zhu", "given" : "Lan", "non-dropping-particle" : "", "parse-names" : false, "suffix" : "" }, { "dropping-particle" : "", "family" : "Tamvakopoulos", "given" : "Constantin", "non-dropping-particle" : "", "parse-names" : false, "suffix" : "" }, { "dropping-particle" : "", "family" : "Xie", "given" : "Dan", "non-dropping-particle" : "", "parse-names" : false, "suffix" : "" }, { "dropping-particle" : "", "family" : "Dragovic", "given" : "Jasminka", "non-dropping-particle" : "", "parse-names" : false, "suffix" : "" }, { "dropping-particle" : "", "family" : "Shen", "given" : "Xiaolan", "non-dropping-particle" : "", "parse-names" : false, "suffix" : "" }, { "dropping-particle" : "", "family" : "Fenyk-Melody", "given" : "Judith E", "non-dropping-particle" : "", "parse-names" : false, "suffix" : "" }, { "dropping-particle" : "", "family" : "Schmidt", "given" : "Keith", "non-dropping-particle" : "", "parse-names" : false, "suffix" : "" }, { "dropping-particle" : "", "family" : "Bagchi", "given" : "Ansuman", "non-dropping-particle" : "", "parse-names" : false, "suffix" : "" }, { "dropping-particle" : "", "family" : "Griffin", "given" : "Patrick R", "non-dropping-particle" : "", "parse-names" : false, "suffix" : "" }, { "dropping-particle" : "", "family" : "Thornberry", "given" : "Nancy A", "non-dropping-particle" : "", "parse-names" : false, "suffix" : "" }, { "dropping-particle" : "", "family" : "Sinha Roy", "given" : "Ranabir", "non-dropping-particle" : "", "parse-names" : false, "suffix" : "" } ], "container-title" : "The Journal of biological chemistry", "id" : "ITEM-1", "issue" : "25", "issued" : { "date-parts" : [ [ "2003", "6", "20" ] ] }, "note" : "Read and annotated 6th June 12\n        \nMianly about other peptides in glucagon family, but some intresting background about DPIV.\n                  \nAbstract and Intro        \n        \nDipeptidyl peptidase IV (DP-IV) is a cell surface serine dipeptidase that is involved in the regulation of the incretin hormones, glucagon-lke peptide (GLP-1) and glucagose dependent insulinotropic peptide (GIP). Is accumulating evidence that other exymes of the glucagon family are also substrates for this enzyme.\n        \nTo intentify substates MS based assay was developed which measures cleavage effeciency of polypeptides using a few picomols of each substrate and physiological amounts of enzyme in each experiment.\n        \nDPIV has been implicated in roles beyond glucose homeostasis, specficailly DPIV defecient rats gain less weight than wild type animals on a high fat diet. In vitro a number of peptides have been noted to be effeciently processed, including the glucagon family peptides, neuropeptides, and chemokines.", "page" : "22418-23", "title" : "The role of dipeptidyl peptidase IV in the cleavage of glucagon family peptides: in vivo metabolism of pituitary adenylate cyclase activating polypeptide-(1-38).", "type" : "article-journal", "volume" : "278" }, "uris" : [ "http://www.mendeley.com/documents/?uuid=661904de-133b-4434-a678-c350f2058495" ] } ], "mendeley" : { "previouslyFormattedCitation" : "[3]" }, "properties" : { "noteIndex" : 0 }, "schema" : "https://github.com/citation-style-language/schema/raw/master/csl-citation.json" }</w:instrText>
      </w:r>
      <w:r w:rsidR="001B586C" w:rsidRPr="00565F85">
        <w:rPr>
          <w:rFonts w:ascii="Arial" w:hAnsi="Arial" w:cs="Arial"/>
        </w:rPr>
        <w:fldChar w:fldCharType="separate"/>
      </w:r>
      <w:r w:rsidR="00241343" w:rsidRPr="00241343">
        <w:rPr>
          <w:rFonts w:ascii="Arial" w:hAnsi="Arial" w:cs="Arial"/>
          <w:noProof/>
        </w:rPr>
        <w:t>[3]</w:t>
      </w:r>
      <w:r w:rsidR="001B586C" w:rsidRPr="00565F85">
        <w:rPr>
          <w:rFonts w:ascii="Arial" w:hAnsi="Arial" w:cs="Arial"/>
        </w:rPr>
        <w:fldChar w:fldCharType="end"/>
      </w:r>
      <w:r w:rsidR="00EA13B8" w:rsidRPr="00565F85">
        <w:rPr>
          <w:rFonts w:ascii="Arial" w:hAnsi="Arial" w:cs="Arial"/>
        </w:rPr>
        <w:t xml:space="preserve"> and</w:t>
      </w:r>
      <w:r w:rsidR="00D242A2" w:rsidRPr="00565F85">
        <w:rPr>
          <w:rFonts w:ascii="Arial" w:hAnsi="Arial" w:cs="Arial"/>
        </w:rPr>
        <w:t xml:space="preserve"> consequently</w:t>
      </w:r>
      <w:r w:rsidR="00EA087F" w:rsidRPr="00565F85">
        <w:rPr>
          <w:rFonts w:ascii="Arial" w:hAnsi="Arial" w:cs="Arial"/>
        </w:rPr>
        <w:t xml:space="preserve"> blood</w:t>
      </w:r>
      <w:r w:rsidR="00D242A2" w:rsidRPr="00565F85">
        <w:rPr>
          <w:rFonts w:ascii="Arial" w:hAnsi="Arial" w:cs="Arial"/>
        </w:rPr>
        <w:t xml:space="preserve"> </w:t>
      </w:r>
      <w:r w:rsidR="00EA13B8" w:rsidRPr="00565F85">
        <w:rPr>
          <w:rFonts w:ascii="Arial" w:hAnsi="Arial" w:cs="Arial"/>
        </w:rPr>
        <w:t>samples are typically collected in tubes containing protease inhibitors</w:t>
      </w:r>
      <w:r w:rsidR="002F2AAF">
        <w:rPr>
          <w:rFonts w:ascii="Arial" w:hAnsi="Arial" w:cs="Arial"/>
        </w:rPr>
        <w:t>.</w:t>
      </w:r>
    </w:p>
    <w:p w:rsidR="00B4468C" w:rsidRDefault="00B4468C" w:rsidP="00236CCA">
      <w:pPr>
        <w:spacing w:line="360" w:lineRule="auto"/>
        <w:jc w:val="both"/>
        <w:rPr>
          <w:rFonts w:ascii="Arial" w:hAnsi="Arial" w:cs="Arial"/>
        </w:rPr>
      </w:pPr>
      <w:r>
        <w:rPr>
          <w:rFonts w:ascii="Arial" w:hAnsi="Arial" w:cs="Arial"/>
        </w:rPr>
        <w:t>Endogenous glucagon</w:t>
      </w:r>
      <w:r w:rsidR="00BC03A7">
        <w:rPr>
          <w:rFonts w:ascii="Arial" w:hAnsi="Arial" w:cs="Arial"/>
        </w:rPr>
        <w:t xml:space="preserve"> levels in healthy patients are </w:t>
      </w:r>
      <w:r>
        <w:rPr>
          <w:rFonts w:ascii="Arial" w:hAnsi="Arial" w:cs="Arial"/>
        </w:rPr>
        <w:t>repo</w:t>
      </w:r>
      <w:r w:rsidR="00030BD7">
        <w:rPr>
          <w:rFonts w:ascii="Arial" w:hAnsi="Arial" w:cs="Arial"/>
        </w:rPr>
        <w:t>rted</w:t>
      </w:r>
      <w:r>
        <w:rPr>
          <w:rFonts w:ascii="Arial" w:hAnsi="Arial" w:cs="Arial"/>
        </w:rPr>
        <w:t xml:space="preserve"> between 25-80 pg/mL, which may be raised by </w:t>
      </w:r>
      <w:r w:rsidRPr="00F30F58">
        <w:rPr>
          <w:rFonts w:ascii="Arial" w:hAnsi="Arial" w:cs="Arial"/>
        </w:rPr>
        <w:t>about 10</w:t>
      </w:r>
      <w:r w:rsidR="00BB0523">
        <w:rPr>
          <w:rFonts w:ascii="Arial" w:hAnsi="Arial" w:cs="Arial"/>
        </w:rPr>
        <w:t xml:space="preserve"> </w:t>
      </w:r>
      <w:r w:rsidRPr="00F30F58">
        <w:rPr>
          <w:rFonts w:ascii="Arial" w:hAnsi="Arial" w:cs="Arial"/>
        </w:rPr>
        <w:t xml:space="preserve">pg/mL in pancreatic cancer patients, and can </w:t>
      </w:r>
      <w:r w:rsidR="00BE08F2">
        <w:rPr>
          <w:rFonts w:ascii="Arial" w:hAnsi="Arial" w:cs="Arial"/>
        </w:rPr>
        <w:t>reach</w:t>
      </w:r>
      <w:r w:rsidRPr="00F30F58">
        <w:rPr>
          <w:rFonts w:ascii="Arial" w:hAnsi="Arial" w:cs="Arial"/>
        </w:rPr>
        <w:t xml:space="preserve"> up</w:t>
      </w:r>
      <w:r w:rsidR="00BE08F2">
        <w:rPr>
          <w:rFonts w:ascii="Arial" w:hAnsi="Arial" w:cs="Arial"/>
        </w:rPr>
        <w:t xml:space="preserve"> </w:t>
      </w:r>
      <w:r w:rsidRPr="00F30F58">
        <w:rPr>
          <w:rFonts w:ascii="Arial" w:hAnsi="Arial" w:cs="Arial"/>
        </w:rPr>
        <w:t>to 160 pg/mL in diabetic patients</w:t>
      </w:r>
      <w:r>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"10.4161/cbt.8.16.9006", "ISSN" : "1538-4047", "PMID" : "19571666", "abstract" : "Pancreatic ductal adenocarcinoma (PDAC) is one of the most aggressive malignancies, with an overall 5-year survival rate of less than 5%. This dismal prognosis is largely due to the advanced stage of the disease at presentation, i.e., the late diagnosis. Therefore, early detection would have the potential to significantly improve the overall prognosis of PDAC patients. Diabetes mellitus (DM) has a high prevalence in PDAC patients and is frequently of new onset. The aim of this study was to analyze whether DM can be utilized as an early disease marker in PDAC. Quantitative RT-PCR analysis and immunohistochemistry for insulin and glucagon was performed in 22 PDAC and 16 normal pancreas tissues. Blood samples of 66 patients suffering from PDAC, 35 DM type 2 patients, and 29 healthy donors were analyzed for insulin, glucagon, C-peptide and glucose levels. Quantitative RT-PCR showed a two-fold increase of the glucagon/insulin ratio in pancreatic cancer tissues in comparison to the normal pancreas. By immunohistochemistry a shift in the expression pattern of glucagon and insulin, i.e., a higher glucagon/insulin ratio was found in PDAC associated islets compared to islets in the normal pancreas. Fasting insulin levels in PDAC patients were lower compared to DM patients. The calculated serum glucagon/insulin ratio was significantly different between PDAC and DM patients. At a cut-off of 7.4 ng/mU glucagon/insulin, pancreatic cancer induced new-onset DM could be discriminated from type 2 DM with 77% sensitivity and 69% specificity. In conclusion, the suggested serum glucagon/insulin ratio showed significant differences in patients with PDAC related DM and type 2 DM. Therefore, this analysis might help to identify PDAC in patients with new-onset DM in the age group at risk. Larger clinical trials have to confirm these findings.", "author" : [ { "dropping-particle" : "", "family" : "Kolb", "given" : "Armin", "non-dropping-particle" : "", "parse-names" : false, "suffix" : "" }, { "dropping-particle" : "", "family" : "Rieder", "given" : "Simon", "non-dropping-particle" : "", "parse-names" : false, "suffix" : "" }, { "dropping-particle" : "", "family" : "Born", "given" : "Diana", "non-dropping-particle" : "", "parse-names" : false, "suffix" : "" }, { "dropping-particle" : "", "family" : "Giese", "given" : "Nathalia A.", "non-dropping-particle" : "", "parse-names" : false, "suffix" : "" }, { "dropping-particle" : "", "family" : "Giese", "given" : "Thomas", "non-dropping-particle" : "", "parse-names" : false, "suffix" : "" }, { "dropping-particle" : "", "family" : "Rudofsky", "given" : "Gottfried", "non-dropping-particle" : "", "parse-names" : false, "suffix" : "" }, { "dropping-particle" : "", "family" : "Werner", "given" : "Jens", "non-dropping-particle" : "", "parse-names" : false, "suffix" : "" }, { "dropping-particle" : "", "family" : "B\u00fcchler", "given" : "Markus W", "non-dropping-particle" : "", "parse-names" : false, "suffix" : "" }, { "dropping-particle" : "", "family" : "Friess", "given" : "Helmut", "non-dropping-particle" : "", "parse-names" : false, "suffix" : "" }, { "dropping-particle" : "", "family" : "Esposito", "given" : "Irene", "non-dropping-particle" : "", "parse-names" : false, "suffix" : "" }, { "dropping-particle" : "", "family" : "Kleeff", "given" : "J\u00f6rg", "non-dropping-particle" : "", "parse-names" : false, "suffix" : "" } ], "container-title" : "Cancer Biology &amp; Therapy", "id" : "ITEM-1", "issue" : "16", "issued" : { "date-parts" : [ [ "2009", "8", "15" ] ] }, "note" : "From EMPW presentation\n        \n50.9 pg/mL \u00b13.0, range 24 \u2013 83 pg/mL (healthy volunteers, n = 24)\n      ", "page" : "1527-1533", "title" : "Glucagon/insulin ratio as a potential biomarker for pancreatic cancer in patients with new-onset diabetes mellitus", "type" : "article-journal", "volume" : "8" }, "uris" : [ "http://www.mendeley.com/documents/?uuid=4ad9e6cc-2ef0-45ea-a41a-62ad9c31224c" ] } ], "mendeley" : { "previouslyFormattedCitation" : "[1]" }, "properties" : { "noteIndex" : 0 }, "schema" : "https://github.com/citation-style-language/schema/raw/master/csl-citation.json" }</w:instrText>
      </w:r>
      <w:r w:rsidR="001B586C">
        <w:rPr>
          <w:rFonts w:ascii="Arial" w:hAnsi="Arial" w:cs="Arial"/>
        </w:rPr>
        <w:fldChar w:fldCharType="separate"/>
      </w:r>
      <w:r w:rsidR="00241343" w:rsidRPr="00241343">
        <w:rPr>
          <w:rFonts w:ascii="Arial" w:hAnsi="Arial" w:cs="Arial"/>
          <w:noProof/>
        </w:rPr>
        <w:t>[1]</w:t>
      </w:r>
      <w:r w:rsidR="001B586C">
        <w:rPr>
          <w:rFonts w:ascii="Arial" w:hAnsi="Arial" w:cs="Arial"/>
        </w:rPr>
        <w:fldChar w:fldCharType="end"/>
      </w:r>
      <w:r w:rsidRPr="00F30F58">
        <w:rPr>
          <w:rFonts w:ascii="Arial" w:hAnsi="Arial" w:cs="Arial"/>
        </w:rPr>
        <w:t>.</w:t>
      </w:r>
      <w:r w:rsidR="00CD38A9">
        <w:rPr>
          <w:rFonts w:ascii="Arial" w:hAnsi="Arial" w:cs="Arial"/>
        </w:rPr>
        <w:t xml:space="preserve"> Following treatments using glucagon infusion levels can reach </w:t>
      </w:r>
      <w:r w:rsidR="009F35C7" w:rsidRPr="00085469">
        <w:rPr>
          <w:rFonts w:ascii="Arial" w:hAnsi="Arial" w:cs="Arial"/>
        </w:rPr>
        <w:t>~</w:t>
      </w:r>
      <w:r w:rsidR="00030BD7">
        <w:rPr>
          <w:rFonts w:ascii="Arial" w:hAnsi="Arial" w:cs="Arial"/>
        </w:rPr>
        <w:t>750</w:t>
      </w:r>
      <w:r w:rsidR="00CD38A9">
        <w:rPr>
          <w:rFonts w:ascii="Arial" w:hAnsi="Arial" w:cs="Arial"/>
        </w:rPr>
        <w:t xml:space="preserve"> pg/mL.</w:t>
      </w:r>
      <w:r w:rsidR="00591934">
        <w:rPr>
          <w:rFonts w:ascii="Arial" w:hAnsi="Arial" w:cs="Arial"/>
        </w:rPr>
        <w:t xml:space="preserve"> </w:t>
      </w:r>
      <w:r w:rsidR="00CD38A9">
        <w:rPr>
          <w:rFonts w:ascii="Arial" w:hAnsi="Arial" w:cs="Arial"/>
        </w:rPr>
        <w:t>Glucagon concentrations</w:t>
      </w:r>
      <w:r w:rsidR="00F30F58">
        <w:rPr>
          <w:rFonts w:ascii="Arial" w:hAnsi="Arial" w:cs="Arial"/>
        </w:rPr>
        <w:t xml:space="preserve"> are </w:t>
      </w:r>
      <w:r w:rsidR="008D3540">
        <w:rPr>
          <w:rFonts w:ascii="Arial" w:hAnsi="Arial" w:cs="Arial"/>
        </w:rPr>
        <w:t>routinely measured using radioi</w:t>
      </w:r>
      <w:r w:rsidR="00AD1840" w:rsidRPr="00AD1840">
        <w:rPr>
          <w:rFonts w:ascii="Arial" w:hAnsi="Arial" w:cs="Arial"/>
        </w:rPr>
        <w:t>mmunoassay (RIA)</w:t>
      </w:r>
      <w:r w:rsidR="00D82588">
        <w:rPr>
          <w:rFonts w:ascii="Arial" w:hAnsi="Arial" w:cs="Arial"/>
        </w:rPr>
        <w:t xml:space="preserve"> based</w:t>
      </w:r>
      <w:r w:rsidR="00AD1840" w:rsidRPr="00AD1840">
        <w:rPr>
          <w:rFonts w:ascii="Arial" w:hAnsi="Arial" w:cs="Arial"/>
        </w:rPr>
        <w:t xml:space="preserve"> approaches, however these assays can be time consuming to perform (up to 3 da</w:t>
      </w:r>
      <w:r w:rsidR="00BC03A7">
        <w:rPr>
          <w:rFonts w:ascii="Arial" w:hAnsi="Arial" w:cs="Arial"/>
        </w:rPr>
        <w:t>ys) and</w:t>
      </w:r>
      <w:r w:rsidR="00AD1840" w:rsidRPr="00AD1840">
        <w:rPr>
          <w:rFonts w:ascii="Arial" w:hAnsi="Arial" w:cs="Arial"/>
        </w:rPr>
        <w:t xml:space="preserve"> the kits have limited lifetimes (</w:t>
      </w:r>
      <w:r w:rsidR="00AD1840">
        <w:rPr>
          <w:rFonts w:ascii="Arial" w:hAnsi="Arial" w:cs="Arial"/>
        </w:rPr>
        <w:t xml:space="preserve">e.g. </w:t>
      </w:r>
      <w:r w:rsidR="00D82588">
        <w:rPr>
          <w:rFonts w:ascii="Arial" w:hAnsi="Arial" w:cs="Arial"/>
        </w:rPr>
        <w:t>2</w:t>
      </w:r>
      <w:r w:rsidR="00AD1840" w:rsidRPr="00AD1840">
        <w:rPr>
          <w:rFonts w:ascii="Arial" w:hAnsi="Arial" w:cs="Arial"/>
        </w:rPr>
        <w:t xml:space="preserve"> month</w:t>
      </w:r>
      <w:r w:rsidR="00D82588">
        <w:rPr>
          <w:rFonts w:ascii="Arial" w:hAnsi="Arial" w:cs="Arial"/>
        </w:rPr>
        <w:t>s</w:t>
      </w:r>
      <w:r w:rsidR="00BC03A7">
        <w:rPr>
          <w:rFonts w:ascii="Arial" w:hAnsi="Arial" w:cs="Arial"/>
        </w:rPr>
        <w:t>). In addition</w:t>
      </w:r>
      <w:r w:rsidR="00B472E3">
        <w:rPr>
          <w:rFonts w:ascii="Arial" w:hAnsi="Arial" w:cs="Arial"/>
        </w:rPr>
        <w:t xml:space="preserve"> they </w:t>
      </w:r>
      <w:r w:rsidR="00D82588">
        <w:rPr>
          <w:rFonts w:ascii="Arial" w:hAnsi="Arial" w:cs="Arial"/>
        </w:rPr>
        <w:t>can</w:t>
      </w:r>
      <w:r w:rsidR="00B472E3">
        <w:rPr>
          <w:rFonts w:ascii="Arial" w:hAnsi="Arial" w:cs="Arial"/>
        </w:rPr>
        <w:t xml:space="preserve"> suffer f</w:t>
      </w:r>
      <w:r w:rsidR="008D3540">
        <w:rPr>
          <w:rFonts w:ascii="Arial" w:hAnsi="Arial" w:cs="Arial"/>
        </w:rPr>
        <w:t>rom poor precision and accuracy, as</w:t>
      </w:r>
      <w:r w:rsidR="00AD1840" w:rsidRPr="00AD1840">
        <w:rPr>
          <w:rFonts w:ascii="Arial" w:hAnsi="Arial" w:cs="Arial"/>
        </w:rPr>
        <w:t xml:space="preserve"> there is potential for cross reactivity with similar compounds </w:t>
      </w:r>
      <w:r w:rsidR="00E13026">
        <w:rPr>
          <w:rFonts w:ascii="Arial" w:hAnsi="Arial" w:cs="Arial"/>
        </w:rPr>
        <w:t xml:space="preserve">or inactive degradation fragments </w:t>
      </w:r>
      <w:r w:rsidR="00AD1840" w:rsidRPr="00AD1840">
        <w:rPr>
          <w:rFonts w:ascii="Arial" w:hAnsi="Arial" w:cs="Arial"/>
        </w:rPr>
        <w:t>leading to inaccurate quantitation</w:t>
      </w:r>
      <w:r w:rsidR="00BC03A7">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"ISSN" : "0009-9147", "PMID" : "12881456", "abstract" : "Commercially available testosterone immunoassays give divergent results, especially at the low concentrations seen in women. We compared immunoassays and a nonimmunochemical method that could quantify low testosterone concentrations.", "author" : [ { "dropping-particle" : "", "family" : "Taieb", "given" : "Jo\u00eblle", "non-dropping-particle" : "", "parse-names" : false, "suffix" : "" }, { "dropping-particle" : "", "family" : "Mathian", "given" : "Bruno", "non-dropping-particle" : "", "parse-names" : false, "suffix" : "" }, { "dropping-particle" : "", "family" : "Millot", "given" : "Fran\u00e7oise", "non-dropping-particle" : "", "parse-names" : false, "suffix" : "" }, { "dropping-particle" : "", "family" : "Patricot", "given" : "Marie-Claude", "non-dropping-particle" : "", "parse-names" : false, "suffix" : "" }, { "dropping-particle" : "", "family" : "Mathieu", "given" : "Elisabeth", "non-dropping-particle" : "", "parse-names" : false, "suffix" : "" }, { "dropping-particle" : "", "family" : "Queyrel", "given" : "Nicole", "non-dropping-particle" : "", "parse-names" : false, "suffix" : "" }, { "dropping-particle" : "", "family" : "Lacroix", "given" : "Isabelle", "non-dropping-particle" : "", "parse-names" : false, "suffix" : "" }, { "dropping-particle" : "", "family" : "Somma-Delpero", "given" : "Claude", "non-dropping-particle" : "", "parse-names" : false, "suffix" : "" }, { "dropping-particle" : "", "family" : "Boudou", "given" : "Philippe", "non-dropping-particle" : "", "parse-names" : false, "suffix" : "" } ], "container-title" : "Clinical chemistry", "id" : "ITEM-1", "issue" : "8", "issued" : { "date-parts" : [ [ "2003", "8" ] ] }, "note" : "Read abstract 16 April 2012\nELISA underestimates vs MS\n      ", "page" : "1381-1395", "title" : "Testosterone measured by 10 immunoassays and by isotope-dilution gas chromatography-mass spectrometry in sera from 116 men, women, and children", "type" : "article-journal", "volume" : "49" }, "uris" : [ "http://www.mendeley.com/documents/?uuid=daa1c17c-4810-43cf-a321-23900be4d6b7" ] } ], "mendeley" : { "previouslyFormattedCitation" : "[4]" }, "properties" : { "noteIndex" : 0 }, "schema" : "https://github.com/citation-style-language/schema/raw/master/csl-citation.json" }</w:instrText>
      </w:r>
      <w:r w:rsidR="001B586C">
        <w:rPr>
          <w:rFonts w:ascii="Arial" w:hAnsi="Arial" w:cs="Arial"/>
        </w:rPr>
        <w:fldChar w:fldCharType="separate"/>
      </w:r>
      <w:r w:rsidR="00241343" w:rsidRPr="00241343">
        <w:rPr>
          <w:rFonts w:ascii="Arial" w:hAnsi="Arial" w:cs="Arial"/>
          <w:noProof/>
        </w:rPr>
        <w:t>[4]</w:t>
      </w:r>
      <w:r w:rsidR="001B586C">
        <w:rPr>
          <w:rFonts w:ascii="Arial" w:hAnsi="Arial" w:cs="Arial"/>
        </w:rPr>
        <w:fldChar w:fldCharType="end"/>
      </w:r>
      <w:r w:rsidR="001B586C" w:rsidRPr="00B45AC8">
        <w:rPr>
          <w:rFonts w:ascii="Arial" w:hAnsi="Arial" w:cs="Arial"/>
        </w:rPr>
        <w:fldChar w:fldCharType="begin" w:fldLock="1"/>
      </w:r>
      <w:r w:rsidR="00261C24">
        <w:rPr>
          <w:rFonts w:ascii="Arial" w:hAnsi="Arial" w:cs="Arial"/>
        </w:rPr>
        <w:instrText>ADDIN CSL_CITATION { "citationItems" : [ { "id" : "ITEM-1", "itemData" : { "abstract" : "Non-specific plasma effects may produce major errors in the estimation of true plasma pancreatic glucagon concentrations by radioimmunoassay. This has been circumvented by the production of glucagon-free plasma for each individual investigated, by means of glucagon antibody, coupled to sepharose beads. True fasting pancreatic glucagon levels (mean \u00b1 SEM) in 18 healthy subjects (24 \u00b1 3 pg/ml) were significantly lower (p &lt; 0.005) than in 10 non-ketotic non-obese diabetics (38 \u00b1 3 pg/ml). It is suggested that, in the presence of decreased insulin-effect in the diabetic, this 55% glucagon elevation in diabetics may be of biological importance and contribute to the fasting hyperglycaemia.", "author" : [ { "dropping-particle" : "", "family" : "FP Alford, SR Bloom", "given" : "JDN", "non-dropping-particle" : "", "parse-names" : false, "suffix" : "" }, { "dropping-particle" : "", "family" : "Nabarro", "given" : "", "non-dropping-particle" : "", "parse-names" : false, "suffix" : "" } ], "container-title" : "Diabetologia", "id" : "ITEM-1", "issue" : "1", "issued" : { "date-parts" : [ [ "1977" ] ] }, "note" : "can get 1st 2 pages on website.\n        \nMake calibration standards in depleted individual plasmas, to negate the effect of any non specific plasma interferenes.", "page" : "1-6", "title" : "Glucagon levels in normal and diabetic subjects: Use of a specific immunoabsorbent for glucagon radioimmunoassay", "type" : "article-journal", "volume" : "13" }, "uris" : [ "http://www.mendeley.com/documents/?uuid=f23e1a68-8c69-4d29-8b47-a0d273bc6121" ] } ], "mendeley" : { "previouslyFormattedCitation" : "[5]" }, "properties" : { "noteIndex" : 0 }, "schema" : "https://github.com/citation-style-language/schema/raw/master/csl-citation.json" }</w:instrText>
      </w:r>
      <w:r w:rsidR="001B586C" w:rsidRPr="00B45AC8">
        <w:rPr>
          <w:rFonts w:ascii="Arial" w:hAnsi="Arial" w:cs="Arial"/>
        </w:rPr>
        <w:fldChar w:fldCharType="separate"/>
      </w:r>
      <w:r w:rsidR="00B45AC8" w:rsidRPr="00B45AC8">
        <w:rPr>
          <w:rFonts w:ascii="Arial" w:hAnsi="Arial" w:cs="Arial"/>
          <w:noProof/>
        </w:rPr>
        <w:t>[5]</w:t>
      </w:r>
      <w:r w:rsidR="001B586C" w:rsidRPr="00B45AC8">
        <w:rPr>
          <w:rFonts w:ascii="Arial" w:hAnsi="Arial" w:cs="Arial"/>
        </w:rPr>
        <w:fldChar w:fldCharType="end"/>
      </w:r>
      <w:r w:rsidR="001B586C">
        <w:rPr>
          <w:rFonts w:ascii="Arial" w:hAnsi="Arial" w:cs="Arial"/>
        </w:rPr>
        <w:fldChar w:fldCharType="begin" w:fldLock="1"/>
      </w:r>
      <w:r w:rsidR="00261C24">
        <w:rPr>
          <w:rFonts w:ascii="Arial" w:hAnsi="Arial" w:cs="Arial"/>
        </w:rPr>
        <w:instrText>ADDIN CSL_CITATION { "citationItems" : [ { "id" : "ITEM-1", "itemData" : { "abstract" : "AIM: To determine the specificity and sensitivity of assays carried out using commercially available kits for glucagon and/or oxyntomodulin measurements. METHODS: Ten different assay kits used for the measurement of either glucagon or oxyntomodulin concentrations were obtained. Solutions of synthetic glucagon (proglucagon (PG) residues 3361), oxyntomodulin (PG residues 3369) and glicentin (PG residues 169) were prepared and peptide concentrations were verified by quantitative amino acid analysis and a processing-independent in-house RIA. Peptides were added to the matrix (assay buffer) supplied with the kits (concentration range: 1.25-300 pmol/l) and to human plasma and recoveries were determined. Assays yielding meaningful results were analysed for precision and sensitivity by repeated analysis and ability to discriminate low concentrations. RESULTS AND CONCLUSION: Three assays were specific for glucagon (carried out using the Millipore (Billerica, MA, USA), Bio-Rad (Sundbyberg, Sweden), and ALPCO (Salem, NH, USA) and Yanaihara Institute (Shizuoka, Japan) kits), but none was specific for oxyntomodulin. The assay carried out using the Phoenix (Burlingame, CA, USA) glucagon kit measured the concentrations of all three peptides (total glucagon) equally. Sensitivity and precision were generally poor; the assay carried out using the Millipore RIA kit performed best with a sensitivity around 10 pmol/l. Assays carried out using the BlueGene (Shanghai, China), USCN LIFE (Wuhan, China) (oxyntomodulin and glucagon), MyBioSource (San Diego, CA, USA) and Phoenix oxyntomodulin kits yielded inconsistent results.", "author" : [ { "dropping-particle" : "", "family" : "MJ", "given" : "Bak", "non-dropping-particle" : "", "parse-names" : false, "suffix" : "" }, { "dropping-particle" : "", "family" : "Albrechtsen", "given" : "NW", "non-dropping-particle" : "", "parse-names" : false, "suffix" : "" }, { "dropping-particle" : "", "family" : "Pedersen", "given" : "J", "non-dropping-particle" : "", "parse-names" : false, "suffix" : "" }, { "dropping-particle" : "", "family" : "Hartmann", "given" : "B", "non-dropping-particle" : "", "parse-names" : false, "suffix" : "" }, { "dropping-particle" : "", "family" : "Christensen", "given" : "M", "non-dropping-particle" : "", "parse-names" : false, "suffix" : "" }, { "dropping-particle" : "", "family" : "Vilsb\u00f8ll", "given" : "T", "non-dropping-particle" : "", "parse-names" : false, "suffix" : "" }, { "dropping-particle" : "", "family" : "Knop", "given" : "FK", "non-dropping-particle" : "", "parse-names" : false, "suffix" : "" }, { "dropping-particle" : "", "family" : "Deacon", "given" : "CF", "non-dropping-particle" : "", "parse-names" : false, "suffix" : "" }, { "dropping-particle" : "", "family" : "Dragsted", "given" : "LO", "non-dropping-particle" : "", "parse-names" : false, "suffix" : "" }, { "dropping-particle" : "", "family" : "Holst", "given" : "JJ", "non-dropping-particle" : "", "parse-names" : false, "suffix" : "" } ], "container-title" : "Eur J Endocrino", "id" : "ITEM-1", "issue" : "4", "issued" : { "date-parts" : [ [ "2014" ] ] }, "note" : "Sugested to be added by peer reviewer 1 of the gluacgon quantiation paperas an example of recent work.", "page" : "529-38", "title" : "Specificity and sensitivity of commercially available assays for glucagon and oxyntomodulin measurement in humans", "type" : "article-journal", "volume" : "170" }, "uris" : [ "http://www.mendeley.com/documents/?uuid=940c51e2-8201-470b-9805-9857cc39e723" ] } ], "mendeley" : { "previouslyFormattedCitation" : "[6]" }, "properties" : { "noteIndex" : 0 }, "schema" : "https://github.com/citation-style-language/schema/raw/master/csl-citation.json" }</w:instrText>
      </w:r>
      <w:r w:rsidR="001B586C">
        <w:rPr>
          <w:rFonts w:ascii="Arial" w:hAnsi="Arial" w:cs="Arial"/>
        </w:rPr>
        <w:fldChar w:fldCharType="separate"/>
      </w:r>
      <w:r w:rsidR="000343F1" w:rsidRPr="000343F1">
        <w:rPr>
          <w:rFonts w:ascii="Arial" w:hAnsi="Arial" w:cs="Arial"/>
          <w:noProof/>
        </w:rPr>
        <w:t>[6]</w:t>
      </w:r>
      <w:r w:rsidR="001B586C">
        <w:rPr>
          <w:rFonts w:ascii="Arial" w:hAnsi="Arial" w:cs="Arial"/>
        </w:rPr>
        <w:fldChar w:fldCharType="end"/>
      </w:r>
      <w:r w:rsidR="00CC2BFF">
        <w:rPr>
          <w:rFonts w:ascii="Arial" w:hAnsi="Arial" w:cs="Arial"/>
        </w:rPr>
        <w:t>.</w:t>
      </w:r>
      <w:r w:rsidR="00A035DE">
        <w:rPr>
          <w:rFonts w:ascii="Arial" w:hAnsi="Arial" w:cs="Arial"/>
        </w:rPr>
        <w:t xml:space="preserve"> For example, whilst a comparison between two</w:t>
      </w:r>
      <w:r w:rsidR="003B7A95">
        <w:rPr>
          <w:rFonts w:ascii="Arial" w:hAnsi="Arial" w:cs="Arial"/>
        </w:rPr>
        <w:t xml:space="preserve"> glucagon</w:t>
      </w:r>
      <w:r w:rsidR="00A035DE">
        <w:rPr>
          <w:rFonts w:ascii="Arial" w:hAnsi="Arial" w:cs="Arial"/>
        </w:rPr>
        <w:t xml:space="preserve"> immunoassays resulted in a high correlation (R=0.97), the concentrations between individual samples differed by 2-4 fold </w:t>
      </w:r>
      <w:r w:rsidR="001B586C">
        <w:rPr>
          <w:rFonts w:ascii="Arial" w:hAnsi="Arial" w:cs="Arial"/>
        </w:rPr>
        <w:fldChar w:fldCharType="begin" w:fldLock="1"/>
      </w:r>
      <w:r w:rsidR="00261C24">
        <w:rPr>
          <w:rFonts w:ascii="Arial" w:hAnsi="Arial" w:cs="Arial"/>
        </w:rPr>
        <w:instrText>ADDIN CSL_CITATION { "citationItems" : [ { "id" : "ITEM-1", "itemData" : { "DOI" : "10.1016/j.clinbiochem.2012.07.111", "ISSN" : "1873-2933", "PMID" : "22890005", "abstract" : "OBJECTIVES: To develop a novel, dual-monoclonal sandwich immunoassay with superior sensitivity that provides a rapid and convenient method for measuring glucagon. Glucagon is a 29-amino acid polypeptide hormone produced in the pancreas by the \u03b1-cells of the islets of Langerhans. Working in concert with insulin, glucagon is involved in regulating circulating glucose concentrations.\n\nDESIGN AND METHODS: The immunoassay utilizes Meso Scale Discovery (MSD) electrochemiluminescence (ECL) technology and two affinity-optimized monoclonal antibodies. A series of experiments was performed to determine the linear range of the assay and to evaluate sensitivity, accuracy, recovery, precision, and linearity.\n\nRESULTS: The sandwich assay was specific for glucagon and did not recognize the closely related peptide oxyntomodulin or other incretin peptides. The assay demonstrated excellent recovery, precision, and linearity, and a broad dynamic range of 0.14 pmol/L to 1950 pmol/L. In addition, assay results were highly correlated with those obtained using a previously described competitive RIA employing polyclonal antiserum.\n\nCONCLUSION: The use of affinity-optimized monoclonal antibodies in a sandwich immunoassay format provides a robust, sensitive, and convenient method for measuring concentrations of glucagon that is highly sensitive and specific. This immunoassay should help to improve our understanding of the role of glucagon in the regulation of glucose metabolism.", "author" : [ { "dropping-particle" : "", "family" : "Sloan", "given" : "John H", "non-dropping-particle" : "", "parse-names" : false, "suffix" : "" }, { "dropping-particle" : "", "family" : "Siegel", "given" : "Robert W", "non-dropping-particle" : "", "parse-names" : false, "suffix" : "" }, { "dropping-particle" : "", "family" : "Ivanova-Cox", "given" : "Yvelina T", "non-dropping-particle" : "", "parse-names" : false, "suffix" : "" }, { "dropping-particle" : "", "family" : "Watson", "given" : "David E", "non-dropping-particle" : "", "parse-names" : false, "suffix" : "" }, { "dropping-particle" : "", "family" : "Deeg", "given" : "Mark a", "non-dropping-particle" : "", "parse-names" : false, "suffix" : "" }, { "dropping-particle" : "", "family" : "Konrad", "given" : "Robert J", "non-dropping-particle" : "", "parse-names" : false, "suffix" : "" } ], "container-title" : "Clinical biochemistry", "id" : "ITEM-1", "issue" : "18", "issued" : { "date-parts" : [ [ "2012", "12" ] ] }, "page" : "1640-4", "title" : "A novel high-sensitivity electrochemiluminescence (ECL) sandwich immunoassay for the specific quantitative measurement of plasma glucagon.", "type" : "article", "volume" : "45" }, "uris" : [ "http://www.mendeley.com/documents/?uuid=5ff29006-2007-4d49-adbe-f04bff1d2bc4" ] } ], "mendeley" : { "previouslyFormattedCitation" : "[7]" }, "properties" : { "noteIndex" : 0 }, "schema" : "https://github.com/citation-style-language/schema/raw/master/csl-citation.json" }</w:instrText>
      </w:r>
      <w:r w:rsidR="001B586C">
        <w:rPr>
          <w:rFonts w:ascii="Arial" w:hAnsi="Arial" w:cs="Arial"/>
        </w:rPr>
        <w:fldChar w:fldCharType="separate"/>
      </w:r>
      <w:r w:rsidR="000343F1" w:rsidRPr="000343F1">
        <w:rPr>
          <w:rFonts w:ascii="Arial" w:hAnsi="Arial" w:cs="Arial"/>
          <w:noProof/>
        </w:rPr>
        <w:t>[7]</w:t>
      </w:r>
      <w:r w:rsidR="001B586C">
        <w:rPr>
          <w:rFonts w:ascii="Arial" w:hAnsi="Arial" w:cs="Arial"/>
        </w:rPr>
        <w:fldChar w:fldCharType="end"/>
      </w:r>
      <w:r w:rsidR="009F35C7">
        <w:rPr>
          <w:rFonts w:ascii="Arial" w:hAnsi="Arial" w:cs="Arial"/>
        </w:rPr>
        <w:t xml:space="preserve">. </w:t>
      </w:r>
      <w:r w:rsidR="00AD1840" w:rsidRPr="00AD1840">
        <w:rPr>
          <w:rFonts w:ascii="Arial" w:hAnsi="Arial" w:cs="Arial"/>
        </w:rPr>
        <w:t xml:space="preserve">The radioactive nature of </w:t>
      </w:r>
      <w:r w:rsidR="000343F1">
        <w:rPr>
          <w:rFonts w:ascii="Arial" w:hAnsi="Arial" w:cs="Arial"/>
        </w:rPr>
        <w:t xml:space="preserve">RIAs </w:t>
      </w:r>
      <w:r w:rsidR="00AD1840" w:rsidRPr="00AD1840">
        <w:rPr>
          <w:rFonts w:ascii="Arial" w:hAnsi="Arial" w:cs="Arial"/>
        </w:rPr>
        <w:t xml:space="preserve">also necessitates additional </w:t>
      </w:r>
      <w:r w:rsidR="00644412">
        <w:rPr>
          <w:rFonts w:ascii="Arial" w:hAnsi="Arial" w:cs="Arial"/>
        </w:rPr>
        <w:t xml:space="preserve">health and safety </w:t>
      </w:r>
      <w:r w:rsidR="00AD1840" w:rsidRPr="00AD1840">
        <w:rPr>
          <w:rFonts w:ascii="Arial" w:hAnsi="Arial" w:cs="Arial"/>
        </w:rPr>
        <w:t>precautions</w:t>
      </w:r>
      <w:r w:rsidR="00644412">
        <w:rPr>
          <w:rFonts w:ascii="Arial" w:hAnsi="Arial" w:cs="Arial"/>
        </w:rPr>
        <w:t xml:space="preserve"> during set-up, and specialised disposal of radioisotopes</w:t>
      </w:r>
      <w:r w:rsidR="00AD1840" w:rsidRPr="00AD1840">
        <w:rPr>
          <w:rFonts w:ascii="Arial" w:hAnsi="Arial" w:cs="Arial"/>
        </w:rPr>
        <w:t>.</w:t>
      </w:r>
      <w:r w:rsidR="00AD1840">
        <w:rPr>
          <w:rFonts w:ascii="Arial" w:hAnsi="Arial" w:cs="Arial"/>
        </w:rPr>
        <w:t xml:space="preserve"> </w:t>
      </w:r>
    </w:p>
    <w:p w:rsidR="00297033" w:rsidRDefault="00B472E3" w:rsidP="00236CCA">
      <w:pPr>
        <w:spacing w:line="360" w:lineRule="auto"/>
        <w:jc w:val="both"/>
        <w:rPr>
          <w:rFonts w:ascii="Arial" w:hAnsi="Arial" w:cs="Arial"/>
        </w:rPr>
      </w:pPr>
      <w:r>
        <w:rPr>
          <w:rFonts w:ascii="Arial" w:hAnsi="Arial" w:cs="Arial"/>
        </w:rPr>
        <w:t>A</w:t>
      </w:r>
      <w:r w:rsidR="00B4468C">
        <w:rPr>
          <w:rFonts w:ascii="Arial" w:hAnsi="Arial" w:cs="Arial"/>
        </w:rPr>
        <w:t xml:space="preserve"> LC-MS/MS assay</w:t>
      </w:r>
      <w:r>
        <w:rPr>
          <w:rFonts w:ascii="Arial" w:hAnsi="Arial" w:cs="Arial"/>
        </w:rPr>
        <w:t xml:space="preserve"> would have the potential to circumvent </w:t>
      </w:r>
      <w:r w:rsidR="00BC03A7">
        <w:rPr>
          <w:rFonts w:ascii="Arial" w:hAnsi="Arial" w:cs="Arial"/>
        </w:rPr>
        <w:t>such</w:t>
      </w:r>
      <w:r>
        <w:rPr>
          <w:rFonts w:ascii="Arial" w:hAnsi="Arial" w:cs="Arial"/>
        </w:rPr>
        <w:t xml:space="preserve"> </w:t>
      </w:r>
      <w:r w:rsidR="005B704A">
        <w:rPr>
          <w:rFonts w:ascii="Arial" w:hAnsi="Arial" w:cs="Arial"/>
        </w:rPr>
        <w:t>problems</w:t>
      </w:r>
      <w:r w:rsidR="0068446D">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"10.1016/j.jim.2009.06.003.The", "abstract" : "Immunoassays have made it possible to measure dozens of individual proteins and other analytes in human samples for help in establishing the diagnosis and prognosis of disease. In too many cases the results of those measurements are misleading and can lead to unnecessary treatment or missed opportunities for therapeutic interventions. These cases stem from problems inherent to immunoassays performed with human samples, which include a lack of concordance across platforms, autoantibodies, anti-reagent antibodies, and the high-dose hook effect. Tandem mass spectrometry may represent a detection method capable of alleviating many of the flaws inherent to immunoassays. We review our understanding of the problems associated with immunoassays on human specimens and describe methodologies using tandem mass spectrometry that could solve some of those problems. We also provide a critical discussion of the potential pitfalls of novel mass spectrometric approaches in the clinical laboratory.", "author" : [ { "dropping-particle" : "", "family" : "Hoofnagle", "given" : "Andrew N", "non-dropping-particle" : "", "parse-names" : false, "suffix" : "" }, { "dropping-particle" : "", "family" : "Wener", "given" : "Mark H", "non-dropping-particle" : "", "parse-names" : false, "suffix" : "" } ], "container-title" : "J Immunol Methods.", "id" : "ITEM-1", "issue" : "(1-2)", "issued" : { "date-parts" : [ [ "2009" ] ] }, "page" : "3-11", "title" : "The Fundamental Flaws of Immunoassays and Potential Solutions Using Tandem Mass Spectrometry", "type" : "article-journal", "volume" : "347" }, "uris" : [ "http://www.mendeley.com/documents/?uuid=57f2c27d-5c93-4859-ba8d-53be492ead4a" ] } ], "mendeley" : { "previouslyFormattedCitation" : "[8]" }, "properties" : { "noteIndex" : 0 }, "schema" : "https://github.com/citation-style-language/schema/raw/master/csl-citation.json" }</w:instrText>
      </w:r>
      <w:r w:rsidR="001B586C">
        <w:rPr>
          <w:rFonts w:ascii="Arial" w:hAnsi="Arial" w:cs="Arial"/>
        </w:rPr>
        <w:fldChar w:fldCharType="separate"/>
      </w:r>
      <w:r w:rsidR="0068446D" w:rsidRPr="0068446D">
        <w:rPr>
          <w:rFonts w:ascii="Arial" w:hAnsi="Arial" w:cs="Arial"/>
          <w:noProof/>
        </w:rPr>
        <w:t>[8]</w:t>
      </w:r>
      <w:r w:rsidR="001B586C">
        <w:rPr>
          <w:rFonts w:ascii="Arial" w:hAnsi="Arial" w:cs="Arial"/>
        </w:rPr>
        <w:fldChar w:fldCharType="end"/>
      </w:r>
      <w:r>
        <w:rPr>
          <w:rFonts w:ascii="Arial" w:hAnsi="Arial" w:cs="Arial"/>
        </w:rPr>
        <w:t>, and may offer additional benefits such as a reduced</w:t>
      </w:r>
      <w:r w:rsidR="008D3540">
        <w:rPr>
          <w:rFonts w:ascii="Arial" w:hAnsi="Arial" w:cs="Arial"/>
        </w:rPr>
        <w:t xml:space="preserve"> sample</w:t>
      </w:r>
      <w:r>
        <w:rPr>
          <w:rFonts w:ascii="Arial" w:hAnsi="Arial" w:cs="Arial"/>
        </w:rPr>
        <w:t xml:space="preserve"> volume and</w:t>
      </w:r>
      <w:r w:rsidR="00BC03A7">
        <w:rPr>
          <w:rFonts w:ascii="Arial" w:hAnsi="Arial" w:cs="Arial"/>
        </w:rPr>
        <w:t xml:space="preserve"> a</w:t>
      </w:r>
      <w:r>
        <w:rPr>
          <w:rFonts w:ascii="Arial" w:hAnsi="Arial" w:cs="Arial"/>
        </w:rPr>
        <w:t xml:space="preserve"> higher throughout. However</w:t>
      </w:r>
      <w:r w:rsidR="008D3540">
        <w:rPr>
          <w:rFonts w:ascii="Arial" w:hAnsi="Arial" w:cs="Arial"/>
        </w:rPr>
        <w:t>,</w:t>
      </w:r>
      <w:r>
        <w:rPr>
          <w:rFonts w:ascii="Arial" w:hAnsi="Arial" w:cs="Arial"/>
        </w:rPr>
        <w:t xml:space="preserve"> </w:t>
      </w:r>
      <w:r w:rsidR="00F64043">
        <w:rPr>
          <w:rFonts w:ascii="Arial" w:hAnsi="Arial" w:cs="Arial"/>
        </w:rPr>
        <w:t>published</w:t>
      </w:r>
      <w:r>
        <w:rPr>
          <w:rFonts w:ascii="Arial" w:hAnsi="Arial" w:cs="Arial"/>
        </w:rPr>
        <w:t xml:space="preserve"> LC-MS/MS methods </w:t>
      </w:r>
      <w:r w:rsidR="001B586C">
        <w:rPr>
          <w:rFonts w:ascii="Arial" w:hAnsi="Arial" w:cs="Arial"/>
        </w:rPr>
        <w:fldChar w:fldCharType="begin" w:fldLock="1"/>
      </w:r>
      <w:r w:rsidR="00261C24">
        <w:rPr>
          <w:rFonts w:ascii="Arial" w:hAnsi="Arial" w:cs="Arial"/>
        </w:rPr>
        <w:instrText>ADDIN CSL_CITATION { "citationItems" : [ { "id" : "ITEM-1", "itemData" : { "DOI" : "10.1002/bmc.380", "ISSN" : "0269-3879", "PMID" : "15386587", "abstract" : "We present a method for the quantitation of glucagon from rat plasma by protein precipitation and LC/MS. No internal standard was used, as a labeled standard was not available and similar peptides did not show comparable extraction characteristics to glucagon. The LC system included a Keystone C18, 300 A pore size column; a linear gradient was used with a mobile phase consisting of water and acetonitrile, each with 0.2% acetic acid and 0.02% trifluoroacetic acid. Glucagon was detected with the mass spectrometer in positive ion mode monitoring the 4+ charge state at m/z 871.7. The method had an approximated limit of detection of 1 ng/mL. The lower limit of quantitation (LLOQ) was 25 ng/mL (7.2 fmol/mL), which could be reduced with an appropriate internal standard. External calibration was used and calibration curves were found to be linear over the range from 25 to 1000 ng/mL (7.2 to 290 fmol/mL). The method showed a high degree of precision and accuracy both within and between runs at four validation points, including the LLOQ.", "author" : [ { "dropping-particle" : "", "family" : "Delinsky", "given" : "David C", "non-dropping-particle" : "", "parse-names" : false, "suffix" : "" }, { "dropping-particle" : "", "family" : "Hill", "given" : "Kim T", "non-dropping-particle" : "", "parse-names" : false, "suffix" : "" }, { "dropping-particle" : "", "family" : "White", "given" : "Catherine A", "non-dropping-particle" : "", "parse-names" : false, "suffix" : "" }, { "dropping-particle" : "", "family" : "Bartlett", "given" : "Michael G", "non-dropping-particle" : "", "parse-names" : false, "suffix" : "" } ], "container-title" : "Biomedical chromatography : BMC", "id" : "ITEM-1", "issue" : "9", "issued" : { "date-parts" : [ [ "2004", "11" ] ] }, "note" : "re-read and annotated 8th May 2012\n        \nNo stable MS/MS, so used MS\nMontired 4+ ion\n        \n25-1000ng/mL with 1/y weighting. 1/y places more emphasis on the lower concentrations.\n        \nMade calibrants in plasma to prevent binding.  Bound lots in water. Less 10\u00b5m BSA which used as recovery reference solution. Glass tubes didn't have improved binding characteristics. Losses also experienced to membranes commonly used in filters to remove particualtes prior to LC-MS/MS.\n        \nExtracted by infusing ACN. 300\u00b5l for 150\u00b5l plasma. Found slow infusions prevented clumping that lead to variable recovery. Slow leads to finer precipitate.\n        \n No singnificant  binding over 20hrs in recon (80/20/0.2/0.2 Water/ACN/AA/TFA)\n        \n5\u00b5m particle size, 0.2% aa with 0.02% TFA in water/ acetonitrile, 23-38% over 8 mins, then 95% column flush.\n        \nHad to inject several blanks to stabilise. Else retention time increases ( normally expect it would decrease). Suggested due to plasma binding on column and adhering to glucagon.\n        \nNo IS used. Analog IS made things worse.\n        \nLiterature value for elimation phase halflife is 3.3minutes. In rat samples analysed they similalry found 2.3minutes.\n        \nSuggested wth IS could get to 5ng/mL.", "page" : "700-5", "title" : "Quantitation of the large polypeptide glucagon by protein precipitation and LC/MS.", "type" : "article-journal", "volume" : "18" }, "uris" : [ "http://www.mendeley.com/documents/?uuid=19d3db5f-604a-4646-8c8e-4e8f47ab5202" ] } ], "mendeley" : { "previouslyFormattedCitation" : "[9]"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[9]</w:t>
      </w:r>
      <w:r w:rsidR="001B586C">
        <w:rPr>
          <w:rFonts w:ascii="Arial" w:hAnsi="Arial" w:cs="Arial"/>
        </w:rPr>
        <w:fldChar w:fldCharType="end"/>
      </w:r>
      <w:r w:rsidR="001B586C">
        <w:rPr>
          <w:rFonts w:ascii="Arial" w:hAnsi="Arial" w:cs="Arial"/>
        </w:rPr>
        <w:fldChar w:fldCharType="begin" w:fldLock="1"/>
      </w:r>
      <w:r w:rsidR="00261C24">
        <w:rPr>
          <w:rFonts w:ascii="Arial" w:hAnsi="Arial" w:cs="Arial"/>
        </w:rPr>
        <w:instrText>ADDIN CSL_CITATION { "citationItems" : [ { "id" : "ITEM-1", "itemData" : { "abstract" : "BACKGROUND: Bioanalysis of large molecules can be challenging on LC-MS/MS due to multiply charged and endogenous interferences. While high sensitivity triple quadrupole systems (QqQ) have been commercialized recently, high-resolution MS (HRMS) systems are also available. HRMS provides alternative analysis methods, but more costly and with sensitivity lower than MRM on QqQ. RESULTS: QqQ is generally operated at unit resolution; however, newer systems are able to practically tune to 'high resolution'. Therefore, the advantages of both higher sensitivity of MRM on QqQ and better specificity on HRMS can possibly be combined on a QqQ to meet bioanalysis needs. Glucagon and salmon calcitonin were successfully quantified in high-resolution with fast cycle time on AB Sciex TripleQuad\u2122 5500. LLOQ (S/N) was increased and interferences reduced. CONCLUSION: For large molecules, the bioanalysis methods developed using high resolution on the QqQ are validated and used in preclinical and clinical studies.", "author" : [ { "dropping-particle" : "", "family" : "Li YX, Hackman M", "given" : "Wang CY.", "non-dropping-particle" : "", "parse-names" : false, "suffix" : "" } ], "container-title" : "Bioanalysis", "id" : "ITEM-1", "issue" : "6", "issued" : { "date-parts" : [ [ "2012" ] ] }, "note" : "Read and annotated 8 May 2012.\n        \nUsed triple quad in high res mode. Allowed reduction in interferences and lowering of background noise and therefore lower LLOQ to be achieved than unit res.\n        \nCompromise betwee sensitivity in triple quad, and selectivity in high res MRM e.g offerered on 5600, Qtof.\n        \nGlucagon range, 0.25- 200 ng/mL. 5500 used.\n        \nPure ACN crash.\n        \nHPLC, 3\u00b5m, 5cm, with 1% FA in MeOH/ H20, and 15-95%B in 8 minute gradient. Elutes at 6min.", "page" : "685-691", "title" : "Quantitation of polypeptides (glucagon and salmon calcitonin) in plasma samples by 'high resolution' on a triple quadrupole mass spectrometer.", "type" : "article-journal", "volume" : "4" }, "uris" : [ "http://www.mendeley.com/documents/?uuid=e61b666a-1f8d-4701-8570-6ed1e7e1b5fa" ] } ], "mendeley" : { "previouslyFormattedCitation" : "[10]"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[10]</w:t>
      </w:r>
      <w:r w:rsidR="001B586C">
        <w:rPr>
          <w:rFonts w:ascii="Arial" w:hAnsi="Arial" w:cs="Arial"/>
        </w:rPr>
        <w:fldChar w:fldCharType="end"/>
      </w:r>
      <w:r>
        <w:rPr>
          <w:rFonts w:ascii="Arial" w:hAnsi="Arial" w:cs="Arial"/>
        </w:rPr>
        <w:t xml:space="preserve"> are not sensitive enough to detect endoge</w:t>
      </w:r>
      <w:r w:rsidR="00A61AB3">
        <w:rPr>
          <w:rFonts w:ascii="Arial" w:hAnsi="Arial" w:cs="Arial"/>
        </w:rPr>
        <w:t xml:space="preserve">nous glucagon levels. As described in a recent review paper </w:t>
      </w:r>
      <w:r w:rsidR="001B586C">
        <w:rPr>
          <w:rFonts w:ascii="Arial" w:hAnsi="Arial" w:cs="Arial"/>
        </w:rPr>
        <w:fldChar w:fldCharType="begin" w:fldLock="1"/>
      </w:r>
      <w:r w:rsidR="00261C24">
        <w:rPr>
          <w:rFonts w:ascii="Arial" w:hAnsi="Arial" w:cs="Arial"/>
        </w:rPr>
        <w:instrText>ADDIN CSL_CITATION { "citationItems" : [ { "id" : "ITEM-1", "itemData" : { "abstract" : "The peptide hormone glucagon plays an important role in homeostasis of glucose concentrations in the blood. Its biological importance is evidenced through the conservation of its peptide sequence between species. Reliable assays for glucagon in biological samples are important for gaining a better understanding of the pathology and treatment of diabetes. Numerous assays are available for the analysis of glucagon in biological samples, the majority of which employ an immunochemical approach and have been available for many years. However, recent advances in MS instrumentation and the amenability of glucagon for analysis by LC\u2013MS/MS has brought these new methods to the forefront. Concentrations of glucagon determined from different methods are not always consistent and this review provides suggestions of how to improve the reliability of methods for glucagon analysis.", "author" : [ { "dropping-particle" : "", "family" : "Veniamin N Lapko\u200b\u200c, Patrick S Miller\u200b\u200c, G Paul Brown\u200b\u200c, Rafiqul Islam\u200b\u200c, Sarah K Peters\u200b\u200c, Richard L Sukovaty\u200b\u200c", "given" : "Peggy F Ruhn\u200b\u200c &amp; Chris J Kafonek", "non-dropping-particle" : "", "parse-names" : false, "suffix" : "" } ], "container-title" : "Bioanalysis", "id" : "ITEM-1", "issue" : "23", "issued" : { "date-parts" : [ [ "2013" ] ] }, "page" : "2957-2972", "title" : "Sensitive glucagon quantification by immunochemical and LC \u2013 MS / MS methods", "type" : "article-journal", "volume" : "5" }, "uris" : [ "http://www.mendeley.com/documents/?uuid=c6419cfa-ac9b-45ea-a732-4f104f410c02" ] } ], "mendeley" : { "previouslyFormattedCitation" : "[11]"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[11]</w:t>
      </w:r>
      <w:r w:rsidR="001B586C">
        <w:rPr>
          <w:rFonts w:ascii="Arial" w:hAnsi="Arial" w:cs="Arial"/>
        </w:rPr>
        <w:fldChar w:fldCharType="end"/>
      </w:r>
      <w:r>
        <w:rPr>
          <w:rFonts w:ascii="Arial" w:hAnsi="Arial" w:cs="Arial"/>
        </w:rPr>
        <w:t xml:space="preserve"> the lowest reported LLOQ </w:t>
      </w:r>
      <w:r w:rsidR="00297033">
        <w:rPr>
          <w:rFonts w:ascii="Arial" w:hAnsi="Arial" w:cs="Arial"/>
        </w:rPr>
        <w:t>in the peer reviewed literature is</w:t>
      </w:r>
      <w:r>
        <w:rPr>
          <w:rFonts w:ascii="Arial" w:hAnsi="Arial" w:cs="Arial"/>
        </w:rPr>
        <w:t xml:space="preserve"> 250 pg/mL </w:t>
      </w:r>
      <w:r w:rsidR="001B586C">
        <w:rPr>
          <w:rFonts w:ascii="Arial" w:hAnsi="Arial" w:cs="Arial"/>
        </w:rPr>
        <w:fldChar w:fldCharType="begin" w:fldLock="1"/>
      </w:r>
      <w:r w:rsidR="00261C24">
        <w:rPr>
          <w:rFonts w:ascii="Arial" w:hAnsi="Arial" w:cs="Arial"/>
        </w:rPr>
        <w:instrText>ADDIN CSL_CITATION { "citationItems" : [ { "id" : "ITEM-1", "itemData" : { "abstract" : "BACKGROUND: Bioanalysis of large molecules can be challenging on LC-MS/MS due to multiply charged and endogenous interferences. While high sensitivity triple quadrupole systems (QqQ) have been commercialized recently, high-resolution MS (HRMS) systems are also available. HRMS provides alternative analysis methods, but more costly and with sensitivity lower than MRM on QqQ. RESULTS: QqQ is generally operated at unit resolution; however, newer systems are able to practically tune to 'high resolution'. Therefore, the advantages of both higher sensitivity of MRM on QqQ and better specificity on HRMS can possibly be combined on a QqQ to meet bioanalysis needs. Glucagon and salmon calcitonin were successfully quantified in high-resolution with fast cycle time on AB Sciex TripleQuad\u2122 5500. LLOQ (S/N) was increased and interferences reduced. CONCLUSION: For large molecules, the bioanalysis methods developed using high resolution on the QqQ are validated and used in preclinical and clinical studies.", "author" : [ { "dropping-particle" : "", "family" : "Li YX, Hackman M", "given" : "Wang CY.", "non-dropping-particle" : "", "parse-names" : false, "suffix" : "" } ], "container-title" : "Bioanalysis", "id" : "ITEM-1", "issue" : "6", "issued" : { "date-parts" : [ [ "2012" ] ] }, "note" : "Read and annotated 8 May 2012.\n        \nUsed triple quad in high res mode. Allowed reduction in interferences and lowering of background noise and therefore lower LLOQ to be achieved than unit res.\n        \nCompromise betwee sensitivity in triple quad, and selectivity in high res MRM e.g offerered on 5600, Qtof.\n        \nGlucagon range, 0.25- 200 ng/mL. 5500 used.\n        \nPure ACN crash.\n        \nHPLC, 3\u00b5m, 5cm, with 1% FA in MeOH/ H20, and 15-95%B in 8 minute gradient. Elutes at 6min.", "page" : "685-691", "title" : "Quantitation of polypeptides (glucagon and salmon calcitonin) in plasma samples by 'high resolution' on a triple quadrupole mass spectrometer.", "type" : "article-journal", "volume" : "4" }, "uris" : [ "http://www.mendeley.com/documents/?uuid=e61b666a-1f8d-4701-8570-6ed1e7e1b5fa" ] } ], "mendeley" : { "previouslyFormattedCitation" : "[10]"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[10]</w:t>
      </w:r>
      <w:r w:rsidR="001B586C">
        <w:rPr>
          <w:rFonts w:ascii="Arial" w:hAnsi="Arial" w:cs="Arial"/>
        </w:rPr>
        <w:fldChar w:fldCharType="end"/>
      </w:r>
      <w:r w:rsidR="00AA4E73">
        <w:rPr>
          <w:rFonts w:ascii="Arial" w:hAnsi="Arial" w:cs="Arial"/>
        </w:rPr>
        <w:t>,  a</w:t>
      </w:r>
      <w:r w:rsidR="00244BAE">
        <w:rPr>
          <w:rFonts w:ascii="Arial" w:hAnsi="Arial" w:cs="Arial"/>
        </w:rPr>
        <w:t>lthough assays of 100</w:t>
      </w:r>
      <w:r w:rsidR="001510ED">
        <w:rPr>
          <w:rFonts w:ascii="Arial" w:hAnsi="Arial" w:cs="Arial"/>
        </w:rPr>
        <w:t xml:space="preserve"> pg/mL </w:t>
      </w:r>
      <w:r w:rsidR="001B586C">
        <w:rPr>
          <w:rFonts w:ascii="Arial" w:hAnsi="Arial" w:cs="Arial"/>
        </w:rPr>
        <w:fldChar w:fldCharType="begin" w:fldLock="1"/>
      </w:r>
      <w:r w:rsidR="00261C24">
        <w:rPr>
          <w:rFonts w:ascii="Arial" w:hAnsi="Arial" w:cs="Arial"/>
        </w:rPr>
        <w:instrText>ADDIN CSL_CITATION { "citationItems" : [ { "id" : "ITEM-1", "itemData" : { "author" : [ { "dropping-particle" : "", "family" : "Lapko, P. Brown, R. Nachi, C. Kafonek, A. Dzerk, B. Retke", "given" : "C. Ohnmacht", "non-dropping-particle" : "V.", "parse-names" : false, "suffix" : "" }, { "dropping-particle" : "", "family" : "Davis", "given" : "C. Sheldon and I.", "non-dropping-particle" : "", "parse-names" : false, "suffix" : "" } ], "container-title" : "EBF 3rd Annual Open Symposium: From Challenges to Solutions", "id" : "ITEM-1", "issued" : { "date-parts" : [ [ "0" ] ] }, "publisher-place" : "Barcelona, Spain, 1 - 3 December 2010", "title" : "Exploring quantification of peptides: measurement of glucagon in human plasma by LC\u2013MS/MS. Presented at:", "type" : "paper-conference" }, "uris" : [ "http://www.mendeley.com/documents/?uuid=d988a2cd-1593-499a-a2f6-73b1fa0119f3" ] } ], "mendeley" : { "previouslyFormattedCitation" : "[12]"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[12]</w:t>
      </w:r>
      <w:r w:rsidR="001B586C">
        <w:rPr>
          <w:rFonts w:ascii="Arial" w:hAnsi="Arial" w:cs="Arial"/>
        </w:rPr>
        <w:fldChar w:fldCharType="end"/>
      </w:r>
      <w:r w:rsidR="00244BAE">
        <w:rPr>
          <w:rFonts w:ascii="Arial" w:hAnsi="Arial" w:cs="Arial"/>
        </w:rPr>
        <w:t xml:space="preserve"> and 10 pg/mL </w:t>
      </w:r>
      <w:r w:rsidR="001B586C">
        <w:rPr>
          <w:rFonts w:ascii="Arial" w:hAnsi="Arial" w:cs="Arial"/>
        </w:rPr>
        <w:fldChar w:fldCharType="begin" w:fldLock="1"/>
      </w:r>
      <w:r w:rsidR="00261C24">
        <w:rPr>
          <w:rFonts w:ascii="Arial" w:hAnsi="Arial" w:cs="Arial"/>
        </w:rPr>
        <w:instrText>ADDIN CSL_CITATION { "citationItems" : [ { "id" : "ITEM-1", "itemData" : { "author" : [ { "dropping-particle" : "", "family" : "F. Garofolo, J. N. Mess, L. P. Morin, M. Aiello, X. Misonne, G. Impey, J. Cardenas", "given" : "J. Michon", "non-dropping-particle" : "", "parse-names" : false, "suffix" : "" } ], "container-title" : "2013 American Association of Pharmaceutical Scientists National Biotechnology Conference", "id" : "ITEM-1", "issued" : { "date-parts" : [ [ "0" ] ] }, "publisher-place" : "San Diego, CA, 20-22 May 2013", "title" : "Glucagon bioanalysis by LC\u2013MS: unprecedented level of sensitivity (10 pg/ml) for a novel formulation. Presented at:", "type" : "paper-conference" }, "uris" : [ "http://www.mendeley.com/documents/?uuid=ac50f8a6-6e8b-4cb7-bf49-0004f7b48574" ] } ], "mendeley" : { "previouslyFormattedCitation" : "[13]"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[13]</w:t>
      </w:r>
      <w:r w:rsidR="001B586C">
        <w:rPr>
          <w:rFonts w:ascii="Arial" w:hAnsi="Arial" w:cs="Arial"/>
        </w:rPr>
        <w:fldChar w:fldCharType="end"/>
      </w:r>
      <w:r w:rsidR="00F64043">
        <w:rPr>
          <w:rFonts w:ascii="Arial" w:hAnsi="Arial" w:cs="Arial"/>
        </w:rPr>
        <w:t xml:space="preserve"> have been described</w:t>
      </w:r>
      <w:r w:rsidR="004B10B9">
        <w:rPr>
          <w:rFonts w:ascii="Arial" w:hAnsi="Arial" w:cs="Arial"/>
        </w:rPr>
        <w:t xml:space="preserve"> at recent</w:t>
      </w:r>
      <w:r w:rsidR="006176B3">
        <w:rPr>
          <w:rFonts w:ascii="Arial" w:hAnsi="Arial" w:cs="Arial"/>
        </w:rPr>
        <w:t xml:space="preserve"> </w:t>
      </w:r>
      <w:r w:rsidR="00F64043">
        <w:rPr>
          <w:rFonts w:ascii="Arial" w:hAnsi="Arial" w:cs="Arial"/>
        </w:rPr>
        <w:t>conferences.</w:t>
      </w:r>
      <w:r w:rsidR="00867A3A">
        <w:rPr>
          <w:rFonts w:ascii="Arial" w:hAnsi="Arial" w:cs="Arial"/>
        </w:rPr>
        <w:t xml:space="preserve"> </w:t>
      </w:r>
    </w:p>
    <w:p w:rsidR="00550C28" w:rsidRDefault="005B704A" w:rsidP="00236CCA">
      <w:pPr>
        <w:spacing w:line="360" w:lineRule="auto"/>
        <w:jc w:val="both"/>
        <w:rPr>
          <w:rFonts w:ascii="Arial" w:hAnsi="Arial" w:cs="Arial"/>
        </w:rPr>
      </w:pPr>
      <w:r>
        <w:rPr>
          <w:rFonts w:ascii="Arial" w:hAnsi="Arial" w:cs="Arial"/>
        </w:rPr>
        <w:t>Furthermore</w:t>
      </w:r>
      <w:r w:rsidR="009F35C7">
        <w:rPr>
          <w:rFonts w:ascii="Arial" w:hAnsi="Arial" w:cs="Arial"/>
        </w:rPr>
        <w:t>, as</w:t>
      </w:r>
      <w:r>
        <w:rPr>
          <w:rFonts w:ascii="Arial" w:hAnsi="Arial" w:cs="Arial"/>
        </w:rPr>
        <w:t xml:space="preserve"> </w:t>
      </w:r>
      <w:r w:rsidR="006624D8">
        <w:rPr>
          <w:rFonts w:ascii="Arial" w:hAnsi="Arial" w:cs="Arial"/>
        </w:rPr>
        <w:t>glucagon</w:t>
      </w:r>
      <w:r w:rsidR="009F35C7">
        <w:rPr>
          <w:rFonts w:ascii="Arial" w:hAnsi="Arial" w:cs="Arial"/>
        </w:rPr>
        <w:t xml:space="preserve"> is produced</w:t>
      </w:r>
      <w:r w:rsidR="006624D8">
        <w:rPr>
          <w:rFonts w:ascii="Arial" w:hAnsi="Arial" w:cs="Arial"/>
        </w:rPr>
        <w:t xml:space="preserve"> </w:t>
      </w:r>
      <w:r>
        <w:rPr>
          <w:rFonts w:ascii="Arial" w:hAnsi="Arial" w:cs="Arial"/>
        </w:rPr>
        <w:t>endogenous</w:t>
      </w:r>
      <w:r w:rsidR="009F35C7">
        <w:rPr>
          <w:rFonts w:ascii="Arial" w:hAnsi="Arial" w:cs="Arial"/>
        </w:rPr>
        <w:t xml:space="preserve">ly, this </w:t>
      </w:r>
      <w:r>
        <w:rPr>
          <w:rFonts w:ascii="Arial" w:hAnsi="Arial" w:cs="Arial"/>
        </w:rPr>
        <w:t>presents additional experimental challenges</w:t>
      </w:r>
      <w:r w:rsidR="00535D48">
        <w:rPr>
          <w:rFonts w:ascii="Arial" w:hAnsi="Arial" w:cs="Arial"/>
        </w:rPr>
        <w:t xml:space="preserve"> as</w:t>
      </w:r>
      <w:r>
        <w:rPr>
          <w:rFonts w:ascii="Arial" w:hAnsi="Arial" w:cs="Arial"/>
        </w:rPr>
        <w:t xml:space="preserve"> an authentic analyte free matrix cannot be obtained to construct calibration standards. Either a standard </w:t>
      </w:r>
      <w:r w:rsidR="00E777CA">
        <w:rPr>
          <w:rFonts w:ascii="Arial" w:hAnsi="Arial" w:cs="Arial"/>
        </w:rPr>
        <w:t>addition, surrogate analyte,</w:t>
      </w:r>
      <w:r w:rsidR="00591934">
        <w:rPr>
          <w:rFonts w:ascii="Arial" w:hAnsi="Arial" w:cs="Arial"/>
        </w:rPr>
        <w:t xml:space="preserve"> </w:t>
      </w:r>
      <w:r w:rsidR="009B3ECE">
        <w:rPr>
          <w:rFonts w:ascii="Arial" w:hAnsi="Arial" w:cs="Arial"/>
        </w:rPr>
        <w:t>or a surrogate matrix approach</w:t>
      </w:r>
      <w:r w:rsidR="00F45B0A">
        <w:rPr>
          <w:rFonts w:ascii="Arial" w:hAnsi="Arial" w:cs="Arial"/>
        </w:rPr>
        <w:t xml:space="preserve"> </w:t>
      </w:r>
      <w:r w:rsidR="00535D48">
        <w:rPr>
          <w:rFonts w:ascii="Arial" w:hAnsi="Arial" w:cs="Arial"/>
        </w:rPr>
        <w:t xml:space="preserve">must therefore be </w:t>
      </w:r>
      <w:r>
        <w:rPr>
          <w:rFonts w:ascii="Arial" w:hAnsi="Arial" w:cs="Arial"/>
        </w:rPr>
        <w:t>used</w:t>
      </w:r>
      <w:r w:rsidR="00030BD7">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"10.4155/bio.12.200", "ISSN" : "1757-6199", "PMID" : "23088461", "abstract" : "Background: Quantitation of biomarkers by LC-MS/MS is complicated by the presence of endogenous analytes. This challenge is most commonly overcome by calibration using an authentic standard spiked into a surrogate matrix devoid of the target analyte. A second approach involves use of a stable-isotope-labeled standard as a surrogate analyte to allow calibration in the actual biological matrix. For both methods, parallelism between calibration standards and the target analyte in biological matrix must be demonstrated in order to ensure accurate quantitation. Results: In this communication, the surrogate matrix and surrogate analyte approaches are compared for the analysis of five amino acids in human plasma: alanine, valine, methionine, leucine and isoleucine. In addition, methodology based on standard addition is introduced, which enables a robust examination of parallelism in both surrogate analyte and surrogate matrix methods prior to formal validation. Results from additional assays are presented to introduce the standard-addition methodology and to highlight the strengths and weaknesses of each approach. Conclusion: For the analysis of amino acids in human plasma, comparable precision and accuracy were obtained by the surrogate matrix and surrogate analyte methods. Both assays were well within tolerances prescribed by regulatory guidance for validation of xenobiotic assays. When stable-isotope-labeled standards are readily available, the surrogate analyte approach allows for facile method development. By comparison, the surrogate matrix method requires greater up-front method development; however, this deficit is offset by the long-term advantage of simplified sample analysis.", "author" : [ { "dropping-particle" : "", "family" : "Jones", "given" : "Barry R", "non-dropping-particle" : "", "parse-names" : false, "suffix" : "" }, { "dropping-particle" : "", "family" : "Schultz", "given" : "Gary a", "non-dropping-particle" : "", "parse-names" : false, "suffix" : "" }, { "dropping-particle" : "", "family" : "Eckstein", "given" : "James a", "non-dropping-particle" : "", "parse-names" : false, "suffix" : "" }, { "dropping-particle" : "", "family" : "Ackermann", "given" : "Bradley L", "non-dropping-particle" : "", "parse-names" : false, "suffix" : "" } ], "container-title" : "Bioanalysis", "id" : "ITEM-1", "issue" : "19", "issued" : { "date-parts" : [ [ "2012", "10" ] ] }, "note" : "Read and annotated 16 dec 12. Will be great template to base glucagon paper on.\n        \nExcellent paper describing surrogate matrix and surrogate analyste approaches, and need to ensure parallelism (ability for calibration standards to track response of the authentic analyte in the biological matrix). Describes use of standard addition and extrapolating to x intercept to get endogenous concentrations for assay development.\n        \nAlso talks about dilution linerity,Qcs to use in validation batches (including endogenous QC).  LLOQ solution, MED and HIGH spiked, low diluted matrix so is 3- 5 times LLOQ.\n        \n      ", "page" : "2343-56", "title" : "Surrogate matrix and surrogate analyte approaches for definitive quantitation of endogenous biomolecules.", "type" : "article-journal", "volume" : "4" }, "uris" : [ "http://www.mendeley.com/documents/?uuid=49403d80-b461-425c-9a54-ad09ee764f9a" ] } ], "mendeley" : { "previouslyFormattedCitation" : "[14]"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[14]</w:t>
      </w:r>
      <w:r w:rsidR="001B586C">
        <w:rPr>
          <w:rFonts w:ascii="Arial" w:hAnsi="Arial" w:cs="Arial"/>
        </w:rPr>
        <w:fldChar w:fldCharType="end"/>
      </w:r>
      <w:r w:rsidR="001B586C">
        <w:rPr>
          <w:rFonts w:ascii="Arial" w:hAnsi="Arial" w:cs="Arial"/>
        </w:rPr>
        <w:fldChar w:fldCharType="begin" w:fldLock="1"/>
      </w:r>
      <w:r w:rsidR="00261C24">
        <w:rPr>
          <w:rFonts w:ascii="Arial" w:hAnsi="Arial" w:cs="Arial"/>
        </w:rPr>
        <w:instrText>ADDIN CSL_CITATION { "citationItems" : [ { "id" : "ITEM-1", "itemData" : { "DOI" : "10.1002/rcm.4512", "ISSN" : "1097-0231", "PMID" : "20391595", "abstract" : "Hepcidin is a peptide hormone that functions as a key regulator of mammalian iron metabolism. Biological levels are increased in end-stage renal disease and during inflammation but suppressed in hemochromatosis. Thus hepcidin levels have diagnostic importance. This study describes the development of an analytical method for the quantitative determination of the concentration of hepcidin in clinical samples. The fragmentation of hepcidin was investigated using triple quadrupole and linear ion trap mass spectrometers. A standard quantity of a stable isotopically labelled hepcidin internal standard was added to serum samples. Extraction was performed by protein precipitation and weak cation-exchange magnetic nanoparticles. Chromatography was carried out on sub 2 microm particle stationary phase, using ultra-high-pressure liquid chromatography and a linear ion trap for quantitation. The lower limit of quantitation was 0.4 nmol/L with less than 20% accuracy and precision. The mean hepcidin concentration in sera for controls was 4.6 +/- 2.7 nmol/L, in patients with sickle cell disease, 7.0 +/- 8.9 nmol/L; in patients with end-stage renal disease, 30.5 +/- 15.7 nmol/L; and patients with penetrant hereditary hemochromatosis, 1.4 +/- 0.8 nmol/L.", "author" : [ { "dropping-particle" : "", "family" : "Bansal", "given" : "Sukhvinder S", "non-dropping-particle" : "", "parse-names" : false, "suffix" : "" }, { "dropping-particle" : "", "family" : "Abbate", "given" : "Vincenzo", "non-dropping-particle" : "", "parse-names" : false, "suffix" : "" }, { "dropping-particle" : "", "family" : "Bomford", "given" : "Adrian", "non-dropping-particle" : "", "parse-names" : false, "suffix" : "" }, { "dropping-particle" : "", "family" : "Halket", "given" : "John M", "non-dropping-particle" : "", "parse-names" : false, "suffix" : "" }, { "dropping-particle" : "", "family" : "Macdougall", "given" : "Iain C", "non-dropping-particle" : "", "parse-names" : false, "suffix" : "" }, { "dropping-particle" : "", "family" : "Thein", "given" : "Swee Lay", "non-dropping-particle" : "", "parse-names" : false, "suffix" : "" }, { "dropping-particle" : "", "family" : "Hider", "given" : "Robert C", "non-dropping-particle" : "", "parse-names" : false, "suffix" : "" } ], "container-title" : "Rapid communications in mass spectrometry : RCM", "id" : "ITEM-1", "issue" : "9", "issued" : { "date-parts" : [ [ "2010", "5", "15" ] ] }, "note" : "Skimmed 10th July 11\nUse of triple quad and LIT to quantify proteins. \nAlso use of sub 2\u00b5m UPLC and protein precipitation and weak cation exchange. \n      ", "page" : "1251-9", "title" : "Quantitation of hepcidin in serum using ultra-high-pressure liquid chromatography and a linear ion trap mass spectrometer.", "type" : "article-journal", "volume" : "24" }, "uris" : [ "http://www.mendeley.com/documents/?uuid=f39c4f8c-2a2b-41e4-9987-81e958788fd2" ] } ], "mendeley" : { "previouslyFormattedCitation" : "[15]"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[15]</w:t>
      </w:r>
      <w:r w:rsidR="001B586C">
        <w:rPr>
          <w:rFonts w:ascii="Arial" w:hAnsi="Arial" w:cs="Arial"/>
        </w:rPr>
        <w:fldChar w:fldCharType="end"/>
      </w:r>
      <w:r>
        <w:rPr>
          <w:rFonts w:ascii="Arial" w:hAnsi="Arial" w:cs="Arial"/>
        </w:rPr>
        <w:t xml:space="preserve">. </w:t>
      </w:r>
    </w:p>
    <w:p w:rsidR="00535D48" w:rsidRPr="00E777CA" w:rsidRDefault="00BC03A7" w:rsidP="00E777CA">
      <w:pPr>
        <w:pStyle w:val="Default"/>
        <w:spacing w:line="360" w:lineRule="auto"/>
        <w:jc w:val="both"/>
        <w:rPr>
          <w:rFonts w:ascii="Arial" w:hAnsi="Arial" w:cs="Arial"/>
          <w:color w:val="auto"/>
          <w:sz w:val="22"/>
          <w:szCs w:val="22"/>
        </w:rPr>
      </w:pPr>
      <w:r w:rsidRPr="004E0831">
        <w:rPr>
          <w:rFonts w:ascii="Arial" w:hAnsi="Arial" w:cs="Arial"/>
          <w:sz w:val="22"/>
          <w:szCs w:val="22"/>
        </w:rPr>
        <w:t>I</w:t>
      </w:r>
      <w:r w:rsidRPr="00E777CA">
        <w:rPr>
          <w:rFonts w:ascii="Arial" w:hAnsi="Arial" w:cs="Arial"/>
          <w:color w:val="auto"/>
          <w:sz w:val="22"/>
          <w:szCs w:val="22"/>
        </w:rPr>
        <w:t>n the standard addition</w:t>
      </w:r>
      <w:r w:rsidR="005B704A" w:rsidRPr="00E777CA">
        <w:rPr>
          <w:rFonts w:ascii="Arial" w:hAnsi="Arial" w:cs="Arial"/>
          <w:color w:val="auto"/>
          <w:sz w:val="22"/>
          <w:szCs w:val="22"/>
        </w:rPr>
        <w:t xml:space="preserve"> based approach</w:t>
      </w:r>
      <w:r w:rsidR="009F35C7">
        <w:rPr>
          <w:rFonts w:ascii="Arial" w:hAnsi="Arial" w:cs="Arial"/>
          <w:color w:val="auto"/>
          <w:sz w:val="22"/>
          <w:szCs w:val="22"/>
        </w:rPr>
        <w:t>,</w:t>
      </w:r>
      <w:r w:rsidR="005B704A" w:rsidRPr="00E777CA">
        <w:rPr>
          <w:rFonts w:ascii="Arial" w:hAnsi="Arial" w:cs="Arial"/>
          <w:color w:val="auto"/>
          <w:sz w:val="22"/>
          <w:szCs w:val="22"/>
        </w:rPr>
        <w:t xml:space="preserve"> ana</w:t>
      </w:r>
      <w:r w:rsidR="00F00A5F">
        <w:rPr>
          <w:rFonts w:ascii="Arial" w:hAnsi="Arial" w:cs="Arial"/>
          <w:color w:val="auto"/>
          <w:sz w:val="22"/>
          <w:szCs w:val="22"/>
        </w:rPr>
        <w:t>l</w:t>
      </w:r>
      <w:r w:rsidR="005B704A" w:rsidRPr="00E777CA">
        <w:rPr>
          <w:rFonts w:ascii="Arial" w:hAnsi="Arial" w:cs="Arial"/>
          <w:color w:val="auto"/>
          <w:sz w:val="22"/>
          <w:szCs w:val="22"/>
        </w:rPr>
        <w:t>yte is spiked on top of</w:t>
      </w:r>
      <w:r w:rsidR="00BE08F2" w:rsidRPr="00E777CA">
        <w:rPr>
          <w:rFonts w:ascii="Arial" w:hAnsi="Arial" w:cs="Arial"/>
          <w:color w:val="auto"/>
          <w:sz w:val="22"/>
          <w:szCs w:val="22"/>
        </w:rPr>
        <w:t xml:space="preserve"> the</w:t>
      </w:r>
      <w:r w:rsidR="005B704A" w:rsidRPr="00E777CA">
        <w:rPr>
          <w:rFonts w:ascii="Arial" w:hAnsi="Arial" w:cs="Arial"/>
          <w:color w:val="auto"/>
          <w:sz w:val="22"/>
          <w:szCs w:val="22"/>
        </w:rPr>
        <w:t xml:space="preserve"> authentic matrix </w:t>
      </w:r>
      <w:r w:rsidR="00550C28" w:rsidRPr="00E777CA">
        <w:rPr>
          <w:rFonts w:ascii="Arial" w:hAnsi="Arial" w:cs="Arial"/>
          <w:color w:val="auto"/>
          <w:sz w:val="22"/>
          <w:szCs w:val="22"/>
        </w:rPr>
        <w:t>to create a calibration line</w:t>
      </w:r>
      <w:r w:rsidR="005B704A" w:rsidRPr="00E777CA">
        <w:rPr>
          <w:rFonts w:ascii="Arial" w:hAnsi="Arial" w:cs="Arial"/>
          <w:color w:val="auto"/>
          <w:sz w:val="22"/>
          <w:szCs w:val="22"/>
        </w:rPr>
        <w:t>,</w:t>
      </w:r>
      <w:r w:rsidR="00550C28" w:rsidRPr="00E777CA">
        <w:rPr>
          <w:rFonts w:ascii="Arial" w:hAnsi="Arial" w:cs="Arial"/>
          <w:color w:val="auto"/>
          <w:sz w:val="22"/>
          <w:szCs w:val="22"/>
        </w:rPr>
        <w:t xml:space="preserve"> which</w:t>
      </w:r>
      <w:r w:rsidR="005B704A" w:rsidRPr="00E777CA">
        <w:rPr>
          <w:rFonts w:ascii="Arial" w:hAnsi="Arial" w:cs="Arial"/>
          <w:color w:val="auto"/>
          <w:sz w:val="22"/>
          <w:szCs w:val="22"/>
        </w:rPr>
        <w:t xml:space="preserve"> is extrapolated to measure concentrations below </w:t>
      </w:r>
      <w:r w:rsidR="00BE08F2" w:rsidRPr="00E777CA">
        <w:rPr>
          <w:rFonts w:ascii="Arial" w:hAnsi="Arial" w:cs="Arial"/>
          <w:color w:val="auto"/>
          <w:sz w:val="22"/>
          <w:szCs w:val="22"/>
        </w:rPr>
        <w:t>the matrix’s endogenous value</w:t>
      </w:r>
      <w:r w:rsidR="005B704A" w:rsidRPr="00E777CA">
        <w:rPr>
          <w:rFonts w:ascii="Arial" w:hAnsi="Arial" w:cs="Arial"/>
          <w:color w:val="auto"/>
          <w:sz w:val="22"/>
          <w:szCs w:val="22"/>
        </w:rPr>
        <w:t xml:space="preserve">. However the USA FDA Guidance for </w:t>
      </w:r>
      <w:r w:rsidR="009F35C7">
        <w:rPr>
          <w:rFonts w:ascii="Arial" w:hAnsi="Arial" w:cs="Arial"/>
          <w:color w:val="auto"/>
          <w:sz w:val="22"/>
          <w:szCs w:val="22"/>
        </w:rPr>
        <w:t>B</w:t>
      </w:r>
      <w:r w:rsidR="005B704A" w:rsidRPr="00E777CA">
        <w:rPr>
          <w:rFonts w:ascii="Arial" w:hAnsi="Arial" w:cs="Arial"/>
          <w:color w:val="auto"/>
          <w:sz w:val="22"/>
          <w:szCs w:val="22"/>
        </w:rPr>
        <w:t xml:space="preserve">ioanalytical </w:t>
      </w:r>
      <w:r w:rsidR="009F35C7">
        <w:rPr>
          <w:rFonts w:ascii="Arial" w:hAnsi="Arial" w:cs="Arial"/>
          <w:color w:val="auto"/>
          <w:sz w:val="22"/>
          <w:szCs w:val="22"/>
        </w:rPr>
        <w:t>M</w:t>
      </w:r>
      <w:r w:rsidR="005B704A" w:rsidRPr="00E777CA">
        <w:rPr>
          <w:rFonts w:ascii="Arial" w:hAnsi="Arial" w:cs="Arial"/>
          <w:color w:val="auto"/>
          <w:sz w:val="22"/>
          <w:szCs w:val="22"/>
        </w:rPr>
        <w:t xml:space="preserve">ethod </w:t>
      </w:r>
      <w:r w:rsidR="009F35C7">
        <w:rPr>
          <w:rFonts w:ascii="Arial" w:hAnsi="Arial" w:cs="Arial"/>
          <w:color w:val="auto"/>
          <w:sz w:val="22"/>
          <w:szCs w:val="22"/>
        </w:rPr>
        <w:t>V</w:t>
      </w:r>
      <w:r w:rsidR="005B704A" w:rsidRPr="00E777CA">
        <w:rPr>
          <w:rFonts w:ascii="Arial" w:hAnsi="Arial" w:cs="Arial"/>
          <w:color w:val="auto"/>
          <w:sz w:val="22"/>
          <w:szCs w:val="22"/>
        </w:rPr>
        <w:t xml:space="preserve">alidation </w:t>
      </w:r>
      <w:r w:rsidR="001B586C" w:rsidRPr="00E777CA">
        <w:rPr>
          <w:rFonts w:ascii="Arial" w:hAnsi="Arial" w:cs="Arial"/>
          <w:color w:val="auto"/>
          <w:sz w:val="22"/>
          <w:szCs w:val="22"/>
        </w:rPr>
        <w:fldChar w:fldCharType="begin" w:fldLock="1"/>
      </w:r>
      <w:r w:rsidR="00261C24">
        <w:rPr>
          <w:rFonts w:ascii="Arial" w:hAnsi="Arial" w:cs="Arial"/>
          <w:color w:val="auto"/>
          <w:sz w:val="22"/>
          <w:szCs w:val="22"/>
        </w:rPr>
        <w:instrText>ADDIN CSL_CITATION { "citationItems" : [ { "id" : "ITEM-1", "itemData" : { "id" : "ITEM-1", "issued" : { "date-parts" : [ [ "2001" ] ] }, "publisher" : "U.S. Department of Health and Human Services, Food and Drug Administration, Center for Drug Evaluation and Research (CDER), Center for Veterinary Medicine (CVM), May 2001", "title" : "Guidance for industry: Bioanalytical method validation", "type" : "book" }, "uris" : [ "http://www.mendeley.com/documents/?uuid=bf5e78ab-9663-4318-9b1a-5c5edb08dd59" ] } ], "mendeley" : { "previouslyFormattedCitation" : "[16]" }, "properties" : { "noteIndex" : 0 }, "schema" : "https://github.com/citation-style-language/schema/raw/master/csl-citation.json" }</w:instrText>
      </w:r>
      <w:r w:rsidR="001B586C" w:rsidRPr="00E777CA">
        <w:rPr>
          <w:rFonts w:ascii="Arial" w:hAnsi="Arial" w:cs="Arial"/>
          <w:color w:val="auto"/>
          <w:sz w:val="22"/>
          <w:szCs w:val="22"/>
        </w:rPr>
        <w:fldChar w:fldCharType="separate"/>
      </w:r>
      <w:r w:rsidR="00EC3CF8" w:rsidRPr="00EC3CF8">
        <w:rPr>
          <w:rFonts w:ascii="Arial" w:hAnsi="Arial" w:cs="Arial"/>
          <w:noProof/>
          <w:color w:val="auto"/>
          <w:sz w:val="22"/>
          <w:szCs w:val="22"/>
        </w:rPr>
        <w:t>[16]</w:t>
      </w:r>
      <w:r w:rsidR="001B586C" w:rsidRPr="00E777CA">
        <w:rPr>
          <w:rFonts w:ascii="Arial" w:hAnsi="Arial" w:cs="Arial"/>
          <w:color w:val="auto"/>
          <w:sz w:val="22"/>
          <w:szCs w:val="22"/>
        </w:rPr>
        <w:fldChar w:fldCharType="end"/>
      </w:r>
      <w:r w:rsidR="005B704A" w:rsidRPr="00E777CA">
        <w:rPr>
          <w:rFonts w:ascii="Arial" w:hAnsi="Arial" w:cs="Arial"/>
          <w:color w:val="auto"/>
          <w:sz w:val="22"/>
          <w:szCs w:val="22"/>
        </w:rPr>
        <w:t xml:space="preserve"> actively </w:t>
      </w:r>
      <w:r w:rsidR="00550C28" w:rsidRPr="00E777CA">
        <w:rPr>
          <w:rFonts w:ascii="Arial" w:hAnsi="Arial" w:cs="Arial"/>
          <w:color w:val="auto"/>
          <w:sz w:val="22"/>
          <w:szCs w:val="22"/>
        </w:rPr>
        <w:t>discourages the extrapolation of calibra</w:t>
      </w:r>
      <w:r w:rsidR="00BE08F2" w:rsidRPr="00E777CA">
        <w:rPr>
          <w:rFonts w:ascii="Arial" w:hAnsi="Arial" w:cs="Arial"/>
          <w:color w:val="auto"/>
          <w:sz w:val="22"/>
          <w:szCs w:val="22"/>
        </w:rPr>
        <w:t>tion curves beyond their range</w:t>
      </w:r>
      <w:r w:rsidR="00E777CA" w:rsidRPr="00E777CA">
        <w:rPr>
          <w:rFonts w:ascii="Arial" w:hAnsi="Arial" w:cs="Arial"/>
          <w:color w:val="auto"/>
          <w:sz w:val="22"/>
          <w:szCs w:val="22"/>
        </w:rPr>
        <w:t>. The surrogate analyte based approach uses an an</w:t>
      </w:r>
      <w:r w:rsidR="00591934">
        <w:rPr>
          <w:rFonts w:ascii="Arial" w:hAnsi="Arial" w:cs="Arial"/>
          <w:color w:val="auto"/>
          <w:sz w:val="22"/>
          <w:szCs w:val="22"/>
        </w:rPr>
        <w:t>a</w:t>
      </w:r>
      <w:r w:rsidR="00E777CA" w:rsidRPr="00E777CA">
        <w:rPr>
          <w:rFonts w:ascii="Arial" w:hAnsi="Arial" w:cs="Arial"/>
          <w:color w:val="auto"/>
          <w:sz w:val="22"/>
          <w:szCs w:val="22"/>
        </w:rPr>
        <w:t>log</w:t>
      </w:r>
      <w:r w:rsidR="00591934">
        <w:rPr>
          <w:rFonts w:ascii="Arial" w:hAnsi="Arial" w:cs="Arial"/>
          <w:color w:val="auto"/>
          <w:sz w:val="22"/>
          <w:szCs w:val="22"/>
        </w:rPr>
        <w:t>ue</w:t>
      </w:r>
      <w:r w:rsidR="00E777CA" w:rsidRPr="00E777CA">
        <w:rPr>
          <w:rFonts w:ascii="Arial" w:hAnsi="Arial" w:cs="Arial"/>
          <w:color w:val="auto"/>
          <w:sz w:val="22"/>
          <w:szCs w:val="22"/>
        </w:rPr>
        <w:t xml:space="preserve"> to the analyte </w:t>
      </w:r>
      <w:r w:rsidR="00E777CA">
        <w:rPr>
          <w:rFonts w:ascii="Arial" w:hAnsi="Arial" w:cs="Arial"/>
          <w:color w:val="auto"/>
          <w:sz w:val="22"/>
          <w:szCs w:val="22"/>
        </w:rPr>
        <w:t xml:space="preserve">in place of </w:t>
      </w:r>
      <w:r w:rsidR="00591934">
        <w:rPr>
          <w:rFonts w:ascii="Arial" w:hAnsi="Arial" w:cs="Arial"/>
          <w:color w:val="auto"/>
          <w:sz w:val="22"/>
          <w:szCs w:val="22"/>
        </w:rPr>
        <w:t xml:space="preserve">the analyte itself </w:t>
      </w:r>
      <w:r w:rsidR="00E777CA">
        <w:rPr>
          <w:rFonts w:ascii="Arial" w:hAnsi="Arial" w:cs="Arial"/>
          <w:color w:val="auto"/>
          <w:sz w:val="22"/>
          <w:szCs w:val="22"/>
        </w:rPr>
        <w:t>in calibration samples.</w:t>
      </w:r>
      <w:r w:rsidR="00591934">
        <w:rPr>
          <w:rFonts w:ascii="Arial" w:hAnsi="Arial" w:cs="Arial"/>
          <w:color w:val="auto"/>
          <w:sz w:val="22"/>
          <w:szCs w:val="22"/>
        </w:rPr>
        <w:t xml:space="preserve"> </w:t>
      </w:r>
      <w:r w:rsidR="00E777CA">
        <w:rPr>
          <w:rFonts w:ascii="Arial" w:hAnsi="Arial" w:cs="Arial"/>
          <w:color w:val="auto"/>
          <w:sz w:val="22"/>
          <w:szCs w:val="22"/>
        </w:rPr>
        <w:t>As</w:t>
      </w:r>
      <w:r w:rsidR="00E777CA" w:rsidRPr="00E777CA">
        <w:rPr>
          <w:rFonts w:ascii="Arial" w:hAnsi="Arial" w:cs="Arial"/>
          <w:color w:val="auto"/>
          <w:sz w:val="22"/>
          <w:szCs w:val="22"/>
        </w:rPr>
        <w:t xml:space="preserve"> this will have a </w:t>
      </w:r>
      <w:r w:rsidR="004E0831">
        <w:rPr>
          <w:rFonts w:ascii="Arial" w:hAnsi="Arial" w:cs="Arial"/>
          <w:color w:val="auto"/>
          <w:sz w:val="22"/>
          <w:szCs w:val="22"/>
        </w:rPr>
        <w:t>Selected Reaction Monitoring (</w:t>
      </w:r>
      <w:r w:rsidR="00E777CA" w:rsidRPr="00E777CA">
        <w:rPr>
          <w:rFonts w:ascii="Arial" w:hAnsi="Arial" w:cs="Arial"/>
          <w:color w:val="auto"/>
          <w:sz w:val="22"/>
          <w:szCs w:val="22"/>
        </w:rPr>
        <w:t>SRM</w:t>
      </w:r>
      <w:r w:rsidR="004E0831">
        <w:rPr>
          <w:rFonts w:ascii="Arial" w:hAnsi="Arial" w:cs="Arial"/>
          <w:color w:val="auto"/>
          <w:sz w:val="22"/>
          <w:szCs w:val="22"/>
        </w:rPr>
        <w:t>)</w:t>
      </w:r>
      <w:r w:rsidR="00E777CA" w:rsidRPr="00E777CA">
        <w:rPr>
          <w:rFonts w:ascii="Arial" w:hAnsi="Arial" w:cs="Arial"/>
          <w:color w:val="auto"/>
          <w:sz w:val="22"/>
          <w:szCs w:val="22"/>
        </w:rPr>
        <w:t xml:space="preserve"> transition unique from the authentic analyte </w:t>
      </w:r>
      <w:r w:rsidR="00E777CA">
        <w:rPr>
          <w:rFonts w:ascii="Arial" w:hAnsi="Arial" w:cs="Arial"/>
          <w:color w:val="auto"/>
          <w:sz w:val="22"/>
          <w:szCs w:val="22"/>
        </w:rPr>
        <w:t>these</w:t>
      </w:r>
      <w:r w:rsidR="00E777CA" w:rsidRPr="00E777CA">
        <w:rPr>
          <w:rFonts w:ascii="Arial" w:hAnsi="Arial" w:cs="Arial"/>
          <w:color w:val="auto"/>
          <w:sz w:val="22"/>
          <w:szCs w:val="22"/>
        </w:rPr>
        <w:t xml:space="preserve"> can be prepared in </w:t>
      </w:r>
      <w:r w:rsidR="008A1F70">
        <w:rPr>
          <w:rFonts w:ascii="Arial" w:hAnsi="Arial" w:cs="Arial"/>
          <w:color w:val="auto"/>
          <w:sz w:val="22"/>
          <w:szCs w:val="22"/>
        </w:rPr>
        <w:t xml:space="preserve">authentic </w:t>
      </w:r>
      <w:r w:rsidR="00E777CA" w:rsidRPr="00E777CA">
        <w:rPr>
          <w:rFonts w:ascii="Arial" w:hAnsi="Arial" w:cs="Arial"/>
          <w:color w:val="auto"/>
          <w:sz w:val="22"/>
          <w:szCs w:val="22"/>
        </w:rPr>
        <w:t>biol</w:t>
      </w:r>
      <w:r w:rsidR="00E777CA">
        <w:rPr>
          <w:rFonts w:ascii="Arial" w:hAnsi="Arial" w:cs="Arial"/>
          <w:color w:val="auto"/>
          <w:sz w:val="22"/>
          <w:szCs w:val="22"/>
        </w:rPr>
        <w:t>ogical</w:t>
      </w:r>
      <w:r w:rsidR="00E777CA" w:rsidRPr="00E777CA">
        <w:rPr>
          <w:rFonts w:ascii="Arial" w:hAnsi="Arial" w:cs="Arial"/>
          <w:color w:val="auto"/>
          <w:sz w:val="22"/>
          <w:szCs w:val="22"/>
        </w:rPr>
        <w:t xml:space="preserve"> matrix </w:t>
      </w:r>
      <w:r w:rsidR="001B586C" w:rsidRPr="00E777CA">
        <w:rPr>
          <w:rFonts w:ascii="Arial" w:hAnsi="Arial" w:cs="Arial"/>
          <w:color w:val="auto"/>
          <w:sz w:val="22"/>
          <w:szCs w:val="22"/>
        </w:rPr>
        <w:fldChar w:fldCharType="begin" w:fldLock="1"/>
      </w:r>
      <w:r w:rsidR="00261C24">
        <w:rPr>
          <w:rFonts w:ascii="Arial" w:hAnsi="Arial" w:cs="Arial"/>
          <w:color w:val="auto"/>
          <w:sz w:val="22"/>
          <w:szCs w:val="22"/>
        </w:rPr>
        <w:instrText>ADDIN CSL_CITATION { "citationItems" : [ { "id" : "ITEM-1", "itemData" : { "DOI" : "10.4155/bio.12.200", "ISSN" : "1757-6199", "PMID" : "23088461", "abstract" : "Background: Quantitation of biomarkers by LC-MS/MS is complicated by the presence of endogenous analytes. This challenge is most commonly overcome by calibration using an authentic standard spiked into a surrogate matrix devoid of the target analyte. A second approach involves use of a stable-isotope-labeled standard as a surrogate analyte to allow calibration in the actual biological matrix. For both methods, parallelism between calibration standards and the target analyte in biological matrix must be demonstrated in order to ensure accurate quantitation. Results: In this communication, the surrogate matrix and surrogate analyte approaches are compared for the analysis of five amino acids in human plasma: alanine, valine, methionine, leucine and isoleucine. In addition, methodology based on standard addition is introduced, which enables a robust examination of parallelism in both surrogate analyte and surrogate matrix methods prior to formal validation. Results from additional assays are presented to introduce the standard-addition methodology and to highlight the strengths and weaknesses of each approach. Conclusion: For the analysis of amino acids in human plasma, comparable precision and accuracy were obtained by the surrogate matrix and surrogate analyte methods. Both assays were well within tolerances prescribed by regulatory guidance for validation of xenobiotic assays. When stable-isotope-labeled standards are readily available, the surrogate analyte approach allows for facile method development. By comparison, the surrogate matrix method requires greater up-front method development; however, this deficit is offset by the long-term advantage of simplified sample analysis.", "author" : [ { "dropping-particle" : "", "family" : "Jones", "given" : "Barry R", "non-dropping-particle" : "", "parse-names" : false, "suffix" : "" }, { "dropping-particle" : "", "family" : "Schultz", "given" : "Gary a", "non-dropping-particle" : "", "parse-names" : false, "suffix" : "" }, { "dropping-particle" : "", "family" : "Eckstein", "given" : "James a", "non-dropping-particle" : "", "parse-names" : false, "suffix" : "" }, { "dropping-particle" : "", "family" : "Ackermann", "given" : "Bradley L", "non-dropping-particle" : "", "parse-names" : false, "suffix" : "" } ], "container-title" : "Bioanalysis", "id" : "ITEM-1", "issue" : "19", "issued" : { "date-parts" : [ [ "2012", "10" ] ] }, "note" : "Read and annotated 16 dec 12. Will be great template to base glucagon paper on.\n        \nExcellent paper describing surrogate matrix and surrogate analyste approaches, and need to ensure parallelism (ability for calibration standards to track response of the authentic analyte in the biological matrix). Describes use of standard addition and extrapolating to x intercept to get endogenous concentrations for assay development.\n        \nAlso talks about dilution linerity,Qcs to use in validation batches (including endogenous QC).  LLOQ solution, MED and HIGH spiked, low diluted matrix so is 3- 5 times LLOQ.\n        \n      ", "page" : "2343-56", "title" : "Surrogate matrix and surrogate analyte approaches for definitive quantitation of endogenous biomolecules.", "type" : "article-journal", "volume" : "4" }, "uris" : [ "http://www.mendeley.com/documents/?uuid=49403d80-b461-425c-9a54-ad09ee764f9a" ] } ], "mendeley" : { "previouslyFormattedCitation" : "[14]" }, "properties" : { "noteIndex" : 0 }, "schema" : "https://github.com/citation-style-language/schema/raw/master/csl-citation.json" }</w:instrText>
      </w:r>
      <w:r w:rsidR="001B586C" w:rsidRPr="00E777CA">
        <w:rPr>
          <w:rFonts w:ascii="Arial" w:hAnsi="Arial" w:cs="Arial"/>
          <w:color w:val="auto"/>
          <w:sz w:val="22"/>
          <w:szCs w:val="22"/>
        </w:rPr>
        <w:fldChar w:fldCharType="separate"/>
      </w:r>
      <w:r w:rsidR="00EC3CF8" w:rsidRPr="00EC3CF8">
        <w:rPr>
          <w:rFonts w:ascii="Arial" w:hAnsi="Arial" w:cs="Arial"/>
          <w:noProof/>
          <w:color w:val="auto"/>
          <w:sz w:val="22"/>
          <w:szCs w:val="22"/>
        </w:rPr>
        <w:t>[14]</w:t>
      </w:r>
      <w:r w:rsidR="001B586C" w:rsidRPr="00E777CA">
        <w:rPr>
          <w:rFonts w:ascii="Arial" w:hAnsi="Arial" w:cs="Arial"/>
          <w:color w:val="auto"/>
          <w:sz w:val="22"/>
          <w:szCs w:val="22"/>
        </w:rPr>
        <w:fldChar w:fldCharType="end"/>
      </w:r>
      <w:r w:rsidR="00E777CA" w:rsidRPr="00E777CA">
        <w:rPr>
          <w:rFonts w:ascii="Arial" w:hAnsi="Arial" w:cs="Arial"/>
          <w:color w:val="auto"/>
          <w:sz w:val="22"/>
          <w:szCs w:val="22"/>
        </w:rPr>
        <w:t xml:space="preserve"> . However, this approach requires the relationship between the authentic and surrogate analyte to be thoroughly investigated</w:t>
      </w:r>
      <w:r w:rsidR="00E777CA">
        <w:rPr>
          <w:rFonts w:ascii="Arial" w:hAnsi="Arial" w:cs="Arial"/>
          <w:color w:val="auto"/>
          <w:sz w:val="22"/>
          <w:szCs w:val="22"/>
        </w:rPr>
        <w:t>, the approach is not commonly used</w:t>
      </w:r>
      <w:r w:rsidR="009F35C7">
        <w:rPr>
          <w:rFonts w:ascii="Arial" w:hAnsi="Arial" w:cs="Arial"/>
          <w:color w:val="auto"/>
          <w:sz w:val="22"/>
          <w:szCs w:val="22"/>
        </w:rPr>
        <w:t>,</w:t>
      </w:r>
      <w:r w:rsidR="00E777CA">
        <w:rPr>
          <w:rFonts w:ascii="Arial" w:hAnsi="Arial" w:cs="Arial"/>
          <w:color w:val="auto"/>
          <w:sz w:val="22"/>
          <w:szCs w:val="22"/>
        </w:rPr>
        <w:t xml:space="preserve"> and is </w:t>
      </w:r>
      <w:r w:rsidR="00E777CA" w:rsidRPr="00E777CA">
        <w:rPr>
          <w:rFonts w:ascii="Arial" w:hAnsi="Arial" w:cs="Arial"/>
          <w:color w:val="auto"/>
          <w:sz w:val="22"/>
          <w:szCs w:val="22"/>
        </w:rPr>
        <w:lastRenderedPageBreak/>
        <w:t xml:space="preserve">not considered in the FDA </w:t>
      </w:r>
      <w:r w:rsidR="001B586C" w:rsidRPr="00E777CA">
        <w:rPr>
          <w:rFonts w:ascii="Arial" w:hAnsi="Arial" w:cs="Arial"/>
          <w:color w:val="auto"/>
          <w:sz w:val="22"/>
          <w:szCs w:val="22"/>
        </w:rPr>
        <w:fldChar w:fldCharType="begin" w:fldLock="1"/>
      </w:r>
      <w:r w:rsidR="00261C24">
        <w:rPr>
          <w:rFonts w:ascii="Arial" w:hAnsi="Arial" w:cs="Arial"/>
          <w:color w:val="auto"/>
          <w:sz w:val="22"/>
          <w:szCs w:val="22"/>
        </w:rPr>
        <w:instrText>ADDIN CSL_CITATION { "citationItems" : [ { "id" : "ITEM-1", "itemData" : { "id" : "ITEM-1", "issued" : { "date-parts" : [ [ "2001" ] ] }, "publisher" : "U.S. Department of Health and Human Services, Food and Drug Administration, Center for Drug Evaluation and Research (CDER), Center for Veterinary Medicine (CVM), May 2001", "title" : "Guidance for industry: Bioanalytical method validation", "type" : "book" }, "uris" : [ "http://www.mendeley.com/documents/?uuid=bf5e78ab-9663-4318-9b1a-5c5edb08dd59" ] } ], "mendeley" : { "previouslyFormattedCitation" : "[16]" }, "properties" : { "noteIndex" : 0 }, "schema" : "https://github.com/citation-style-language/schema/raw/master/csl-citation.json" }</w:instrText>
      </w:r>
      <w:r w:rsidR="001B586C" w:rsidRPr="00E777CA">
        <w:rPr>
          <w:rFonts w:ascii="Arial" w:hAnsi="Arial" w:cs="Arial"/>
          <w:color w:val="auto"/>
          <w:sz w:val="22"/>
          <w:szCs w:val="22"/>
        </w:rPr>
        <w:fldChar w:fldCharType="separate"/>
      </w:r>
      <w:r w:rsidR="00EC3CF8" w:rsidRPr="00EC3CF8">
        <w:rPr>
          <w:rFonts w:ascii="Arial" w:hAnsi="Arial" w:cs="Arial"/>
          <w:noProof/>
          <w:color w:val="auto"/>
          <w:sz w:val="22"/>
          <w:szCs w:val="22"/>
        </w:rPr>
        <w:t>[16]</w:t>
      </w:r>
      <w:r w:rsidR="001B586C" w:rsidRPr="00E777CA">
        <w:rPr>
          <w:rFonts w:ascii="Arial" w:hAnsi="Arial" w:cs="Arial"/>
          <w:color w:val="auto"/>
          <w:sz w:val="22"/>
          <w:szCs w:val="22"/>
        </w:rPr>
        <w:fldChar w:fldCharType="end"/>
      </w:r>
      <w:r w:rsidR="00D57915">
        <w:rPr>
          <w:rFonts w:ascii="Arial" w:hAnsi="Arial" w:cs="Arial"/>
          <w:color w:val="auto"/>
          <w:sz w:val="22"/>
          <w:szCs w:val="22"/>
        </w:rPr>
        <w:t xml:space="preserve"> or EMA guidelines </w:t>
      </w:r>
      <w:r w:rsidR="001B586C" w:rsidRPr="00E777CA">
        <w:rPr>
          <w:rFonts w:ascii="Arial" w:hAnsi="Arial" w:cs="Arial"/>
          <w:color w:val="auto"/>
          <w:sz w:val="22"/>
          <w:szCs w:val="22"/>
        </w:rPr>
        <w:fldChar w:fldCharType="begin" w:fldLock="1"/>
      </w:r>
      <w:r w:rsidR="00261C24">
        <w:rPr>
          <w:rFonts w:ascii="Arial" w:hAnsi="Arial" w:cs="Arial"/>
          <w:color w:val="auto"/>
          <w:sz w:val="22"/>
          <w:szCs w:val="22"/>
        </w:rPr>
        <w:instrText>ADDIN CSL_CITATION { "citationItems" : [ { "id" : "ITEM-1", "itemData" : { "id" : "ITEM-1", "issued" : { "date-parts" : [ [ "2012" ] ] }, "title" : "Guideline on bioanalytical method validation, EMA", "type" : "article-journal" }, "uris" : [ "http://www.mendeley.com/documents/?uuid=62ca7abe-b29a-4685-966f-7b286a090e82" ] } ], "mendeley" : { "previouslyFormattedCitation" : "[17]" }, "properties" : { "noteIndex" : 0 }, "schema" : "https://github.com/citation-style-language/schema/raw/master/csl-citation.json" }</w:instrText>
      </w:r>
      <w:r w:rsidR="001B586C" w:rsidRPr="00E777CA">
        <w:rPr>
          <w:rFonts w:ascii="Arial" w:hAnsi="Arial" w:cs="Arial"/>
          <w:color w:val="auto"/>
          <w:sz w:val="22"/>
          <w:szCs w:val="22"/>
        </w:rPr>
        <w:fldChar w:fldCharType="separate"/>
      </w:r>
      <w:r w:rsidR="00EC3CF8" w:rsidRPr="00EC3CF8">
        <w:rPr>
          <w:rFonts w:ascii="Arial" w:hAnsi="Arial" w:cs="Arial"/>
          <w:noProof/>
          <w:color w:val="auto"/>
          <w:sz w:val="22"/>
          <w:szCs w:val="22"/>
        </w:rPr>
        <w:t>[17]</w:t>
      </w:r>
      <w:r w:rsidR="001B586C" w:rsidRPr="00E777CA">
        <w:rPr>
          <w:rFonts w:ascii="Arial" w:hAnsi="Arial" w:cs="Arial"/>
          <w:color w:val="auto"/>
          <w:sz w:val="22"/>
          <w:szCs w:val="22"/>
        </w:rPr>
        <w:fldChar w:fldCharType="end"/>
      </w:r>
      <w:r w:rsidR="00E777CA" w:rsidRPr="00E777CA">
        <w:rPr>
          <w:rFonts w:ascii="Arial" w:hAnsi="Arial" w:cs="Arial"/>
          <w:color w:val="auto"/>
          <w:sz w:val="22"/>
          <w:szCs w:val="22"/>
        </w:rPr>
        <w:t>.</w:t>
      </w:r>
      <w:r w:rsidR="00591934">
        <w:rPr>
          <w:rFonts w:ascii="Arial" w:hAnsi="Arial" w:cs="Arial"/>
          <w:color w:val="auto"/>
          <w:sz w:val="22"/>
          <w:szCs w:val="22"/>
        </w:rPr>
        <w:t xml:space="preserve"> </w:t>
      </w:r>
      <w:r w:rsidR="006624D8" w:rsidRPr="00E777CA">
        <w:rPr>
          <w:rFonts w:ascii="Arial" w:hAnsi="Arial" w:cs="Arial"/>
          <w:color w:val="auto"/>
          <w:sz w:val="22"/>
          <w:szCs w:val="22"/>
        </w:rPr>
        <w:t>Alternatively, i</w:t>
      </w:r>
      <w:r w:rsidR="00550C28" w:rsidRPr="00E777CA">
        <w:rPr>
          <w:rFonts w:ascii="Arial" w:hAnsi="Arial" w:cs="Arial"/>
          <w:color w:val="auto"/>
          <w:sz w:val="22"/>
          <w:szCs w:val="22"/>
        </w:rPr>
        <w:t>n the surrogate matrix approach</w:t>
      </w:r>
      <w:r w:rsidR="00485667" w:rsidRPr="00E777CA">
        <w:rPr>
          <w:rFonts w:ascii="Arial" w:hAnsi="Arial" w:cs="Arial"/>
          <w:color w:val="auto"/>
          <w:sz w:val="22"/>
          <w:szCs w:val="22"/>
        </w:rPr>
        <w:t>,</w:t>
      </w:r>
      <w:r w:rsidR="00550C28" w:rsidRPr="00E777CA">
        <w:rPr>
          <w:rFonts w:ascii="Arial" w:hAnsi="Arial" w:cs="Arial"/>
          <w:color w:val="auto"/>
          <w:sz w:val="22"/>
          <w:szCs w:val="22"/>
        </w:rPr>
        <w:t xml:space="preserve"> calibration lines are constructed by spiking analyte </w:t>
      </w:r>
      <w:r w:rsidR="00D82588" w:rsidRPr="00E777CA">
        <w:rPr>
          <w:rFonts w:ascii="Arial" w:hAnsi="Arial" w:cs="Arial"/>
          <w:color w:val="auto"/>
          <w:sz w:val="22"/>
          <w:szCs w:val="22"/>
        </w:rPr>
        <w:t>into</w:t>
      </w:r>
      <w:r w:rsidR="00550C28" w:rsidRPr="00E777CA">
        <w:rPr>
          <w:rFonts w:ascii="Arial" w:hAnsi="Arial" w:cs="Arial"/>
          <w:color w:val="auto"/>
          <w:sz w:val="22"/>
          <w:szCs w:val="22"/>
        </w:rPr>
        <w:t xml:space="preserve"> a surrogate matrix</w:t>
      </w:r>
      <w:r w:rsidR="00F20A9B" w:rsidRPr="00E777CA">
        <w:rPr>
          <w:rFonts w:ascii="Arial" w:hAnsi="Arial" w:cs="Arial"/>
          <w:color w:val="auto"/>
          <w:sz w:val="22"/>
          <w:szCs w:val="22"/>
        </w:rPr>
        <w:t>.</w:t>
      </w:r>
      <w:r w:rsidR="00485667" w:rsidRPr="00E777CA">
        <w:rPr>
          <w:rFonts w:ascii="Arial" w:hAnsi="Arial" w:cs="Arial"/>
          <w:color w:val="auto"/>
          <w:sz w:val="22"/>
          <w:szCs w:val="22"/>
        </w:rPr>
        <w:t xml:space="preserve"> QC</w:t>
      </w:r>
      <w:r w:rsidR="006B76B4" w:rsidRPr="00E777CA">
        <w:rPr>
          <w:rFonts w:ascii="Arial" w:hAnsi="Arial" w:cs="Arial"/>
          <w:color w:val="auto"/>
          <w:sz w:val="22"/>
          <w:szCs w:val="22"/>
        </w:rPr>
        <w:t>s</w:t>
      </w:r>
      <w:r w:rsidR="00485667" w:rsidRPr="00E777CA">
        <w:rPr>
          <w:rFonts w:ascii="Arial" w:hAnsi="Arial" w:cs="Arial"/>
          <w:color w:val="auto"/>
          <w:sz w:val="22"/>
          <w:szCs w:val="22"/>
        </w:rPr>
        <w:t xml:space="preserve"> </w:t>
      </w:r>
      <w:r w:rsidR="006B76B4" w:rsidRPr="00E777CA">
        <w:rPr>
          <w:rFonts w:ascii="Arial" w:hAnsi="Arial" w:cs="Arial"/>
          <w:color w:val="auto"/>
          <w:sz w:val="22"/>
          <w:szCs w:val="22"/>
        </w:rPr>
        <w:t>can be</w:t>
      </w:r>
      <w:r w:rsidR="00485667" w:rsidRPr="00E777CA">
        <w:rPr>
          <w:rFonts w:ascii="Arial" w:hAnsi="Arial" w:cs="Arial"/>
          <w:color w:val="auto"/>
          <w:sz w:val="22"/>
          <w:szCs w:val="22"/>
        </w:rPr>
        <w:t xml:space="preserve"> prepared in actual sample matrix, and the accuracy calculated to demonstrate the absence of</w:t>
      </w:r>
      <w:r w:rsidRPr="00E777CA">
        <w:rPr>
          <w:rFonts w:ascii="Arial" w:hAnsi="Arial" w:cs="Arial"/>
          <w:color w:val="auto"/>
          <w:sz w:val="22"/>
          <w:szCs w:val="22"/>
        </w:rPr>
        <w:t xml:space="preserve"> a</w:t>
      </w:r>
      <w:r w:rsidR="00485667" w:rsidRPr="00E777CA">
        <w:rPr>
          <w:rFonts w:ascii="Arial" w:hAnsi="Arial" w:cs="Arial"/>
          <w:color w:val="auto"/>
          <w:sz w:val="22"/>
          <w:szCs w:val="22"/>
        </w:rPr>
        <w:t xml:space="preserve"> matrix effect. Surrogate matrices may be the authentic matrix stripped of analyte (e.g. by charcoal</w:t>
      </w:r>
      <w:r w:rsidR="00F45B0A" w:rsidRPr="00E777CA">
        <w:rPr>
          <w:rFonts w:ascii="Arial" w:hAnsi="Arial" w:cs="Arial"/>
          <w:color w:val="auto"/>
          <w:sz w:val="22"/>
          <w:szCs w:val="22"/>
        </w:rPr>
        <w:t xml:space="preserve"> </w:t>
      </w:r>
      <w:r w:rsidR="001B586C" w:rsidRPr="00E777CA">
        <w:rPr>
          <w:rFonts w:ascii="Arial" w:hAnsi="Arial" w:cs="Arial"/>
          <w:color w:val="auto"/>
          <w:sz w:val="22"/>
          <w:szCs w:val="22"/>
        </w:rPr>
        <w:fldChar w:fldCharType="begin" w:fldLock="1"/>
      </w:r>
      <w:r w:rsidR="00261C24">
        <w:rPr>
          <w:rFonts w:ascii="Arial" w:hAnsi="Arial" w:cs="Arial"/>
          <w:color w:val="auto"/>
          <w:sz w:val="22"/>
          <w:szCs w:val="22"/>
        </w:rPr>
        <w:instrText>ADDIN CSL_CITATION { "citationItems" : [ { "id" : "ITEM-1", "itemData" : { "DOI" : "10.1002/rcm.4512", "ISSN" : "1097-0231", "PMID" : "20391595", "abstract" : "Hepcidin is a peptide hormone that functions as a key regulator of mammalian iron metabolism. Biological levels are increased in end-stage renal disease and during inflammation but suppressed in hemochromatosis. Thus hepcidin levels have diagnostic importance. This study describes the development of an analytical method for the quantitative determination of the concentration of hepcidin in clinical samples. The fragmentation of hepcidin was investigated using triple quadrupole and linear ion trap mass spectrometers. A standard quantity of a stable isotopically labelled hepcidin internal standard was added to serum samples. Extraction was performed by protein precipitation and weak cation-exchange magnetic nanoparticles. Chromatography was carried out on sub 2 microm particle stationary phase, using ultra-high-pressure liquid chromatography and a linear ion trap for quantitation. The lower limit of quantitation was 0.4 nmol/L with less than 20% accuracy and precision. The mean hepcidin concentration in sera for controls was 4.6 +/- 2.7 nmol/L, in patients with sickle cell disease, 7.0 +/- 8.9 nmol/L; in patients with end-stage renal disease, 30.5 +/- 15.7 nmol/L; and patients with penetrant hereditary hemochromatosis, 1.4 +/- 0.8 nmol/L.", "author" : [ { "dropping-particle" : "", "family" : "Bansal", "given" : "Sukhvinder S", "non-dropping-particle" : "", "parse-names" : false, "suffix" : "" }, { "dropping-particle" : "", "family" : "Abbate", "given" : "Vincenzo", "non-dropping-particle" : "", "parse-names" : false, "suffix" : "" }, { "dropping-particle" : "", "family" : "Bomford", "given" : "Adrian", "non-dropping-particle" : "", "parse-names" : false, "suffix" : "" }, { "dropping-particle" : "", "family" : "Halket", "given" : "John M", "non-dropping-particle" : "", "parse-names" : false, "suffix" : "" }, { "dropping-particle" : "", "family" : "Macdougall", "given" : "Iain C", "non-dropping-particle" : "", "parse-names" : false, "suffix" : "" }, { "dropping-particle" : "", "family" : "Thein", "given" : "Swee Lay", "non-dropping-particle" : "", "parse-names" : false, "suffix" : "" }, { "dropping-particle" : "", "family" : "Hider", "given" : "Robert C", "non-dropping-particle" : "", "parse-names" : false, "suffix" : "" } ], "container-title" : "Rapid communications in mass spectrometry : RCM", "id" : "ITEM-1", "issue" : "9", "issued" : { "date-parts" : [ [ "2010", "5", "15" ] ] }, "note" : "Skimmed 10th July 11\nUse of triple quad and LIT to quantify proteins. \nAlso use of sub 2\u00b5m UPLC and protein precipitation and weak cation exchange. \n      ", "page" : "1251-9", "title" : "Quantitation of hepcidin in serum using ultra-high-pressure liquid chromatography and a linear ion trap mass spectrometer.", "type" : "article-journal", "volume" : "24" }, "uris" : [ "http://www.mendeley.com/documents/?uuid=f39c4f8c-2a2b-41e4-9987-81e958788fd2" ] } ], "mendeley" : { "previouslyFormattedCitation" : "[15]" }, "properties" : { "noteIndex" : 0 }, "schema" : "https://github.com/citation-style-language/schema/raw/master/csl-citation.json" }</w:instrText>
      </w:r>
      <w:r w:rsidR="001B586C" w:rsidRPr="00E777CA">
        <w:rPr>
          <w:rFonts w:ascii="Arial" w:hAnsi="Arial" w:cs="Arial"/>
          <w:color w:val="auto"/>
          <w:sz w:val="22"/>
          <w:szCs w:val="22"/>
        </w:rPr>
        <w:fldChar w:fldCharType="separate"/>
      </w:r>
      <w:r w:rsidR="00EC3CF8" w:rsidRPr="00EC3CF8">
        <w:rPr>
          <w:rFonts w:ascii="Arial" w:hAnsi="Arial" w:cs="Arial"/>
          <w:noProof/>
          <w:color w:val="auto"/>
          <w:sz w:val="22"/>
          <w:szCs w:val="22"/>
        </w:rPr>
        <w:t>[15]</w:t>
      </w:r>
      <w:r w:rsidR="001B586C" w:rsidRPr="00E777CA">
        <w:rPr>
          <w:rFonts w:ascii="Arial" w:hAnsi="Arial" w:cs="Arial"/>
          <w:color w:val="auto"/>
          <w:sz w:val="22"/>
          <w:szCs w:val="22"/>
        </w:rPr>
        <w:fldChar w:fldCharType="end"/>
      </w:r>
      <w:r w:rsidR="006B76B4" w:rsidRPr="00E777CA">
        <w:rPr>
          <w:rFonts w:ascii="Arial" w:hAnsi="Arial" w:cs="Arial"/>
          <w:color w:val="auto"/>
          <w:sz w:val="22"/>
          <w:szCs w:val="22"/>
        </w:rPr>
        <w:t xml:space="preserve"> or</w:t>
      </w:r>
      <w:r w:rsidR="00485667" w:rsidRPr="00E777CA">
        <w:rPr>
          <w:rFonts w:ascii="Arial" w:hAnsi="Arial" w:cs="Arial"/>
          <w:color w:val="auto"/>
          <w:sz w:val="22"/>
          <w:szCs w:val="22"/>
        </w:rPr>
        <w:t xml:space="preserve"> immuno-afffinity</w:t>
      </w:r>
      <w:r w:rsidR="009F35C7">
        <w:rPr>
          <w:rFonts w:ascii="Arial" w:hAnsi="Arial" w:cs="Arial"/>
          <w:color w:val="auto"/>
          <w:sz w:val="22"/>
          <w:szCs w:val="22"/>
        </w:rPr>
        <w:t xml:space="preserve"> methods</w:t>
      </w:r>
      <w:r w:rsidR="004E2869">
        <w:rPr>
          <w:rFonts w:ascii="Arial" w:hAnsi="Arial" w:cs="Arial"/>
          <w:color w:val="auto"/>
          <w:sz w:val="22"/>
          <w:szCs w:val="22"/>
        </w:rPr>
        <w:t xml:space="preserve"> </w:t>
      </w:r>
      <w:r w:rsidR="001B586C">
        <w:rPr>
          <w:rFonts w:ascii="Arial" w:hAnsi="Arial" w:cs="Arial"/>
          <w:color w:val="auto"/>
          <w:sz w:val="22"/>
          <w:szCs w:val="22"/>
        </w:rPr>
        <w:fldChar w:fldCharType="begin" w:fldLock="1"/>
      </w:r>
      <w:r w:rsidR="00261C24">
        <w:rPr>
          <w:rFonts w:ascii="Arial" w:hAnsi="Arial" w:cs="Arial"/>
          <w:color w:val="auto"/>
          <w:sz w:val="22"/>
          <w:szCs w:val="22"/>
        </w:rPr>
        <w:instrText>ADDIN CSL_CITATION { "citationItems" : [ { "id" : "ITEM-1", "itemData" : { "DOI" : "10.4155/bio.09.130", "ISSN" : "1757-6199", "PMID" : "21083095", "abstract" : "Protein drug development and biomarkers share common bioanalytical technologies that are applied for different purposes. A fit-for-purpose approach should be used for biomarker assays at various stages of novel biomarker development and their application to drug development. Biomarker quantifications can be absolute or relative, depending upon the characteristics of the standard curve, which include the reference standard, substituted matrix and parallelism. Appropriate method-validation experiments should be carried out on sample collection, relative accuracy and precision, range finding, parallelism, selectivity, specificity and stability in order to meet the need for exploratory or advanced application that is specified for a study. The interaction of a biotherapeutic with the target ligand or inter-related biomarkers should be taken into consideration for method platform choice and validation. Direct adoption of commercial diagnostic kits can produce confounding data. Therefore, kit comparison, modification and appropriate validation experiments are often carried out to meet the specific purpose for drug development. Multiplex assays and physicochemical methods can complement the single-analyte ligand-binding assay for protein drugs and biomarkers.", "author" : [ { "dropping-particle" : "", "family" : "Lee", "given" : "Jean W", "non-dropping-particle" : "", "parse-names" : false, "suffix" : "" } ], "container-title" : "Bioanalysis", "id" : "ITEM-1", "issue" : "8", "issued" : { "date-parts" : [ [ "2009", "11" ] ] }, "page" : "1461-74", "title" : "Method validation and application of protein biomarkers: basic similarities and differences from biotherapeutics.", "type" : "article-journal", "volume" : "1" }, "uris" : [ "http://www.mendeley.com/documents/?uuid=98d00da5-2ce0-4ba1-b9a6-b4212165a468", "http://www.mendeley.com/documents/?uuid=67ed1387-9d6c-43a0-b35d-21ba4058687b" ] } ], "mendeley" : { "previouslyFormattedCitation" : "[18]" }, "properties" : { "noteIndex" : 0 }, "schema" : "https://github.com/citation-style-language/schema/raw/master/csl-citation.json" }</w:instrText>
      </w:r>
      <w:r w:rsidR="001B586C">
        <w:rPr>
          <w:rFonts w:ascii="Arial" w:hAnsi="Arial" w:cs="Arial"/>
          <w:color w:val="auto"/>
          <w:sz w:val="22"/>
          <w:szCs w:val="22"/>
        </w:rPr>
        <w:fldChar w:fldCharType="separate"/>
      </w:r>
      <w:r w:rsidR="00EC3CF8" w:rsidRPr="00EC3CF8">
        <w:rPr>
          <w:rFonts w:ascii="Arial" w:hAnsi="Arial" w:cs="Arial"/>
          <w:noProof/>
          <w:color w:val="auto"/>
          <w:sz w:val="22"/>
          <w:szCs w:val="22"/>
        </w:rPr>
        <w:t>[18]</w:t>
      </w:r>
      <w:r w:rsidR="001B586C">
        <w:rPr>
          <w:rFonts w:ascii="Arial" w:hAnsi="Arial" w:cs="Arial"/>
          <w:color w:val="auto"/>
          <w:sz w:val="22"/>
          <w:szCs w:val="22"/>
        </w:rPr>
        <w:fldChar w:fldCharType="end"/>
      </w:r>
      <w:r w:rsidR="00485667" w:rsidRPr="00E777CA">
        <w:rPr>
          <w:rFonts w:ascii="Arial" w:hAnsi="Arial" w:cs="Arial"/>
          <w:color w:val="auto"/>
          <w:sz w:val="22"/>
          <w:szCs w:val="22"/>
        </w:rPr>
        <w:t>) or an alternative matrix (e.g. protein buffers, dialysed serum</w:t>
      </w:r>
      <w:r w:rsidR="004E2869">
        <w:rPr>
          <w:rFonts w:ascii="Arial" w:hAnsi="Arial" w:cs="Arial"/>
          <w:color w:val="auto"/>
          <w:sz w:val="22"/>
          <w:szCs w:val="22"/>
        </w:rPr>
        <w:t xml:space="preserve"> </w:t>
      </w:r>
      <w:r w:rsidR="001B586C">
        <w:rPr>
          <w:rFonts w:ascii="Arial" w:hAnsi="Arial" w:cs="Arial"/>
          <w:color w:val="auto"/>
          <w:sz w:val="22"/>
          <w:szCs w:val="22"/>
        </w:rPr>
        <w:fldChar w:fldCharType="begin" w:fldLock="1"/>
      </w:r>
      <w:r w:rsidR="00261C24">
        <w:rPr>
          <w:rFonts w:ascii="Arial" w:hAnsi="Arial" w:cs="Arial"/>
          <w:color w:val="auto"/>
          <w:sz w:val="22"/>
          <w:szCs w:val="22"/>
        </w:rPr>
        <w:instrText>ADDIN CSL_CITATION { "citationItems" : [ { "id" : "ITEM-1", "itemData" : { "DOI" : "10.4155/bio.09.130", "ISSN" : "1757-6199", "PMID" : "21083095", "abstract" : "Protein drug development and biomarkers share common bioanalytical technologies that are applied for different purposes. A fit-for-purpose approach should be used for biomarker assays at various stages of novel biomarker development and their application to drug development. Biomarker quantifications can be absolute or relative, depending upon the characteristics of the standard curve, which include the reference standard, substituted matrix and parallelism. Appropriate method-validation experiments should be carried out on sample collection, relative accuracy and precision, range finding, parallelism, selectivity, specificity and stability in order to meet the need for exploratory or advanced application that is specified for a study. The interaction of a biotherapeutic with the target ligand or inter-related biomarkers should be taken into consideration for method platform choice and validation. Direct adoption of commercial diagnostic kits can produce confounding data. Therefore, kit comparison, modification and appropriate validation experiments are often carried out to meet the specific purpose for drug development. Multiplex assays and physicochemical methods can complement the single-analyte ligand-binding assay for protein drugs and biomarkers.", "author" : [ { "dropping-particle" : "", "family" : "Lee", "given" : "Jean W", "non-dropping-particle" : "", "parse-names" : false, "suffix" : "" } ], "container-title" : "Bioanalysis", "id" : "ITEM-1", "issue" : "8", "issued" : { "date-parts" : [ [ "2009", "11" ] ] }, "page" : "1461-74", "title" : "Method validation and application of protein biomarkers: basic similarities and differences from biotherapeutics.", "type" : "article-journal", "volume" : "1" }, "uris" : [ "http://www.mendeley.com/documents/?uuid=67ed1387-9d6c-43a0-b35d-21ba4058687b", "http://www.mendeley.com/documents/?uuid=98d00da5-2ce0-4ba1-b9a6-b4212165a468" ] } ], "mendeley" : { "previouslyFormattedCitation" : "[19]" }, "properties" : { "noteIndex" : 0 }, "schema" : "https://github.com/citation-style-language/schema/raw/master/csl-citation.json" }</w:instrText>
      </w:r>
      <w:r w:rsidR="001B586C">
        <w:rPr>
          <w:rFonts w:ascii="Arial" w:hAnsi="Arial" w:cs="Arial"/>
          <w:color w:val="auto"/>
          <w:sz w:val="22"/>
          <w:szCs w:val="22"/>
        </w:rPr>
        <w:fldChar w:fldCharType="separate"/>
      </w:r>
      <w:r w:rsidR="00EC3CF8" w:rsidRPr="00EC3CF8">
        <w:rPr>
          <w:rFonts w:ascii="Arial" w:hAnsi="Arial" w:cs="Arial"/>
          <w:noProof/>
          <w:color w:val="auto"/>
          <w:sz w:val="22"/>
          <w:szCs w:val="22"/>
        </w:rPr>
        <w:t>[19]</w:t>
      </w:r>
      <w:r w:rsidR="001B586C">
        <w:rPr>
          <w:rFonts w:ascii="Arial" w:hAnsi="Arial" w:cs="Arial"/>
          <w:color w:val="auto"/>
          <w:sz w:val="22"/>
          <w:szCs w:val="22"/>
        </w:rPr>
        <w:fldChar w:fldCharType="end"/>
      </w:r>
      <w:r w:rsidR="00485667" w:rsidRPr="00E777CA">
        <w:rPr>
          <w:rFonts w:ascii="Arial" w:hAnsi="Arial" w:cs="Arial"/>
          <w:color w:val="auto"/>
          <w:sz w:val="22"/>
          <w:szCs w:val="22"/>
        </w:rPr>
        <w:t xml:space="preserve">). </w:t>
      </w:r>
      <w:r w:rsidR="00D82588" w:rsidRPr="00E777CA">
        <w:rPr>
          <w:rFonts w:ascii="Arial" w:hAnsi="Arial" w:cs="Arial"/>
          <w:color w:val="auto"/>
          <w:sz w:val="22"/>
          <w:szCs w:val="22"/>
        </w:rPr>
        <w:t>Although not ideal, t</w:t>
      </w:r>
      <w:r w:rsidR="00485667" w:rsidRPr="00E777CA">
        <w:rPr>
          <w:rFonts w:ascii="Arial" w:hAnsi="Arial" w:cs="Arial"/>
          <w:color w:val="auto"/>
          <w:sz w:val="22"/>
          <w:szCs w:val="22"/>
        </w:rPr>
        <w:t xml:space="preserve">he EMA </w:t>
      </w:r>
      <w:r w:rsidR="00096A12" w:rsidRPr="00E777CA">
        <w:rPr>
          <w:rFonts w:ascii="Arial" w:hAnsi="Arial" w:cs="Arial"/>
          <w:color w:val="auto"/>
          <w:sz w:val="22"/>
          <w:szCs w:val="22"/>
        </w:rPr>
        <w:t>Guideline</w:t>
      </w:r>
      <w:r w:rsidR="00485667" w:rsidRPr="00E777CA">
        <w:rPr>
          <w:rFonts w:ascii="Arial" w:hAnsi="Arial" w:cs="Arial"/>
          <w:color w:val="auto"/>
          <w:sz w:val="22"/>
          <w:szCs w:val="22"/>
        </w:rPr>
        <w:t xml:space="preserve"> on bioanalytical method validation</w:t>
      </w:r>
      <w:r w:rsidR="00096A12" w:rsidRPr="00E777CA">
        <w:rPr>
          <w:rFonts w:ascii="Arial" w:hAnsi="Arial" w:cs="Arial"/>
          <w:color w:val="auto"/>
          <w:sz w:val="22"/>
          <w:szCs w:val="22"/>
        </w:rPr>
        <w:t xml:space="preserve"> </w:t>
      </w:r>
      <w:r w:rsidR="001B586C" w:rsidRPr="00E777CA">
        <w:rPr>
          <w:rFonts w:ascii="Arial" w:hAnsi="Arial" w:cs="Arial"/>
          <w:color w:val="auto"/>
          <w:sz w:val="22"/>
          <w:szCs w:val="22"/>
        </w:rPr>
        <w:fldChar w:fldCharType="begin" w:fldLock="1"/>
      </w:r>
      <w:r w:rsidR="00261C24">
        <w:rPr>
          <w:rFonts w:ascii="Arial" w:hAnsi="Arial" w:cs="Arial"/>
          <w:color w:val="auto"/>
          <w:sz w:val="22"/>
          <w:szCs w:val="22"/>
        </w:rPr>
        <w:instrText>ADDIN CSL_CITATION { "citationItems" : [ { "id" : "ITEM-1", "itemData" : { "id" : "ITEM-1", "issued" : { "date-parts" : [ [ "2012" ] ] }, "title" : "Guideline on bioanalytical method validation, EMA", "type" : "article-journal" }, "uris" : [ "http://www.mendeley.com/documents/?uuid=62ca7abe-b29a-4685-966f-7b286a090e82" ] } ], "mendeley" : { "previouslyFormattedCitation" : "[17]" }, "properties" : { "noteIndex" : 0 }, "schema" : "https://github.com/citation-style-language/schema/raw/master/csl-citation.json" }</w:instrText>
      </w:r>
      <w:r w:rsidR="001B586C" w:rsidRPr="00E777CA">
        <w:rPr>
          <w:rFonts w:ascii="Arial" w:hAnsi="Arial" w:cs="Arial"/>
          <w:color w:val="auto"/>
          <w:sz w:val="22"/>
          <w:szCs w:val="22"/>
        </w:rPr>
        <w:fldChar w:fldCharType="separate"/>
      </w:r>
      <w:r w:rsidR="00EC3CF8" w:rsidRPr="00EC3CF8">
        <w:rPr>
          <w:rFonts w:ascii="Arial" w:hAnsi="Arial" w:cs="Arial"/>
          <w:noProof/>
          <w:color w:val="auto"/>
          <w:sz w:val="22"/>
          <w:szCs w:val="22"/>
        </w:rPr>
        <w:t>[17]</w:t>
      </w:r>
      <w:r w:rsidR="001B586C" w:rsidRPr="00E777CA">
        <w:rPr>
          <w:rFonts w:ascii="Arial" w:hAnsi="Arial" w:cs="Arial"/>
          <w:color w:val="auto"/>
          <w:sz w:val="22"/>
          <w:szCs w:val="22"/>
        </w:rPr>
        <w:fldChar w:fldCharType="end"/>
      </w:r>
      <w:r w:rsidR="00485667" w:rsidRPr="00E777CA">
        <w:rPr>
          <w:rFonts w:ascii="Arial" w:hAnsi="Arial" w:cs="Arial"/>
          <w:color w:val="auto"/>
          <w:sz w:val="22"/>
          <w:szCs w:val="22"/>
        </w:rPr>
        <w:t xml:space="preserve"> concedes that such an approach</w:t>
      </w:r>
      <w:r w:rsidR="006624D8" w:rsidRPr="00E777CA">
        <w:rPr>
          <w:rFonts w:ascii="Arial" w:hAnsi="Arial" w:cs="Arial"/>
          <w:color w:val="auto"/>
          <w:sz w:val="22"/>
          <w:szCs w:val="22"/>
        </w:rPr>
        <w:t xml:space="preserve"> may be necessary for en</w:t>
      </w:r>
      <w:r w:rsidR="00D82588" w:rsidRPr="00E777CA">
        <w:rPr>
          <w:rFonts w:ascii="Arial" w:hAnsi="Arial" w:cs="Arial"/>
          <w:color w:val="auto"/>
          <w:sz w:val="22"/>
          <w:szCs w:val="22"/>
        </w:rPr>
        <w:t>dogenous analyte quantitation, and</w:t>
      </w:r>
      <w:r w:rsidRPr="00E777CA">
        <w:rPr>
          <w:rFonts w:ascii="Arial" w:hAnsi="Arial" w:cs="Arial"/>
          <w:color w:val="auto"/>
          <w:sz w:val="22"/>
          <w:szCs w:val="22"/>
        </w:rPr>
        <w:t xml:space="preserve"> therefore </w:t>
      </w:r>
      <w:r w:rsidR="00D82588" w:rsidRPr="00E777CA">
        <w:rPr>
          <w:rFonts w:ascii="Arial" w:hAnsi="Arial" w:cs="Arial"/>
          <w:color w:val="auto"/>
          <w:sz w:val="22"/>
          <w:szCs w:val="22"/>
        </w:rPr>
        <w:t>th</w:t>
      </w:r>
      <w:r w:rsidR="006B76B4" w:rsidRPr="00E777CA">
        <w:rPr>
          <w:rFonts w:ascii="Arial" w:hAnsi="Arial" w:cs="Arial"/>
          <w:color w:val="auto"/>
          <w:sz w:val="22"/>
          <w:szCs w:val="22"/>
        </w:rPr>
        <w:t>is is the approach we adopted.</w:t>
      </w:r>
      <w:r w:rsidR="00D82588" w:rsidRPr="00E777CA">
        <w:rPr>
          <w:rFonts w:ascii="Arial" w:hAnsi="Arial" w:cs="Arial"/>
          <w:color w:val="auto"/>
          <w:sz w:val="22"/>
          <w:szCs w:val="22"/>
        </w:rPr>
        <w:t xml:space="preserve"> </w:t>
      </w:r>
    </w:p>
    <w:p w:rsidR="00E777CA" w:rsidRPr="009B3ECE" w:rsidRDefault="00E777CA" w:rsidP="00E777CA">
      <w:pPr>
        <w:pStyle w:val="Default"/>
        <w:rPr>
          <w:rFonts w:ascii="Arial" w:hAnsi="Arial" w:cs="Arial"/>
        </w:rPr>
      </w:pPr>
    </w:p>
    <w:p w:rsidR="006E0C4A" w:rsidRDefault="006624D8" w:rsidP="00550C28">
      <w:pPr>
        <w:spacing w:line="360" w:lineRule="auto"/>
        <w:jc w:val="both"/>
        <w:rPr>
          <w:rFonts w:ascii="Arial" w:hAnsi="Arial" w:cs="Arial"/>
        </w:rPr>
      </w:pPr>
      <w:r>
        <w:rPr>
          <w:rFonts w:ascii="Arial" w:hAnsi="Arial" w:cs="Arial"/>
        </w:rPr>
        <w:t xml:space="preserve">This article </w:t>
      </w:r>
      <w:r w:rsidR="00D82588">
        <w:rPr>
          <w:rFonts w:ascii="Arial" w:hAnsi="Arial" w:cs="Arial"/>
        </w:rPr>
        <w:t>outlines the</w:t>
      </w:r>
      <w:r>
        <w:rPr>
          <w:rFonts w:ascii="Arial" w:hAnsi="Arial" w:cs="Arial"/>
        </w:rPr>
        <w:t xml:space="preserve"> first</w:t>
      </w:r>
      <w:r w:rsidR="00F64043">
        <w:rPr>
          <w:rFonts w:ascii="Arial" w:hAnsi="Arial" w:cs="Arial"/>
        </w:rPr>
        <w:t xml:space="preserve"> peer reviewed</w:t>
      </w:r>
      <w:r>
        <w:rPr>
          <w:rFonts w:ascii="Arial" w:hAnsi="Arial" w:cs="Arial"/>
        </w:rPr>
        <w:t xml:space="preserve"> high through</w:t>
      </w:r>
      <w:r w:rsidR="006F2D24">
        <w:rPr>
          <w:rFonts w:ascii="Arial" w:hAnsi="Arial" w:cs="Arial"/>
        </w:rPr>
        <w:t>p</w:t>
      </w:r>
      <w:r>
        <w:rPr>
          <w:rFonts w:ascii="Arial" w:hAnsi="Arial" w:cs="Arial"/>
        </w:rPr>
        <w:t>ut U</w:t>
      </w:r>
      <w:r w:rsidRPr="00AD1840">
        <w:rPr>
          <w:rFonts w:ascii="Arial" w:hAnsi="Arial" w:cs="Arial"/>
        </w:rPr>
        <w:t>HPLC-MS/MS (SRM) based approach</w:t>
      </w:r>
      <w:r>
        <w:rPr>
          <w:rFonts w:ascii="Arial" w:hAnsi="Arial" w:cs="Arial"/>
        </w:rPr>
        <w:t xml:space="preserve"> capable of quantifying endogenous level</w:t>
      </w:r>
      <w:r w:rsidR="006B76B4">
        <w:rPr>
          <w:rFonts w:ascii="Arial" w:hAnsi="Arial" w:cs="Arial"/>
        </w:rPr>
        <w:t>s of glucagon from human plasma</w:t>
      </w:r>
      <w:r w:rsidR="006F68D4">
        <w:rPr>
          <w:rFonts w:ascii="Arial" w:hAnsi="Arial" w:cs="Arial"/>
        </w:rPr>
        <w:t>.</w:t>
      </w:r>
      <w:r w:rsidR="00EC3CF8">
        <w:rPr>
          <w:rFonts w:ascii="Arial" w:hAnsi="Arial" w:cs="Arial"/>
        </w:rPr>
        <w:t xml:space="preserve">  </w:t>
      </w:r>
      <w:r w:rsidR="006F2D24">
        <w:rPr>
          <w:rFonts w:ascii="Arial" w:hAnsi="Arial" w:cs="Arial"/>
        </w:rPr>
        <w:t xml:space="preserve">The high throughput nature of the assay </w:t>
      </w:r>
      <w:r w:rsidR="00525910">
        <w:rPr>
          <w:rFonts w:ascii="Arial" w:hAnsi="Arial" w:cs="Arial"/>
        </w:rPr>
        <w:t xml:space="preserve">is due to its ability </w:t>
      </w:r>
      <w:r w:rsidR="00B2331E">
        <w:rPr>
          <w:rFonts w:ascii="Arial" w:hAnsi="Arial" w:cs="Arial"/>
        </w:rPr>
        <w:t>to relatively quickly</w:t>
      </w:r>
      <w:r w:rsidR="0034738F">
        <w:rPr>
          <w:rFonts w:ascii="Arial" w:hAnsi="Arial" w:cs="Arial"/>
        </w:rPr>
        <w:t xml:space="preserve"> analyse large numbers of samples.  This is enabled</w:t>
      </w:r>
      <w:r w:rsidR="00027278">
        <w:rPr>
          <w:rFonts w:ascii="Arial" w:hAnsi="Arial" w:cs="Arial"/>
        </w:rPr>
        <w:t xml:space="preserve"> by</w:t>
      </w:r>
      <w:r w:rsidR="0034738F">
        <w:rPr>
          <w:rFonts w:ascii="Arial" w:hAnsi="Arial" w:cs="Arial"/>
        </w:rPr>
        <w:t xml:space="preserve"> </w:t>
      </w:r>
      <w:r w:rsidR="00BA4D9A">
        <w:rPr>
          <w:rFonts w:ascii="Arial" w:hAnsi="Arial" w:cs="Arial"/>
        </w:rPr>
        <w:t xml:space="preserve">an extraction procedure that is relatively quick, simple, and cheap in comparison </w:t>
      </w:r>
      <w:r w:rsidR="008B3F06">
        <w:rPr>
          <w:rFonts w:ascii="Arial" w:hAnsi="Arial" w:cs="Arial"/>
        </w:rPr>
        <w:t xml:space="preserve">to </w:t>
      </w:r>
      <w:r w:rsidR="00323697">
        <w:rPr>
          <w:rFonts w:ascii="Arial" w:hAnsi="Arial" w:cs="Arial"/>
        </w:rPr>
        <w:t xml:space="preserve">many </w:t>
      </w:r>
      <w:r w:rsidR="008B3F06">
        <w:rPr>
          <w:rFonts w:ascii="Arial" w:hAnsi="Arial" w:cs="Arial"/>
        </w:rPr>
        <w:t>immunochemistry based approaches</w:t>
      </w:r>
      <w:r w:rsidR="00B2331E">
        <w:rPr>
          <w:rFonts w:ascii="Arial" w:hAnsi="Arial" w:cs="Arial"/>
        </w:rPr>
        <w:t xml:space="preserve"> </w:t>
      </w:r>
      <w:r w:rsidR="008B3F06">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"10.1002/elps.200900286", "ISSN" : "1522-2683", "PMID" : "20119956", "abstract" : "Affinity depletion of abundant proteins from human plasma has become a routine sample preparation strategy in proteomics used prior to protein identification and quantitation. To date, there have been limited published studies comparing the performance of commercially available depletion products. We conducted a thorough evaluation of six depletion columns using 2-DE combined with sophisticated image analysis software, examining the following criteria: (i) efficiency of high-abundance protein depletion, (ii) non-specific removal of other than the targeted proteins and (iii) total number of protein spots detected on the gels following depletion. From all the products investigated, the Seppro IgY system provided the best results. It displayed the greatest number of protein spots on the depleted plasma gels, minimal non-specific binding and high efficiency of abundant protein removal. Nevertheless, the increase in the number of detected spots compared with the second best performing and cheaper multiple affinity removal column (MARC) was not shown to be statistically significant. The ProteoPrep spin column, considered to be the \"deepest\" depletion technique available at the time of conducting the study, surprisingly displayed significantly fewer spots on the flow-through fraction gels compared with both the Seppro and the MARC. The spin column format and low plasma capacity were also found to be impractical for 2-DE. To conclude, we succeeded in providing an overview of the depletion columns performances with regard to the three examined areas. Our study will serve as a reference to other scientists when deciding on the optimal product for their particular projects.", "author" : [ { "dropping-particle" : "", "family" : "Polaskova", "given" : "Veronika", "non-dropping-particle" : "", "parse-names" : false, "suffix" : "" }, { "dropping-particle" : "", "family" : "Kapur", "given" : "Amit", "non-dropping-particle" : "", "parse-names" : false, "suffix" : "" }, { "dropping-particle" : "", "family" : "Khan", "given" : "Alamgir", "non-dropping-particle" : "", "parse-names" : false, "suffix" : "" }, { "dropping-particle" : "", "family" : "Molloy", "given" : "Mark P", "non-dropping-particle" : "", "parse-names" : false, "suffix" : "" }, { "dropping-particle" : "", "family" : "Baker", "given" : "Mark S", "non-dropping-particle" : "", "parse-names" : false, "suffix" : "" } ], "container-title" : "Electrophoresis", "id" : "ITEM-1", "issue" : "3", "issued" : { "date-parts" : [ [ "2010", "1" ] ] }, "note" : "skimmed online 25jun11\ncomparrison of depletion techniques.\n      ", "page" : "471-82", "title" : "High-abundance protein depletion: comparison of methods for human plasma biomarker discovery.", "type" : "article-journal", "volume" : "31" }, "uris" : [ "http://www.mendeley.com/documents/?uuid=d9e22d1c-d66d-46d6-8b52-1f349c7ecd79" ] } ], "mendeley" : { "previouslyFormattedCitation" : "[20]"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[20]</w:t>
      </w:r>
      <w:r w:rsidR="001B586C">
        <w:rPr>
          <w:rFonts w:ascii="Arial" w:hAnsi="Arial" w:cs="Arial"/>
        </w:rPr>
        <w:fldChar w:fldCharType="end"/>
      </w:r>
      <w:r w:rsidR="00B224AA">
        <w:rPr>
          <w:rFonts w:ascii="Arial" w:hAnsi="Arial" w:cs="Arial"/>
        </w:rPr>
        <w:t>,</w:t>
      </w:r>
      <w:r w:rsidR="00B2331E">
        <w:rPr>
          <w:rFonts w:ascii="Arial" w:hAnsi="Arial" w:cs="Arial"/>
        </w:rPr>
        <w:t xml:space="preserve"> </w:t>
      </w:r>
      <w:r w:rsidR="00B224AA">
        <w:rPr>
          <w:rFonts w:ascii="Arial" w:hAnsi="Arial" w:cs="Arial"/>
        </w:rPr>
        <w:t xml:space="preserve">and which </w:t>
      </w:r>
      <w:r w:rsidR="006C1D15">
        <w:rPr>
          <w:rFonts w:ascii="Arial" w:hAnsi="Arial" w:cs="Arial"/>
        </w:rPr>
        <w:t>can analyse</w:t>
      </w:r>
      <w:r w:rsidR="00027278">
        <w:rPr>
          <w:rFonts w:ascii="Arial" w:hAnsi="Arial" w:cs="Arial"/>
        </w:rPr>
        <w:t xml:space="preserve"> </w:t>
      </w:r>
      <w:r w:rsidR="00B2331E">
        <w:rPr>
          <w:rFonts w:ascii="Arial" w:hAnsi="Arial" w:cs="Arial"/>
        </w:rPr>
        <w:t>large number of samples  (</w:t>
      </w:r>
      <w:r w:rsidR="00B2331E">
        <w:rPr>
          <w:rFonts w:ascii="Arial" w:hAnsi="Arial" w:cs="Arial"/>
        </w:rPr>
        <w:sym w:font="Symbol" w:char="F07E"/>
      </w:r>
      <w:r w:rsidR="00B2331E">
        <w:rPr>
          <w:rFonts w:ascii="Arial" w:hAnsi="Arial" w:cs="Arial"/>
        </w:rPr>
        <w:t xml:space="preserve">60) </w:t>
      </w:r>
      <w:r w:rsidR="00B224AA">
        <w:rPr>
          <w:rFonts w:ascii="Arial" w:hAnsi="Arial" w:cs="Arial"/>
        </w:rPr>
        <w:t>within an</w:t>
      </w:r>
      <w:r w:rsidR="00B2331E">
        <w:rPr>
          <w:rFonts w:ascii="Arial" w:hAnsi="Arial" w:cs="Arial"/>
        </w:rPr>
        <w:t xml:space="preserve"> analytical batch.</w:t>
      </w:r>
      <w:r w:rsidR="008B3F06">
        <w:rPr>
          <w:rFonts w:ascii="Arial" w:hAnsi="Arial" w:cs="Arial"/>
        </w:rPr>
        <w:t xml:space="preserve"> </w:t>
      </w:r>
      <w:r w:rsidR="00B2331E">
        <w:rPr>
          <w:rFonts w:ascii="Arial" w:hAnsi="Arial" w:cs="Arial"/>
        </w:rPr>
        <w:t xml:space="preserve">In addition, UHPLC is used to minimise </w:t>
      </w:r>
      <w:r w:rsidR="008B3F06">
        <w:rPr>
          <w:rFonts w:ascii="Arial" w:hAnsi="Arial" w:cs="Arial"/>
        </w:rPr>
        <w:t xml:space="preserve">sample run times </w:t>
      </w:r>
      <w:r w:rsidR="001B586C">
        <w:rPr>
          <w:rFonts w:ascii="Arial" w:hAnsi="Arial" w:cs="Arial"/>
        </w:rPr>
        <w:fldChar w:fldCharType="begin" w:fldLock="1"/>
      </w:r>
      <w:r w:rsidR="00261C24">
        <w:rPr>
          <w:rFonts w:ascii="Arial" w:hAnsi="Arial" w:cs="Arial"/>
        </w:rPr>
        <w:instrText>ADDIN CSL_CITATION { "citationItems" : [ { "id" : "ITEM-1", "itemData" : { "DOI" : "10.4155/bio.12.283", "ISSN" : "1757-6199", "PMID" : "23244286", "abstract" : "There is increasing interest within the pharmaceutical industry in the development of proteins and peptides as drugs in addition to their use as biomarkers. Immunochemistry-based techniques have been traditionally used for the quantitation of proteins and peptides; however, LC-MS-based methodologies are being increasingly adopted as they offer several advantages. UHPLC is well established within the small-molecule community as a means to increase resolution and/or the speed of separations prior to MS detection; however, it is rarely applied to proteins or peptides separations. In this paper, current applications of UHPLC to such separations are reviewed, as well as considerations with regard to the effect of altering various chromatographic parameters.", "author" : [ { "dropping-particle" : "", "family" : "Howard", "given" : "James W", "non-dropping-particle" : "", "parse-names" : false, "suffix" : "" }, { "dropping-particle" : "", "family" : "Kay", "given" : "Richard G", "non-dropping-particle" : "", "parse-names" : false, "suffix" : "" }, { "dropping-particle" : "", "family" : "Pleasance", "given" : "Steve", "non-dropping-particle" : "", "parse-names" : false, "suffix" : "" }, { "dropping-particle" : "", "family" : "Creaser", "given" : "Colin S", "non-dropping-particle" : "", "parse-names" : false, "suffix" : "" } ], "container-title" : "Bioanalysis", "id" : "ITEM-1", "issue" : "24", "issued" : { "date-parts" : [ [ "2012", "12" ] ] }, "note" : "my first paper :)", "page" : "2971-88", "title" : "UHPLC for the separation of proteins and peptides.", "type" : "article-journal", "volume" : "4" }, "uris" : [ "http://www.mendeley.com/documents/?uuid=18a848e4-c76c-4902-a158-8272cbd3978c" ] } ], "mendeley" : { "previouslyFormattedCitation" : "[21]"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[21]</w:t>
      </w:r>
      <w:r w:rsidR="001B586C">
        <w:rPr>
          <w:rFonts w:ascii="Arial" w:hAnsi="Arial" w:cs="Arial"/>
        </w:rPr>
        <w:fldChar w:fldCharType="end"/>
      </w:r>
      <w:r w:rsidR="008B3F06">
        <w:rPr>
          <w:rFonts w:ascii="Arial" w:hAnsi="Arial" w:cs="Arial"/>
        </w:rPr>
        <w:t>.</w:t>
      </w:r>
      <w:r w:rsidR="00F64043">
        <w:rPr>
          <w:rFonts w:ascii="Arial" w:hAnsi="Arial" w:cs="Arial"/>
        </w:rPr>
        <w:t xml:space="preserve">A calibration range of </w:t>
      </w:r>
      <w:r w:rsidR="00BC03A7">
        <w:rPr>
          <w:rFonts w:ascii="Arial" w:hAnsi="Arial" w:cs="Arial"/>
        </w:rPr>
        <w:t>25–1000 pg/mL</w:t>
      </w:r>
      <w:r w:rsidR="00361E81">
        <w:rPr>
          <w:rFonts w:ascii="Arial" w:hAnsi="Arial" w:cs="Arial"/>
        </w:rPr>
        <w:t xml:space="preserve"> is </w:t>
      </w:r>
      <w:r w:rsidR="006E0C4A">
        <w:rPr>
          <w:rFonts w:ascii="Arial" w:hAnsi="Arial" w:cs="Arial"/>
        </w:rPr>
        <w:t>qualified</w:t>
      </w:r>
      <w:r w:rsidR="009F35C7">
        <w:rPr>
          <w:rFonts w:ascii="Arial" w:hAnsi="Arial" w:cs="Arial"/>
        </w:rPr>
        <w:t>,</w:t>
      </w:r>
      <w:r w:rsidR="00361E81">
        <w:rPr>
          <w:rFonts w:ascii="Arial" w:hAnsi="Arial" w:cs="Arial"/>
        </w:rPr>
        <w:t xml:space="preserve"> making the assay </w:t>
      </w:r>
      <w:r w:rsidR="00223D70">
        <w:rPr>
          <w:rFonts w:ascii="Arial" w:hAnsi="Arial" w:cs="Arial"/>
        </w:rPr>
        <w:t>suitable for measuring bot</w:t>
      </w:r>
      <w:r w:rsidR="00361E81">
        <w:rPr>
          <w:rFonts w:ascii="Arial" w:hAnsi="Arial" w:cs="Arial"/>
        </w:rPr>
        <w:t>h endogenous levels of glucagon</w:t>
      </w:r>
      <w:r w:rsidR="00223D70">
        <w:rPr>
          <w:rFonts w:ascii="Arial" w:hAnsi="Arial" w:cs="Arial"/>
        </w:rPr>
        <w:t xml:space="preserve"> and </w:t>
      </w:r>
      <w:r w:rsidR="009F35C7">
        <w:rPr>
          <w:rFonts w:ascii="Arial" w:hAnsi="Arial" w:cs="Arial"/>
        </w:rPr>
        <w:t xml:space="preserve">elevated </w:t>
      </w:r>
      <w:r w:rsidR="00223D70">
        <w:rPr>
          <w:rFonts w:ascii="Arial" w:hAnsi="Arial" w:cs="Arial"/>
        </w:rPr>
        <w:t>levels following treatments.</w:t>
      </w:r>
      <w:r w:rsidR="00D764A8">
        <w:rPr>
          <w:rFonts w:ascii="Arial" w:hAnsi="Arial" w:cs="Arial"/>
        </w:rPr>
        <w:t xml:space="preserve"> </w:t>
      </w:r>
      <w:r w:rsidR="00455514">
        <w:rPr>
          <w:rFonts w:ascii="Arial" w:hAnsi="Arial" w:cs="Arial"/>
        </w:rPr>
        <w:t>Consequently t</w:t>
      </w:r>
      <w:r w:rsidR="00D764A8">
        <w:rPr>
          <w:rFonts w:ascii="Arial" w:hAnsi="Arial" w:cs="Arial"/>
        </w:rPr>
        <w:t xml:space="preserve">he </w:t>
      </w:r>
      <w:r w:rsidR="00455514">
        <w:rPr>
          <w:rFonts w:ascii="Arial" w:hAnsi="Arial" w:cs="Arial"/>
        </w:rPr>
        <w:t xml:space="preserve">assay </w:t>
      </w:r>
      <w:r w:rsidR="00027278">
        <w:rPr>
          <w:rFonts w:ascii="Arial" w:hAnsi="Arial" w:cs="Arial"/>
        </w:rPr>
        <w:t>can be used for</w:t>
      </w:r>
      <w:r w:rsidR="00455514">
        <w:rPr>
          <w:rFonts w:ascii="Arial" w:hAnsi="Arial" w:cs="Arial"/>
        </w:rPr>
        <w:t xml:space="preserve"> </w:t>
      </w:r>
      <w:r w:rsidR="00535B5E">
        <w:rPr>
          <w:rFonts w:ascii="Arial" w:hAnsi="Arial" w:cs="Arial"/>
        </w:rPr>
        <w:t>both</w:t>
      </w:r>
      <w:r w:rsidR="00D764A8">
        <w:rPr>
          <w:rFonts w:ascii="Arial" w:hAnsi="Arial" w:cs="Arial"/>
        </w:rPr>
        <w:t xml:space="preserve"> biomarker (PD, Pharacodyma</w:t>
      </w:r>
      <w:r w:rsidR="00535B5E">
        <w:rPr>
          <w:rFonts w:ascii="Arial" w:hAnsi="Arial" w:cs="Arial"/>
        </w:rPr>
        <w:t xml:space="preserve">ic) and </w:t>
      </w:r>
      <w:r w:rsidR="00D764A8">
        <w:rPr>
          <w:rFonts w:ascii="Arial" w:hAnsi="Arial" w:cs="Arial"/>
        </w:rPr>
        <w:t xml:space="preserve">Pharmacokinetic (PK) </w:t>
      </w:r>
      <w:r w:rsidR="00027278">
        <w:rPr>
          <w:rFonts w:ascii="Arial" w:hAnsi="Arial" w:cs="Arial"/>
        </w:rPr>
        <w:t>analysis</w:t>
      </w:r>
      <w:r w:rsidR="00D764A8">
        <w:rPr>
          <w:rFonts w:ascii="Arial" w:hAnsi="Arial" w:cs="Arial"/>
        </w:rPr>
        <w:t>.</w:t>
      </w:r>
      <w:r w:rsidR="00223D70">
        <w:rPr>
          <w:rFonts w:ascii="Arial" w:hAnsi="Arial" w:cs="Arial"/>
        </w:rPr>
        <w:t xml:space="preserve"> However</w:t>
      </w:r>
      <w:r w:rsidR="00361E81">
        <w:rPr>
          <w:rFonts w:ascii="Arial" w:hAnsi="Arial" w:cs="Arial"/>
        </w:rPr>
        <w:t>,</w:t>
      </w:r>
      <w:r w:rsidR="00223D70">
        <w:rPr>
          <w:rFonts w:ascii="Arial" w:hAnsi="Arial" w:cs="Arial"/>
        </w:rPr>
        <w:t xml:space="preserve"> </w:t>
      </w:r>
      <w:r w:rsidR="00535B5E">
        <w:rPr>
          <w:rFonts w:ascii="Arial" w:hAnsi="Arial" w:cs="Arial"/>
        </w:rPr>
        <w:t>the calibration range</w:t>
      </w:r>
      <w:r w:rsidR="00223D70">
        <w:rPr>
          <w:rFonts w:ascii="Arial" w:hAnsi="Arial" w:cs="Arial"/>
        </w:rPr>
        <w:t xml:space="preserve"> could be easily truncated if</w:t>
      </w:r>
      <w:r w:rsidR="00D764A8">
        <w:rPr>
          <w:rFonts w:ascii="Arial" w:hAnsi="Arial" w:cs="Arial"/>
        </w:rPr>
        <w:t xml:space="preserve"> only</w:t>
      </w:r>
      <w:r w:rsidR="008B554F">
        <w:rPr>
          <w:rFonts w:ascii="Arial" w:hAnsi="Arial" w:cs="Arial"/>
        </w:rPr>
        <w:t xml:space="preserve"> </w:t>
      </w:r>
      <w:r w:rsidR="00223D70">
        <w:rPr>
          <w:rFonts w:ascii="Arial" w:hAnsi="Arial" w:cs="Arial"/>
        </w:rPr>
        <w:t xml:space="preserve">endogenous level </w:t>
      </w:r>
      <w:r w:rsidR="00D764A8">
        <w:rPr>
          <w:rFonts w:ascii="Arial" w:hAnsi="Arial" w:cs="Arial"/>
        </w:rPr>
        <w:t>analysis (PD) is</w:t>
      </w:r>
      <w:r w:rsidR="008B554F">
        <w:rPr>
          <w:rFonts w:ascii="Arial" w:hAnsi="Arial" w:cs="Arial"/>
        </w:rPr>
        <w:t xml:space="preserve"> </w:t>
      </w:r>
      <w:r w:rsidR="00223D70">
        <w:rPr>
          <w:rFonts w:ascii="Arial" w:hAnsi="Arial" w:cs="Arial"/>
        </w:rPr>
        <w:t>required.</w:t>
      </w:r>
      <w:r w:rsidR="00DE26E4">
        <w:rPr>
          <w:rFonts w:ascii="Arial" w:hAnsi="Arial" w:cs="Arial"/>
        </w:rPr>
        <w:t xml:space="preserve"> </w:t>
      </w:r>
      <w:r w:rsidR="00832A8F">
        <w:rPr>
          <w:rFonts w:ascii="Arial" w:hAnsi="Arial" w:cs="Arial"/>
        </w:rPr>
        <w:t xml:space="preserve">In </w:t>
      </w:r>
      <w:r w:rsidR="00DA3E04">
        <w:rPr>
          <w:rFonts w:ascii="Arial" w:hAnsi="Arial" w:cs="Arial"/>
        </w:rPr>
        <w:t xml:space="preserve">addition we present the </w:t>
      </w:r>
      <w:r w:rsidR="00FA6496">
        <w:rPr>
          <w:rFonts w:ascii="Arial" w:hAnsi="Arial" w:cs="Arial"/>
        </w:rPr>
        <w:t>first</w:t>
      </w:r>
      <w:r w:rsidR="00DA3E04">
        <w:rPr>
          <w:rFonts w:ascii="Arial" w:hAnsi="Arial" w:cs="Arial"/>
        </w:rPr>
        <w:t xml:space="preserve"> comparison of</w:t>
      </w:r>
      <w:r w:rsidR="00DE26E4">
        <w:rPr>
          <w:rFonts w:ascii="Arial" w:hAnsi="Arial" w:cs="Arial"/>
        </w:rPr>
        <w:t xml:space="preserve"> </w:t>
      </w:r>
      <w:r w:rsidR="00DA3E04">
        <w:rPr>
          <w:rFonts w:ascii="Arial" w:hAnsi="Arial" w:cs="Arial"/>
        </w:rPr>
        <w:t xml:space="preserve">glucagon concentrations determined </w:t>
      </w:r>
      <w:r w:rsidR="00FA6496">
        <w:rPr>
          <w:rFonts w:ascii="Arial" w:hAnsi="Arial" w:cs="Arial"/>
        </w:rPr>
        <w:t xml:space="preserve">by </w:t>
      </w:r>
      <w:r w:rsidR="00DA3E04">
        <w:rPr>
          <w:rFonts w:ascii="Arial" w:hAnsi="Arial" w:cs="Arial"/>
        </w:rPr>
        <w:t>an LC-MS/MS assay and a traditional RIA method</w:t>
      </w:r>
      <w:r w:rsidR="00FA6496">
        <w:rPr>
          <w:rFonts w:ascii="Arial" w:hAnsi="Arial" w:cs="Arial"/>
        </w:rPr>
        <w:t xml:space="preserve"> using a large number of clinical samples</w:t>
      </w:r>
      <w:r w:rsidR="00A41A25">
        <w:rPr>
          <w:rFonts w:ascii="Arial" w:hAnsi="Arial" w:cs="Arial"/>
        </w:rPr>
        <w:t xml:space="preserve"> derived from a physiological study of glucagon’s actions in the body</w:t>
      </w:r>
      <w:r w:rsidR="00FA6496">
        <w:rPr>
          <w:rFonts w:ascii="Arial" w:hAnsi="Arial" w:cs="Arial"/>
        </w:rPr>
        <w:t xml:space="preserve"> (n=</w:t>
      </w:r>
      <w:r w:rsidR="00884B14">
        <w:rPr>
          <w:rFonts w:ascii="Arial" w:hAnsi="Arial" w:cs="Arial"/>
        </w:rPr>
        <w:t>88</w:t>
      </w:r>
      <w:r w:rsidR="00FA6496">
        <w:rPr>
          <w:rFonts w:ascii="Arial" w:hAnsi="Arial" w:cs="Arial"/>
        </w:rPr>
        <w:t>)</w:t>
      </w:r>
      <w:r w:rsidR="00A41A25">
        <w:rPr>
          <w:rFonts w:ascii="Arial" w:hAnsi="Arial" w:cs="Arial"/>
        </w:rPr>
        <w:t>.</w:t>
      </w:r>
    </w:p>
    <w:p w:rsidR="00F20A9B" w:rsidRDefault="006F7F74" w:rsidP="00550C28">
      <w:pPr>
        <w:spacing w:line="360" w:lineRule="auto"/>
        <w:jc w:val="both"/>
        <w:rPr>
          <w:rFonts w:ascii="Arial" w:hAnsi="Arial" w:cs="Arial"/>
        </w:rPr>
      </w:pPr>
      <w:r>
        <w:rPr>
          <w:rFonts w:ascii="Arial" w:hAnsi="Arial" w:cs="Arial"/>
        </w:rPr>
        <w:t xml:space="preserve">The assay‘s performance has been </w:t>
      </w:r>
      <w:r w:rsidR="00067273">
        <w:rPr>
          <w:rFonts w:ascii="Arial" w:hAnsi="Arial" w:cs="Arial"/>
        </w:rPr>
        <w:t>evaluated</w:t>
      </w:r>
      <w:r>
        <w:rPr>
          <w:rFonts w:ascii="Arial" w:hAnsi="Arial" w:cs="Arial"/>
        </w:rPr>
        <w:t xml:space="preserve"> using experiments described in the latest EMA</w:t>
      </w:r>
      <w:r w:rsidR="009901C1">
        <w:rPr>
          <w:rFonts w:ascii="Arial" w:hAnsi="Arial" w:cs="Arial"/>
        </w:rPr>
        <w:t xml:space="preserve"> </w:t>
      </w:r>
      <w:r w:rsidR="001B586C" w:rsidRPr="00E777CA">
        <w:rPr>
          <w:rFonts w:ascii="Arial" w:hAnsi="Arial" w:cs="Arial"/>
        </w:rPr>
        <w:fldChar w:fldCharType="begin" w:fldLock="1"/>
      </w:r>
      <w:r w:rsidR="00261C24">
        <w:rPr>
          <w:rFonts w:ascii="Arial" w:hAnsi="Arial" w:cs="Arial"/>
        </w:rPr>
        <w:instrText>ADDIN CSL_CITATION { "citationItems" : [ { "id" : "ITEM-1", "itemData" : { "id" : "ITEM-1", "issued" : { "date-parts" : [ [ "2012" ] ] }, "title" : "Guideline on bioanalytical method validation, EMA", "type" : "article-journal" }, "uris" : [ "http://www.mendeley.com/documents/?uuid=62ca7abe-b29a-4685-966f-7b286a090e82" ] } ], "mendeley" : { "previouslyFormattedCitation" : "[17]" }, "properties" : { "noteIndex" : 0 }, "schema" : "https://github.com/citation-style-language/schema/raw/master/csl-citation.json" }</w:instrText>
      </w:r>
      <w:r w:rsidR="001B586C" w:rsidRPr="00E777CA">
        <w:rPr>
          <w:rFonts w:ascii="Arial" w:hAnsi="Arial" w:cs="Arial"/>
        </w:rPr>
        <w:fldChar w:fldCharType="separate"/>
      </w:r>
      <w:r w:rsidR="00EC3CF8" w:rsidRPr="00EC3CF8">
        <w:rPr>
          <w:rFonts w:ascii="Arial" w:hAnsi="Arial" w:cs="Arial"/>
          <w:noProof/>
        </w:rPr>
        <w:t>[17]</w:t>
      </w:r>
      <w:r w:rsidR="001B586C" w:rsidRPr="00E777CA">
        <w:rPr>
          <w:rFonts w:ascii="Arial" w:hAnsi="Arial" w:cs="Arial"/>
        </w:rPr>
        <w:fldChar w:fldCharType="end"/>
      </w:r>
      <w:r w:rsidR="009901C1">
        <w:rPr>
          <w:rFonts w:ascii="Arial" w:hAnsi="Arial" w:cs="Arial"/>
        </w:rPr>
        <w:t xml:space="preserve"> and FDA </w:t>
      </w:r>
      <w:r w:rsidR="001B586C" w:rsidRPr="00E777CA">
        <w:rPr>
          <w:rFonts w:ascii="Arial" w:hAnsi="Arial" w:cs="Arial"/>
        </w:rPr>
        <w:fldChar w:fldCharType="begin" w:fldLock="1"/>
      </w:r>
      <w:r w:rsidR="00261C24">
        <w:rPr>
          <w:rFonts w:ascii="Arial" w:hAnsi="Arial" w:cs="Arial"/>
        </w:rPr>
        <w:instrText>ADDIN CSL_CITATION { "citationItems" : [ { "id" : "ITEM-1", "itemData" : { "id" : "ITEM-1", "issued" : { "date-parts" : [ [ "2001" ] ] }, "publisher" : "U.S. Department of Health and Human Services, Food and Drug Administration, Center for Drug Evaluation and Research (CDER), Center for Veterinary Medicine (CVM), May 2001", "title" : "Guidance for industry: Bioanalytical method validation", "type" : "book" }, "uris" : [ "http://www.mendeley.com/documents/?uuid=bf5e78ab-9663-4318-9b1a-5c5edb08dd59" ] } ], "mendeley" : { "previouslyFormattedCitation" : "[16]" }, "properties" : { "noteIndex" : 0 }, "schema" : "https://github.com/citation-style-language/schema/raw/master/csl-citation.json" }</w:instrText>
      </w:r>
      <w:r w:rsidR="001B586C" w:rsidRPr="00E777CA">
        <w:rPr>
          <w:rFonts w:ascii="Arial" w:hAnsi="Arial" w:cs="Arial"/>
        </w:rPr>
        <w:fldChar w:fldCharType="separate"/>
      </w:r>
      <w:r w:rsidR="00EC3CF8" w:rsidRPr="00EC3CF8">
        <w:rPr>
          <w:rFonts w:ascii="Arial" w:hAnsi="Arial" w:cs="Arial"/>
          <w:noProof/>
        </w:rPr>
        <w:t>[16]</w:t>
      </w:r>
      <w:r w:rsidR="001B586C" w:rsidRPr="00E777CA">
        <w:rPr>
          <w:rFonts w:ascii="Arial" w:hAnsi="Arial" w:cs="Arial"/>
        </w:rPr>
        <w:fldChar w:fldCharType="end"/>
      </w:r>
      <w:r w:rsidR="009901C1">
        <w:rPr>
          <w:rFonts w:ascii="Arial" w:hAnsi="Arial" w:cs="Arial"/>
        </w:rPr>
        <w:t xml:space="preserve"> guidance</w:t>
      </w:r>
      <w:r>
        <w:rPr>
          <w:rFonts w:ascii="Arial" w:hAnsi="Arial" w:cs="Arial"/>
        </w:rPr>
        <w:t xml:space="preserve"> and in accordance to the principles of GCP </w:t>
      </w:r>
      <w:r w:rsidR="001B586C" w:rsidRPr="005F04FB">
        <w:rPr>
          <w:rFonts w:ascii="Arial" w:hAnsi="Arial" w:cs="Arial"/>
        </w:rPr>
        <w:fldChar w:fldCharType="begin" w:fldLock="1"/>
      </w:r>
      <w:r w:rsidR="00261C24">
        <w:rPr>
          <w:rFonts w:ascii="Arial" w:hAnsi="Arial" w:cs="Arial"/>
        </w:rPr>
        <w:instrText>ADDIN CSL_CITATION { "citationItems" : [ { "id" : "ITEM-1", "itemData" : { "id" : "ITEM-1", "issued" : { "date-parts" : [ [ "1996" ] ] }, "publisher" : "European Medicines Agency", "title" : "International committee on harmonisation (ICH) guideline E6: Triparite guidelines for GCP, EMEA", "type" : "article-journal" }, "uris" : [ "http://www.mendeley.com/documents/?uuid=baa1f701-54db-4721-b4b8-7c0d2b72f182" ] } ], "mendeley" : { "previouslyFormattedCitation" : "[22]" }, "properties" : { "noteIndex" : 0 }, "schema" : "https://github.com/citation-style-language/schema/raw/master/csl-citation.json" }</w:instrText>
      </w:r>
      <w:r w:rsidR="001B586C" w:rsidRPr="005F04FB">
        <w:rPr>
          <w:rFonts w:ascii="Arial" w:hAnsi="Arial" w:cs="Arial"/>
        </w:rPr>
        <w:fldChar w:fldCharType="separate"/>
      </w:r>
      <w:r w:rsidR="00EC3CF8" w:rsidRPr="00EC3CF8">
        <w:rPr>
          <w:rFonts w:ascii="Arial" w:hAnsi="Arial" w:cs="Arial"/>
          <w:noProof/>
        </w:rPr>
        <w:t>[22]</w:t>
      </w:r>
      <w:r w:rsidR="001B586C" w:rsidRPr="005F04FB">
        <w:rPr>
          <w:rFonts w:ascii="Arial" w:hAnsi="Arial" w:cs="Arial"/>
        </w:rPr>
        <w:fldChar w:fldCharType="end"/>
      </w:r>
      <w:r>
        <w:rPr>
          <w:rFonts w:ascii="Arial" w:hAnsi="Arial" w:cs="Arial"/>
        </w:rPr>
        <w:t>.</w:t>
      </w:r>
      <w:r w:rsidR="00591934">
        <w:rPr>
          <w:rFonts w:ascii="Arial" w:hAnsi="Arial" w:cs="Arial"/>
        </w:rPr>
        <w:t xml:space="preserve"> </w:t>
      </w:r>
    </w:p>
    <w:p w:rsidR="00F85C59" w:rsidRPr="00027278" w:rsidRDefault="00F85C59" w:rsidP="00F85C59">
      <w:pPr>
        <w:spacing w:line="360" w:lineRule="auto"/>
        <w:rPr>
          <w:rFonts w:ascii="Arial" w:hAnsi="Arial" w:cs="Arial"/>
          <w:b/>
          <w:u w:val="single"/>
        </w:rPr>
      </w:pPr>
      <w:r w:rsidRPr="00027278">
        <w:rPr>
          <w:rFonts w:ascii="Arial" w:hAnsi="Arial" w:cs="Arial"/>
          <w:b/>
          <w:u w:val="single"/>
        </w:rPr>
        <w:t>Key Terms</w:t>
      </w:r>
    </w:p>
    <w:p w:rsidR="00F85C59" w:rsidRPr="00027278" w:rsidRDefault="00F85C59" w:rsidP="00F85C59">
      <w:pPr>
        <w:spacing w:line="360" w:lineRule="auto"/>
        <w:jc w:val="both"/>
        <w:rPr>
          <w:rFonts w:ascii="Arial" w:hAnsi="Arial" w:cs="Arial"/>
        </w:rPr>
      </w:pPr>
      <w:r w:rsidRPr="00027278">
        <w:rPr>
          <w:rFonts w:ascii="Arial" w:hAnsi="Arial" w:cs="Arial"/>
          <w:i/>
        </w:rPr>
        <w:t>Radioimmunoassay (RIA)</w:t>
      </w:r>
      <w:r w:rsidRPr="00027278">
        <w:rPr>
          <w:rFonts w:ascii="Arial" w:hAnsi="Arial" w:cs="Arial"/>
        </w:rPr>
        <w:t xml:space="preserve"> - A highly sensitive technique used to measure concentrations of antigens (e.g. peptides) by use of antibodies. Pre-bound radioactively labelled antigens are displaced by non-radioactive </w:t>
      </w:r>
      <w:r w:rsidR="00BA28AA" w:rsidRPr="00CD1A31">
        <w:rPr>
          <w:rFonts w:ascii="Arial" w:hAnsi="Arial" w:cs="Arial"/>
        </w:rPr>
        <w:t>antigens from a sample.</w:t>
      </w:r>
      <w:r w:rsidRPr="00CD1A31">
        <w:rPr>
          <w:rFonts w:ascii="Arial" w:hAnsi="Arial" w:cs="Arial"/>
        </w:rPr>
        <w:t xml:space="preserve"> </w:t>
      </w:r>
      <w:r w:rsidR="00BA28AA" w:rsidRPr="00CD1A31">
        <w:rPr>
          <w:rFonts w:ascii="Arial" w:hAnsi="Arial" w:cs="Arial"/>
        </w:rPr>
        <w:t>Monitoring the change in</w:t>
      </w:r>
      <w:r w:rsidRPr="00CD1A31">
        <w:rPr>
          <w:rFonts w:ascii="Arial" w:hAnsi="Arial" w:cs="Arial"/>
        </w:rPr>
        <w:t xml:space="preserve"> radioactivity a</w:t>
      </w:r>
      <w:r w:rsidR="008C7FF8" w:rsidRPr="00CD1A31">
        <w:rPr>
          <w:rFonts w:ascii="Arial" w:hAnsi="Arial" w:cs="Arial"/>
        </w:rPr>
        <w:t>llows</w:t>
      </w:r>
      <w:r w:rsidRPr="00CD1A31">
        <w:rPr>
          <w:rFonts w:ascii="Arial" w:hAnsi="Arial" w:cs="Arial"/>
        </w:rPr>
        <w:t xml:space="preserve"> quantitation. </w:t>
      </w:r>
    </w:p>
    <w:p w:rsidR="00F20A9B" w:rsidRPr="005D677F" w:rsidRDefault="00F85C59" w:rsidP="00027278">
      <w:pPr>
        <w:jc w:val="both"/>
        <w:rPr>
          <w:rFonts w:ascii="Arial" w:hAnsi="Arial" w:cs="Arial"/>
          <w:b/>
          <w:sz w:val="24"/>
          <w:szCs w:val="24"/>
          <w:u w:val="single"/>
        </w:rPr>
      </w:pPr>
      <w:r w:rsidRPr="00027278">
        <w:rPr>
          <w:rFonts w:ascii="Arial" w:hAnsi="Arial" w:cs="Arial"/>
          <w:i/>
        </w:rPr>
        <w:t xml:space="preserve">UHPLC-MS/MS (SRM) </w:t>
      </w:r>
      <w:r w:rsidR="00E120F6" w:rsidRPr="00027278">
        <w:rPr>
          <w:rFonts w:ascii="Arial" w:hAnsi="Arial" w:cs="Arial"/>
          <w:i/>
        </w:rPr>
        <w:t>–</w:t>
      </w:r>
      <w:r w:rsidRPr="00027278">
        <w:rPr>
          <w:rFonts w:ascii="Arial" w:hAnsi="Arial" w:cs="Arial"/>
        </w:rPr>
        <w:t xml:space="preserve"> </w:t>
      </w:r>
      <w:r w:rsidR="00E120F6" w:rsidRPr="00027278">
        <w:rPr>
          <w:rFonts w:ascii="Arial" w:hAnsi="Arial" w:cs="Arial"/>
        </w:rPr>
        <w:t>An analytical methodology</w:t>
      </w:r>
      <w:r w:rsidRPr="00027278">
        <w:rPr>
          <w:rFonts w:ascii="Arial" w:hAnsi="Arial" w:cs="Arial"/>
        </w:rPr>
        <w:t xml:space="preserve"> that combine</w:t>
      </w:r>
      <w:r w:rsidR="00E120F6" w:rsidRPr="00027278">
        <w:rPr>
          <w:rFonts w:ascii="Arial" w:hAnsi="Arial" w:cs="Arial"/>
        </w:rPr>
        <w:t>s</w:t>
      </w:r>
      <w:r w:rsidRPr="00027278">
        <w:rPr>
          <w:rFonts w:ascii="Arial" w:hAnsi="Arial" w:cs="Arial"/>
        </w:rPr>
        <w:t xml:space="preserve"> the use of </w:t>
      </w:r>
      <w:r w:rsidR="0032369E" w:rsidRPr="00027278">
        <w:rPr>
          <w:rFonts w:ascii="Arial" w:hAnsi="Arial" w:cs="Arial"/>
        </w:rPr>
        <w:t>ultra-high</w:t>
      </w:r>
      <w:r w:rsidRPr="00027278">
        <w:rPr>
          <w:rFonts w:ascii="Arial" w:hAnsi="Arial" w:cs="Arial"/>
        </w:rPr>
        <w:t xml:space="preserve"> performance liquid chromatographic (UHPLC) separations with</w:t>
      </w:r>
      <w:r w:rsidR="008C7FF8" w:rsidRPr="00027278">
        <w:rPr>
          <w:rFonts w:ascii="Arial" w:hAnsi="Arial" w:cs="Arial"/>
        </w:rPr>
        <w:t xml:space="preserve"> sensitive mass spectrometer</w:t>
      </w:r>
      <w:r w:rsidRPr="00027278">
        <w:rPr>
          <w:rFonts w:ascii="Arial" w:hAnsi="Arial" w:cs="Arial"/>
        </w:rPr>
        <w:t xml:space="preserve"> selected reaction monitoring</w:t>
      </w:r>
      <w:r w:rsidR="008C7FF8" w:rsidRPr="00027278">
        <w:rPr>
          <w:rFonts w:ascii="Arial" w:hAnsi="Arial" w:cs="Arial"/>
        </w:rPr>
        <w:t xml:space="preserve"> (SRM).</w:t>
      </w:r>
      <w:r w:rsidRPr="00027278">
        <w:rPr>
          <w:rFonts w:ascii="Arial" w:hAnsi="Arial" w:cs="Arial"/>
        </w:rPr>
        <w:t xml:space="preserve"> Traditionally used for small molecule quantitation, </w:t>
      </w:r>
      <w:r w:rsidR="00BA28AA" w:rsidRPr="00027278">
        <w:rPr>
          <w:rFonts w:ascii="Arial" w:hAnsi="Arial" w:cs="Arial"/>
        </w:rPr>
        <w:t xml:space="preserve">but </w:t>
      </w:r>
      <w:r w:rsidRPr="00027278">
        <w:rPr>
          <w:rFonts w:ascii="Arial" w:hAnsi="Arial" w:cs="Arial"/>
        </w:rPr>
        <w:t>increasingly</w:t>
      </w:r>
      <w:r w:rsidR="00451B9C" w:rsidRPr="00027278">
        <w:rPr>
          <w:rFonts w:ascii="Arial" w:hAnsi="Arial" w:cs="Arial"/>
        </w:rPr>
        <w:t xml:space="preserve"> used</w:t>
      </w:r>
      <w:r w:rsidRPr="00027278">
        <w:rPr>
          <w:rFonts w:ascii="Arial" w:hAnsi="Arial" w:cs="Arial"/>
        </w:rPr>
        <w:t xml:space="preserve"> </w:t>
      </w:r>
      <w:r w:rsidR="00451B9C" w:rsidRPr="00027278">
        <w:rPr>
          <w:rFonts w:ascii="Arial" w:hAnsi="Arial" w:cs="Arial"/>
        </w:rPr>
        <w:t>for the</w:t>
      </w:r>
      <w:r w:rsidR="00857FDA" w:rsidRPr="00027278">
        <w:rPr>
          <w:rFonts w:ascii="Arial" w:hAnsi="Arial" w:cs="Arial"/>
        </w:rPr>
        <w:t xml:space="preserve"> quantitation of </w:t>
      </w:r>
      <w:r w:rsidRPr="00027278">
        <w:rPr>
          <w:rFonts w:ascii="Arial" w:hAnsi="Arial" w:cs="Arial"/>
        </w:rPr>
        <w:t xml:space="preserve">biological </w:t>
      </w:r>
      <w:r w:rsidR="00451B9C" w:rsidRPr="00027278">
        <w:rPr>
          <w:rFonts w:ascii="Arial" w:hAnsi="Arial" w:cs="Arial"/>
        </w:rPr>
        <w:t>molecules (</w:t>
      </w:r>
      <w:r w:rsidR="00BA28AA" w:rsidRPr="00027278">
        <w:rPr>
          <w:rFonts w:ascii="Arial" w:hAnsi="Arial" w:cs="Arial"/>
        </w:rPr>
        <w:t>e.g. peptides)</w:t>
      </w:r>
      <w:r w:rsidR="006F708B" w:rsidRPr="00027278">
        <w:rPr>
          <w:rFonts w:ascii="Arial" w:hAnsi="Arial" w:cs="Arial"/>
        </w:rPr>
        <w:t>.</w:t>
      </w:r>
      <w:r w:rsidR="0062646D">
        <w:rPr>
          <w:rFonts w:ascii="Arial" w:hAnsi="Arial" w:cs="Arial"/>
          <w:b/>
          <w:sz w:val="24"/>
          <w:szCs w:val="24"/>
          <w:u w:val="single"/>
        </w:rPr>
        <w:br w:type="page"/>
      </w:r>
      <w:r w:rsidR="0078326E" w:rsidRPr="005D677F">
        <w:rPr>
          <w:rFonts w:ascii="Arial" w:hAnsi="Arial" w:cs="Arial"/>
          <w:b/>
          <w:sz w:val="24"/>
          <w:szCs w:val="24"/>
          <w:u w:val="single"/>
        </w:rPr>
        <w:lastRenderedPageBreak/>
        <w:t xml:space="preserve">Experimental </w:t>
      </w:r>
    </w:p>
    <w:p w:rsidR="00672D64" w:rsidRDefault="00672D64" w:rsidP="00672D64">
      <w:pPr>
        <w:spacing w:line="360" w:lineRule="auto"/>
        <w:jc w:val="both"/>
        <w:rPr>
          <w:rFonts w:ascii="Arial" w:hAnsi="Arial" w:cs="Arial"/>
          <w:i/>
          <w:u w:val="single"/>
        </w:rPr>
      </w:pPr>
      <w:r>
        <w:rPr>
          <w:rFonts w:ascii="Arial" w:hAnsi="Arial" w:cs="Arial"/>
          <w:i/>
          <w:u w:val="single"/>
        </w:rPr>
        <w:t>Chemicals and materials</w:t>
      </w:r>
    </w:p>
    <w:p w:rsidR="00672D64" w:rsidRPr="00EE5516" w:rsidRDefault="006B1978" w:rsidP="00672D64">
      <w:pPr>
        <w:spacing w:line="360" w:lineRule="auto"/>
        <w:jc w:val="both"/>
        <w:rPr>
          <w:rFonts w:ascii="Arial" w:hAnsi="Arial" w:cs="Arial"/>
        </w:rPr>
      </w:pPr>
      <w:r>
        <w:rPr>
          <w:rFonts w:ascii="Arial" w:hAnsi="Arial" w:cs="Arial"/>
        </w:rPr>
        <w:t>Certified</w:t>
      </w:r>
      <w:bookmarkStart w:id="0" w:name="_GoBack"/>
      <w:bookmarkEnd w:id="0"/>
      <w:r>
        <w:rPr>
          <w:rFonts w:ascii="Arial" w:hAnsi="Arial" w:cs="Arial"/>
        </w:rPr>
        <w:t xml:space="preserve"> h</w:t>
      </w:r>
      <w:r w:rsidR="005624EB">
        <w:rPr>
          <w:rFonts w:ascii="Arial" w:hAnsi="Arial" w:cs="Arial"/>
        </w:rPr>
        <w:t>uman glucagon (</w:t>
      </w:r>
      <w:r w:rsidR="005624EB" w:rsidRPr="00F115BE">
        <w:rPr>
          <w:rFonts w:ascii="Arial" w:hAnsi="Arial" w:cs="Arial"/>
        </w:rPr>
        <w:t>HSQGTFTSDYSKYLDSRRAQDFVQWLMNT</w:t>
      </w:r>
      <w:r w:rsidR="005624EB">
        <w:rPr>
          <w:rFonts w:ascii="Arial" w:hAnsi="Arial" w:cs="Arial"/>
        </w:rPr>
        <w:t>) was obtained from EDQM (Strasbourg, France) and</w:t>
      </w:r>
      <w:r w:rsidR="00596711">
        <w:rPr>
          <w:rFonts w:ascii="Arial" w:hAnsi="Arial" w:cs="Arial"/>
        </w:rPr>
        <w:t xml:space="preserve"> the</w:t>
      </w:r>
      <w:r w:rsidR="000B0A6C">
        <w:rPr>
          <w:rFonts w:ascii="Arial" w:hAnsi="Arial" w:cs="Arial"/>
        </w:rPr>
        <w:t xml:space="preserve"> </w:t>
      </w:r>
      <w:r w:rsidR="00553DCC">
        <w:rPr>
          <w:rFonts w:ascii="Arial" w:hAnsi="Arial" w:cs="Arial"/>
        </w:rPr>
        <w:t>analog</w:t>
      </w:r>
      <w:r w:rsidR="00596711">
        <w:rPr>
          <w:rFonts w:ascii="Arial" w:hAnsi="Arial" w:cs="Arial"/>
        </w:rPr>
        <w:t xml:space="preserve"> internal </w:t>
      </w:r>
      <w:r w:rsidR="00672D64">
        <w:rPr>
          <w:rFonts w:ascii="Arial" w:hAnsi="Arial" w:cs="Arial"/>
        </w:rPr>
        <w:t>standard</w:t>
      </w:r>
      <w:r w:rsidR="00FA346C">
        <w:rPr>
          <w:rFonts w:ascii="Arial" w:hAnsi="Arial" w:cs="Arial"/>
        </w:rPr>
        <w:t xml:space="preserve"> (IS)</w:t>
      </w:r>
      <w:r w:rsidR="00672D64">
        <w:rPr>
          <w:rFonts w:ascii="Arial" w:hAnsi="Arial" w:cs="Arial"/>
        </w:rPr>
        <w:t xml:space="preserve"> (</w:t>
      </w:r>
      <w:r w:rsidR="005624EB">
        <w:rPr>
          <w:rFonts w:ascii="Arial" w:hAnsi="Arial" w:cs="Arial"/>
        </w:rPr>
        <w:t>des-thr</w:t>
      </w:r>
      <w:r w:rsidR="005624EB" w:rsidRPr="00432C45">
        <w:rPr>
          <w:rFonts w:ascii="Arial" w:hAnsi="Arial" w:cs="Arial"/>
          <w:vertAlign w:val="superscript"/>
        </w:rPr>
        <w:t>7</w:t>
      </w:r>
      <w:r w:rsidR="005624EB">
        <w:rPr>
          <w:rFonts w:ascii="Arial" w:hAnsi="Arial" w:cs="Arial"/>
        </w:rPr>
        <w:t>-g</w:t>
      </w:r>
      <w:r w:rsidR="005624EB" w:rsidRPr="00524245">
        <w:rPr>
          <w:rFonts w:ascii="Arial" w:hAnsi="Arial" w:cs="Arial"/>
        </w:rPr>
        <w:t>lucagon</w:t>
      </w:r>
      <w:r w:rsidR="00596711">
        <w:rPr>
          <w:rFonts w:ascii="Arial" w:hAnsi="Arial" w:cs="Arial"/>
        </w:rPr>
        <w:t>)</w:t>
      </w:r>
      <w:r w:rsidR="005624EB">
        <w:rPr>
          <w:rFonts w:ascii="Arial" w:hAnsi="Arial" w:cs="Arial"/>
        </w:rPr>
        <w:t xml:space="preserve"> (</w:t>
      </w:r>
      <w:r w:rsidR="005624EB" w:rsidRPr="00F115BE">
        <w:rPr>
          <w:rFonts w:ascii="Arial" w:hAnsi="Arial" w:cs="Arial"/>
        </w:rPr>
        <w:t>HSQGT</w:t>
      </w:r>
      <w:r w:rsidR="005624EB">
        <w:rPr>
          <w:rFonts w:ascii="Arial" w:hAnsi="Arial" w:cs="Arial"/>
        </w:rPr>
        <w:t>F</w:t>
      </w:r>
      <w:r w:rsidR="005624EB" w:rsidRPr="00F115BE">
        <w:rPr>
          <w:rFonts w:ascii="Arial" w:hAnsi="Arial" w:cs="Arial"/>
        </w:rPr>
        <w:t>SDYS</w:t>
      </w:r>
      <w:r w:rsidR="005624EB">
        <w:rPr>
          <w:rFonts w:ascii="Arial" w:hAnsi="Arial" w:cs="Arial"/>
        </w:rPr>
        <w:t xml:space="preserve"> </w:t>
      </w:r>
      <w:r w:rsidR="005624EB" w:rsidRPr="00F115BE">
        <w:rPr>
          <w:rFonts w:ascii="Arial" w:hAnsi="Arial" w:cs="Arial"/>
        </w:rPr>
        <w:t>KYLDSRRAQDFVQWLMNT</w:t>
      </w:r>
      <w:r w:rsidR="005624EB">
        <w:rPr>
          <w:rFonts w:ascii="Arial" w:hAnsi="Arial" w:cs="Arial"/>
        </w:rPr>
        <w:t>) from Bachem (</w:t>
      </w:r>
      <w:r w:rsidR="005624EB" w:rsidRPr="00432C45">
        <w:rPr>
          <w:rFonts w:ascii="Arial" w:hAnsi="Arial" w:cs="Arial"/>
        </w:rPr>
        <w:t>Bubendorf, Switzerland</w:t>
      </w:r>
      <w:r w:rsidR="005624EB">
        <w:rPr>
          <w:rFonts w:ascii="Arial" w:hAnsi="Arial" w:cs="Arial"/>
        </w:rPr>
        <w:t>).</w:t>
      </w:r>
      <w:r w:rsidR="00512216">
        <w:rPr>
          <w:rFonts w:ascii="Arial" w:hAnsi="Arial" w:cs="Arial"/>
        </w:rPr>
        <w:t xml:space="preserve"> </w:t>
      </w:r>
      <w:r w:rsidR="00DD1DEC">
        <w:rPr>
          <w:rFonts w:ascii="Arial" w:hAnsi="Arial" w:cs="Arial"/>
        </w:rPr>
        <w:t xml:space="preserve">This  internal </w:t>
      </w:r>
      <w:r w:rsidR="00EE5516">
        <w:rPr>
          <w:rFonts w:ascii="Arial" w:hAnsi="Arial" w:cs="Arial"/>
        </w:rPr>
        <w:t xml:space="preserve">standard </w:t>
      </w:r>
      <w:r w:rsidR="00374C19">
        <w:rPr>
          <w:rFonts w:ascii="Arial" w:hAnsi="Arial" w:cs="Arial"/>
        </w:rPr>
        <w:t xml:space="preserve">has given suitable performance </w:t>
      </w:r>
      <w:r w:rsidR="00EE5516">
        <w:rPr>
          <w:rFonts w:ascii="Arial" w:hAnsi="Arial" w:cs="Arial"/>
        </w:rPr>
        <w:t xml:space="preserve">in LC-MS/MS glucagon assays   </w:t>
      </w:r>
      <w:r w:rsidR="001B586C">
        <w:rPr>
          <w:rFonts w:ascii="Arial" w:hAnsi="Arial" w:cs="Arial"/>
        </w:rPr>
        <w:fldChar w:fldCharType="begin" w:fldLock="1"/>
      </w:r>
      <w:r w:rsidR="00261C24">
        <w:rPr>
          <w:rFonts w:ascii="Arial" w:hAnsi="Arial" w:cs="Arial"/>
        </w:rPr>
        <w:instrText>ADDIN CSL_CITATION { "citationItems" : [ { "id" : "ITEM-1", "itemData" : { "author" : [ { "dropping-particle" : "", "family" : "Lapko, P. Brown, R. Nachi, C. Kafonek, A. Dzerk, B. Retke", "given" : "C. Ohnmacht", "non-dropping-particle" : "V.", "parse-names" : false, "suffix" : "" }, { "dropping-particle" : "", "family" : "Davis", "given" : "C. Sheldon and I.", "non-dropping-particle" : "", "parse-names" : false, "suffix" : "" } ], "container-title" : "EBF 3rd Annual Open Symposium: From Challenges to Solutions", "id" : "ITEM-1", "issued" : { "date-parts" : [ [ "0" ] ] }, "publisher-place" : "Barcelona, Spain, 1 - 3 December 2010", "title" : "Exploring quantification of peptides: measurement of glucagon in human plasma by LC\u2013MS/MS. Presented at:", "type" : "paper-conference" }, "uris" : [ "http://www.mendeley.com/documents/?uuid=d988a2cd-1593-499a-a2f6-73b1fa0119f3" ] } ], "mendeley" : { "previouslyFormattedCitation" : "[12]"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[12]</w:t>
      </w:r>
      <w:r w:rsidR="001B586C">
        <w:rPr>
          <w:rFonts w:ascii="Arial" w:hAnsi="Arial" w:cs="Arial"/>
        </w:rPr>
        <w:fldChar w:fldCharType="end"/>
      </w:r>
      <w:r w:rsidR="00EE5516" w:rsidRPr="00EE5516">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"author" : [ { "dropping-particle" : "", "family" : "F. Garofolo, J. N. Mess, L. P. Morin, M. Aiello, X. Misonne, G. Impey, J. Cardenas", "given" : "J. Michon", "non-dropping-particle" : "", "parse-names" : false, "suffix" : "" } ], "container-title" : "2013 American Association of Pharmaceutical Scientists National Biotechnology Conference", "id" : "ITEM-1", "issued" : { "date-parts" : [ [ "0" ] ] }, "publisher-place" : "San Diego, CA, 20-22 May 2013", "title" : "Glucagon bioanalysis by LC\u2013MS: unprecedented level of sensitivity (10 pg/ml) for a novel formulation. Presented at:", "type" : "paper-conference" }, "uris" : [ "http://www.mendeley.com/documents/?uuid=ac50f8a6-6e8b-4cb7-bf49-0004f7b48574" ] } ], "mendeley" : { "previouslyFormattedCitation" : "[13]"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[13]</w:t>
      </w:r>
      <w:r w:rsidR="001B586C">
        <w:rPr>
          <w:rFonts w:ascii="Arial" w:hAnsi="Arial" w:cs="Arial"/>
        </w:rPr>
        <w:fldChar w:fldCharType="end"/>
      </w:r>
      <w:r w:rsidR="00EE5516">
        <w:rPr>
          <w:rFonts w:ascii="Arial" w:hAnsi="Arial" w:cs="Arial"/>
        </w:rPr>
        <w:t xml:space="preserve">, and it avoids the expense of synthesising a heavy labelled internal standard. </w:t>
      </w:r>
      <w:r w:rsidR="00E40D39" w:rsidRPr="001F374E">
        <w:rPr>
          <w:rFonts w:ascii="Arial" w:hAnsi="Arial" w:cs="Arial"/>
        </w:rPr>
        <w:t>Water was produced by</w:t>
      </w:r>
      <w:r w:rsidR="00E40D39">
        <w:rPr>
          <w:rFonts w:ascii="Arial" w:hAnsi="Arial" w:cs="Arial"/>
        </w:rPr>
        <w:t xml:space="preserve"> a </w:t>
      </w:r>
      <w:r w:rsidR="00591934">
        <w:rPr>
          <w:rFonts w:ascii="Arial" w:hAnsi="Arial" w:cs="Arial"/>
        </w:rPr>
        <w:t>Triple R</w:t>
      </w:r>
      <w:r w:rsidR="00E40D39">
        <w:rPr>
          <w:rFonts w:ascii="Arial" w:hAnsi="Arial" w:cs="Arial"/>
        </w:rPr>
        <w:t>ed</w:t>
      </w:r>
      <w:r w:rsidR="00E40D39" w:rsidRPr="001F374E">
        <w:rPr>
          <w:rFonts w:ascii="Arial" w:hAnsi="Arial" w:cs="Arial"/>
        </w:rPr>
        <w:t xml:space="preserve"> </w:t>
      </w:r>
      <w:r w:rsidR="00E40D39">
        <w:rPr>
          <w:rFonts w:ascii="Arial" w:hAnsi="Arial" w:cs="Arial"/>
        </w:rPr>
        <w:t xml:space="preserve">water </w:t>
      </w:r>
      <w:r w:rsidR="00E40D39" w:rsidRPr="001F374E">
        <w:rPr>
          <w:rFonts w:ascii="Arial" w:hAnsi="Arial" w:cs="Arial"/>
        </w:rPr>
        <w:t>purifier (</w:t>
      </w:r>
      <w:r w:rsidR="00E40D39">
        <w:rPr>
          <w:rFonts w:ascii="Arial" w:hAnsi="Arial" w:cs="Arial"/>
        </w:rPr>
        <w:t>Buckinghamshire</w:t>
      </w:r>
      <w:r w:rsidR="00E40D39" w:rsidRPr="001F374E">
        <w:rPr>
          <w:rFonts w:ascii="Arial" w:hAnsi="Arial" w:cs="Arial"/>
        </w:rPr>
        <w:t>, U.K.).</w:t>
      </w:r>
      <w:r w:rsidR="00E40D39">
        <w:rPr>
          <w:rFonts w:ascii="Arial" w:hAnsi="Arial" w:cs="Arial"/>
        </w:rPr>
        <w:t xml:space="preserve"> BD glass collection tubes </w:t>
      </w:r>
      <w:r w:rsidR="00361E81">
        <w:rPr>
          <w:rFonts w:ascii="Arial" w:hAnsi="Arial" w:cs="Arial"/>
        </w:rPr>
        <w:t xml:space="preserve">(5 mL) </w:t>
      </w:r>
      <w:r w:rsidR="00E40D39">
        <w:rPr>
          <w:rFonts w:ascii="Arial" w:hAnsi="Arial" w:cs="Arial"/>
        </w:rPr>
        <w:t xml:space="preserve">containing K3 EDTA anticoagulant and </w:t>
      </w:r>
      <w:r w:rsidR="00361E81">
        <w:rPr>
          <w:rFonts w:ascii="Arial" w:hAnsi="Arial" w:cs="Arial"/>
        </w:rPr>
        <w:t>250 Kallikrein</w:t>
      </w:r>
      <w:r w:rsidR="00E40D39" w:rsidRPr="008E6BAA">
        <w:rPr>
          <w:rFonts w:ascii="Arial" w:hAnsi="Arial" w:cs="Arial"/>
        </w:rPr>
        <w:t xml:space="preserve"> Inhibitor Unit</w:t>
      </w:r>
      <w:r w:rsidR="00E40D39">
        <w:rPr>
          <w:rFonts w:ascii="Arial" w:hAnsi="Arial" w:cs="Arial"/>
        </w:rPr>
        <w:t>s (KIU) of Aprotinin were obtained from BD (Oxford, UK).</w:t>
      </w:r>
      <w:r w:rsidR="00672D64">
        <w:rPr>
          <w:rFonts w:ascii="Arial" w:hAnsi="Arial" w:cs="Arial"/>
        </w:rPr>
        <w:t xml:space="preserve"> </w:t>
      </w:r>
      <w:r w:rsidR="00361E81">
        <w:rPr>
          <w:rFonts w:ascii="Arial" w:hAnsi="Arial" w:cs="Arial"/>
        </w:rPr>
        <w:t xml:space="preserve">Following </w:t>
      </w:r>
      <w:r w:rsidR="00672D64">
        <w:rPr>
          <w:rFonts w:ascii="Arial" w:hAnsi="Arial" w:cs="Arial"/>
        </w:rPr>
        <w:t>collection</w:t>
      </w:r>
      <w:r w:rsidR="00361E81">
        <w:rPr>
          <w:rFonts w:ascii="Arial" w:hAnsi="Arial" w:cs="Arial"/>
        </w:rPr>
        <w:t>,</w:t>
      </w:r>
      <w:r w:rsidR="00672D64">
        <w:rPr>
          <w:rFonts w:ascii="Arial" w:hAnsi="Arial" w:cs="Arial"/>
        </w:rPr>
        <w:t xml:space="preserve"> tubes were placed on ice, then centrifuged at 2300 </w:t>
      </w:r>
      <w:r w:rsidR="00591934">
        <w:rPr>
          <w:rFonts w:ascii="Arial" w:hAnsi="Arial" w:cs="Arial"/>
        </w:rPr>
        <w:t xml:space="preserve">x </w:t>
      </w:r>
      <w:r w:rsidR="00672D64">
        <w:rPr>
          <w:rFonts w:ascii="Arial" w:hAnsi="Arial" w:cs="Arial"/>
        </w:rPr>
        <w:t>g for 10 minutes to obtain plasma</w:t>
      </w:r>
      <w:r w:rsidR="00361E81">
        <w:rPr>
          <w:rFonts w:ascii="Arial" w:hAnsi="Arial" w:cs="Arial"/>
        </w:rPr>
        <w:t>,</w:t>
      </w:r>
      <w:r w:rsidR="00672D64">
        <w:rPr>
          <w:rFonts w:ascii="Arial" w:hAnsi="Arial" w:cs="Arial"/>
        </w:rPr>
        <w:t xml:space="preserve"> which was stored at -80</w:t>
      </w:r>
      <w:r w:rsidR="00672D64">
        <w:rPr>
          <w:rFonts w:ascii="Arial" w:hAnsi="Arial" w:cs="Arial"/>
        </w:rPr>
        <w:sym w:font="Symbol" w:char="F0B0"/>
      </w:r>
      <w:r w:rsidR="00672D64">
        <w:rPr>
          <w:rFonts w:ascii="Arial" w:hAnsi="Arial" w:cs="Arial"/>
        </w:rPr>
        <w:t>C when not in use. All chemicals and solvents were HPLC or analytical reagent grade and purchased from commercial vendors.</w:t>
      </w:r>
    </w:p>
    <w:p w:rsidR="003536B5" w:rsidRDefault="003536B5" w:rsidP="00550C28">
      <w:pPr>
        <w:spacing w:line="360" w:lineRule="auto"/>
        <w:jc w:val="both"/>
        <w:rPr>
          <w:rFonts w:ascii="Arial" w:hAnsi="Arial" w:cs="Arial"/>
          <w:i/>
          <w:u w:val="single"/>
        </w:rPr>
      </w:pPr>
      <w:r>
        <w:rPr>
          <w:rFonts w:ascii="Arial" w:hAnsi="Arial" w:cs="Arial"/>
          <w:i/>
          <w:u w:val="single"/>
        </w:rPr>
        <w:t>Instrumentation: LC-MS/MS</w:t>
      </w:r>
    </w:p>
    <w:p w:rsidR="003536B5" w:rsidRDefault="003536B5" w:rsidP="00550C28">
      <w:pPr>
        <w:spacing w:line="360" w:lineRule="auto"/>
        <w:jc w:val="both"/>
        <w:rPr>
          <w:rFonts w:ascii="Arial" w:hAnsi="Arial" w:cs="Arial"/>
        </w:rPr>
      </w:pPr>
      <w:r w:rsidRPr="003536B5">
        <w:rPr>
          <w:rFonts w:ascii="Arial" w:hAnsi="Arial" w:cs="Arial"/>
        </w:rPr>
        <w:t>The LC-MS/MS system consisted of a Waters Acquity UPLC system (Waters Corporation, Massachusetts, USA) coupled to an AB SCIEX 5500 QTRAP (</w:t>
      </w:r>
      <w:r w:rsidR="000D7E26">
        <w:rPr>
          <w:rFonts w:ascii="Arial" w:hAnsi="Arial" w:cs="Arial"/>
        </w:rPr>
        <w:t xml:space="preserve">Applied Biosystems / MDS SCIEX, </w:t>
      </w:r>
      <w:r w:rsidR="000D7E26" w:rsidRPr="000D7E26">
        <w:rPr>
          <w:rFonts w:ascii="Arial" w:hAnsi="Arial" w:cs="Arial"/>
        </w:rPr>
        <w:t>Ontario</w:t>
      </w:r>
      <w:r w:rsidRPr="003536B5">
        <w:rPr>
          <w:rFonts w:ascii="Arial" w:hAnsi="Arial" w:cs="Arial"/>
        </w:rPr>
        <w:t>, Canada) with a</w:t>
      </w:r>
      <w:r w:rsidR="00553847">
        <w:rPr>
          <w:rFonts w:ascii="Arial" w:hAnsi="Arial" w:cs="Arial"/>
        </w:rPr>
        <w:t>n</w:t>
      </w:r>
      <w:r w:rsidRPr="003536B5">
        <w:rPr>
          <w:rFonts w:ascii="Arial" w:hAnsi="Arial" w:cs="Arial"/>
        </w:rPr>
        <w:t xml:space="preserve"> electrospray ion source.</w:t>
      </w:r>
      <w:r w:rsidR="00F47C69">
        <w:rPr>
          <w:rFonts w:ascii="Arial" w:hAnsi="Arial" w:cs="Arial"/>
        </w:rPr>
        <w:t xml:space="preserve"> Data acquisition and processing were performed using Analyst 1.5.2 (Applied Biosystems/ MDS SCIEX). </w:t>
      </w:r>
      <w:r w:rsidR="00C65A0D" w:rsidRPr="00C65A0D">
        <w:rPr>
          <w:rFonts w:ascii="Arial" w:hAnsi="Arial" w:cs="Arial"/>
        </w:rPr>
        <w:t xml:space="preserve">The majority of the chromatograms were integrated using fully automated settings. A minority had their integration settings (peak selection, </w:t>
      </w:r>
      <w:r w:rsidR="00027278">
        <w:rPr>
          <w:rFonts w:ascii="Arial" w:hAnsi="Arial" w:cs="Arial"/>
        </w:rPr>
        <w:t>peak splitting factor</w:t>
      </w:r>
      <w:r w:rsidR="00C65A0D" w:rsidRPr="00C65A0D">
        <w:rPr>
          <w:rFonts w:ascii="Arial" w:hAnsi="Arial" w:cs="Arial"/>
        </w:rPr>
        <w:t xml:space="preserve">, noise percentage) altered to ensure appropriate and consistent integration. No samples were integrated using manual </w:t>
      </w:r>
      <w:r w:rsidR="00027278">
        <w:rPr>
          <w:rFonts w:ascii="Arial" w:hAnsi="Arial" w:cs="Arial"/>
        </w:rPr>
        <w:t>integration mode</w:t>
      </w:r>
      <w:r w:rsidR="00C65A0D" w:rsidRPr="00C65A0D">
        <w:rPr>
          <w:rFonts w:ascii="Arial" w:hAnsi="Arial" w:cs="Arial"/>
        </w:rPr>
        <w:t xml:space="preserve">.    </w:t>
      </w:r>
      <w:r w:rsidR="008677C4">
        <w:rPr>
          <w:rFonts w:ascii="Arial" w:hAnsi="Arial" w:cs="Arial"/>
        </w:rPr>
        <w:t xml:space="preserve">Glucagon was separated on a </w:t>
      </w:r>
      <w:r w:rsidR="008677C4" w:rsidRPr="008677C4">
        <w:rPr>
          <w:rFonts w:ascii="Arial" w:hAnsi="Arial" w:cs="Arial"/>
        </w:rPr>
        <w:t>Waters UPLC BEH C18 1.7 µm</w:t>
      </w:r>
      <w:r w:rsidR="008677C4">
        <w:rPr>
          <w:rFonts w:ascii="Arial" w:hAnsi="Arial" w:cs="Arial"/>
        </w:rPr>
        <w:t xml:space="preserve"> (2.1 x</w:t>
      </w:r>
      <w:r w:rsidR="008677C4" w:rsidRPr="008677C4">
        <w:rPr>
          <w:rFonts w:ascii="Arial" w:hAnsi="Arial" w:cs="Arial"/>
        </w:rPr>
        <w:t xml:space="preserve"> 100 mm</w:t>
      </w:r>
      <w:r w:rsidR="00B006BA">
        <w:rPr>
          <w:rFonts w:ascii="Arial" w:hAnsi="Arial" w:cs="Arial"/>
        </w:rPr>
        <w:t>) column</w:t>
      </w:r>
      <w:r w:rsidR="008677C4">
        <w:rPr>
          <w:rFonts w:ascii="Arial" w:hAnsi="Arial" w:cs="Arial"/>
        </w:rPr>
        <w:t xml:space="preserve"> maintained at 60 </w:t>
      </w:r>
      <w:r w:rsidR="008677C4">
        <w:rPr>
          <w:rFonts w:ascii="Arial" w:hAnsi="Arial" w:cs="Arial"/>
        </w:rPr>
        <w:sym w:font="Symbol" w:char="F0B0"/>
      </w:r>
      <w:r w:rsidR="008677C4">
        <w:rPr>
          <w:rFonts w:ascii="Arial" w:hAnsi="Arial" w:cs="Arial"/>
        </w:rPr>
        <w:t xml:space="preserve">C. The mobile phase </w:t>
      </w:r>
      <w:r w:rsidR="00E003E6">
        <w:rPr>
          <w:rFonts w:ascii="Arial" w:hAnsi="Arial" w:cs="Arial"/>
        </w:rPr>
        <w:t>consisted</w:t>
      </w:r>
      <w:r w:rsidR="007E3660">
        <w:rPr>
          <w:rFonts w:ascii="Arial" w:hAnsi="Arial" w:cs="Arial"/>
        </w:rPr>
        <w:t xml:space="preserve"> of</w:t>
      </w:r>
      <w:r w:rsidR="008677C4">
        <w:rPr>
          <w:rFonts w:ascii="Arial" w:hAnsi="Arial" w:cs="Arial"/>
        </w:rPr>
        <w:t xml:space="preserve"> (A) </w:t>
      </w:r>
      <w:r w:rsidR="00C657F7">
        <w:rPr>
          <w:rFonts w:ascii="Arial" w:hAnsi="Arial" w:cs="Arial"/>
        </w:rPr>
        <w:t xml:space="preserve">0.2% </w:t>
      </w:r>
      <w:r w:rsidR="004E2869">
        <w:rPr>
          <w:rFonts w:ascii="Arial" w:hAnsi="Arial" w:cs="Arial"/>
        </w:rPr>
        <w:t>formic acid (</w:t>
      </w:r>
      <w:r w:rsidR="00C657F7">
        <w:rPr>
          <w:rFonts w:ascii="Arial" w:hAnsi="Arial" w:cs="Arial"/>
        </w:rPr>
        <w:t>FA</w:t>
      </w:r>
      <w:r w:rsidR="004E2869">
        <w:rPr>
          <w:rFonts w:ascii="Arial" w:hAnsi="Arial" w:cs="Arial"/>
        </w:rPr>
        <w:t>)</w:t>
      </w:r>
      <w:r w:rsidR="00022905">
        <w:rPr>
          <w:rFonts w:ascii="Arial" w:hAnsi="Arial" w:cs="Arial"/>
        </w:rPr>
        <w:t xml:space="preserve"> </w:t>
      </w:r>
      <w:r w:rsidR="004E2869">
        <w:rPr>
          <w:rFonts w:ascii="Arial" w:hAnsi="Arial" w:cs="Arial"/>
        </w:rPr>
        <w:t xml:space="preserve">in acetonitrile </w:t>
      </w:r>
      <w:r w:rsidR="00022905">
        <w:rPr>
          <w:rFonts w:ascii="Arial" w:hAnsi="Arial" w:cs="Arial"/>
        </w:rPr>
        <w:t>(</w:t>
      </w:r>
      <w:r w:rsidR="00C657F7">
        <w:rPr>
          <w:rFonts w:ascii="Arial" w:hAnsi="Arial" w:cs="Arial"/>
        </w:rPr>
        <w:t>MeCN)</w:t>
      </w:r>
      <w:r w:rsidR="008677C4">
        <w:rPr>
          <w:rFonts w:ascii="Arial" w:hAnsi="Arial" w:cs="Arial"/>
        </w:rPr>
        <w:t xml:space="preserve"> and </w:t>
      </w:r>
      <w:r w:rsidR="006B76B4">
        <w:rPr>
          <w:rFonts w:ascii="Arial" w:hAnsi="Arial" w:cs="Arial"/>
        </w:rPr>
        <w:t xml:space="preserve">(B) </w:t>
      </w:r>
      <w:r w:rsidR="00C657F7">
        <w:rPr>
          <w:rFonts w:ascii="Arial" w:hAnsi="Arial" w:cs="Arial"/>
        </w:rPr>
        <w:t>0.2% FA (aq)</w:t>
      </w:r>
      <w:r w:rsidR="008677C4">
        <w:rPr>
          <w:rFonts w:ascii="Arial" w:hAnsi="Arial" w:cs="Arial"/>
        </w:rPr>
        <w:t>. The gradient for separatio</w:t>
      </w:r>
      <w:r w:rsidR="00553847">
        <w:rPr>
          <w:rFonts w:ascii="Arial" w:hAnsi="Arial" w:cs="Arial"/>
        </w:rPr>
        <w:t>n was 22–32% A over 2 minutes. The</w:t>
      </w:r>
      <w:r w:rsidR="008677C4">
        <w:rPr>
          <w:rFonts w:ascii="Arial" w:hAnsi="Arial" w:cs="Arial"/>
        </w:rPr>
        <w:t xml:space="preserve"> column was then cleaned with 95%</w:t>
      </w:r>
      <w:r w:rsidR="008B6CD1">
        <w:rPr>
          <w:rFonts w:ascii="Arial" w:hAnsi="Arial" w:cs="Arial"/>
        </w:rPr>
        <w:t xml:space="preserve"> A</w:t>
      </w:r>
      <w:r w:rsidR="008677C4">
        <w:rPr>
          <w:rFonts w:ascii="Arial" w:hAnsi="Arial" w:cs="Arial"/>
        </w:rPr>
        <w:t xml:space="preserve"> for approx</w:t>
      </w:r>
      <w:r w:rsidR="00A41A25">
        <w:rPr>
          <w:rFonts w:ascii="Arial" w:hAnsi="Arial" w:cs="Arial"/>
        </w:rPr>
        <w:t xml:space="preserve">imately </w:t>
      </w:r>
      <w:r w:rsidR="00937D85">
        <w:rPr>
          <w:rFonts w:ascii="Arial" w:hAnsi="Arial" w:cs="Arial"/>
        </w:rPr>
        <w:t>1 minute</w:t>
      </w:r>
      <w:r w:rsidR="006B76B4">
        <w:rPr>
          <w:rFonts w:ascii="Arial" w:hAnsi="Arial" w:cs="Arial"/>
        </w:rPr>
        <w:t xml:space="preserve"> then</w:t>
      </w:r>
      <w:r w:rsidR="008677C4">
        <w:rPr>
          <w:rFonts w:ascii="Arial" w:hAnsi="Arial" w:cs="Arial"/>
        </w:rPr>
        <w:t xml:space="preserve"> 22</w:t>
      </w:r>
      <w:r w:rsidR="00937D85">
        <w:rPr>
          <w:rFonts w:ascii="Arial" w:hAnsi="Arial" w:cs="Arial"/>
        </w:rPr>
        <w:t>% A</w:t>
      </w:r>
      <w:r w:rsidR="008677C4">
        <w:rPr>
          <w:rFonts w:ascii="Arial" w:hAnsi="Arial" w:cs="Arial"/>
        </w:rPr>
        <w:t xml:space="preserve"> for approx</w:t>
      </w:r>
      <w:r w:rsidR="00A41A25">
        <w:rPr>
          <w:rFonts w:ascii="Arial" w:hAnsi="Arial" w:cs="Arial"/>
        </w:rPr>
        <w:t>imately</w:t>
      </w:r>
      <w:r w:rsidR="008677C4">
        <w:rPr>
          <w:rFonts w:ascii="Arial" w:hAnsi="Arial" w:cs="Arial"/>
        </w:rPr>
        <w:t xml:space="preserve"> 4 </w:t>
      </w:r>
      <w:r w:rsidR="007E3660">
        <w:rPr>
          <w:rFonts w:ascii="Arial" w:hAnsi="Arial" w:cs="Arial"/>
        </w:rPr>
        <w:t>minutes. The</w:t>
      </w:r>
      <w:r w:rsidR="00B006BA">
        <w:rPr>
          <w:rFonts w:ascii="Arial" w:hAnsi="Arial" w:cs="Arial"/>
        </w:rPr>
        <w:t xml:space="preserve"> flow rate was 0.8</w:t>
      </w:r>
      <w:r w:rsidR="008B6CD1">
        <w:rPr>
          <w:rFonts w:ascii="Arial" w:hAnsi="Arial" w:cs="Arial"/>
        </w:rPr>
        <w:t xml:space="preserve"> </w:t>
      </w:r>
      <w:r w:rsidR="00B006BA">
        <w:rPr>
          <w:rFonts w:ascii="Arial" w:hAnsi="Arial" w:cs="Arial"/>
        </w:rPr>
        <w:t>mL/min and the total run time 7.1 minutes.</w:t>
      </w:r>
    </w:p>
    <w:p w:rsidR="00027278" w:rsidRDefault="00B006BA" w:rsidP="00672D64">
      <w:pPr>
        <w:spacing w:line="360" w:lineRule="auto"/>
        <w:rPr>
          <w:rFonts w:ascii="Arial" w:hAnsi="Arial" w:cs="Arial"/>
        </w:rPr>
      </w:pPr>
      <w:r>
        <w:rPr>
          <w:rFonts w:ascii="Arial" w:hAnsi="Arial" w:cs="Arial"/>
        </w:rPr>
        <w:t>The mass spectrometer was operated in positive ion mode with an electrospray voltage of 5500 V, an entrance potential of 10 V, and</w:t>
      </w:r>
      <w:r w:rsidR="00553847">
        <w:rPr>
          <w:rFonts w:ascii="Arial" w:hAnsi="Arial" w:cs="Arial"/>
        </w:rPr>
        <w:t xml:space="preserve"> a</w:t>
      </w:r>
      <w:r>
        <w:rPr>
          <w:rFonts w:ascii="Arial" w:hAnsi="Arial" w:cs="Arial"/>
        </w:rPr>
        <w:t xml:space="preserve"> declustering potential of 70 V.</w:t>
      </w:r>
      <w:r w:rsidR="00591934">
        <w:rPr>
          <w:rFonts w:ascii="Arial" w:hAnsi="Arial" w:cs="Arial"/>
        </w:rPr>
        <w:t xml:space="preserve"> </w:t>
      </w:r>
      <w:r>
        <w:rPr>
          <w:rFonts w:ascii="Arial" w:hAnsi="Arial" w:cs="Arial"/>
        </w:rPr>
        <w:t>The source temperature was 600</w:t>
      </w:r>
      <w:r>
        <w:rPr>
          <w:rFonts w:ascii="Arial" w:hAnsi="Arial" w:cs="Arial"/>
        </w:rPr>
        <w:sym w:font="Symbol" w:char="F0B0"/>
      </w:r>
      <w:r>
        <w:rPr>
          <w:rFonts w:ascii="Arial" w:hAnsi="Arial" w:cs="Arial"/>
        </w:rPr>
        <w:t>C, the curtain gas 40 Psi, and the desolvation gases, GS1 and GS2, were set at 60 psi and 40 psi respectively.</w:t>
      </w:r>
      <w:r w:rsidR="00591934">
        <w:rPr>
          <w:rFonts w:ascii="Arial" w:hAnsi="Arial" w:cs="Arial"/>
        </w:rPr>
        <w:t xml:space="preserve"> </w:t>
      </w:r>
      <w:r w:rsidR="00596711">
        <w:rPr>
          <w:rFonts w:ascii="Arial" w:hAnsi="Arial" w:cs="Arial"/>
        </w:rPr>
        <w:t>Quantitation was performed using</w:t>
      </w:r>
      <w:r w:rsidR="00553847">
        <w:rPr>
          <w:rFonts w:ascii="Arial" w:hAnsi="Arial" w:cs="Arial"/>
        </w:rPr>
        <w:t xml:space="preserve"> the</w:t>
      </w:r>
      <w:r w:rsidR="00596711">
        <w:rPr>
          <w:rFonts w:ascii="Arial" w:hAnsi="Arial" w:cs="Arial"/>
        </w:rPr>
        <w:t xml:space="preserve"> </w:t>
      </w:r>
      <w:r w:rsidR="009C4C80">
        <w:rPr>
          <w:rFonts w:ascii="Arial" w:hAnsi="Arial" w:cs="Arial"/>
        </w:rPr>
        <w:t>selected reaction monitoring (</w:t>
      </w:r>
      <w:r w:rsidR="00037A48">
        <w:rPr>
          <w:rFonts w:ascii="Arial" w:hAnsi="Arial" w:cs="Arial"/>
        </w:rPr>
        <w:t>SRM</w:t>
      </w:r>
      <w:r w:rsidR="005D497F">
        <w:rPr>
          <w:rFonts w:ascii="Arial" w:hAnsi="Arial" w:cs="Arial"/>
        </w:rPr>
        <w:t>) transitions</w:t>
      </w:r>
      <w:r w:rsidR="009C4C80">
        <w:rPr>
          <w:rFonts w:ascii="Arial" w:hAnsi="Arial" w:cs="Arial"/>
        </w:rPr>
        <w:t xml:space="preserve"> </w:t>
      </w:r>
      <w:r w:rsidR="00596711">
        <w:rPr>
          <w:rFonts w:ascii="Arial" w:hAnsi="Arial" w:cs="Arial"/>
        </w:rPr>
        <w:t>697.5</w:t>
      </w:r>
      <w:r w:rsidR="00596711">
        <w:rPr>
          <w:rFonts w:ascii="Arial" w:hAnsi="Arial" w:cs="Arial"/>
        </w:rPr>
        <w:sym w:font="Symbol" w:char="F0AE"/>
      </w:r>
      <w:r w:rsidR="00596711">
        <w:rPr>
          <w:rFonts w:ascii="Arial" w:hAnsi="Arial" w:cs="Arial"/>
        </w:rPr>
        <w:t xml:space="preserve">693.8 </w:t>
      </w:r>
      <w:r w:rsidR="005D497F">
        <w:rPr>
          <w:rFonts w:ascii="Arial" w:hAnsi="Arial" w:cs="Arial"/>
        </w:rPr>
        <w:t>and 677.2</w:t>
      </w:r>
      <w:r w:rsidR="00596711">
        <w:rPr>
          <w:rFonts w:ascii="Arial" w:hAnsi="Arial" w:cs="Arial"/>
        </w:rPr>
        <w:sym w:font="Symbol" w:char="F0AE"/>
      </w:r>
      <w:r w:rsidR="00596711">
        <w:rPr>
          <w:rFonts w:ascii="Arial" w:hAnsi="Arial" w:cs="Arial"/>
        </w:rPr>
        <w:t xml:space="preserve">673.8 </w:t>
      </w:r>
      <w:r w:rsidR="005D497F">
        <w:rPr>
          <w:rFonts w:ascii="Arial" w:hAnsi="Arial" w:cs="Arial"/>
        </w:rPr>
        <w:t>for glucagon and the</w:t>
      </w:r>
      <w:r w:rsidR="00596711">
        <w:rPr>
          <w:rFonts w:ascii="Arial" w:hAnsi="Arial" w:cs="Arial"/>
        </w:rPr>
        <w:t xml:space="preserve"> internal standard</w:t>
      </w:r>
      <w:r w:rsidR="005D497F">
        <w:rPr>
          <w:rFonts w:ascii="Arial" w:hAnsi="Arial" w:cs="Arial"/>
        </w:rPr>
        <w:t xml:space="preserve"> respectively</w:t>
      </w:r>
      <w:r w:rsidR="009C4C80">
        <w:rPr>
          <w:rFonts w:ascii="Arial" w:hAnsi="Arial" w:cs="Arial"/>
        </w:rPr>
        <w:t>.</w:t>
      </w:r>
      <w:r w:rsidR="00E003E6">
        <w:rPr>
          <w:rFonts w:ascii="Arial" w:hAnsi="Arial" w:cs="Arial"/>
        </w:rPr>
        <w:t xml:space="preserve"> T</w:t>
      </w:r>
      <w:r w:rsidR="00037A48">
        <w:rPr>
          <w:rFonts w:ascii="Arial" w:hAnsi="Arial" w:cs="Arial"/>
        </w:rPr>
        <w:t xml:space="preserve">he </w:t>
      </w:r>
      <w:r>
        <w:rPr>
          <w:rFonts w:ascii="Arial" w:hAnsi="Arial" w:cs="Arial"/>
        </w:rPr>
        <w:t>N</w:t>
      </w:r>
      <w:r w:rsidRPr="00037A48">
        <w:rPr>
          <w:rFonts w:ascii="Arial" w:hAnsi="Arial" w:cs="Arial"/>
          <w:vertAlign w:val="subscript"/>
        </w:rPr>
        <w:t>2</w:t>
      </w:r>
      <w:r>
        <w:rPr>
          <w:rFonts w:ascii="Arial" w:hAnsi="Arial" w:cs="Arial"/>
        </w:rPr>
        <w:t xml:space="preserve"> </w:t>
      </w:r>
      <w:r w:rsidR="00037A48">
        <w:rPr>
          <w:rFonts w:ascii="Arial" w:hAnsi="Arial" w:cs="Arial"/>
        </w:rPr>
        <w:t>collision</w:t>
      </w:r>
      <w:r>
        <w:rPr>
          <w:rFonts w:ascii="Arial" w:hAnsi="Arial" w:cs="Arial"/>
        </w:rPr>
        <w:t xml:space="preserve"> gas was set to medium </w:t>
      </w:r>
      <w:r w:rsidR="00E003E6">
        <w:rPr>
          <w:rFonts w:ascii="Arial" w:hAnsi="Arial" w:cs="Arial"/>
        </w:rPr>
        <w:t>and</w:t>
      </w:r>
      <w:r w:rsidR="005D497F">
        <w:rPr>
          <w:rFonts w:ascii="Arial" w:hAnsi="Arial" w:cs="Arial"/>
        </w:rPr>
        <w:t xml:space="preserve"> both transitions used</w:t>
      </w:r>
      <w:r w:rsidR="00E003E6">
        <w:rPr>
          <w:rFonts w:ascii="Arial" w:hAnsi="Arial" w:cs="Arial"/>
        </w:rPr>
        <w:t xml:space="preserve"> collision energies</w:t>
      </w:r>
      <w:r w:rsidR="00037A48">
        <w:rPr>
          <w:rFonts w:ascii="Arial" w:hAnsi="Arial" w:cs="Arial"/>
        </w:rPr>
        <w:t xml:space="preserve"> of 15 V </w:t>
      </w:r>
      <w:r w:rsidR="00E003E6">
        <w:rPr>
          <w:rFonts w:ascii="Arial" w:hAnsi="Arial" w:cs="Arial"/>
        </w:rPr>
        <w:t>and collisi</w:t>
      </w:r>
      <w:r w:rsidR="005A030A">
        <w:rPr>
          <w:rFonts w:ascii="Arial" w:hAnsi="Arial" w:cs="Arial"/>
        </w:rPr>
        <w:t>on exit c</w:t>
      </w:r>
      <w:r w:rsidR="0062646D">
        <w:rPr>
          <w:rFonts w:ascii="Arial" w:hAnsi="Arial" w:cs="Arial"/>
        </w:rPr>
        <w:t xml:space="preserve">ell potentials of </w:t>
      </w:r>
      <w:r w:rsidR="005D497F">
        <w:rPr>
          <w:rFonts w:ascii="Arial" w:hAnsi="Arial" w:cs="Arial"/>
        </w:rPr>
        <w:t>13 V</w:t>
      </w:r>
      <w:r w:rsidR="005D497F" w:rsidRPr="00744002">
        <w:rPr>
          <w:rFonts w:ascii="Arial" w:hAnsi="Arial" w:cs="Arial"/>
        </w:rPr>
        <w:t>.</w:t>
      </w:r>
      <w:r w:rsidR="008C6983" w:rsidRPr="00744002">
        <w:rPr>
          <w:rFonts w:ascii="Arial" w:hAnsi="Arial" w:cs="Arial"/>
        </w:rPr>
        <w:t xml:space="preserve"> The Q1 and Q3 quadruples were</w:t>
      </w:r>
      <w:r w:rsidR="009F2870" w:rsidRPr="00744002">
        <w:rPr>
          <w:rFonts w:ascii="Arial" w:hAnsi="Arial" w:cs="Arial"/>
        </w:rPr>
        <w:t xml:space="preserve"> both</w:t>
      </w:r>
      <w:r w:rsidR="008C6983" w:rsidRPr="00744002">
        <w:rPr>
          <w:rFonts w:ascii="Arial" w:hAnsi="Arial" w:cs="Arial"/>
        </w:rPr>
        <w:t xml:space="preserve"> operated </w:t>
      </w:r>
      <w:r w:rsidR="004D48B7">
        <w:rPr>
          <w:rFonts w:ascii="Arial" w:hAnsi="Arial" w:cs="Arial"/>
        </w:rPr>
        <w:t>at</w:t>
      </w:r>
      <w:r w:rsidR="008C6983" w:rsidRPr="00744002">
        <w:rPr>
          <w:rFonts w:ascii="Arial" w:hAnsi="Arial" w:cs="Arial"/>
        </w:rPr>
        <w:t xml:space="preserve"> unit resolution.</w:t>
      </w:r>
    </w:p>
    <w:p w:rsidR="00553847" w:rsidRPr="005D677F" w:rsidRDefault="00553847" w:rsidP="00672D64">
      <w:pPr>
        <w:spacing w:line="360" w:lineRule="auto"/>
        <w:rPr>
          <w:rFonts w:ascii="Arial" w:hAnsi="Arial" w:cs="Arial"/>
          <w:i/>
          <w:u w:val="single"/>
        </w:rPr>
      </w:pPr>
      <w:r w:rsidRPr="005D677F">
        <w:rPr>
          <w:rFonts w:ascii="Arial" w:hAnsi="Arial" w:cs="Arial"/>
          <w:i/>
          <w:u w:val="single"/>
        </w:rPr>
        <w:t xml:space="preserve">Preparation of stock, standards and QC </w:t>
      </w:r>
      <w:r w:rsidR="008B6CD1">
        <w:rPr>
          <w:rFonts w:ascii="Arial" w:hAnsi="Arial" w:cs="Arial"/>
          <w:i/>
          <w:u w:val="single"/>
        </w:rPr>
        <w:t>MED</w:t>
      </w:r>
      <w:r w:rsidRPr="005D677F">
        <w:rPr>
          <w:rFonts w:ascii="Arial" w:hAnsi="Arial" w:cs="Arial"/>
          <w:i/>
          <w:u w:val="single"/>
        </w:rPr>
        <w:t xml:space="preserve"> and </w:t>
      </w:r>
      <w:r w:rsidR="008B6CD1">
        <w:rPr>
          <w:rFonts w:ascii="Arial" w:hAnsi="Arial" w:cs="Arial"/>
          <w:i/>
          <w:u w:val="single"/>
        </w:rPr>
        <w:t>HIGH</w:t>
      </w:r>
      <w:r w:rsidRPr="005D677F">
        <w:rPr>
          <w:rFonts w:ascii="Arial" w:hAnsi="Arial" w:cs="Arial"/>
          <w:i/>
          <w:u w:val="single"/>
        </w:rPr>
        <w:t xml:space="preserve"> plasma samples</w:t>
      </w:r>
    </w:p>
    <w:p w:rsidR="00553847" w:rsidRDefault="00EC7EF3" w:rsidP="00553847">
      <w:pPr>
        <w:spacing w:line="360" w:lineRule="auto"/>
        <w:jc w:val="both"/>
        <w:rPr>
          <w:rFonts w:ascii="Arial" w:hAnsi="Arial" w:cs="Arial"/>
        </w:rPr>
      </w:pPr>
      <w:r w:rsidRPr="00553847">
        <w:rPr>
          <w:rFonts w:ascii="Arial" w:hAnsi="Arial" w:cs="Arial"/>
        </w:rPr>
        <w:t xml:space="preserve">1 mg/mL </w:t>
      </w:r>
      <w:r w:rsidR="00591934">
        <w:rPr>
          <w:rFonts w:ascii="Arial" w:hAnsi="Arial" w:cs="Arial"/>
        </w:rPr>
        <w:t>s</w:t>
      </w:r>
      <w:r w:rsidR="00672D64" w:rsidRPr="00553847">
        <w:rPr>
          <w:rFonts w:ascii="Arial" w:hAnsi="Arial" w:cs="Arial"/>
        </w:rPr>
        <w:t>tock solutions of glucagon and glucagon internal standard were prepared in borosilicat</w:t>
      </w:r>
      <w:r w:rsidR="00DE2797">
        <w:rPr>
          <w:rFonts w:ascii="Arial" w:hAnsi="Arial" w:cs="Arial"/>
        </w:rPr>
        <w:t xml:space="preserve">e vials using surrogate matrix </w:t>
      </w:r>
      <w:r w:rsidR="00A41A25">
        <w:rPr>
          <w:rFonts w:ascii="Arial" w:hAnsi="Arial" w:cs="Arial"/>
        </w:rPr>
        <w:t>[</w:t>
      </w:r>
      <w:r w:rsidR="00022905">
        <w:rPr>
          <w:rFonts w:ascii="Arial" w:hAnsi="Arial" w:cs="Arial"/>
        </w:rPr>
        <w:t>Methanol (</w:t>
      </w:r>
      <w:r w:rsidR="00672D64" w:rsidRPr="00553847">
        <w:rPr>
          <w:rFonts w:ascii="Arial" w:hAnsi="Arial" w:cs="Arial"/>
        </w:rPr>
        <w:t>MeOH</w:t>
      </w:r>
      <w:r w:rsidR="00022905">
        <w:rPr>
          <w:rFonts w:ascii="Arial" w:hAnsi="Arial" w:cs="Arial"/>
        </w:rPr>
        <w:t>)</w:t>
      </w:r>
      <w:r w:rsidR="00672D64" w:rsidRPr="00553847">
        <w:rPr>
          <w:rFonts w:ascii="Arial" w:hAnsi="Arial" w:cs="Arial"/>
        </w:rPr>
        <w:t xml:space="preserve">: </w:t>
      </w:r>
      <w:r w:rsidR="00591934" w:rsidRPr="00553847">
        <w:rPr>
          <w:rFonts w:ascii="Arial" w:hAnsi="Arial" w:cs="Arial"/>
        </w:rPr>
        <w:t>H</w:t>
      </w:r>
      <w:r w:rsidR="00591934" w:rsidRPr="008B6CD1">
        <w:rPr>
          <w:rFonts w:ascii="Arial" w:hAnsi="Arial" w:cs="Arial"/>
          <w:vertAlign w:val="subscript"/>
        </w:rPr>
        <w:t>2</w:t>
      </w:r>
      <w:r w:rsidR="00591934">
        <w:rPr>
          <w:rFonts w:ascii="Arial" w:hAnsi="Arial" w:cs="Arial"/>
        </w:rPr>
        <w:t>O</w:t>
      </w:r>
      <w:r w:rsidR="00672D64" w:rsidRPr="00553847">
        <w:rPr>
          <w:rFonts w:ascii="Arial" w:hAnsi="Arial" w:cs="Arial"/>
        </w:rPr>
        <w:t xml:space="preserve">: </w:t>
      </w:r>
      <w:r w:rsidR="002F2AAF">
        <w:rPr>
          <w:rFonts w:ascii="Arial" w:hAnsi="Arial" w:cs="Arial"/>
        </w:rPr>
        <w:t>Formic acid (</w:t>
      </w:r>
      <w:r w:rsidR="00672D64" w:rsidRPr="00553847">
        <w:rPr>
          <w:rFonts w:ascii="Arial" w:hAnsi="Arial" w:cs="Arial"/>
        </w:rPr>
        <w:t>FA</w:t>
      </w:r>
      <w:r w:rsidR="002F2AAF">
        <w:rPr>
          <w:rFonts w:ascii="Arial" w:hAnsi="Arial" w:cs="Arial"/>
        </w:rPr>
        <w:t>)</w:t>
      </w:r>
      <w:r w:rsidR="00672D64" w:rsidRPr="00553847">
        <w:rPr>
          <w:rFonts w:ascii="Arial" w:hAnsi="Arial" w:cs="Arial"/>
        </w:rPr>
        <w:t xml:space="preserve">: </w:t>
      </w:r>
      <w:r w:rsidR="00022905" w:rsidRPr="00022905">
        <w:rPr>
          <w:rFonts w:ascii="Arial" w:hAnsi="Arial" w:cs="Arial"/>
        </w:rPr>
        <w:t xml:space="preserve">Bovine serum albumin </w:t>
      </w:r>
      <w:r w:rsidR="00022905">
        <w:rPr>
          <w:rFonts w:ascii="Arial" w:hAnsi="Arial" w:cs="Arial"/>
        </w:rPr>
        <w:t>(</w:t>
      </w:r>
      <w:r w:rsidR="00672D64" w:rsidRPr="00553847">
        <w:rPr>
          <w:rFonts w:ascii="Arial" w:hAnsi="Arial" w:cs="Arial"/>
        </w:rPr>
        <w:t>BSA</w:t>
      </w:r>
      <w:r w:rsidR="00022905">
        <w:rPr>
          <w:rFonts w:ascii="Arial" w:hAnsi="Arial" w:cs="Arial"/>
        </w:rPr>
        <w:t>),</w:t>
      </w:r>
      <w:r w:rsidR="00A41A25">
        <w:rPr>
          <w:rFonts w:ascii="Arial" w:hAnsi="Arial" w:cs="Arial"/>
        </w:rPr>
        <w:t xml:space="preserve"> (</w:t>
      </w:r>
      <w:r w:rsidR="00672D64" w:rsidRPr="00553847">
        <w:rPr>
          <w:rFonts w:ascii="Arial" w:hAnsi="Arial" w:cs="Arial"/>
        </w:rPr>
        <w:t>20:80:0.1:0.1</w:t>
      </w:r>
      <w:r w:rsidR="00022905">
        <w:rPr>
          <w:rFonts w:ascii="Arial" w:hAnsi="Arial" w:cs="Arial"/>
        </w:rPr>
        <w:t>, v/v/v/w</w:t>
      </w:r>
      <w:r w:rsidR="00A41A25">
        <w:rPr>
          <w:rFonts w:ascii="Arial" w:hAnsi="Arial" w:cs="Arial"/>
        </w:rPr>
        <w:t>)]</w:t>
      </w:r>
      <w:r w:rsidR="00672D64" w:rsidRPr="00553847">
        <w:rPr>
          <w:rFonts w:ascii="Arial" w:hAnsi="Arial" w:cs="Arial"/>
        </w:rPr>
        <w:t>.</w:t>
      </w:r>
      <w:r w:rsidR="00591934">
        <w:rPr>
          <w:rFonts w:ascii="Arial" w:hAnsi="Arial" w:cs="Arial"/>
        </w:rPr>
        <w:t xml:space="preserve"> </w:t>
      </w:r>
      <w:r w:rsidR="00672D64" w:rsidRPr="00553847">
        <w:rPr>
          <w:rFonts w:ascii="Arial" w:hAnsi="Arial" w:cs="Arial"/>
        </w:rPr>
        <w:t>Glucagon working solutions</w:t>
      </w:r>
      <w:r w:rsidR="00553847">
        <w:rPr>
          <w:rFonts w:ascii="Arial" w:hAnsi="Arial" w:cs="Arial"/>
        </w:rPr>
        <w:t xml:space="preserve"> were</w:t>
      </w:r>
      <w:r w:rsidR="00672D64" w:rsidRPr="00553847">
        <w:rPr>
          <w:rFonts w:ascii="Arial" w:hAnsi="Arial" w:cs="Arial"/>
        </w:rPr>
        <w:t xml:space="preserve"> prepared by diluti</w:t>
      </w:r>
      <w:r>
        <w:rPr>
          <w:rFonts w:ascii="Arial" w:hAnsi="Arial" w:cs="Arial"/>
        </w:rPr>
        <w:t>on with this solvent to create nine</w:t>
      </w:r>
      <w:r w:rsidR="00672D64" w:rsidRPr="00553847">
        <w:rPr>
          <w:rFonts w:ascii="Arial" w:hAnsi="Arial" w:cs="Arial"/>
        </w:rPr>
        <w:t xml:space="preserve"> calibration standard spiking solutions (125, 225, 375, 500, 1000, 2000</w:t>
      </w:r>
      <w:r>
        <w:rPr>
          <w:rFonts w:ascii="Arial" w:hAnsi="Arial" w:cs="Arial"/>
        </w:rPr>
        <w:t xml:space="preserve">, 3000, 4500, 5000 pg/mL), and four </w:t>
      </w:r>
      <w:r w:rsidR="00672D64" w:rsidRPr="00553847">
        <w:rPr>
          <w:rFonts w:ascii="Arial" w:hAnsi="Arial" w:cs="Arial"/>
        </w:rPr>
        <w:t>quality control spiking solutions (125, 250, 10000, 75000</w:t>
      </w:r>
      <w:r w:rsidR="00A52B76">
        <w:rPr>
          <w:rFonts w:ascii="Arial" w:hAnsi="Arial" w:cs="Arial"/>
        </w:rPr>
        <w:t xml:space="preserve"> pg/mL</w:t>
      </w:r>
      <w:r w:rsidR="00672D64" w:rsidRPr="00553847">
        <w:rPr>
          <w:rFonts w:ascii="Arial" w:hAnsi="Arial" w:cs="Arial"/>
        </w:rPr>
        <w:t>).</w:t>
      </w:r>
      <w:r w:rsidR="00A52B76">
        <w:rPr>
          <w:rFonts w:ascii="Arial" w:hAnsi="Arial" w:cs="Arial"/>
        </w:rPr>
        <w:t xml:space="preserve"> Additional calibration standard and QC </w:t>
      </w:r>
      <w:r w:rsidR="004E6FFC">
        <w:rPr>
          <w:rFonts w:ascii="Arial" w:hAnsi="Arial" w:cs="Arial"/>
        </w:rPr>
        <w:t xml:space="preserve">spiking </w:t>
      </w:r>
      <w:r w:rsidR="00A52B76">
        <w:rPr>
          <w:rFonts w:ascii="Arial" w:hAnsi="Arial" w:cs="Arial"/>
        </w:rPr>
        <w:t xml:space="preserve">solutions at 75 and 50 pg/mL were </w:t>
      </w:r>
      <w:r w:rsidR="00900301">
        <w:rPr>
          <w:rFonts w:ascii="Arial" w:hAnsi="Arial" w:cs="Arial"/>
        </w:rPr>
        <w:t xml:space="preserve">also </w:t>
      </w:r>
      <w:r w:rsidR="00A52B76">
        <w:rPr>
          <w:rFonts w:ascii="Arial" w:hAnsi="Arial" w:cs="Arial"/>
        </w:rPr>
        <w:t xml:space="preserve">prepared for </w:t>
      </w:r>
      <w:r w:rsidR="004A56CF">
        <w:rPr>
          <w:rFonts w:ascii="Arial" w:hAnsi="Arial" w:cs="Arial"/>
        </w:rPr>
        <w:t>the assessment of assay performance at the 10 and 15 pg/mL level</w:t>
      </w:r>
      <w:r w:rsidR="004E6FFC">
        <w:rPr>
          <w:rFonts w:ascii="Arial" w:hAnsi="Arial" w:cs="Arial"/>
        </w:rPr>
        <w:t>s</w:t>
      </w:r>
      <w:r w:rsidR="004A56CF">
        <w:rPr>
          <w:rFonts w:ascii="Arial" w:hAnsi="Arial" w:cs="Arial"/>
        </w:rPr>
        <w:t>.</w:t>
      </w:r>
      <w:r w:rsidR="00A52B76">
        <w:rPr>
          <w:rFonts w:ascii="Arial" w:hAnsi="Arial" w:cs="Arial"/>
        </w:rPr>
        <w:t xml:space="preserve"> </w:t>
      </w:r>
      <w:r w:rsidR="00553847">
        <w:rPr>
          <w:rFonts w:ascii="Arial" w:hAnsi="Arial" w:cs="Arial"/>
        </w:rPr>
        <w:t xml:space="preserve"> </w:t>
      </w:r>
      <w:r w:rsidR="00553847" w:rsidRPr="00553847">
        <w:rPr>
          <w:rFonts w:ascii="Arial" w:hAnsi="Arial" w:cs="Arial"/>
        </w:rPr>
        <w:t>Internal standard working solution (ISWS) was</w:t>
      </w:r>
      <w:r w:rsidR="00553847">
        <w:rPr>
          <w:rFonts w:ascii="Arial" w:hAnsi="Arial" w:cs="Arial"/>
        </w:rPr>
        <w:t xml:space="preserve"> similarly prepared at 20 ng/mL.</w:t>
      </w:r>
      <w:r w:rsidR="00BA67CD">
        <w:rPr>
          <w:rFonts w:ascii="Arial" w:hAnsi="Arial" w:cs="Arial"/>
        </w:rPr>
        <w:t xml:space="preserve"> The stock and working solutions were prepared to a volume of 10 mL and were stored at -20 </w:t>
      </w:r>
      <w:r w:rsidR="00BA67CD">
        <w:rPr>
          <w:rFonts w:ascii="Arial" w:hAnsi="Arial" w:cs="Arial"/>
        </w:rPr>
        <w:sym w:font="Symbol" w:char="F0B0"/>
      </w:r>
      <w:r w:rsidR="00BA67CD">
        <w:rPr>
          <w:rFonts w:ascii="Arial" w:hAnsi="Arial" w:cs="Arial"/>
        </w:rPr>
        <w:t>C when not in use.</w:t>
      </w:r>
      <w:r w:rsidR="00672D64" w:rsidRPr="00553847">
        <w:rPr>
          <w:rFonts w:ascii="Arial" w:hAnsi="Arial" w:cs="Arial"/>
        </w:rPr>
        <w:t xml:space="preserve">QC </w:t>
      </w:r>
      <w:r w:rsidR="00DE2797">
        <w:rPr>
          <w:rFonts w:ascii="Arial" w:hAnsi="Arial" w:cs="Arial"/>
        </w:rPr>
        <w:t>MED</w:t>
      </w:r>
      <w:r w:rsidR="00672D64" w:rsidRPr="00553847">
        <w:rPr>
          <w:rFonts w:ascii="Arial" w:hAnsi="Arial" w:cs="Arial"/>
        </w:rPr>
        <w:t xml:space="preserve"> and QC </w:t>
      </w:r>
      <w:r w:rsidR="00DE2797">
        <w:rPr>
          <w:rFonts w:ascii="Arial" w:hAnsi="Arial" w:cs="Arial"/>
        </w:rPr>
        <w:t>HIGH</w:t>
      </w:r>
      <w:r w:rsidR="00672D64" w:rsidRPr="00553847">
        <w:rPr>
          <w:rFonts w:ascii="Arial" w:hAnsi="Arial" w:cs="Arial"/>
        </w:rPr>
        <w:t xml:space="preserve"> plasma samples were prepared by diluting the appropriate spiking solution 100 fold with plasma to create samples at 100 and 750 pg/mL respectively. </w:t>
      </w:r>
      <w:r w:rsidR="00BA67CD">
        <w:rPr>
          <w:rFonts w:ascii="Arial" w:hAnsi="Arial" w:cs="Arial"/>
        </w:rPr>
        <w:t xml:space="preserve"> These were either used immediately, or stored at -80 </w:t>
      </w:r>
      <w:r w:rsidR="00BA67CD">
        <w:rPr>
          <w:rFonts w:ascii="Arial" w:hAnsi="Arial" w:cs="Arial"/>
        </w:rPr>
        <w:sym w:font="Symbol" w:char="F0B0"/>
      </w:r>
      <w:r w:rsidR="00BA67CD">
        <w:rPr>
          <w:rFonts w:ascii="Arial" w:hAnsi="Arial" w:cs="Arial"/>
        </w:rPr>
        <w:t xml:space="preserve">C prior to use. </w:t>
      </w:r>
    </w:p>
    <w:p w:rsidR="00A366E3" w:rsidRPr="00553847" w:rsidRDefault="002F5186" w:rsidP="0057678B">
      <w:pPr>
        <w:rPr>
          <w:rFonts w:ascii="Arial" w:hAnsi="Arial" w:cs="Arial"/>
        </w:rPr>
      </w:pPr>
      <w:r>
        <w:rPr>
          <w:rFonts w:ascii="Arial" w:hAnsi="Arial" w:cs="Arial"/>
          <w:i/>
          <w:u w:val="single"/>
        </w:rPr>
        <w:t>Extraction m</w:t>
      </w:r>
      <w:r w:rsidR="00A366E3" w:rsidRPr="00AB1367">
        <w:rPr>
          <w:rFonts w:ascii="Arial" w:hAnsi="Arial" w:cs="Arial"/>
          <w:i/>
          <w:u w:val="single"/>
        </w:rPr>
        <w:t>ethod development</w:t>
      </w:r>
      <w:r w:rsidR="00D07C6F">
        <w:rPr>
          <w:rFonts w:ascii="Arial" w:hAnsi="Arial" w:cs="Arial"/>
          <w:i/>
          <w:u w:val="single"/>
        </w:rPr>
        <w:t xml:space="preserve"> &amp; surrogate matrix quantitation</w:t>
      </w:r>
    </w:p>
    <w:p w:rsidR="00A366E3" w:rsidRDefault="008850F0" w:rsidP="00A366E3">
      <w:pPr>
        <w:spacing w:line="360" w:lineRule="auto"/>
        <w:jc w:val="both"/>
        <w:rPr>
          <w:rFonts w:ascii="Arial" w:hAnsi="Arial" w:cs="Arial"/>
        </w:rPr>
      </w:pPr>
      <w:r>
        <w:rPr>
          <w:rFonts w:ascii="Arial" w:hAnsi="Arial" w:cs="Arial"/>
        </w:rPr>
        <w:t>Additional details</w:t>
      </w:r>
      <w:r w:rsidR="00A366E3">
        <w:rPr>
          <w:rFonts w:ascii="Arial" w:hAnsi="Arial" w:cs="Arial"/>
        </w:rPr>
        <w:t xml:space="preserve"> of </w:t>
      </w:r>
      <w:r w:rsidR="002F5186">
        <w:rPr>
          <w:rFonts w:ascii="Arial" w:hAnsi="Arial" w:cs="Arial"/>
        </w:rPr>
        <w:t xml:space="preserve">the extraction </w:t>
      </w:r>
      <w:r w:rsidR="00A366E3">
        <w:rPr>
          <w:rFonts w:ascii="Arial" w:hAnsi="Arial" w:cs="Arial"/>
        </w:rPr>
        <w:t>method development experiments described are provided in the supplementary information</w:t>
      </w:r>
      <w:r w:rsidR="00553847">
        <w:rPr>
          <w:rFonts w:ascii="Arial" w:hAnsi="Arial" w:cs="Arial"/>
        </w:rPr>
        <w:t>.</w:t>
      </w:r>
      <w:r w:rsidR="00A366E3">
        <w:rPr>
          <w:rFonts w:ascii="Arial" w:hAnsi="Arial" w:cs="Arial"/>
        </w:rPr>
        <w:t xml:space="preserve"> In summary</w:t>
      </w:r>
      <w:r w:rsidR="00591934">
        <w:rPr>
          <w:rFonts w:ascii="Arial" w:hAnsi="Arial" w:cs="Arial"/>
        </w:rPr>
        <w:t>:</w:t>
      </w:r>
    </w:p>
    <w:p w:rsidR="00C657F7" w:rsidRDefault="00A366E3" w:rsidP="00A366E3">
      <w:pPr>
        <w:spacing w:line="360" w:lineRule="auto"/>
        <w:jc w:val="both"/>
        <w:rPr>
          <w:rFonts w:ascii="Arial" w:hAnsi="Arial" w:cs="Arial"/>
        </w:rPr>
      </w:pPr>
      <w:r w:rsidRPr="004C41FA">
        <w:rPr>
          <w:rFonts w:ascii="Arial" w:hAnsi="Arial" w:cs="Arial"/>
          <w:i/>
        </w:rPr>
        <w:t>Protein precipitation optimisation</w:t>
      </w:r>
      <w:r>
        <w:rPr>
          <w:rFonts w:ascii="Arial" w:hAnsi="Arial" w:cs="Arial"/>
        </w:rPr>
        <w:t xml:space="preserve"> The following</w:t>
      </w:r>
      <w:r w:rsidR="00C657F7">
        <w:rPr>
          <w:rFonts w:ascii="Arial" w:hAnsi="Arial" w:cs="Arial"/>
        </w:rPr>
        <w:t xml:space="preserve"> precipitation </w:t>
      </w:r>
      <w:r>
        <w:rPr>
          <w:rFonts w:ascii="Arial" w:hAnsi="Arial" w:cs="Arial"/>
        </w:rPr>
        <w:t>solvent</w:t>
      </w:r>
      <w:r w:rsidR="00C657F7">
        <w:rPr>
          <w:rFonts w:ascii="Arial" w:hAnsi="Arial" w:cs="Arial"/>
        </w:rPr>
        <w:t>s</w:t>
      </w:r>
      <w:r>
        <w:rPr>
          <w:rFonts w:ascii="Arial" w:hAnsi="Arial" w:cs="Arial"/>
        </w:rPr>
        <w:t xml:space="preserve"> were investigated;</w:t>
      </w:r>
      <w:r w:rsidR="00C657F7">
        <w:rPr>
          <w:rFonts w:ascii="Arial" w:hAnsi="Arial" w:cs="Arial"/>
        </w:rPr>
        <w:t xml:space="preserve"> </w:t>
      </w:r>
      <w:r w:rsidR="002F2AAF">
        <w:rPr>
          <w:rFonts w:ascii="Arial" w:hAnsi="Arial" w:cs="Arial"/>
        </w:rPr>
        <w:t>Acetonitrile (</w:t>
      </w:r>
      <w:r w:rsidR="00D92EA1">
        <w:rPr>
          <w:rFonts w:ascii="Arial" w:hAnsi="Arial" w:cs="Arial"/>
        </w:rPr>
        <w:t>MeCN</w:t>
      </w:r>
      <w:r w:rsidR="002F2AAF">
        <w:rPr>
          <w:rFonts w:ascii="Arial" w:hAnsi="Arial" w:cs="Arial"/>
        </w:rPr>
        <w:t>)</w:t>
      </w:r>
      <w:r w:rsidR="00C657F7">
        <w:rPr>
          <w:rFonts w:ascii="Arial" w:hAnsi="Arial" w:cs="Arial"/>
        </w:rPr>
        <w:t xml:space="preserve">, </w:t>
      </w:r>
      <w:r w:rsidR="00D92EA1">
        <w:rPr>
          <w:rFonts w:ascii="Arial" w:hAnsi="Arial" w:cs="Arial"/>
        </w:rPr>
        <w:t>MeCN</w:t>
      </w:r>
      <w:r w:rsidR="00C657F7">
        <w:rPr>
          <w:rFonts w:ascii="Arial" w:hAnsi="Arial" w:cs="Arial"/>
        </w:rPr>
        <w:t>:</w:t>
      </w:r>
      <w:r w:rsidR="00591934">
        <w:rPr>
          <w:rFonts w:ascii="Arial" w:hAnsi="Arial" w:cs="Arial"/>
        </w:rPr>
        <w:t>H</w:t>
      </w:r>
      <w:r w:rsidR="00591934" w:rsidRPr="00C657F7">
        <w:rPr>
          <w:rFonts w:ascii="Arial" w:hAnsi="Arial" w:cs="Arial"/>
          <w:vertAlign w:val="subscript"/>
        </w:rPr>
        <w:t>2</w:t>
      </w:r>
      <w:r w:rsidR="00591934">
        <w:rPr>
          <w:rFonts w:ascii="Arial" w:hAnsi="Arial" w:cs="Arial"/>
        </w:rPr>
        <w:t xml:space="preserve">O </w:t>
      </w:r>
      <w:r>
        <w:rPr>
          <w:rFonts w:ascii="Arial" w:hAnsi="Arial" w:cs="Arial"/>
        </w:rPr>
        <w:t>(50:50</w:t>
      </w:r>
      <w:r w:rsidR="0044630D">
        <w:rPr>
          <w:rFonts w:ascii="Arial" w:hAnsi="Arial" w:cs="Arial"/>
        </w:rPr>
        <w:t>,v/v</w:t>
      </w:r>
      <w:r>
        <w:rPr>
          <w:rFonts w:ascii="Arial" w:hAnsi="Arial" w:cs="Arial"/>
        </w:rPr>
        <w:t xml:space="preserve">), </w:t>
      </w:r>
      <w:r w:rsidR="00C657F7">
        <w:rPr>
          <w:rFonts w:ascii="Arial" w:hAnsi="Arial" w:cs="Arial"/>
        </w:rPr>
        <w:t xml:space="preserve">and </w:t>
      </w:r>
      <w:r w:rsidR="00D92EA1">
        <w:rPr>
          <w:rFonts w:ascii="Arial" w:hAnsi="Arial" w:cs="Arial"/>
        </w:rPr>
        <w:t>MeCN</w:t>
      </w:r>
      <w:r w:rsidR="00C657F7">
        <w:rPr>
          <w:rFonts w:ascii="Arial" w:hAnsi="Arial" w:cs="Arial"/>
        </w:rPr>
        <w:t>:</w:t>
      </w:r>
      <w:r w:rsidR="00591934">
        <w:rPr>
          <w:rFonts w:ascii="Arial" w:hAnsi="Arial" w:cs="Arial"/>
        </w:rPr>
        <w:t>H</w:t>
      </w:r>
      <w:r w:rsidR="00591934" w:rsidRPr="00C657F7">
        <w:rPr>
          <w:rFonts w:ascii="Arial" w:hAnsi="Arial" w:cs="Arial"/>
          <w:vertAlign w:val="subscript"/>
        </w:rPr>
        <w:t>2</w:t>
      </w:r>
      <w:r w:rsidR="00591934">
        <w:rPr>
          <w:rFonts w:ascii="Arial" w:hAnsi="Arial" w:cs="Arial"/>
        </w:rPr>
        <w:t xml:space="preserve">O </w:t>
      </w:r>
      <w:r>
        <w:rPr>
          <w:rFonts w:ascii="Arial" w:hAnsi="Arial" w:cs="Arial"/>
        </w:rPr>
        <w:t>(75:25</w:t>
      </w:r>
      <w:r w:rsidR="002F2AAF">
        <w:rPr>
          <w:rFonts w:ascii="Arial" w:hAnsi="Arial" w:cs="Arial"/>
        </w:rPr>
        <w:t>, v/v</w:t>
      </w:r>
      <w:r>
        <w:rPr>
          <w:rFonts w:ascii="Arial" w:hAnsi="Arial" w:cs="Arial"/>
        </w:rPr>
        <w:t xml:space="preserve">). Each solvent was investigated with and without </w:t>
      </w:r>
      <w:r w:rsidR="00C657F7">
        <w:rPr>
          <w:rFonts w:ascii="Arial" w:hAnsi="Arial" w:cs="Arial"/>
        </w:rPr>
        <w:t xml:space="preserve">0.1% </w:t>
      </w:r>
      <w:r>
        <w:rPr>
          <w:rFonts w:ascii="Arial" w:hAnsi="Arial" w:cs="Arial"/>
        </w:rPr>
        <w:t xml:space="preserve">formic acid. In addition </w:t>
      </w:r>
      <w:r w:rsidR="00D92EA1">
        <w:rPr>
          <w:rFonts w:ascii="Arial" w:hAnsi="Arial" w:cs="Arial"/>
        </w:rPr>
        <w:t>MeCN</w:t>
      </w:r>
      <w:r w:rsidR="00C657F7">
        <w:rPr>
          <w:rFonts w:ascii="Arial" w:hAnsi="Arial" w:cs="Arial"/>
        </w:rPr>
        <w:t xml:space="preserve">: </w:t>
      </w:r>
      <w:r w:rsidR="00591934">
        <w:rPr>
          <w:rFonts w:ascii="Arial" w:hAnsi="Arial" w:cs="Arial"/>
        </w:rPr>
        <w:t>H</w:t>
      </w:r>
      <w:r w:rsidR="00591934" w:rsidRPr="00C657F7">
        <w:rPr>
          <w:rFonts w:ascii="Arial" w:hAnsi="Arial" w:cs="Arial"/>
          <w:vertAlign w:val="subscript"/>
        </w:rPr>
        <w:t>2</w:t>
      </w:r>
      <w:r w:rsidR="00591934">
        <w:rPr>
          <w:rFonts w:ascii="Arial" w:hAnsi="Arial" w:cs="Arial"/>
        </w:rPr>
        <w:t>O</w:t>
      </w:r>
      <w:r w:rsidR="00C657F7">
        <w:rPr>
          <w:rFonts w:ascii="Arial" w:hAnsi="Arial" w:cs="Arial"/>
        </w:rPr>
        <w:t>: NH</w:t>
      </w:r>
      <w:r w:rsidR="00C657F7" w:rsidRPr="00C657F7">
        <w:rPr>
          <w:rFonts w:ascii="Arial" w:hAnsi="Arial" w:cs="Arial"/>
          <w:vertAlign w:val="subscript"/>
        </w:rPr>
        <w:t>3</w:t>
      </w:r>
      <w:r w:rsidR="00C657F7">
        <w:rPr>
          <w:rFonts w:ascii="Arial" w:hAnsi="Arial" w:cs="Arial"/>
        </w:rPr>
        <w:t xml:space="preserve"> (7</w:t>
      </w:r>
      <w:r w:rsidR="00022905">
        <w:rPr>
          <w:rFonts w:ascii="Arial" w:hAnsi="Arial" w:cs="Arial"/>
        </w:rPr>
        <w:t>5</w:t>
      </w:r>
      <w:r w:rsidR="00C657F7">
        <w:rPr>
          <w:rFonts w:ascii="Arial" w:hAnsi="Arial" w:cs="Arial"/>
        </w:rPr>
        <w:t>:25:0.1</w:t>
      </w:r>
      <w:r w:rsidR="002F2AAF">
        <w:rPr>
          <w:rFonts w:ascii="Arial" w:hAnsi="Arial" w:cs="Arial"/>
        </w:rPr>
        <w:t xml:space="preserve">, </w:t>
      </w:r>
      <w:r w:rsidR="00022905">
        <w:rPr>
          <w:rFonts w:ascii="Arial" w:hAnsi="Arial" w:cs="Arial"/>
        </w:rPr>
        <w:t>v/v/v</w:t>
      </w:r>
      <w:r w:rsidR="00C657F7">
        <w:rPr>
          <w:rFonts w:ascii="Arial" w:hAnsi="Arial" w:cs="Arial"/>
        </w:rPr>
        <w:t>) was investigated.</w:t>
      </w:r>
    </w:p>
    <w:p w:rsidR="00A366E3" w:rsidRDefault="00A366E3" w:rsidP="00A366E3">
      <w:pPr>
        <w:spacing w:line="360" w:lineRule="auto"/>
        <w:jc w:val="both"/>
        <w:rPr>
          <w:rFonts w:ascii="Arial" w:hAnsi="Arial" w:cs="Arial"/>
        </w:rPr>
      </w:pPr>
      <w:r>
        <w:rPr>
          <w:rFonts w:ascii="Arial" w:hAnsi="Arial" w:cs="Arial"/>
          <w:i/>
        </w:rPr>
        <w:t>Solid phase extraction</w:t>
      </w:r>
      <w:r w:rsidRPr="004C41FA">
        <w:rPr>
          <w:rFonts w:ascii="Arial" w:hAnsi="Arial" w:cs="Arial"/>
          <w:i/>
        </w:rPr>
        <w:t xml:space="preserve"> optimisation</w:t>
      </w:r>
      <w:r w:rsidRPr="000D7E26">
        <w:rPr>
          <w:rFonts w:ascii="Arial" w:hAnsi="Arial" w:cs="Arial"/>
        </w:rPr>
        <w:t xml:space="preserve"> </w:t>
      </w:r>
      <w:r>
        <w:rPr>
          <w:rFonts w:ascii="Arial" w:hAnsi="Arial" w:cs="Arial"/>
        </w:rPr>
        <w:t xml:space="preserve">Extraction efficiencies </w:t>
      </w:r>
      <w:r w:rsidRPr="000D7E26">
        <w:rPr>
          <w:rFonts w:ascii="Arial" w:hAnsi="Arial" w:cs="Arial"/>
        </w:rPr>
        <w:t>of the MAX</w:t>
      </w:r>
      <w:r>
        <w:rPr>
          <w:rFonts w:ascii="Arial" w:hAnsi="Arial" w:cs="Arial"/>
        </w:rPr>
        <w:t>, MCX, and WCX phases from a 96 well Oasis sorbent selection plate (10 mg) (Waters Corporation)</w:t>
      </w:r>
      <w:r w:rsidR="00C657F7">
        <w:rPr>
          <w:rFonts w:ascii="Arial" w:hAnsi="Arial" w:cs="Arial"/>
        </w:rPr>
        <w:t xml:space="preserve"> and from a</w:t>
      </w:r>
      <w:r w:rsidR="00591934">
        <w:rPr>
          <w:rFonts w:ascii="Arial" w:hAnsi="Arial" w:cs="Arial"/>
        </w:rPr>
        <w:t xml:space="preserve"> </w:t>
      </w:r>
      <w:r w:rsidR="007A3ECD">
        <w:rPr>
          <w:rFonts w:ascii="Arial" w:hAnsi="Arial" w:cs="Arial"/>
        </w:rPr>
        <w:t xml:space="preserve">size exclusion hydrophobic (SEH) </w:t>
      </w:r>
      <w:r w:rsidRPr="00AB1367">
        <w:rPr>
          <w:rFonts w:ascii="Arial" w:hAnsi="Arial" w:cs="Arial"/>
        </w:rPr>
        <w:t xml:space="preserve">Bond Elut Plexa 96 round-well (30 mg) </w:t>
      </w:r>
      <w:r w:rsidR="00591934">
        <w:rPr>
          <w:rFonts w:ascii="Arial" w:hAnsi="Arial" w:cs="Arial"/>
        </w:rPr>
        <w:t>plate</w:t>
      </w:r>
      <w:r w:rsidR="00553847">
        <w:rPr>
          <w:rFonts w:ascii="Arial" w:hAnsi="Arial" w:cs="Arial"/>
        </w:rPr>
        <w:t xml:space="preserve"> </w:t>
      </w:r>
      <w:r>
        <w:rPr>
          <w:rFonts w:ascii="Arial" w:hAnsi="Arial" w:cs="Arial"/>
        </w:rPr>
        <w:t xml:space="preserve">(Agilent </w:t>
      </w:r>
      <w:r w:rsidR="00591934">
        <w:rPr>
          <w:rFonts w:ascii="Arial" w:hAnsi="Arial" w:cs="Arial"/>
        </w:rPr>
        <w:t>T</w:t>
      </w:r>
      <w:r>
        <w:rPr>
          <w:rFonts w:ascii="Arial" w:hAnsi="Arial" w:cs="Arial"/>
        </w:rPr>
        <w:t>echnologies</w:t>
      </w:r>
      <w:r w:rsidR="00E74253">
        <w:rPr>
          <w:rFonts w:ascii="Arial" w:hAnsi="Arial" w:cs="Arial"/>
        </w:rPr>
        <w:t>, California, USA)</w:t>
      </w:r>
      <w:r>
        <w:rPr>
          <w:rFonts w:ascii="Arial" w:hAnsi="Arial" w:cs="Arial"/>
        </w:rPr>
        <w:t xml:space="preserve"> were evaluated.</w:t>
      </w:r>
      <w:r w:rsidR="00591934">
        <w:rPr>
          <w:rFonts w:ascii="Arial" w:hAnsi="Arial" w:cs="Arial"/>
        </w:rPr>
        <w:t xml:space="preserve"> </w:t>
      </w:r>
      <w:r w:rsidR="00F4481F">
        <w:rPr>
          <w:rFonts w:ascii="Arial" w:hAnsi="Arial" w:cs="Arial"/>
        </w:rPr>
        <w:t xml:space="preserve">The </w:t>
      </w:r>
      <w:r w:rsidR="00C657F7">
        <w:rPr>
          <w:rFonts w:ascii="Arial" w:hAnsi="Arial" w:cs="Arial"/>
        </w:rPr>
        <w:t>Oasis extraction used g</w:t>
      </w:r>
      <w:r>
        <w:rPr>
          <w:rFonts w:ascii="Arial" w:hAnsi="Arial" w:cs="Arial"/>
        </w:rPr>
        <w:t>eneric conditions for peptide analys</w:t>
      </w:r>
      <w:r w:rsidR="00C657F7">
        <w:rPr>
          <w:rFonts w:ascii="Arial" w:hAnsi="Arial" w:cs="Arial"/>
        </w:rPr>
        <w:t>is</w:t>
      </w:r>
      <w:r w:rsidR="009D709E">
        <w:rPr>
          <w:rFonts w:ascii="Arial" w:hAnsi="Arial" w:cs="Arial"/>
        </w:rPr>
        <w:t xml:space="preserve"> based on those</w:t>
      </w:r>
      <w:r w:rsidR="00C657F7">
        <w:rPr>
          <w:rFonts w:ascii="Arial" w:hAnsi="Arial" w:cs="Arial"/>
        </w:rPr>
        <w:t xml:space="preserve"> provided by the manufacturer, whilst we used our </w:t>
      </w:r>
      <w:r>
        <w:rPr>
          <w:rFonts w:ascii="Arial" w:hAnsi="Arial" w:cs="Arial"/>
        </w:rPr>
        <w:t xml:space="preserve">in house generic conditions for the Plexa </w:t>
      </w:r>
      <w:r w:rsidR="00553847">
        <w:rPr>
          <w:rFonts w:ascii="Arial" w:hAnsi="Arial" w:cs="Arial"/>
        </w:rPr>
        <w:t>evaluation.</w:t>
      </w:r>
    </w:p>
    <w:p w:rsidR="007F3F47" w:rsidRPr="007F3F47" w:rsidRDefault="00D07C6F" w:rsidP="00A366E3">
      <w:pPr>
        <w:spacing w:line="360" w:lineRule="auto"/>
        <w:jc w:val="both"/>
        <w:rPr>
          <w:rFonts w:ascii="Arial" w:hAnsi="Arial" w:cs="Arial"/>
        </w:rPr>
      </w:pPr>
      <w:r>
        <w:rPr>
          <w:rFonts w:ascii="Arial" w:hAnsi="Arial" w:cs="Arial"/>
          <w:i/>
        </w:rPr>
        <w:t>Surrogate matrix quantitation</w:t>
      </w:r>
      <w:r w:rsidR="007F3F47" w:rsidRPr="007F3F47">
        <w:rPr>
          <w:rFonts w:ascii="Arial" w:hAnsi="Arial" w:cs="Arial"/>
        </w:rPr>
        <w:t xml:space="preserve">- </w:t>
      </w:r>
      <w:r w:rsidR="000015A6">
        <w:rPr>
          <w:rFonts w:ascii="Arial" w:hAnsi="Arial" w:cs="Arial"/>
        </w:rPr>
        <w:t xml:space="preserve">The calibration standard spiking solutions described above were diluted 5 fold with surrogate matrix. 400 µL aliquots were  </w:t>
      </w:r>
      <w:r w:rsidR="00553847">
        <w:rPr>
          <w:rFonts w:ascii="Arial" w:hAnsi="Arial" w:cs="Arial"/>
        </w:rPr>
        <w:t>then extracted according to the procedure below.</w:t>
      </w:r>
      <w:r w:rsidR="007F3F47">
        <w:rPr>
          <w:rFonts w:ascii="Arial" w:hAnsi="Arial" w:cs="Arial"/>
        </w:rPr>
        <w:t xml:space="preserve"> The matrices investigated were </w:t>
      </w:r>
      <w:r w:rsidR="00C657F7">
        <w:rPr>
          <w:rFonts w:ascii="Arial" w:hAnsi="Arial" w:cs="Arial"/>
        </w:rPr>
        <w:t>H</w:t>
      </w:r>
      <w:r w:rsidR="00C657F7" w:rsidRPr="00C657F7">
        <w:rPr>
          <w:rFonts w:ascii="Arial" w:hAnsi="Arial" w:cs="Arial"/>
          <w:vertAlign w:val="subscript"/>
        </w:rPr>
        <w:t>2</w:t>
      </w:r>
      <w:r w:rsidR="00591934">
        <w:rPr>
          <w:rFonts w:ascii="Arial" w:hAnsi="Arial" w:cs="Arial"/>
        </w:rPr>
        <w:t>O</w:t>
      </w:r>
      <w:r w:rsidR="00C657F7">
        <w:rPr>
          <w:rFonts w:ascii="Arial" w:hAnsi="Arial" w:cs="Arial"/>
        </w:rPr>
        <w:t xml:space="preserve">, </w:t>
      </w:r>
      <w:r w:rsidR="00553847">
        <w:rPr>
          <w:rFonts w:ascii="Arial" w:hAnsi="Arial" w:cs="Arial"/>
        </w:rPr>
        <w:t>MeOH</w:t>
      </w:r>
      <w:r w:rsidR="00C657F7">
        <w:rPr>
          <w:rFonts w:ascii="Arial" w:hAnsi="Arial" w:cs="Arial"/>
        </w:rPr>
        <w:t xml:space="preserve">: </w:t>
      </w:r>
      <w:r w:rsidR="008700A9">
        <w:rPr>
          <w:rFonts w:ascii="Arial" w:hAnsi="Arial" w:cs="Arial"/>
        </w:rPr>
        <w:t>H</w:t>
      </w:r>
      <w:r w:rsidR="008700A9" w:rsidRPr="00C657F7">
        <w:rPr>
          <w:rFonts w:ascii="Arial" w:hAnsi="Arial" w:cs="Arial"/>
          <w:vertAlign w:val="subscript"/>
        </w:rPr>
        <w:t>2</w:t>
      </w:r>
      <w:r w:rsidR="008700A9">
        <w:rPr>
          <w:rFonts w:ascii="Arial" w:hAnsi="Arial" w:cs="Arial"/>
        </w:rPr>
        <w:t>O</w:t>
      </w:r>
      <w:r w:rsidR="00C657F7">
        <w:rPr>
          <w:rFonts w:ascii="Arial" w:hAnsi="Arial" w:cs="Arial"/>
        </w:rPr>
        <w:t>:FA:BSA</w:t>
      </w:r>
      <w:r w:rsidR="008700A9">
        <w:rPr>
          <w:rFonts w:ascii="Arial" w:hAnsi="Arial" w:cs="Arial"/>
        </w:rPr>
        <w:t xml:space="preserve"> </w:t>
      </w:r>
      <w:r w:rsidR="00C657F7">
        <w:rPr>
          <w:rFonts w:ascii="Arial" w:hAnsi="Arial" w:cs="Arial"/>
        </w:rPr>
        <w:t>(20:80:0.1:0.1</w:t>
      </w:r>
      <w:r w:rsidR="00022905">
        <w:rPr>
          <w:rFonts w:ascii="Arial" w:hAnsi="Arial" w:cs="Arial"/>
        </w:rPr>
        <w:t>, v/v/v/w</w:t>
      </w:r>
      <w:r w:rsidR="00C657F7">
        <w:rPr>
          <w:rFonts w:ascii="Arial" w:hAnsi="Arial" w:cs="Arial"/>
        </w:rPr>
        <w:t xml:space="preserve">), </w:t>
      </w:r>
      <w:r w:rsidR="007F3F47">
        <w:rPr>
          <w:rFonts w:ascii="Arial" w:hAnsi="Arial" w:cs="Arial"/>
        </w:rPr>
        <w:t>6% BSA</w:t>
      </w:r>
      <w:r w:rsidR="00C657F7">
        <w:rPr>
          <w:rFonts w:ascii="Arial" w:hAnsi="Arial" w:cs="Arial"/>
        </w:rPr>
        <w:t xml:space="preserve"> (aq)</w:t>
      </w:r>
      <w:r w:rsidR="00553847">
        <w:rPr>
          <w:rFonts w:ascii="Arial" w:hAnsi="Arial" w:cs="Arial"/>
        </w:rPr>
        <w:t xml:space="preserve"> and</w:t>
      </w:r>
      <w:r w:rsidR="00C657F7">
        <w:rPr>
          <w:rFonts w:ascii="Arial" w:hAnsi="Arial" w:cs="Arial"/>
        </w:rPr>
        <w:t xml:space="preserve"> 6% rat plasma (aq).</w:t>
      </w:r>
    </w:p>
    <w:p w:rsidR="00E003E6" w:rsidRDefault="00D07C6F" w:rsidP="00550C28">
      <w:pPr>
        <w:spacing w:line="360" w:lineRule="auto"/>
        <w:jc w:val="both"/>
        <w:rPr>
          <w:rFonts w:ascii="Arial" w:hAnsi="Arial" w:cs="Arial"/>
          <w:i/>
          <w:u w:val="single"/>
        </w:rPr>
      </w:pPr>
      <w:r>
        <w:rPr>
          <w:rFonts w:ascii="Arial" w:hAnsi="Arial" w:cs="Arial"/>
          <w:i/>
          <w:u w:val="single"/>
        </w:rPr>
        <w:t>E</w:t>
      </w:r>
      <w:r w:rsidR="00884D7D">
        <w:rPr>
          <w:rFonts w:ascii="Arial" w:hAnsi="Arial" w:cs="Arial"/>
          <w:i/>
          <w:u w:val="single"/>
        </w:rPr>
        <w:t>xtraction method</w:t>
      </w:r>
      <w:r>
        <w:rPr>
          <w:rFonts w:ascii="Arial" w:hAnsi="Arial" w:cs="Arial"/>
          <w:i/>
          <w:u w:val="single"/>
        </w:rPr>
        <w:t xml:space="preserve"> for validation</w:t>
      </w:r>
    </w:p>
    <w:p w:rsidR="00E74253" w:rsidRDefault="00EC7EF3" w:rsidP="00550C28">
      <w:pPr>
        <w:spacing w:line="360" w:lineRule="auto"/>
        <w:jc w:val="both"/>
        <w:rPr>
          <w:rFonts w:ascii="Arial" w:hAnsi="Arial" w:cs="Arial"/>
        </w:rPr>
      </w:pPr>
      <w:r>
        <w:rPr>
          <w:rFonts w:ascii="Arial" w:hAnsi="Arial" w:cs="Arial"/>
        </w:rPr>
        <w:t>P</w:t>
      </w:r>
      <w:r w:rsidR="00F11F82">
        <w:rPr>
          <w:rFonts w:ascii="Arial" w:hAnsi="Arial" w:cs="Arial"/>
        </w:rPr>
        <w:t>lasma sample</w:t>
      </w:r>
      <w:r w:rsidR="00434C4E">
        <w:rPr>
          <w:rFonts w:ascii="Arial" w:hAnsi="Arial" w:cs="Arial"/>
        </w:rPr>
        <w:t xml:space="preserve"> (aprotinin stabilised, K3</w:t>
      </w:r>
      <w:r w:rsidR="00027278">
        <w:rPr>
          <w:rFonts w:ascii="Arial" w:hAnsi="Arial" w:cs="Arial"/>
        </w:rPr>
        <w:t xml:space="preserve"> </w:t>
      </w:r>
      <w:r w:rsidR="00434C4E">
        <w:rPr>
          <w:rFonts w:ascii="Arial" w:hAnsi="Arial" w:cs="Arial"/>
        </w:rPr>
        <w:t>EDTA)</w:t>
      </w:r>
      <w:r>
        <w:rPr>
          <w:rFonts w:ascii="Arial" w:hAnsi="Arial" w:cs="Arial"/>
        </w:rPr>
        <w:t xml:space="preserve"> (</w:t>
      </w:r>
      <w:r w:rsidRPr="00AB1367">
        <w:rPr>
          <w:rFonts w:ascii="Arial" w:hAnsi="Arial" w:cs="Arial"/>
        </w:rPr>
        <w:t>400</w:t>
      </w:r>
      <w:r>
        <w:rPr>
          <w:rFonts w:ascii="Arial" w:hAnsi="Arial" w:cs="Arial"/>
        </w:rPr>
        <w:t xml:space="preserve"> µL)</w:t>
      </w:r>
      <w:r w:rsidR="00F11F82">
        <w:rPr>
          <w:rFonts w:ascii="Arial" w:hAnsi="Arial" w:cs="Arial"/>
        </w:rPr>
        <w:t xml:space="preserve"> </w:t>
      </w:r>
      <w:r w:rsidR="00AB1367" w:rsidRPr="00AB1367">
        <w:rPr>
          <w:rFonts w:ascii="Arial" w:hAnsi="Arial" w:cs="Arial"/>
        </w:rPr>
        <w:t xml:space="preserve">was </w:t>
      </w:r>
      <w:r w:rsidR="00AB1367">
        <w:rPr>
          <w:rFonts w:ascii="Arial" w:hAnsi="Arial" w:cs="Arial"/>
        </w:rPr>
        <w:t xml:space="preserve">placed into </w:t>
      </w:r>
      <w:r w:rsidR="00553847">
        <w:rPr>
          <w:rFonts w:ascii="Arial" w:hAnsi="Arial" w:cs="Arial"/>
        </w:rPr>
        <w:t>a 5</w:t>
      </w:r>
      <w:r w:rsidR="00913F7A">
        <w:rPr>
          <w:rFonts w:ascii="Arial" w:hAnsi="Arial" w:cs="Arial"/>
        </w:rPr>
        <w:t xml:space="preserve"> </w:t>
      </w:r>
      <w:r w:rsidR="00553847">
        <w:rPr>
          <w:rFonts w:ascii="Arial" w:hAnsi="Arial" w:cs="Arial"/>
        </w:rPr>
        <w:t>mL</w:t>
      </w:r>
      <w:r w:rsidR="00C657F7">
        <w:rPr>
          <w:rFonts w:ascii="Arial" w:hAnsi="Arial" w:cs="Arial"/>
        </w:rPr>
        <w:t xml:space="preserve"> </w:t>
      </w:r>
      <w:r w:rsidR="00E74253">
        <w:rPr>
          <w:rFonts w:ascii="Arial" w:hAnsi="Arial" w:cs="Arial"/>
        </w:rPr>
        <w:t>polypropylene tube</w:t>
      </w:r>
      <w:r w:rsidR="00AB1367">
        <w:rPr>
          <w:rFonts w:ascii="Arial" w:hAnsi="Arial" w:cs="Arial"/>
        </w:rPr>
        <w:t xml:space="preserve"> and 20</w:t>
      </w:r>
      <w:r w:rsidR="001A1370">
        <w:rPr>
          <w:rFonts w:ascii="Arial" w:hAnsi="Arial" w:cs="Arial"/>
        </w:rPr>
        <w:t xml:space="preserve"> </w:t>
      </w:r>
      <w:r w:rsidR="00AB1367">
        <w:rPr>
          <w:rFonts w:ascii="Arial" w:hAnsi="Arial" w:cs="Arial"/>
        </w:rPr>
        <w:t xml:space="preserve">µL of </w:t>
      </w:r>
      <w:r w:rsidR="00553847">
        <w:rPr>
          <w:rFonts w:ascii="Arial" w:hAnsi="Arial" w:cs="Arial"/>
        </w:rPr>
        <w:t xml:space="preserve">ISWS was </w:t>
      </w:r>
      <w:r w:rsidR="00AB1367">
        <w:rPr>
          <w:rFonts w:ascii="Arial" w:hAnsi="Arial" w:cs="Arial"/>
        </w:rPr>
        <w:t xml:space="preserve">added to all non-blank samples. The </w:t>
      </w:r>
      <w:r w:rsidR="00553847">
        <w:rPr>
          <w:rFonts w:ascii="Arial" w:hAnsi="Arial" w:cs="Arial"/>
        </w:rPr>
        <w:t>samples were</w:t>
      </w:r>
      <w:r w:rsidR="00AB1367">
        <w:rPr>
          <w:rFonts w:ascii="Arial" w:hAnsi="Arial" w:cs="Arial"/>
        </w:rPr>
        <w:t xml:space="preserve"> </w:t>
      </w:r>
      <w:r w:rsidR="00E74253">
        <w:rPr>
          <w:rFonts w:ascii="Arial" w:hAnsi="Arial" w:cs="Arial"/>
        </w:rPr>
        <w:t xml:space="preserve">briefly </w:t>
      </w:r>
      <w:r w:rsidR="00553847">
        <w:rPr>
          <w:rFonts w:ascii="Arial" w:hAnsi="Arial" w:cs="Arial"/>
        </w:rPr>
        <w:t>vortex mixed</w:t>
      </w:r>
      <w:r w:rsidR="00E74253">
        <w:rPr>
          <w:rFonts w:ascii="Arial" w:hAnsi="Arial" w:cs="Arial"/>
        </w:rPr>
        <w:t xml:space="preserve">, </w:t>
      </w:r>
      <w:r w:rsidR="0062646D">
        <w:rPr>
          <w:rFonts w:ascii="Arial" w:hAnsi="Arial" w:cs="Arial"/>
        </w:rPr>
        <w:t>precipitated using 3</w:t>
      </w:r>
      <w:r w:rsidR="00553847">
        <w:rPr>
          <w:rFonts w:ascii="Arial" w:hAnsi="Arial" w:cs="Arial"/>
        </w:rPr>
        <w:t xml:space="preserve">.2 mL of </w:t>
      </w:r>
      <w:r w:rsidR="001F3CFC">
        <w:rPr>
          <w:rFonts w:ascii="Arial" w:hAnsi="Arial" w:cs="Arial"/>
        </w:rPr>
        <w:t>Me</w:t>
      </w:r>
      <w:r w:rsidR="00D92EA1">
        <w:rPr>
          <w:rFonts w:ascii="Arial" w:hAnsi="Arial" w:cs="Arial"/>
        </w:rPr>
        <w:t>CN</w:t>
      </w:r>
      <w:r w:rsidR="00553847">
        <w:rPr>
          <w:rFonts w:ascii="Arial" w:hAnsi="Arial" w:cs="Arial"/>
        </w:rPr>
        <w:t>:H</w:t>
      </w:r>
      <w:r w:rsidR="00553847" w:rsidRPr="00C657F7">
        <w:rPr>
          <w:rFonts w:ascii="Arial" w:hAnsi="Arial" w:cs="Arial"/>
          <w:vertAlign w:val="subscript"/>
        </w:rPr>
        <w:t>2</w:t>
      </w:r>
      <w:r w:rsidR="00591934">
        <w:rPr>
          <w:rFonts w:ascii="Arial" w:hAnsi="Arial" w:cs="Arial"/>
        </w:rPr>
        <w:t>O</w:t>
      </w:r>
      <w:r w:rsidR="00553847">
        <w:rPr>
          <w:rFonts w:ascii="Arial" w:hAnsi="Arial" w:cs="Arial"/>
        </w:rPr>
        <w:t>:NH</w:t>
      </w:r>
      <w:r w:rsidR="00553847" w:rsidRPr="00C657F7">
        <w:rPr>
          <w:rFonts w:ascii="Arial" w:hAnsi="Arial" w:cs="Arial"/>
          <w:vertAlign w:val="subscript"/>
        </w:rPr>
        <w:t>3</w:t>
      </w:r>
      <w:r w:rsidR="00553847">
        <w:rPr>
          <w:rFonts w:ascii="Arial" w:hAnsi="Arial" w:cs="Arial"/>
        </w:rPr>
        <w:t xml:space="preserve"> (72:25:0.1</w:t>
      </w:r>
      <w:r w:rsidR="0044630D">
        <w:rPr>
          <w:rFonts w:ascii="Arial" w:hAnsi="Arial" w:cs="Arial"/>
        </w:rPr>
        <w:t>,v/v/v</w:t>
      </w:r>
      <w:r w:rsidR="00553847">
        <w:rPr>
          <w:rFonts w:ascii="Arial" w:hAnsi="Arial" w:cs="Arial"/>
        </w:rPr>
        <w:t>), vortex mixed again, and</w:t>
      </w:r>
      <w:r w:rsidR="00AB1367">
        <w:rPr>
          <w:rFonts w:ascii="Arial" w:hAnsi="Arial" w:cs="Arial"/>
        </w:rPr>
        <w:t xml:space="preserve"> then centrifuged for 10 minutes at 2300</w:t>
      </w:r>
      <w:r w:rsidR="00591934">
        <w:rPr>
          <w:rFonts w:ascii="Arial" w:hAnsi="Arial" w:cs="Arial"/>
        </w:rPr>
        <w:t xml:space="preserve"> x </w:t>
      </w:r>
      <w:r w:rsidR="00AB1367">
        <w:rPr>
          <w:rFonts w:ascii="Arial" w:hAnsi="Arial" w:cs="Arial"/>
        </w:rPr>
        <w:t xml:space="preserve">g. The supernatant was transferred to a new tube and evaporated to dryness overnight </w:t>
      </w:r>
      <w:r w:rsidR="00E74253">
        <w:rPr>
          <w:rFonts w:ascii="Arial" w:hAnsi="Arial" w:cs="Arial"/>
        </w:rPr>
        <w:t>under vacuum</w:t>
      </w:r>
      <w:r w:rsidR="00AB1367">
        <w:rPr>
          <w:rFonts w:ascii="Arial" w:hAnsi="Arial" w:cs="Arial"/>
        </w:rPr>
        <w:t xml:space="preserve">. Samples were reconstituted in 800 µL </w:t>
      </w:r>
      <w:r w:rsidR="00553847">
        <w:rPr>
          <w:rFonts w:ascii="Arial" w:hAnsi="Arial" w:cs="Arial"/>
        </w:rPr>
        <w:t>2% NH</w:t>
      </w:r>
      <w:r w:rsidR="00553847" w:rsidRPr="00553847">
        <w:rPr>
          <w:rFonts w:ascii="Arial" w:hAnsi="Arial" w:cs="Arial"/>
          <w:vertAlign w:val="subscript"/>
        </w:rPr>
        <w:t>3</w:t>
      </w:r>
      <w:r w:rsidR="00553847">
        <w:rPr>
          <w:rFonts w:ascii="Arial" w:hAnsi="Arial" w:cs="Arial"/>
        </w:rPr>
        <w:t xml:space="preserve"> (aq) </w:t>
      </w:r>
      <w:r w:rsidR="00AB1367">
        <w:rPr>
          <w:rFonts w:ascii="Arial" w:hAnsi="Arial" w:cs="Arial"/>
        </w:rPr>
        <w:t>and</w:t>
      </w:r>
      <w:r w:rsidR="00553847">
        <w:rPr>
          <w:rFonts w:ascii="Arial" w:hAnsi="Arial" w:cs="Arial"/>
        </w:rPr>
        <w:t xml:space="preserve"> then </w:t>
      </w:r>
      <w:r w:rsidR="00AB1367">
        <w:rPr>
          <w:rFonts w:ascii="Arial" w:hAnsi="Arial" w:cs="Arial"/>
        </w:rPr>
        <w:t xml:space="preserve">vortex mixed. A </w:t>
      </w:r>
      <w:r w:rsidR="00AB1367" w:rsidRPr="00AB1367">
        <w:rPr>
          <w:rFonts w:ascii="Arial" w:hAnsi="Arial" w:cs="Arial"/>
        </w:rPr>
        <w:t>Bond Elut Plexa 96 round-</w:t>
      </w:r>
      <w:r w:rsidR="00211609" w:rsidRPr="00AB1367">
        <w:rPr>
          <w:rFonts w:ascii="Arial" w:hAnsi="Arial" w:cs="Arial"/>
        </w:rPr>
        <w:t xml:space="preserve">well </w:t>
      </w:r>
      <w:r w:rsidR="00D57915">
        <w:rPr>
          <w:rFonts w:ascii="Arial" w:hAnsi="Arial" w:cs="Arial"/>
        </w:rPr>
        <w:t>solid</w:t>
      </w:r>
      <w:r w:rsidR="00591934">
        <w:rPr>
          <w:rFonts w:ascii="Arial" w:hAnsi="Arial" w:cs="Arial"/>
        </w:rPr>
        <w:t xml:space="preserve"> </w:t>
      </w:r>
      <w:r w:rsidR="00D57915">
        <w:rPr>
          <w:rFonts w:ascii="Arial" w:hAnsi="Arial" w:cs="Arial"/>
        </w:rPr>
        <w:t xml:space="preserve">phase extraction (SPE) </w:t>
      </w:r>
      <w:r w:rsidR="00211609">
        <w:rPr>
          <w:rFonts w:ascii="Arial" w:hAnsi="Arial" w:cs="Arial"/>
        </w:rPr>
        <w:t>plate</w:t>
      </w:r>
      <w:r w:rsidR="00E74253">
        <w:rPr>
          <w:rFonts w:ascii="Arial" w:hAnsi="Arial" w:cs="Arial"/>
        </w:rPr>
        <w:t xml:space="preserve"> </w:t>
      </w:r>
      <w:r w:rsidR="00E74253" w:rsidRPr="00AB1367">
        <w:rPr>
          <w:rFonts w:ascii="Arial" w:hAnsi="Arial" w:cs="Arial"/>
        </w:rPr>
        <w:t>(30 mg</w:t>
      </w:r>
      <w:r w:rsidR="00E74253">
        <w:rPr>
          <w:rFonts w:ascii="Arial" w:hAnsi="Arial" w:cs="Arial"/>
        </w:rPr>
        <w:t xml:space="preserve">) </w:t>
      </w:r>
      <w:r w:rsidR="00F11F82">
        <w:rPr>
          <w:rFonts w:ascii="Arial" w:hAnsi="Arial" w:cs="Arial"/>
        </w:rPr>
        <w:t xml:space="preserve">was conditioned using 1 mL </w:t>
      </w:r>
      <w:r w:rsidR="00E74253">
        <w:rPr>
          <w:rFonts w:ascii="Arial" w:hAnsi="Arial" w:cs="Arial"/>
        </w:rPr>
        <w:t>MeOH,</w:t>
      </w:r>
      <w:r w:rsidR="00211609">
        <w:rPr>
          <w:rFonts w:ascii="Arial" w:hAnsi="Arial" w:cs="Arial"/>
        </w:rPr>
        <w:t xml:space="preserve"> then</w:t>
      </w:r>
      <w:r w:rsidR="00E74253">
        <w:rPr>
          <w:rFonts w:ascii="Arial" w:hAnsi="Arial" w:cs="Arial"/>
        </w:rPr>
        <w:t xml:space="preserve"> </w:t>
      </w:r>
      <w:r w:rsidR="00F11F82">
        <w:rPr>
          <w:rFonts w:ascii="Arial" w:hAnsi="Arial" w:cs="Arial"/>
        </w:rPr>
        <w:t xml:space="preserve">equilibrated with 1 mL </w:t>
      </w:r>
      <w:r w:rsidR="00E74253">
        <w:rPr>
          <w:rFonts w:ascii="Arial" w:hAnsi="Arial" w:cs="Arial"/>
        </w:rPr>
        <w:t>H</w:t>
      </w:r>
      <w:r w:rsidR="00E74253" w:rsidRPr="00E74253">
        <w:rPr>
          <w:rFonts w:ascii="Arial" w:hAnsi="Arial" w:cs="Arial"/>
          <w:vertAlign w:val="subscript"/>
        </w:rPr>
        <w:t>2</w:t>
      </w:r>
      <w:r w:rsidR="00E74253">
        <w:rPr>
          <w:rFonts w:ascii="Arial" w:hAnsi="Arial" w:cs="Arial"/>
        </w:rPr>
        <w:t>0. The samples were loaded, washed with 1 mL</w:t>
      </w:r>
      <w:r w:rsidR="00F11F82">
        <w:rPr>
          <w:rFonts w:ascii="Arial" w:hAnsi="Arial" w:cs="Arial"/>
        </w:rPr>
        <w:t xml:space="preserve"> 5% </w:t>
      </w:r>
      <w:r w:rsidR="00E74253">
        <w:rPr>
          <w:rFonts w:ascii="Arial" w:hAnsi="Arial" w:cs="Arial"/>
        </w:rPr>
        <w:t>MeOH (aq)</w:t>
      </w:r>
      <w:r w:rsidR="00F11F82">
        <w:rPr>
          <w:rFonts w:ascii="Arial" w:hAnsi="Arial" w:cs="Arial"/>
        </w:rPr>
        <w:t>,</w:t>
      </w:r>
      <w:r w:rsidR="00E74253">
        <w:rPr>
          <w:rFonts w:ascii="Arial" w:hAnsi="Arial" w:cs="Arial"/>
        </w:rPr>
        <w:t xml:space="preserve"> </w:t>
      </w:r>
      <w:r w:rsidR="00F11F82">
        <w:rPr>
          <w:rFonts w:ascii="Arial" w:hAnsi="Arial" w:cs="Arial"/>
        </w:rPr>
        <w:t>eluted with 2 x 225 µL</w:t>
      </w:r>
      <w:r w:rsidR="00591934">
        <w:rPr>
          <w:rFonts w:ascii="Arial" w:hAnsi="Arial" w:cs="Arial"/>
        </w:rPr>
        <w:t xml:space="preserve"> </w:t>
      </w:r>
      <w:r w:rsidR="00E74253">
        <w:rPr>
          <w:rFonts w:ascii="Arial" w:hAnsi="Arial" w:cs="Arial"/>
        </w:rPr>
        <w:t>MeCN:H</w:t>
      </w:r>
      <w:r w:rsidR="00E74253" w:rsidRPr="00E74253">
        <w:rPr>
          <w:rFonts w:ascii="Arial" w:hAnsi="Arial" w:cs="Arial"/>
          <w:vertAlign w:val="subscript"/>
        </w:rPr>
        <w:t>2</w:t>
      </w:r>
      <w:r w:rsidR="00591934">
        <w:rPr>
          <w:rFonts w:ascii="Arial" w:hAnsi="Arial" w:cs="Arial"/>
        </w:rPr>
        <w:t>O</w:t>
      </w:r>
      <w:r w:rsidR="00E74253">
        <w:rPr>
          <w:rFonts w:ascii="Arial" w:hAnsi="Arial" w:cs="Arial"/>
        </w:rPr>
        <w:t>:FA (75:25:0.1</w:t>
      </w:r>
      <w:r w:rsidR="0044630D">
        <w:rPr>
          <w:rFonts w:ascii="Arial" w:hAnsi="Arial" w:cs="Arial"/>
        </w:rPr>
        <w:t>, v/v/v</w:t>
      </w:r>
      <w:r w:rsidR="00E74253">
        <w:rPr>
          <w:rFonts w:ascii="Arial" w:hAnsi="Arial" w:cs="Arial"/>
        </w:rPr>
        <w:t>),</w:t>
      </w:r>
      <w:r w:rsidR="00591934">
        <w:rPr>
          <w:rFonts w:ascii="Arial" w:hAnsi="Arial" w:cs="Arial"/>
        </w:rPr>
        <w:t xml:space="preserve"> </w:t>
      </w:r>
      <w:r w:rsidR="00E74253">
        <w:rPr>
          <w:rFonts w:ascii="Arial" w:hAnsi="Arial" w:cs="Arial"/>
        </w:rPr>
        <w:t>and then</w:t>
      </w:r>
      <w:r w:rsidR="00F11F82">
        <w:rPr>
          <w:rFonts w:ascii="Arial" w:hAnsi="Arial" w:cs="Arial"/>
        </w:rPr>
        <w:t xml:space="preserve"> evaporated under nitrogen at 40</w:t>
      </w:r>
      <w:r w:rsidR="00F11F82">
        <w:rPr>
          <w:rFonts w:ascii="Arial" w:hAnsi="Arial" w:cs="Arial"/>
        </w:rPr>
        <w:sym w:font="Symbol" w:char="F0B0"/>
      </w:r>
      <w:r w:rsidR="00F11F82">
        <w:rPr>
          <w:rFonts w:ascii="Arial" w:hAnsi="Arial" w:cs="Arial"/>
        </w:rPr>
        <w:t>C, be</w:t>
      </w:r>
      <w:r w:rsidR="00D92EA1">
        <w:rPr>
          <w:rFonts w:ascii="Arial" w:hAnsi="Arial" w:cs="Arial"/>
        </w:rPr>
        <w:t xml:space="preserve">fore being reconstituted in </w:t>
      </w:r>
      <w:r w:rsidR="00D92EA1">
        <w:rPr>
          <w:rFonts w:ascii="Arial" w:hAnsi="Arial" w:cs="Arial"/>
        </w:rPr>
        <w:br/>
        <w:t xml:space="preserve">200 </w:t>
      </w:r>
      <w:r w:rsidR="00F11F82">
        <w:rPr>
          <w:rFonts w:ascii="Arial" w:hAnsi="Arial" w:cs="Arial"/>
        </w:rPr>
        <w:t xml:space="preserve">µL 0.2% </w:t>
      </w:r>
      <w:r w:rsidR="00E74253">
        <w:rPr>
          <w:rFonts w:ascii="Arial" w:hAnsi="Arial" w:cs="Arial"/>
        </w:rPr>
        <w:t>FA (aq).</w:t>
      </w:r>
      <w:r w:rsidR="00F11F82">
        <w:rPr>
          <w:rFonts w:ascii="Arial" w:hAnsi="Arial" w:cs="Arial"/>
        </w:rPr>
        <w:t xml:space="preserve"> </w:t>
      </w:r>
    </w:p>
    <w:p w:rsidR="00245F27" w:rsidRDefault="00F11F82" w:rsidP="00550C28">
      <w:pPr>
        <w:spacing w:line="360" w:lineRule="auto"/>
        <w:jc w:val="both"/>
        <w:rPr>
          <w:rFonts w:ascii="Arial" w:hAnsi="Arial" w:cs="Arial"/>
        </w:rPr>
      </w:pPr>
      <w:r>
        <w:rPr>
          <w:rFonts w:ascii="Arial" w:hAnsi="Arial" w:cs="Arial"/>
        </w:rPr>
        <w:t>Calibration standards</w:t>
      </w:r>
      <w:r w:rsidR="00E91B43">
        <w:rPr>
          <w:rFonts w:ascii="Arial" w:hAnsi="Arial" w:cs="Arial"/>
        </w:rPr>
        <w:t xml:space="preserve">, QC </w:t>
      </w:r>
      <w:r w:rsidR="00E74253">
        <w:rPr>
          <w:rFonts w:ascii="Arial" w:hAnsi="Arial" w:cs="Arial"/>
        </w:rPr>
        <w:t>LLOQs</w:t>
      </w:r>
      <w:r w:rsidR="00E91B43">
        <w:rPr>
          <w:rFonts w:ascii="Arial" w:hAnsi="Arial" w:cs="Arial"/>
        </w:rPr>
        <w:t xml:space="preserve"> and QC</w:t>
      </w:r>
      <w:r w:rsidR="00DE2797">
        <w:rPr>
          <w:rFonts w:ascii="Arial" w:hAnsi="Arial" w:cs="Arial"/>
        </w:rPr>
        <w:t xml:space="preserve"> </w:t>
      </w:r>
      <w:r w:rsidR="00E91B43">
        <w:rPr>
          <w:rFonts w:ascii="Arial" w:hAnsi="Arial" w:cs="Arial"/>
        </w:rPr>
        <w:t>LOWs</w:t>
      </w:r>
      <w:r>
        <w:rPr>
          <w:rFonts w:ascii="Arial" w:hAnsi="Arial" w:cs="Arial"/>
        </w:rPr>
        <w:t xml:space="preserve"> were</w:t>
      </w:r>
      <w:r w:rsidR="00E91B43">
        <w:rPr>
          <w:rFonts w:ascii="Arial" w:hAnsi="Arial" w:cs="Arial"/>
        </w:rPr>
        <w:t xml:space="preserve"> then</w:t>
      </w:r>
      <w:r>
        <w:rPr>
          <w:rFonts w:ascii="Arial" w:hAnsi="Arial" w:cs="Arial"/>
        </w:rPr>
        <w:t xml:space="preserve"> prepared</w:t>
      </w:r>
      <w:r w:rsidR="00BA67CD">
        <w:rPr>
          <w:rFonts w:ascii="Arial" w:hAnsi="Arial" w:cs="Arial"/>
        </w:rPr>
        <w:t xml:space="preserve"> freshly for each batch</w:t>
      </w:r>
      <w:r>
        <w:rPr>
          <w:rFonts w:ascii="Arial" w:hAnsi="Arial" w:cs="Arial"/>
        </w:rPr>
        <w:t xml:space="preserve"> by spiking 80</w:t>
      </w:r>
      <w:r w:rsidR="00D92EA1">
        <w:rPr>
          <w:rFonts w:ascii="Arial" w:hAnsi="Arial" w:cs="Arial"/>
        </w:rPr>
        <w:t xml:space="preserve"> </w:t>
      </w:r>
      <w:r>
        <w:rPr>
          <w:rFonts w:ascii="Arial" w:hAnsi="Arial" w:cs="Arial"/>
        </w:rPr>
        <w:t>µL of the</w:t>
      </w:r>
      <w:r w:rsidR="00E91B43">
        <w:rPr>
          <w:rFonts w:ascii="Arial" w:hAnsi="Arial" w:cs="Arial"/>
        </w:rPr>
        <w:t xml:space="preserve"> appropriate spiking solution into the plate, along with 20 µL of ISWS and 100</w:t>
      </w:r>
      <w:r w:rsidR="00D92EA1">
        <w:rPr>
          <w:rFonts w:ascii="Arial" w:hAnsi="Arial" w:cs="Arial"/>
        </w:rPr>
        <w:t xml:space="preserve"> </w:t>
      </w:r>
      <w:r w:rsidR="00E91B43">
        <w:rPr>
          <w:rFonts w:ascii="Arial" w:hAnsi="Arial" w:cs="Arial"/>
        </w:rPr>
        <w:t>µL surrogate</w:t>
      </w:r>
      <w:r w:rsidR="00BF42BA">
        <w:rPr>
          <w:rFonts w:ascii="Arial" w:hAnsi="Arial" w:cs="Arial"/>
        </w:rPr>
        <w:t xml:space="preserve"> matrix. Taking into account the 2-fold concentration experienced by plasma samples</w:t>
      </w:r>
      <w:r w:rsidR="00022905">
        <w:rPr>
          <w:rFonts w:ascii="Arial" w:hAnsi="Arial" w:cs="Arial"/>
        </w:rPr>
        <w:t xml:space="preserve"> (400 µL of plasma sample is reconstituted into 200 µL</w:t>
      </w:r>
      <w:r w:rsidR="00A2251B">
        <w:rPr>
          <w:rFonts w:ascii="Arial" w:hAnsi="Arial" w:cs="Arial"/>
        </w:rPr>
        <w:t xml:space="preserve"> of</w:t>
      </w:r>
      <w:r w:rsidR="00022905">
        <w:rPr>
          <w:rFonts w:ascii="Arial" w:hAnsi="Arial" w:cs="Arial"/>
        </w:rPr>
        <w:t xml:space="preserve"> solvent) </w:t>
      </w:r>
      <w:r w:rsidR="00BF42BA">
        <w:rPr>
          <w:rFonts w:ascii="Arial" w:hAnsi="Arial" w:cs="Arial"/>
        </w:rPr>
        <w:t>this gives final calibration levels of 25</w:t>
      </w:r>
      <w:r w:rsidR="00B5656D">
        <w:rPr>
          <w:rFonts w:ascii="Arial" w:hAnsi="Arial" w:cs="Arial"/>
        </w:rPr>
        <w:t xml:space="preserve">, </w:t>
      </w:r>
      <w:r w:rsidR="00BF42BA">
        <w:rPr>
          <w:rFonts w:ascii="Arial" w:hAnsi="Arial" w:cs="Arial"/>
        </w:rPr>
        <w:t>45</w:t>
      </w:r>
      <w:r w:rsidR="00B5656D">
        <w:rPr>
          <w:rFonts w:ascii="Arial" w:hAnsi="Arial" w:cs="Arial"/>
        </w:rPr>
        <w:t xml:space="preserve">, </w:t>
      </w:r>
      <w:r w:rsidR="00BF42BA">
        <w:rPr>
          <w:rFonts w:ascii="Arial" w:hAnsi="Arial" w:cs="Arial"/>
        </w:rPr>
        <w:t>75, 1</w:t>
      </w:r>
      <w:r w:rsidR="00B5656D">
        <w:rPr>
          <w:rFonts w:ascii="Arial" w:hAnsi="Arial" w:cs="Arial"/>
        </w:rPr>
        <w:t xml:space="preserve">00, </w:t>
      </w:r>
      <w:r w:rsidR="00BF42BA">
        <w:rPr>
          <w:rFonts w:ascii="Arial" w:hAnsi="Arial" w:cs="Arial"/>
        </w:rPr>
        <w:t>2</w:t>
      </w:r>
      <w:r w:rsidR="00B5656D">
        <w:rPr>
          <w:rFonts w:ascii="Arial" w:hAnsi="Arial" w:cs="Arial"/>
        </w:rPr>
        <w:t xml:space="preserve">00, </w:t>
      </w:r>
      <w:r w:rsidR="00BF42BA">
        <w:rPr>
          <w:rFonts w:ascii="Arial" w:hAnsi="Arial" w:cs="Arial"/>
        </w:rPr>
        <w:t>400, 600, 900, and 1000 pg/mL, and final</w:t>
      </w:r>
      <w:r w:rsidR="00E74253">
        <w:rPr>
          <w:rFonts w:ascii="Arial" w:hAnsi="Arial" w:cs="Arial"/>
        </w:rPr>
        <w:t xml:space="preserve"> QC levels of 25 and 50 pg/mL. </w:t>
      </w:r>
      <w:r w:rsidR="00245F27">
        <w:rPr>
          <w:rFonts w:ascii="Arial" w:hAnsi="Arial" w:cs="Arial"/>
        </w:rPr>
        <w:t xml:space="preserve">The plate was </w:t>
      </w:r>
      <w:r w:rsidR="00B057EF">
        <w:rPr>
          <w:rFonts w:ascii="Arial" w:hAnsi="Arial" w:cs="Arial"/>
        </w:rPr>
        <w:t>c</w:t>
      </w:r>
      <w:r w:rsidR="00627B43">
        <w:rPr>
          <w:rFonts w:ascii="Arial" w:hAnsi="Arial" w:cs="Arial"/>
        </w:rPr>
        <w:t xml:space="preserve">entrifuged </w:t>
      </w:r>
      <w:r w:rsidR="00B057EF">
        <w:rPr>
          <w:rFonts w:ascii="Arial" w:hAnsi="Arial" w:cs="Arial"/>
        </w:rPr>
        <w:t>for 10 minutes at 2300</w:t>
      </w:r>
      <w:r w:rsidR="008700A9">
        <w:rPr>
          <w:rFonts w:ascii="Arial" w:hAnsi="Arial" w:cs="Arial"/>
        </w:rPr>
        <w:t xml:space="preserve"> x </w:t>
      </w:r>
      <w:r w:rsidR="00B057EF">
        <w:rPr>
          <w:rFonts w:ascii="Arial" w:hAnsi="Arial" w:cs="Arial"/>
        </w:rPr>
        <w:t xml:space="preserve">g, and </w:t>
      </w:r>
      <w:r w:rsidR="00E74253">
        <w:rPr>
          <w:rFonts w:ascii="Arial" w:hAnsi="Arial" w:cs="Arial"/>
        </w:rPr>
        <w:t>50 µ</w:t>
      </w:r>
      <w:r w:rsidR="00B057EF">
        <w:rPr>
          <w:rFonts w:ascii="Arial" w:hAnsi="Arial" w:cs="Arial"/>
        </w:rPr>
        <w:t>L of sample injected on to the LC-MS/MS system for analysis.</w:t>
      </w:r>
    </w:p>
    <w:p w:rsidR="00550C28" w:rsidRDefault="006105F6" w:rsidP="00550C28">
      <w:pPr>
        <w:spacing w:line="360" w:lineRule="auto"/>
        <w:jc w:val="both"/>
        <w:rPr>
          <w:rFonts w:ascii="Arial" w:hAnsi="Arial" w:cs="Arial"/>
          <w:i/>
          <w:u w:val="single"/>
        </w:rPr>
      </w:pPr>
      <w:r w:rsidRPr="008425FC">
        <w:rPr>
          <w:rFonts w:ascii="Arial" w:hAnsi="Arial" w:cs="Arial"/>
          <w:i/>
          <w:u w:val="single"/>
        </w:rPr>
        <w:t>Validation</w:t>
      </w:r>
      <w:r w:rsidR="00D07C6F">
        <w:rPr>
          <w:rFonts w:ascii="Arial" w:hAnsi="Arial" w:cs="Arial"/>
          <w:i/>
          <w:u w:val="single"/>
        </w:rPr>
        <w:t xml:space="preserve"> Experiments</w:t>
      </w:r>
    </w:p>
    <w:p w:rsidR="006105F6" w:rsidRPr="00F201AB" w:rsidRDefault="00F201AB" w:rsidP="00F201AB">
      <w:pPr>
        <w:spacing w:line="360" w:lineRule="auto"/>
        <w:jc w:val="both"/>
        <w:rPr>
          <w:rFonts w:ascii="Arial" w:hAnsi="Arial" w:cs="Arial"/>
        </w:rPr>
      </w:pPr>
      <w:r>
        <w:rPr>
          <w:rFonts w:ascii="Arial" w:hAnsi="Arial" w:cs="Arial"/>
        </w:rPr>
        <w:t xml:space="preserve">The validation experiments chosen were based on those described in the </w:t>
      </w:r>
      <w:r w:rsidRPr="00F201AB">
        <w:rPr>
          <w:rFonts w:ascii="Arial" w:hAnsi="Arial" w:cs="Arial"/>
        </w:rPr>
        <w:t xml:space="preserve">latest EMA guidance </w:t>
      </w:r>
      <w:r w:rsidR="001B586C" w:rsidRPr="00F201AB">
        <w:rPr>
          <w:rFonts w:ascii="Arial" w:hAnsi="Arial" w:cs="Arial"/>
        </w:rPr>
        <w:fldChar w:fldCharType="begin" w:fldLock="1"/>
      </w:r>
      <w:r w:rsidR="00261C24">
        <w:rPr>
          <w:rFonts w:ascii="Arial" w:hAnsi="Arial" w:cs="Arial"/>
        </w:rPr>
        <w:instrText>ADDIN CSL_CITATION { "citationItems" : [ { "id" : "ITEM-1", "itemData" : { "id" : "ITEM-1", "issued" : { "date-parts" : [ [ "2012" ] ] }, "title" : "Guideline on bioanalytical method validation, EMA", "type" : "article-journal" }, "uris" : [ "http://www.mendeley.com/documents/?uuid=62ca7abe-b29a-4685-966f-7b286a090e82" ] } ], "mendeley" : { "previouslyFormattedCitation" : "[17]" }, "properties" : { "noteIndex" : 0 }, "schema" : "https://github.com/citation-style-language/schema/raw/master/csl-citation.json" }</w:instrText>
      </w:r>
      <w:r w:rsidR="001B586C" w:rsidRPr="00F201AB">
        <w:rPr>
          <w:rFonts w:ascii="Arial" w:hAnsi="Arial" w:cs="Arial"/>
        </w:rPr>
        <w:fldChar w:fldCharType="separate"/>
      </w:r>
      <w:r w:rsidR="00EC3CF8" w:rsidRPr="00EC3CF8">
        <w:rPr>
          <w:rFonts w:ascii="Arial" w:hAnsi="Arial" w:cs="Arial"/>
          <w:noProof/>
        </w:rPr>
        <w:t>[17]</w:t>
      </w:r>
      <w:r w:rsidR="001B586C" w:rsidRPr="00F201AB">
        <w:rPr>
          <w:rFonts w:ascii="Arial" w:hAnsi="Arial" w:cs="Arial"/>
        </w:rPr>
        <w:fldChar w:fldCharType="end"/>
      </w:r>
      <w:r>
        <w:rPr>
          <w:rFonts w:ascii="Arial" w:hAnsi="Arial" w:cs="Arial"/>
        </w:rPr>
        <w:t xml:space="preserve">. </w:t>
      </w:r>
      <w:r w:rsidR="00596711" w:rsidRPr="00F201AB">
        <w:rPr>
          <w:rFonts w:ascii="Arial" w:hAnsi="Arial" w:cs="Arial"/>
        </w:rPr>
        <w:t>C</w:t>
      </w:r>
      <w:r w:rsidR="008425FC" w:rsidRPr="00F201AB">
        <w:rPr>
          <w:rFonts w:ascii="Arial" w:hAnsi="Arial" w:cs="Arial"/>
        </w:rPr>
        <w:t>alibration standards were analys</w:t>
      </w:r>
      <w:r w:rsidR="001070C5" w:rsidRPr="00F201AB">
        <w:rPr>
          <w:rFonts w:ascii="Arial" w:hAnsi="Arial" w:cs="Arial"/>
        </w:rPr>
        <w:t xml:space="preserve">ed in duplicate with each </w:t>
      </w:r>
      <w:r w:rsidR="007E3660" w:rsidRPr="00F201AB">
        <w:rPr>
          <w:rFonts w:ascii="Arial" w:hAnsi="Arial" w:cs="Arial"/>
        </w:rPr>
        <w:t>batch</w:t>
      </w:r>
      <w:r w:rsidR="00E74253" w:rsidRPr="00F201AB">
        <w:rPr>
          <w:rFonts w:ascii="Arial" w:hAnsi="Arial" w:cs="Arial"/>
        </w:rPr>
        <w:t>.</w:t>
      </w:r>
      <w:r w:rsidR="007E3660" w:rsidRPr="00F201AB">
        <w:rPr>
          <w:rFonts w:ascii="Arial" w:hAnsi="Arial" w:cs="Arial"/>
        </w:rPr>
        <w:t xml:space="preserve"> Data was imported into Watson LIMS 7.2 (Thermo Fisher Scientific Inc, Massachusetts, </w:t>
      </w:r>
      <w:r w:rsidR="002F5186" w:rsidRPr="00F201AB">
        <w:rPr>
          <w:rFonts w:ascii="Arial" w:hAnsi="Arial" w:cs="Arial"/>
        </w:rPr>
        <w:t>USA) and</w:t>
      </w:r>
      <w:r w:rsidR="007E3660" w:rsidRPr="00F201AB">
        <w:rPr>
          <w:rFonts w:ascii="Arial" w:hAnsi="Arial" w:cs="Arial"/>
        </w:rPr>
        <w:t xml:space="preserve"> l</w:t>
      </w:r>
      <w:r w:rsidR="008425FC" w:rsidRPr="00F201AB">
        <w:rPr>
          <w:rFonts w:ascii="Arial" w:hAnsi="Arial" w:cs="Arial"/>
        </w:rPr>
        <w:t>inear regression</w:t>
      </w:r>
      <w:r w:rsidR="00C55B2E" w:rsidRPr="00F201AB">
        <w:rPr>
          <w:rFonts w:ascii="Arial" w:hAnsi="Arial" w:cs="Arial"/>
        </w:rPr>
        <w:t xml:space="preserve"> with 1/x</w:t>
      </w:r>
      <w:r w:rsidR="00C55B2E" w:rsidRPr="00D92EA1">
        <w:rPr>
          <w:rFonts w:ascii="Arial" w:hAnsi="Arial" w:cs="Arial"/>
          <w:vertAlign w:val="superscript"/>
        </w:rPr>
        <w:t>2</w:t>
      </w:r>
      <w:r w:rsidR="00C55B2E" w:rsidRPr="00F201AB">
        <w:rPr>
          <w:rFonts w:ascii="Arial" w:hAnsi="Arial" w:cs="Arial"/>
        </w:rPr>
        <w:t xml:space="preserve"> weighting</w:t>
      </w:r>
      <w:r w:rsidR="008425FC" w:rsidRPr="00F201AB">
        <w:rPr>
          <w:rFonts w:ascii="Arial" w:hAnsi="Arial" w:cs="Arial"/>
        </w:rPr>
        <w:t xml:space="preserve"> was applied to the peak area ratios-concentration plot for the construction of calibration </w:t>
      </w:r>
      <w:r w:rsidR="00596711" w:rsidRPr="00F201AB">
        <w:rPr>
          <w:rFonts w:ascii="Arial" w:hAnsi="Arial" w:cs="Arial"/>
        </w:rPr>
        <w:t>lines</w:t>
      </w:r>
      <w:r w:rsidR="007E3660" w:rsidRPr="00F201AB">
        <w:rPr>
          <w:rFonts w:ascii="Arial" w:hAnsi="Arial" w:cs="Arial"/>
        </w:rPr>
        <w:t>.</w:t>
      </w:r>
      <w:r w:rsidR="00596711" w:rsidRPr="00F201AB">
        <w:rPr>
          <w:rFonts w:ascii="Arial" w:hAnsi="Arial" w:cs="Arial"/>
        </w:rPr>
        <w:t xml:space="preserve"> </w:t>
      </w:r>
      <w:r w:rsidR="008425FC" w:rsidRPr="00F201AB">
        <w:rPr>
          <w:rFonts w:ascii="Arial" w:hAnsi="Arial" w:cs="Arial"/>
        </w:rPr>
        <w:t>T</w:t>
      </w:r>
      <w:r w:rsidR="006105F6" w:rsidRPr="00F201AB">
        <w:rPr>
          <w:rFonts w:ascii="Arial" w:hAnsi="Arial" w:cs="Arial"/>
        </w:rPr>
        <w:t>he precision and accuracy of the method was determined by analysis of replicate (n=6) QC samples at four different concentrations</w:t>
      </w:r>
      <w:r w:rsidR="008425FC" w:rsidRPr="00F201AB">
        <w:rPr>
          <w:rFonts w:ascii="Arial" w:hAnsi="Arial" w:cs="Arial"/>
        </w:rPr>
        <w:t xml:space="preserve"> (25</w:t>
      </w:r>
      <w:r w:rsidR="00314A65" w:rsidRPr="00F201AB">
        <w:rPr>
          <w:rFonts w:ascii="Arial" w:hAnsi="Arial" w:cs="Arial"/>
        </w:rPr>
        <w:t>, 50</w:t>
      </w:r>
      <w:r w:rsidR="008425FC" w:rsidRPr="00F201AB">
        <w:rPr>
          <w:rFonts w:ascii="Arial" w:hAnsi="Arial" w:cs="Arial"/>
        </w:rPr>
        <w:t>, 100, and 750 pg/mL)</w:t>
      </w:r>
      <w:r w:rsidR="00314A65" w:rsidRPr="00F201AB">
        <w:rPr>
          <w:rFonts w:ascii="Arial" w:hAnsi="Arial" w:cs="Arial"/>
        </w:rPr>
        <w:t>, and was</w:t>
      </w:r>
      <w:r w:rsidR="006105F6" w:rsidRPr="00F201AB">
        <w:rPr>
          <w:rFonts w:ascii="Arial" w:hAnsi="Arial" w:cs="Arial"/>
        </w:rPr>
        <w:t xml:space="preserve"> assessed within a batch (intra-batch, n = 6 replicates) and between batches (inter-batch, 3 batches).</w:t>
      </w:r>
      <w:r w:rsidR="00591934">
        <w:rPr>
          <w:rFonts w:ascii="Arial" w:hAnsi="Arial" w:cs="Arial"/>
        </w:rPr>
        <w:t xml:space="preserve"> </w:t>
      </w:r>
      <w:r w:rsidR="00835F28">
        <w:rPr>
          <w:rFonts w:ascii="Arial" w:hAnsi="Arial" w:cs="Arial"/>
        </w:rPr>
        <w:t xml:space="preserve">The ability to dilute </w:t>
      </w:r>
      <w:r w:rsidR="00D57915">
        <w:rPr>
          <w:rFonts w:ascii="Arial" w:hAnsi="Arial" w:cs="Arial"/>
        </w:rPr>
        <w:t xml:space="preserve">was </w:t>
      </w:r>
      <w:r w:rsidR="00835F28">
        <w:rPr>
          <w:rFonts w:ascii="Arial" w:hAnsi="Arial" w:cs="Arial"/>
        </w:rPr>
        <w:t xml:space="preserve">assessed by diluting an over range dilution sample (7500 pg/mL) 10-fold with blank plasma. </w:t>
      </w:r>
      <w:r w:rsidR="004C11CB" w:rsidRPr="00F201AB">
        <w:rPr>
          <w:rFonts w:ascii="Arial" w:hAnsi="Arial" w:cs="Arial"/>
        </w:rPr>
        <w:t>Carryover effects were evaluated by injection of blank samples immediately after injection of the highest point in the calibration range.</w:t>
      </w:r>
      <w:r w:rsidR="004C11CB">
        <w:rPr>
          <w:rFonts w:cs="Arial"/>
        </w:rPr>
        <w:t xml:space="preserve"> </w:t>
      </w:r>
    </w:p>
    <w:p w:rsidR="00D32501" w:rsidRPr="00314A65" w:rsidRDefault="006105F6" w:rsidP="00314A65">
      <w:pPr>
        <w:pStyle w:val="TemplateText"/>
        <w:spacing w:line="360" w:lineRule="auto"/>
        <w:rPr>
          <w:rFonts w:eastAsiaTheme="minorHAnsi" w:cs="Arial"/>
        </w:rPr>
      </w:pPr>
      <w:r w:rsidRPr="006105F6">
        <w:rPr>
          <w:rFonts w:eastAsiaTheme="minorHAnsi" w:cs="Arial"/>
        </w:rPr>
        <w:t xml:space="preserve">Selectivity </w:t>
      </w:r>
      <w:r>
        <w:rPr>
          <w:rFonts w:eastAsiaTheme="minorHAnsi" w:cs="Arial"/>
        </w:rPr>
        <w:t>was</w:t>
      </w:r>
      <w:r w:rsidRPr="006105F6">
        <w:rPr>
          <w:rFonts w:eastAsiaTheme="minorHAnsi" w:cs="Arial"/>
        </w:rPr>
        <w:t xml:space="preserve"> assessed</w:t>
      </w:r>
      <w:r>
        <w:rPr>
          <w:rFonts w:eastAsiaTheme="minorHAnsi" w:cs="Arial"/>
        </w:rPr>
        <w:t xml:space="preserve"> by</w:t>
      </w:r>
      <w:r w:rsidRPr="006105F6">
        <w:rPr>
          <w:rFonts w:eastAsiaTheme="minorHAnsi" w:cs="Arial"/>
        </w:rPr>
        <w:t xml:space="preserve"> qualitatively examining chromatograms</w:t>
      </w:r>
      <w:r>
        <w:rPr>
          <w:rFonts w:eastAsiaTheme="minorHAnsi" w:cs="Arial"/>
        </w:rPr>
        <w:t xml:space="preserve"> from</w:t>
      </w:r>
      <w:r w:rsidR="008425FC">
        <w:rPr>
          <w:rFonts w:eastAsiaTheme="minorHAnsi" w:cs="Arial"/>
        </w:rPr>
        <w:t xml:space="preserve"> six independent control matrix samples</w:t>
      </w:r>
      <w:r>
        <w:rPr>
          <w:rFonts w:eastAsiaTheme="minorHAnsi" w:cs="Arial"/>
        </w:rPr>
        <w:t xml:space="preserve"> </w:t>
      </w:r>
      <w:r w:rsidRPr="006105F6">
        <w:rPr>
          <w:rFonts w:eastAsiaTheme="minorHAnsi" w:cs="Arial"/>
        </w:rPr>
        <w:t>for the presence of potentially interfering peaks.</w:t>
      </w:r>
      <w:r w:rsidR="00591934">
        <w:rPr>
          <w:rFonts w:eastAsiaTheme="minorHAnsi" w:cs="Arial"/>
        </w:rPr>
        <w:t xml:space="preserve"> </w:t>
      </w:r>
      <w:r w:rsidR="00FD2D8C">
        <w:rPr>
          <w:rFonts w:eastAsiaTheme="minorHAnsi" w:cs="Arial"/>
        </w:rPr>
        <w:t>It was not feasible to monitor multiple</w:t>
      </w:r>
      <w:r w:rsidR="006E3632">
        <w:rPr>
          <w:rFonts w:eastAsiaTheme="minorHAnsi" w:cs="Arial"/>
        </w:rPr>
        <w:t xml:space="preserve"> charge states or</w:t>
      </w:r>
      <w:r w:rsidR="00FD2D8C">
        <w:rPr>
          <w:rFonts w:eastAsiaTheme="minorHAnsi" w:cs="Arial"/>
        </w:rPr>
        <w:t xml:space="preserve"> SRM transitionsto further ensure selectivity as only the selected transition demonstrated sufficient sensitivity at the endogenous concentration .</w:t>
      </w:r>
      <w:r w:rsidR="00E74253">
        <w:rPr>
          <w:rFonts w:eastAsiaTheme="minorHAnsi" w:cs="Arial"/>
        </w:rPr>
        <w:t xml:space="preserve">The </w:t>
      </w:r>
      <w:r w:rsidR="008425FC" w:rsidRPr="008425FC">
        <w:rPr>
          <w:rFonts w:eastAsiaTheme="minorHAnsi" w:cs="Arial"/>
        </w:rPr>
        <w:t>modification of analyte</w:t>
      </w:r>
      <w:r w:rsidR="00314A65">
        <w:rPr>
          <w:rFonts w:eastAsiaTheme="minorHAnsi" w:cs="Arial"/>
        </w:rPr>
        <w:t xml:space="preserve"> </w:t>
      </w:r>
      <w:r w:rsidR="008425FC" w:rsidRPr="008425FC">
        <w:rPr>
          <w:rFonts w:eastAsiaTheme="minorHAnsi" w:cs="Arial"/>
        </w:rPr>
        <w:t>and internal standard responses to the presence of matrix was</w:t>
      </w:r>
      <w:r w:rsidR="008425FC">
        <w:rPr>
          <w:rFonts w:eastAsiaTheme="minorHAnsi" w:cs="Arial"/>
        </w:rPr>
        <w:t xml:space="preserve"> also</w:t>
      </w:r>
      <w:r w:rsidR="008425FC" w:rsidRPr="008425FC">
        <w:rPr>
          <w:rFonts w:eastAsiaTheme="minorHAnsi" w:cs="Arial"/>
        </w:rPr>
        <w:t xml:space="preserve"> </w:t>
      </w:r>
      <w:r w:rsidR="001070C5">
        <w:rPr>
          <w:rFonts w:eastAsiaTheme="minorHAnsi" w:cs="Arial"/>
        </w:rPr>
        <w:t>determined</w:t>
      </w:r>
      <w:r w:rsidR="00B40597">
        <w:rPr>
          <w:rFonts w:eastAsiaTheme="minorHAnsi" w:cs="Arial"/>
        </w:rPr>
        <w:t xml:space="preserve"> i</w:t>
      </w:r>
      <w:r w:rsidR="001070C5">
        <w:rPr>
          <w:rFonts w:eastAsiaTheme="minorHAnsi" w:cs="Arial"/>
        </w:rPr>
        <w:t xml:space="preserve">n </w:t>
      </w:r>
      <w:r w:rsidR="00E74253">
        <w:rPr>
          <w:rFonts w:eastAsiaTheme="minorHAnsi" w:cs="Arial"/>
        </w:rPr>
        <w:t>such samples.</w:t>
      </w:r>
      <w:r w:rsidR="001070C5">
        <w:rPr>
          <w:rFonts w:eastAsiaTheme="minorHAnsi" w:cs="Arial"/>
        </w:rPr>
        <w:t xml:space="preserve"> </w:t>
      </w:r>
      <w:r w:rsidR="00314A65">
        <w:rPr>
          <w:rFonts w:eastAsiaTheme="minorHAnsi" w:cs="Arial"/>
        </w:rPr>
        <w:t xml:space="preserve">These </w:t>
      </w:r>
      <w:r w:rsidR="00314A65" w:rsidRPr="008425FC">
        <w:rPr>
          <w:rFonts w:eastAsiaTheme="minorHAnsi" w:cs="Arial"/>
        </w:rPr>
        <w:t>were</w:t>
      </w:r>
      <w:r w:rsidR="008425FC" w:rsidRPr="008425FC">
        <w:rPr>
          <w:rFonts w:eastAsiaTheme="minorHAnsi" w:cs="Arial"/>
        </w:rPr>
        <w:t xml:space="preserve"> extracted </w:t>
      </w:r>
      <w:r w:rsidR="00D32501">
        <w:rPr>
          <w:rFonts w:eastAsiaTheme="minorHAnsi" w:cs="Arial"/>
        </w:rPr>
        <w:t>and post spiked at either</w:t>
      </w:r>
      <w:r w:rsidR="001070C5">
        <w:rPr>
          <w:rFonts w:eastAsiaTheme="minorHAnsi" w:cs="Arial"/>
        </w:rPr>
        <w:t xml:space="preserve"> the</w:t>
      </w:r>
      <w:r w:rsidR="00D32501">
        <w:rPr>
          <w:rFonts w:eastAsiaTheme="minorHAnsi" w:cs="Arial"/>
        </w:rPr>
        <w:t xml:space="preserve"> medium or high level, and compared to the </w:t>
      </w:r>
      <w:r w:rsidR="00D32501" w:rsidRPr="00314A65">
        <w:rPr>
          <w:rFonts w:eastAsiaTheme="minorHAnsi" w:cs="Arial"/>
        </w:rPr>
        <w:t>mean response from samples in surrogate matrix (minimum</w:t>
      </w:r>
      <w:r w:rsidR="001070C5" w:rsidRPr="00314A65">
        <w:rPr>
          <w:rFonts w:eastAsiaTheme="minorHAnsi" w:cs="Arial"/>
        </w:rPr>
        <w:t xml:space="preserve"> n=6)</w:t>
      </w:r>
      <w:r w:rsidR="00314A65" w:rsidRPr="00314A65">
        <w:rPr>
          <w:rFonts w:eastAsiaTheme="minorHAnsi" w:cs="Arial"/>
        </w:rPr>
        <w:t xml:space="preserve">. </w:t>
      </w:r>
      <w:r w:rsidR="00D22CAB">
        <w:rPr>
          <w:rFonts w:eastAsiaTheme="minorHAnsi" w:cs="Arial"/>
        </w:rPr>
        <w:t xml:space="preserve">The effect of </w:t>
      </w:r>
      <w:r w:rsidR="001070C5" w:rsidRPr="00314A65">
        <w:rPr>
          <w:rFonts w:eastAsiaTheme="minorHAnsi" w:cs="Arial"/>
        </w:rPr>
        <w:t>haemolysed (3%) plasma</w:t>
      </w:r>
      <w:r w:rsidR="00D22CAB">
        <w:rPr>
          <w:rFonts w:eastAsiaTheme="minorHAnsi" w:cs="Arial"/>
        </w:rPr>
        <w:t xml:space="preserve"> and </w:t>
      </w:r>
      <w:r w:rsidR="00D22CAB">
        <w:t xml:space="preserve">hyperlipidaemic </w:t>
      </w:r>
      <w:r w:rsidR="00D57915">
        <w:t xml:space="preserve">plasma </w:t>
      </w:r>
      <w:r w:rsidR="00D22CAB">
        <w:t>(</w:t>
      </w:r>
      <w:r w:rsidR="00591934">
        <w:rPr>
          <w:i/>
        </w:rPr>
        <w:t>~</w:t>
      </w:r>
      <w:r w:rsidR="00D22CAB" w:rsidRPr="00D22CAB">
        <w:t>4 mmol/L of triglycerides</w:t>
      </w:r>
      <w:r w:rsidR="00D22CAB">
        <w:t xml:space="preserve">) </w:t>
      </w:r>
      <w:r w:rsidR="00D22CAB">
        <w:rPr>
          <w:rFonts w:eastAsiaTheme="minorHAnsi" w:cs="Arial"/>
        </w:rPr>
        <w:t>upon on quantitation was investigated by preparing QCs in these matrices at the</w:t>
      </w:r>
      <w:r w:rsidR="00314A65" w:rsidRPr="00314A65">
        <w:rPr>
          <w:rFonts w:eastAsiaTheme="minorHAnsi" w:cs="Arial"/>
        </w:rPr>
        <w:t xml:space="preserve"> med</w:t>
      </w:r>
      <w:r w:rsidR="00314A65">
        <w:rPr>
          <w:rFonts w:eastAsiaTheme="minorHAnsi" w:cs="Arial"/>
        </w:rPr>
        <w:t>ium</w:t>
      </w:r>
      <w:r w:rsidR="00314A65" w:rsidRPr="00314A65">
        <w:rPr>
          <w:rFonts w:eastAsiaTheme="minorHAnsi" w:cs="Arial"/>
        </w:rPr>
        <w:t xml:space="preserve"> and high level</w:t>
      </w:r>
      <w:r w:rsidR="00591934">
        <w:rPr>
          <w:rFonts w:eastAsiaTheme="minorHAnsi" w:cs="Arial"/>
        </w:rPr>
        <w:t xml:space="preserve"> </w:t>
      </w:r>
      <w:r w:rsidR="00314A65">
        <w:rPr>
          <w:rFonts w:eastAsiaTheme="minorHAnsi" w:cs="Arial"/>
        </w:rPr>
        <w:t>(n=6 replicates)</w:t>
      </w:r>
      <w:r w:rsidR="00211609" w:rsidRPr="00314A65">
        <w:rPr>
          <w:rFonts w:eastAsiaTheme="minorHAnsi" w:cs="Arial"/>
        </w:rPr>
        <w:t>.</w:t>
      </w:r>
      <w:r w:rsidR="001816C9">
        <w:rPr>
          <w:rFonts w:eastAsiaTheme="minorHAnsi" w:cs="Arial"/>
        </w:rPr>
        <w:t xml:space="preserve"> </w:t>
      </w:r>
      <w:r w:rsidR="001816C9" w:rsidRPr="001816C9">
        <w:rPr>
          <w:rFonts w:eastAsiaTheme="minorHAnsi" w:cs="Arial"/>
        </w:rPr>
        <w:t>Recovery of</w:t>
      </w:r>
      <w:r w:rsidR="00DE2797">
        <w:rPr>
          <w:rFonts w:eastAsiaTheme="minorHAnsi" w:cs="Arial"/>
        </w:rPr>
        <w:t xml:space="preserve"> the </w:t>
      </w:r>
      <w:r w:rsidR="001816C9" w:rsidRPr="001816C9">
        <w:rPr>
          <w:rFonts w:eastAsiaTheme="minorHAnsi" w:cs="Arial"/>
        </w:rPr>
        <w:t xml:space="preserve">analyte </w:t>
      </w:r>
      <w:r w:rsidR="00B40597">
        <w:rPr>
          <w:rFonts w:eastAsiaTheme="minorHAnsi" w:cs="Arial"/>
        </w:rPr>
        <w:t xml:space="preserve">was </w:t>
      </w:r>
      <w:r w:rsidR="00B40597" w:rsidRPr="001816C9">
        <w:rPr>
          <w:rFonts w:eastAsiaTheme="minorHAnsi" w:cs="Arial"/>
        </w:rPr>
        <w:t>evaluated</w:t>
      </w:r>
      <w:r w:rsidR="001816C9" w:rsidRPr="001816C9">
        <w:rPr>
          <w:rFonts w:eastAsiaTheme="minorHAnsi" w:cs="Arial"/>
        </w:rPr>
        <w:t xml:space="preserve"> by comparing the analytical results</w:t>
      </w:r>
      <w:r w:rsidR="000208D1">
        <w:rPr>
          <w:rFonts w:eastAsiaTheme="minorHAnsi" w:cs="Arial"/>
        </w:rPr>
        <w:t xml:space="preserve"> for extracted analyte samples at the medium and high level</w:t>
      </w:r>
      <w:r w:rsidR="001816C9" w:rsidRPr="001816C9">
        <w:rPr>
          <w:rFonts w:eastAsiaTheme="minorHAnsi" w:cs="Arial"/>
        </w:rPr>
        <w:t xml:space="preserve"> with unextracted analyte samples that represent 100% recovery</w:t>
      </w:r>
      <w:r w:rsidR="000208D1">
        <w:rPr>
          <w:rFonts w:eastAsiaTheme="minorHAnsi" w:cs="Arial"/>
        </w:rPr>
        <w:t xml:space="preserve">. </w:t>
      </w:r>
    </w:p>
    <w:p w:rsidR="00835F28" w:rsidRDefault="00D32501" w:rsidP="004C11CB">
      <w:pPr>
        <w:pStyle w:val="TemplateText"/>
        <w:spacing w:line="360" w:lineRule="auto"/>
      </w:pPr>
      <w:r w:rsidRPr="00314A65">
        <w:rPr>
          <w:rFonts w:eastAsiaTheme="minorHAnsi" w:cs="Arial"/>
        </w:rPr>
        <w:t>The stability of the glucagon in aprotinin stabilised</w:t>
      </w:r>
      <w:r>
        <w:t xml:space="preserve"> human plasma was evaluated at </w:t>
      </w:r>
      <w:r w:rsidR="00314A65">
        <w:t>the medium</w:t>
      </w:r>
      <w:r>
        <w:t xml:space="preserve"> and </w:t>
      </w:r>
      <w:r w:rsidR="00314A65">
        <w:t>high</w:t>
      </w:r>
      <w:r>
        <w:t xml:space="preserve"> </w:t>
      </w:r>
      <w:r w:rsidR="00DE2797">
        <w:t>concentrations in replicate (n=6</w:t>
      </w:r>
      <w:r w:rsidR="00CC2BFF">
        <w:t xml:space="preserve">). </w:t>
      </w:r>
      <w:r>
        <w:t xml:space="preserve">Stability was assessed after </w:t>
      </w:r>
      <w:r w:rsidR="00314A65">
        <w:br/>
      </w:r>
      <w:r>
        <w:t>6 hr 20</w:t>
      </w:r>
      <w:r w:rsidR="00DE2797">
        <w:t xml:space="preserve"> min on ice </w:t>
      </w:r>
      <w:r w:rsidR="00D57915">
        <w:t xml:space="preserve">(4 </w:t>
      </w:r>
      <w:r w:rsidR="00D57915">
        <w:sym w:font="Symbol" w:char="F0B0"/>
      </w:r>
      <w:r w:rsidR="00D57915">
        <w:t>C)</w:t>
      </w:r>
      <w:r w:rsidR="008B554F">
        <w:t>,</w:t>
      </w:r>
      <w:r w:rsidR="00D57915">
        <w:t xml:space="preserve"> </w:t>
      </w:r>
      <w:r w:rsidRPr="00227B77">
        <w:t xml:space="preserve">after storage </w:t>
      </w:r>
      <w:r w:rsidR="00314A65">
        <w:t>for</w:t>
      </w:r>
      <w:r>
        <w:t xml:space="preserve"> </w:t>
      </w:r>
      <w:r w:rsidR="00117771">
        <w:t xml:space="preserve">11 and 75 days at </w:t>
      </w:r>
      <w:r>
        <w:t>-20</w:t>
      </w:r>
      <w:r w:rsidRPr="00D32501">
        <w:t>°</w:t>
      </w:r>
      <w:r>
        <w:t>C</w:t>
      </w:r>
      <w:r w:rsidR="008B554F">
        <w:t>,</w:t>
      </w:r>
      <w:r>
        <w:t xml:space="preserve"> and</w:t>
      </w:r>
      <w:r w:rsidR="00117771">
        <w:t xml:space="preserve"> </w:t>
      </w:r>
      <w:r w:rsidR="008B554F">
        <w:t xml:space="preserve">for </w:t>
      </w:r>
      <w:r w:rsidR="00117771">
        <w:t>7, 11, 51, and 64 days at</w:t>
      </w:r>
      <w:r w:rsidR="00591934">
        <w:t xml:space="preserve"> </w:t>
      </w:r>
      <w:r>
        <w:t>-80</w:t>
      </w:r>
      <w:r w:rsidRPr="00D32501">
        <w:t>°</w:t>
      </w:r>
      <w:r>
        <w:t>C</w:t>
      </w:r>
      <w:r w:rsidR="00B53553">
        <w:t>.</w:t>
      </w:r>
      <w:r w:rsidR="00BC5CF9">
        <w:t xml:space="preserve"> Similarly stability was assessed after 4 freeze-thaw cycles from -20 </w:t>
      </w:r>
      <w:r w:rsidR="00BC5CF9">
        <w:sym w:font="Symbol" w:char="F0B0"/>
      </w:r>
      <w:r w:rsidR="00BC5CF9">
        <w:t xml:space="preserve">C to 4 </w:t>
      </w:r>
      <w:r w:rsidR="00BC5CF9">
        <w:sym w:font="Symbol" w:char="F0B0"/>
      </w:r>
      <w:r w:rsidR="00BC5CF9">
        <w:t>C and</w:t>
      </w:r>
      <w:r w:rsidR="00FD2DA1">
        <w:t xml:space="preserve"> also</w:t>
      </w:r>
      <w:r w:rsidR="00BC5CF9">
        <w:t xml:space="preserve"> 4 freeze cycles from -80 </w:t>
      </w:r>
      <w:r w:rsidR="00BC5CF9">
        <w:sym w:font="Symbol" w:char="F0B0"/>
      </w:r>
      <w:r w:rsidR="00BC5CF9">
        <w:t xml:space="preserve">C to 4 </w:t>
      </w:r>
      <w:r w:rsidR="00BC5CF9">
        <w:sym w:font="Symbol" w:char="F0B0"/>
      </w:r>
      <w:r w:rsidR="00BC5CF9">
        <w:t xml:space="preserve">C.  </w:t>
      </w:r>
      <w:r w:rsidR="001070C5">
        <w:t xml:space="preserve"> Stability was </w:t>
      </w:r>
      <w:r w:rsidR="00314A65">
        <w:t>similarly</w:t>
      </w:r>
      <w:r w:rsidR="001070C5">
        <w:t xml:space="preserve"> assessed in whole blood </w:t>
      </w:r>
      <w:r w:rsidR="00B40597">
        <w:t>following</w:t>
      </w:r>
      <w:r w:rsidR="001070C5">
        <w:t xml:space="preserve"> storage on ice for 1 hour.</w:t>
      </w:r>
      <w:r w:rsidR="00591934">
        <w:t xml:space="preserve"> </w:t>
      </w:r>
      <w:r w:rsidR="001070C5">
        <w:t>The ability to re-inject sample extracts at med</w:t>
      </w:r>
      <w:r w:rsidR="00B53553">
        <w:t>ium</w:t>
      </w:r>
      <w:r w:rsidR="001070C5">
        <w:t xml:space="preserve"> and high concentrations was assessed after storage at +4</w:t>
      </w:r>
      <w:r w:rsidR="001070C5" w:rsidRPr="00117771">
        <w:t>°</w:t>
      </w:r>
      <w:r w:rsidR="001070C5">
        <w:t xml:space="preserve">C for </w:t>
      </w:r>
      <w:r w:rsidR="00117771" w:rsidRPr="00117771">
        <w:t>6</w:t>
      </w:r>
      <w:r w:rsidR="001070C5" w:rsidRPr="00117771">
        <w:t xml:space="preserve"> day</w:t>
      </w:r>
      <w:r w:rsidR="00F05639" w:rsidRPr="00117771">
        <w:t>s</w:t>
      </w:r>
      <w:r w:rsidR="001070C5">
        <w:t>.</w:t>
      </w:r>
      <w:r w:rsidR="00591934">
        <w:t xml:space="preserve"> </w:t>
      </w:r>
      <w:r w:rsidR="004C11CB">
        <w:t>The stability</w:t>
      </w:r>
      <w:r w:rsidR="00E27CEC">
        <w:t xml:space="preserve"> of the</w:t>
      </w:r>
      <w:r w:rsidR="004C11CB">
        <w:t xml:space="preserve"> stock</w:t>
      </w:r>
      <w:r w:rsidR="00117771">
        <w:t xml:space="preserve"> solution was assessed after storage</w:t>
      </w:r>
      <w:r w:rsidR="00E27CEC">
        <w:t xml:space="preserve"> at -20</w:t>
      </w:r>
      <w:r w:rsidR="00E27CEC">
        <w:sym w:font="Symbol" w:char="F0B0"/>
      </w:r>
      <w:r w:rsidR="00E27CEC">
        <w:t>C</w:t>
      </w:r>
      <w:r w:rsidR="00117771">
        <w:t xml:space="preserve"> for </w:t>
      </w:r>
      <w:r w:rsidR="00117771" w:rsidRPr="00117771">
        <w:t xml:space="preserve">66 days and </w:t>
      </w:r>
      <w:r w:rsidR="00117771">
        <w:t>that of</w:t>
      </w:r>
      <w:r w:rsidR="00E27CEC">
        <w:t xml:space="preserve"> LLOQ and ULOQ</w:t>
      </w:r>
      <w:r w:rsidR="00117771">
        <w:t xml:space="preserve"> </w:t>
      </w:r>
      <w:r w:rsidR="00117771" w:rsidRPr="00117771">
        <w:t>working solutions</w:t>
      </w:r>
      <w:r w:rsidR="00E27CEC">
        <w:t xml:space="preserve"> </w:t>
      </w:r>
      <w:r w:rsidR="004C11CB">
        <w:t xml:space="preserve">after </w:t>
      </w:r>
      <w:r w:rsidR="00117771">
        <w:t>163 days</w:t>
      </w:r>
      <w:r w:rsidR="00E27CEC">
        <w:t xml:space="preserve"> at -20</w:t>
      </w:r>
      <w:r w:rsidR="00E27CEC">
        <w:sym w:font="Symbol" w:char="F0B0"/>
      </w:r>
      <w:r w:rsidR="00E27CEC">
        <w:t>C.</w:t>
      </w:r>
    </w:p>
    <w:p w:rsidR="00835F28" w:rsidRDefault="00835F28" w:rsidP="004C11CB">
      <w:pPr>
        <w:pStyle w:val="TemplateText"/>
        <w:spacing w:line="360" w:lineRule="auto"/>
      </w:pPr>
    </w:p>
    <w:p w:rsidR="00DB379E" w:rsidRDefault="00DB379E" w:rsidP="00DB379E">
      <w:pPr>
        <w:spacing w:line="360" w:lineRule="auto"/>
        <w:jc w:val="both"/>
        <w:rPr>
          <w:rFonts w:ascii="Arial" w:hAnsi="Arial" w:cs="Arial"/>
        </w:rPr>
      </w:pPr>
      <w:r w:rsidRPr="00545AD2">
        <w:rPr>
          <w:rFonts w:ascii="Arial" w:hAnsi="Arial" w:cs="Arial"/>
        </w:rPr>
        <w:t>All results are quoted from batches where the standards and QCs passed</w:t>
      </w:r>
      <w:r>
        <w:rPr>
          <w:rFonts w:ascii="Arial" w:hAnsi="Arial" w:cs="Arial"/>
        </w:rPr>
        <w:t xml:space="preserve"> our prospectively defined acceptance criteria, which were based on the EMA and FDA guidelines. These required that at</w:t>
      </w:r>
      <w:r w:rsidRPr="00545AD2">
        <w:rPr>
          <w:rFonts w:ascii="Arial" w:hAnsi="Arial" w:cs="Arial"/>
        </w:rPr>
        <w:t xml:space="preserve"> least 75% of standards in each batch had back calculated</w:t>
      </w:r>
      <w:r>
        <w:rPr>
          <w:rFonts w:ascii="Arial" w:hAnsi="Arial" w:cs="Arial"/>
        </w:rPr>
        <w:t xml:space="preserve"> </w:t>
      </w:r>
      <w:r w:rsidRPr="00545AD2">
        <w:rPr>
          <w:rFonts w:ascii="Arial" w:hAnsi="Arial" w:cs="Arial"/>
        </w:rPr>
        <w:t xml:space="preserve">accuracy within </w:t>
      </w:r>
      <w:r>
        <w:rPr>
          <w:rFonts w:ascii="Arial" w:hAnsi="Arial" w:cs="Arial"/>
        </w:rPr>
        <w:t>15</w:t>
      </w:r>
      <w:r w:rsidRPr="00545AD2">
        <w:rPr>
          <w:rFonts w:ascii="Arial" w:hAnsi="Arial" w:cs="Arial"/>
        </w:rPr>
        <w:t>%</w:t>
      </w:r>
      <w:r>
        <w:rPr>
          <w:rFonts w:ascii="Arial" w:hAnsi="Arial" w:cs="Arial"/>
        </w:rPr>
        <w:t xml:space="preserve"> (20% at the LLOQ)</w:t>
      </w:r>
      <w:r w:rsidRPr="00545AD2">
        <w:rPr>
          <w:rFonts w:ascii="Arial" w:hAnsi="Arial" w:cs="Arial"/>
        </w:rPr>
        <w:t xml:space="preserve"> of the nominal concentration, with standards outside these criteria excluded from the regression. QCs in precision and accuracy batches </w:t>
      </w:r>
      <w:r>
        <w:rPr>
          <w:rFonts w:ascii="Arial" w:hAnsi="Arial" w:cs="Arial"/>
        </w:rPr>
        <w:t>needed to have</w:t>
      </w:r>
      <w:r w:rsidRPr="00545AD2">
        <w:rPr>
          <w:rFonts w:ascii="Arial" w:hAnsi="Arial" w:cs="Arial"/>
        </w:rPr>
        <w:t xml:space="preserve"> mean intra-batch accuracy within 20% of the nominal concentration, and intra-batch precision that did not exceed 20%. In other batches at least 2/3 of the individual QCs had accuracy within 20% of the nominal concentration, with at least one QC passing criteria at each level. </w:t>
      </w:r>
      <w:r>
        <w:rPr>
          <w:rFonts w:ascii="Arial" w:hAnsi="Arial" w:cs="Arial"/>
        </w:rPr>
        <w:t>Although the</w:t>
      </w:r>
      <w:r w:rsidRPr="00164464">
        <w:rPr>
          <w:rFonts w:ascii="Arial" w:hAnsi="Arial" w:cs="Arial"/>
        </w:rPr>
        <w:t xml:space="preserve"> guidelines suggest</w:t>
      </w:r>
      <w:r>
        <w:rPr>
          <w:rFonts w:ascii="Arial" w:hAnsi="Arial" w:cs="Arial"/>
        </w:rPr>
        <w:t xml:space="preserve"> a 15% criteria (20% at the LLOQ)</w:t>
      </w:r>
      <w:r w:rsidRPr="00164464">
        <w:rPr>
          <w:rFonts w:ascii="Arial" w:hAnsi="Arial" w:cs="Arial"/>
        </w:rPr>
        <w:t xml:space="preserve"> should be applied to</w:t>
      </w:r>
      <w:r>
        <w:rPr>
          <w:rFonts w:ascii="Arial" w:hAnsi="Arial" w:cs="Arial"/>
        </w:rPr>
        <w:t xml:space="preserve"> QC performance</w:t>
      </w:r>
      <w:r w:rsidRPr="00164464">
        <w:rPr>
          <w:rFonts w:ascii="Arial" w:hAnsi="Arial" w:cs="Arial"/>
        </w:rPr>
        <w:t>, they state it can be widened prospectively in special cases</w:t>
      </w:r>
      <w:r>
        <w:rPr>
          <w:rFonts w:ascii="Arial" w:hAnsi="Arial" w:cs="Arial"/>
        </w:rPr>
        <w:t xml:space="preserve">. We felt it was justified to raise the QC acceptance criteria to 20% (CV and RE) due to the surrogate matrix nature of the assay. The 20% (RE) acceptance criteria was also applied to plasma, blood and extract stability experiments, as well as to the assessment of the matrix effect in different individuals (matrix factor ratio) and of the effect of haemolysed or </w:t>
      </w:r>
      <w:r w:rsidRPr="004507FC">
        <w:rPr>
          <w:rFonts w:ascii="Arial" w:hAnsi="Arial" w:cs="Arial"/>
        </w:rPr>
        <w:t>hyperlip</w:t>
      </w:r>
      <w:r>
        <w:rPr>
          <w:rFonts w:ascii="Arial" w:hAnsi="Arial" w:cs="Arial"/>
        </w:rPr>
        <w:t>i</w:t>
      </w:r>
      <w:r w:rsidRPr="004507FC">
        <w:rPr>
          <w:rFonts w:ascii="Arial" w:hAnsi="Arial" w:cs="Arial"/>
        </w:rPr>
        <w:t>d</w:t>
      </w:r>
      <w:r>
        <w:rPr>
          <w:rFonts w:ascii="Arial" w:hAnsi="Arial" w:cs="Arial"/>
        </w:rPr>
        <w:t>a</w:t>
      </w:r>
      <w:r w:rsidRPr="004507FC">
        <w:rPr>
          <w:rFonts w:ascii="Arial" w:hAnsi="Arial" w:cs="Arial"/>
        </w:rPr>
        <w:t xml:space="preserve">emic </w:t>
      </w:r>
      <w:r>
        <w:rPr>
          <w:rFonts w:ascii="Arial" w:hAnsi="Arial" w:cs="Arial"/>
        </w:rPr>
        <w:t>plasma.</w:t>
      </w:r>
    </w:p>
    <w:p w:rsidR="00BF3A39" w:rsidRDefault="00BF3A39" w:rsidP="00DB379E">
      <w:pPr>
        <w:spacing w:line="360" w:lineRule="auto"/>
        <w:jc w:val="both"/>
        <w:rPr>
          <w:rFonts w:ascii="Arial" w:hAnsi="Arial" w:cs="Arial"/>
        </w:rPr>
      </w:pPr>
    </w:p>
    <w:p w:rsidR="00FD2DA1" w:rsidRDefault="00FD2DA1" w:rsidP="00BF3A39">
      <w:pPr>
        <w:rPr>
          <w:rFonts w:ascii="Arial" w:eastAsia="Times New Roman" w:hAnsi="Arial" w:cs="Times New Roman"/>
          <w:i/>
          <w:u w:val="single"/>
        </w:rPr>
      </w:pPr>
    </w:p>
    <w:p w:rsidR="00BF3A39" w:rsidRPr="005D677F" w:rsidRDefault="00BF3A39" w:rsidP="00BF3A39">
      <w:pPr>
        <w:rPr>
          <w:rFonts w:ascii="Arial" w:eastAsia="Times New Roman" w:hAnsi="Arial" w:cs="Times New Roman"/>
          <w:i/>
          <w:u w:val="single"/>
        </w:rPr>
      </w:pPr>
      <w:r>
        <w:rPr>
          <w:rFonts w:ascii="Arial" w:eastAsia="Times New Roman" w:hAnsi="Arial" w:cs="Times New Roman"/>
          <w:i/>
          <w:u w:val="single"/>
        </w:rPr>
        <w:t>Collection of samples from volunteers to assess endogenous</w:t>
      </w:r>
      <w:r w:rsidRPr="005D677F">
        <w:rPr>
          <w:rFonts w:ascii="Arial" w:eastAsia="Times New Roman" w:hAnsi="Arial" w:cs="Times New Roman"/>
          <w:i/>
          <w:u w:val="single"/>
        </w:rPr>
        <w:t xml:space="preserve"> glucagon </w:t>
      </w:r>
      <w:r>
        <w:rPr>
          <w:rFonts w:ascii="Arial" w:eastAsia="Times New Roman" w:hAnsi="Arial" w:cs="Times New Roman"/>
          <w:i/>
          <w:u w:val="single"/>
        </w:rPr>
        <w:t>concentrations</w:t>
      </w:r>
      <w:r w:rsidRPr="005D677F">
        <w:rPr>
          <w:rFonts w:ascii="Arial" w:eastAsia="Times New Roman" w:hAnsi="Arial" w:cs="Times New Roman"/>
          <w:i/>
          <w:u w:val="single"/>
        </w:rPr>
        <w:t xml:space="preserve"> </w:t>
      </w:r>
    </w:p>
    <w:p w:rsidR="00BF3A39" w:rsidRDefault="00BF3A39" w:rsidP="00BF3A39">
      <w:pPr>
        <w:spacing w:line="360" w:lineRule="auto"/>
        <w:jc w:val="both"/>
        <w:rPr>
          <w:rFonts w:ascii="Arial" w:hAnsi="Arial" w:cs="Arial"/>
        </w:rPr>
      </w:pPr>
      <w:r>
        <w:rPr>
          <w:rFonts w:ascii="Arial" w:eastAsia="Times New Roman" w:hAnsi="Arial" w:cs="Times New Roman"/>
        </w:rPr>
        <w:t>Plasma was collected from 12 healthy males and 12 healthy females using glass collection tubes containing K3</w:t>
      </w:r>
      <w:r w:rsidR="00FD2DA1">
        <w:rPr>
          <w:rFonts w:ascii="Arial" w:eastAsia="Times New Roman" w:hAnsi="Arial" w:cs="Times New Roman"/>
        </w:rPr>
        <w:t xml:space="preserve"> </w:t>
      </w:r>
      <w:r>
        <w:rPr>
          <w:rFonts w:ascii="Arial" w:eastAsia="Times New Roman" w:hAnsi="Arial" w:cs="Times New Roman"/>
        </w:rPr>
        <w:t>EDTA and aprotinin, as described above. Glucagon levels</w:t>
      </w:r>
      <w:r w:rsidR="00FD2DA1">
        <w:rPr>
          <w:rFonts w:ascii="Arial" w:eastAsia="Times New Roman" w:hAnsi="Arial" w:cs="Times New Roman"/>
        </w:rPr>
        <w:t xml:space="preserve"> were</w:t>
      </w:r>
      <w:r>
        <w:rPr>
          <w:rFonts w:ascii="Arial" w:eastAsia="Times New Roman" w:hAnsi="Arial" w:cs="Times New Roman"/>
        </w:rPr>
        <w:t xml:space="preserve"> determined using the qualified LC-MS/MS method. Plasma was collected at the start of the working day and volunteers were not asked to change their usual eating regime</w:t>
      </w:r>
    </w:p>
    <w:p w:rsidR="00DB379E" w:rsidRDefault="00DB379E" w:rsidP="004C11CB">
      <w:pPr>
        <w:pStyle w:val="TemplateText"/>
        <w:spacing w:line="360" w:lineRule="auto"/>
      </w:pPr>
    </w:p>
    <w:p w:rsidR="00105DA2" w:rsidRPr="00287BA0" w:rsidRDefault="00105DA2" w:rsidP="00DE2797">
      <w:pPr>
        <w:rPr>
          <w:rFonts w:ascii="Arial" w:eastAsia="Times New Roman" w:hAnsi="Arial" w:cs="Times New Roman"/>
          <w:i/>
          <w:u w:val="single"/>
        </w:rPr>
      </w:pPr>
      <w:r w:rsidRPr="00287BA0">
        <w:rPr>
          <w:rFonts w:ascii="Arial" w:eastAsia="Times New Roman" w:hAnsi="Arial" w:cs="Times New Roman"/>
          <w:i/>
          <w:u w:val="single"/>
        </w:rPr>
        <w:t xml:space="preserve">Collection of </w:t>
      </w:r>
      <w:r w:rsidR="00287BA0" w:rsidRPr="00287BA0">
        <w:rPr>
          <w:rFonts w:ascii="Arial" w:eastAsia="Times New Roman" w:hAnsi="Arial" w:cs="Times New Roman"/>
          <w:i/>
          <w:u w:val="single"/>
        </w:rPr>
        <w:t xml:space="preserve">physiological study </w:t>
      </w:r>
      <w:r w:rsidRPr="00287BA0">
        <w:rPr>
          <w:rFonts w:ascii="Arial" w:eastAsia="Times New Roman" w:hAnsi="Arial" w:cs="Times New Roman"/>
          <w:i/>
          <w:u w:val="single"/>
        </w:rPr>
        <w:t>samples</w:t>
      </w:r>
    </w:p>
    <w:p w:rsidR="00152DAB" w:rsidRDefault="00287BA0" w:rsidP="002F5186">
      <w:pPr>
        <w:spacing w:line="360" w:lineRule="auto"/>
        <w:jc w:val="both"/>
        <w:rPr>
          <w:rFonts w:ascii="Arial" w:hAnsi="Arial" w:cs="Arial"/>
        </w:rPr>
      </w:pPr>
      <w:r>
        <w:rPr>
          <w:rFonts w:ascii="Arial" w:eastAsia="Times New Roman" w:hAnsi="Arial" w:cs="Times New Roman"/>
        </w:rPr>
        <w:t xml:space="preserve">Physiological study </w:t>
      </w:r>
      <w:r w:rsidR="00BD5C49" w:rsidRPr="00BD5C49">
        <w:rPr>
          <w:rFonts w:ascii="Arial" w:hAnsi="Arial" w:cs="Arial"/>
        </w:rPr>
        <w:t xml:space="preserve">samples </w:t>
      </w:r>
      <w:r w:rsidR="00020B67">
        <w:rPr>
          <w:rFonts w:ascii="Arial" w:hAnsi="Arial" w:cs="Arial"/>
        </w:rPr>
        <w:t xml:space="preserve">(n=117) </w:t>
      </w:r>
      <w:r w:rsidR="00BD5C49" w:rsidRPr="00BD5C49">
        <w:rPr>
          <w:rFonts w:ascii="Arial" w:hAnsi="Arial" w:cs="Arial"/>
        </w:rPr>
        <w:t xml:space="preserve">were </w:t>
      </w:r>
      <w:r w:rsidR="001F482C">
        <w:rPr>
          <w:rFonts w:ascii="Arial" w:hAnsi="Arial" w:cs="Arial"/>
        </w:rPr>
        <w:t>collected</w:t>
      </w:r>
      <w:r w:rsidR="00BD5C49" w:rsidRPr="00BD5C49">
        <w:rPr>
          <w:rFonts w:ascii="Arial" w:hAnsi="Arial" w:cs="Arial"/>
        </w:rPr>
        <w:t xml:space="preserve"> by Imperial College London.</w:t>
      </w:r>
      <w:r w:rsidR="00591934">
        <w:rPr>
          <w:rFonts w:ascii="Arial" w:hAnsi="Arial" w:cs="Arial"/>
        </w:rPr>
        <w:t xml:space="preserve"> </w:t>
      </w:r>
      <w:r w:rsidR="00152DAB">
        <w:rPr>
          <w:rFonts w:ascii="Arial" w:hAnsi="Arial" w:cs="Arial"/>
        </w:rPr>
        <w:t xml:space="preserve">The samples originated from 7 different individuals who were each infused with a glucagon solution at either 16 or 20 pmol/kg/min for </w:t>
      </w:r>
      <w:r w:rsidR="00591934">
        <w:rPr>
          <w:rFonts w:ascii="Arial" w:hAnsi="Arial" w:cs="Arial"/>
        </w:rPr>
        <w:t>12 hours</w:t>
      </w:r>
      <w:r w:rsidR="003A5DA9">
        <w:rPr>
          <w:rFonts w:ascii="Arial" w:hAnsi="Arial" w:cs="Arial"/>
        </w:rPr>
        <w:t xml:space="preserve"> </w:t>
      </w:r>
      <w:r w:rsidR="00BD5C49" w:rsidRPr="00BD5C49">
        <w:rPr>
          <w:rFonts w:ascii="Arial" w:hAnsi="Arial" w:cs="Arial"/>
        </w:rPr>
        <w:t>subcutaneously</w:t>
      </w:r>
      <w:r w:rsidR="00152DAB">
        <w:rPr>
          <w:rFonts w:ascii="Arial" w:hAnsi="Arial" w:cs="Arial"/>
        </w:rPr>
        <w:t xml:space="preserve">. Blood samples at various time points were collected </w:t>
      </w:r>
      <w:r w:rsidR="00BD5C49">
        <w:rPr>
          <w:rFonts w:ascii="Arial" w:hAnsi="Arial" w:cs="Arial"/>
        </w:rPr>
        <w:t>in</w:t>
      </w:r>
      <w:r w:rsidR="001F482C">
        <w:rPr>
          <w:rFonts w:ascii="Arial" w:hAnsi="Arial" w:cs="Arial"/>
        </w:rPr>
        <w:t xml:space="preserve"> </w:t>
      </w:r>
      <w:r w:rsidR="00291FB2" w:rsidRPr="00776A35">
        <w:rPr>
          <w:rFonts w:ascii="Arial" w:hAnsi="Arial" w:cs="Arial"/>
        </w:rPr>
        <w:t xml:space="preserve">5 </w:t>
      </w:r>
      <w:r w:rsidR="001F482C" w:rsidRPr="00776A35">
        <w:rPr>
          <w:rFonts w:ascii="Arial" w:hAnsi="Arial" w:cs="Arial"/>
        </w:rPr>
        <w:t>mL</w:t>
      </w:r>
      <w:r w:rsidR="00BD5C49">
        <w:rPr>
          <w:rFonts w:ascii="Arial" w:hAnsi="Arial" w:cs="Arial"/>
        </w:rPr>
        <w:t xml:space="preserve"> l</w:t>
      </w:r>
      <w:r w:rsidR="00BD5C49" w:rsidRPr="00BD5C49">
        <w:rPr>
          <w:rFonts w:ascii="Arial" w:hAnsi="Arial" w:cs="Arial"/>
        </w:rPr>
        <w:t>ithium heparin</w:t>
      </w:r>
      <w:r w:rsidR="001F482C">
        <w:rPr>
          <w:rFonts w:ascii="Arial" w:hAnsi="Arial" w:cs="Arial"/>
        </w:rPr>
        <w:t xml:space="preserve"> collection</w:t>
      </w:r>
      <w:r w:rsidR="00BD5C49" w:rsidRPr="00BD5C49">
        <w:rPr>
          <w:rFonts w:ascii="Arial" w:hAnsi="Arial" w:cs="Arial"/>
        </w:rPr>
        <w:t xml:space="preserve"> tubes</w:t>
      </w:r>
      <w:r w:rsidR="00BD5C49">
        <w:rPr>
          <w:rFonts w:ascii="Arial" w:hAnsi="Arial" w:cs="Arial"/>
        </w:rPr>
        <w:t xml:space="preserve"> containing</w:t>
      </w:r>
      <w:r w:rsidR="001F482C">
        <w:rPr>
          <w:rFonts w:ascii="Arial" w:hAnsi="Arial" w:cs="Arial"/>
        </w:rPr>
        <w:t xml:space="preserve"> </w:t>
      </w:r>
      <w:r w:rsidR="00291FB2" w:rsidRPr="00776A35">
        <w:rPr>
          <w:rFonts w:ascii="Arial" w:hAnsi="Arial" w:cs="Arial"/>
        </w:rPr>
        <w:t>2000</w:t>
      </w:r>
      <w:r w:rsidR="001F482C" w:rsidRPr="00776A35">
        <w:rPr>
          <w:rFonts w:ascii="Arial" w:hAnsi="Arial" w:cs="Arial"/>
        </w:rPr>
        <w:t xml:space="preserve"> KIU</w:t>
      </w:r>
      <w:r w:rsidR="001F482C">
        <w:rPr>
          <w:rFonts w:ascii="Arial" w:hAnsi="Arial" w:cs="Arial"/>
        </w:rPr>
        <w:t xml:space="preserve"> of </w:t>
      </w:r>
      <w:r w:rsidR="00BD5C49">
        <w:rPr>
          <w:rFonts w:ascii="Arial" w:hAnsi="Arial" w:cs="Arial"/>
        </w:rPr>
        <w:t xml:space="preserve">Aprotinin, </w:t>
      </w:r>
      <w:r w:rsidR="00BD5C49" w:rsidRPr="00BD5C49">
        <w:rPr>
          <w:rFonts w:ascii="Arial" w:hAnsi="Arial" w:cs="Arial"/>
        </w:rPr>
        <w:t>spun down in a cold centrifuge within 5 to 10 mins of coll</w:t>
      </w:r>
      <w:r w:rsidR="00C56191">
        <w:rPr>
          <w:rFonts w:ascii="Arial" w:hAnsi="Arial" w:cs="Arial"/>
        </w:rPr>
        <w:t xml:space="preserve">ection, and then stored </w:t>
      </w:r>
      <w:r w:rsidR="00DE2797">
        <w:rPr>
          <w:rFonts w:ascii="Arial" w:hAnsi="Arial" w:cs="Arial"/>
        </w:rPr>
        <w:t>at</w:t>
      </w:r>
      <w:r w:rsidR="00C56191">
        <w:rPr>
          <w:rFonts w:ascii="Arial" w:hAnsi="Arial" w:cs="Arial"/>
        </w:rPr>
        <w:t xml:space="preserve"> -20</w:t>
      </w:r>
      <w:r w:rsidR="00DE2797">
        <w:rPr>
          <w:rFonts w:ascii="Arial" w:hAnsi="Arial" w:cs="Arial"/>
        </w:rPr>
        <w:t xml:space="preserve"> </w:t>
      </w:r>
      <w:r w:rsidR="00DE2797">
        <w:rPr>
          <w:rFonts w:ascii="Arial" w:hAnsi="Arial" w:cs="Arial"/>
        </w:rPr>
        <w:sym w:font="Symbol" w:char="F0B0"/>
      </w:r>
      <w:r w:rsidR="00C56191">
        <w:rPr>
          <w:rFonts w:ascii="Arial" w:hAnsi="Arial" w:cs="Arial"/>
        </w:rPr>
        <w:t>C</w:t>
      </w:r>
      <w:r w:rsidR="001F482C">
        <w:rPr>
          <w:rFonts w:ascii="Arial" w:hAnsi="Arial" w:cs="Arial"/>
        </w:rPr>
        <w:t>.</w:t>
      </w:r>
    </w:p>
    <w:p w:rsidR="001F482C" w:rsidRPr="00287BA0" w:rsidRDefault="001F482C" w:rsidP="00105DA2">
      <w:pPr>
        <w:rPr>
          <w:rFonts w:ascii="Arial" w:eastAsia="Times New Roman" w:hAnsi="Arial" w:cs="Times New Roman"/>
          <w:i/>
          <w:u w:val="single"/>
        </w:rPr>
      </w:pPr>
      <w:r w:rsidRPr="00287BA0">
        <w:rPr>
          <w:rFonts w:ascii="Arial" w:eastAsia="Times New Roman" w:hAnsi="Arial" w:cs="Times New Roman"/>
          <w:i/>
          <w:u w:val="single"/>
        </w:rPr>
        <w:t xml:space="preserve">Analysis of </w:t>
      </w:r>
      <w:r w:rsidR="00287BA0" w:rsidRPr="00287BA0">
        <w:rPr>
          <w:rFonts w:ascii="Arial" w:eastAsia="Times New Roman" w:hAnsi="Arial" w:cs="Times New Roman"/>
          <w:i/>
          <w:u w:val="single"/>
        </w:rPr>
        <w:t xml:space="preserve">physiological study </w:t>
      </w:r>
      <w:r w:rsidRPr="00287BA0">
        <w:rPr>
          <w:rFonts w:ascii="Arial" w:eastAsia="Times New Roman" w:hAnsi="Arial" w:cs="Times New Roman"/>
          <w:i/>
          <w:u w:val="single"/>
        </w:rPr>
        <w:t>samples</w:t>
      </w:r>
      <w:r w:rsidR="00105DA2" w:rsidRPr="00287BA0">
        <w:rPr>
          <w:rFonts w:ascii="Arial" w:eastAsia="Times New Roman" w:hAnsi="Arial" w:cs="Times New Roman"/>
          <w:i/>
          <w:u w:val="single"/>
        </w:rPr>
        <w:t xml:space="preserve"> </w:t>
      </w:r>
    </w:p>
    <w:p w:rsidR="00B048CB" w:rsidRPr="001F482C" w:rsidRDefault="00020B67" w:rsidP="002F5186">
      <w:pPr>
        <w:spacing w:line="360" w:lineRule="auto"/>
        <w:jc w:val="both"/>
        <w:rPr>
          <w:rFonts w:ascii="Arial" w:hAnsi="Arial" w:cs="Arial"/>
        </w:rPr>
      </w:pPr>
      <w:r>
        <w:rPr>
          <w:rFonts w:ascii="Arial" w:hAnsi="Arial" w:cs="Arial"/>
        </w:rPr>
        <w:t xml:space="preserve">A selection of the </w:t>
      </w:r>
      <w:r w:rsidR="00287BA0">
        <w:rPr>
          <w:rFonts w:ascii="Arial" w:eastAsia="Times New Roman" w:hAnsi="Arial" w:cs="Times New Roman"/>
        </w:rPr>
        <w:t xml:space="preserve">physiological study </w:t>
      </w:r>
      <w:r w:rsidR="001F482C">
        <w:rPr>
          <w:rFonts w:ascii="Arial" w:hAnsi="Arial" w:cs="Arial"/>
        </w:rPr>
        <w:t>samples</w:t>
      </w:r>
      <w:r>
        <w:rPr>
          <w:rFonts w:ascii="Arial" w:hAnsi="Arial" w:cs="Arial"/>
        </w:rPr>
        <w:t xml:space="preserve"> (n=</w:t>
      </w:r>
      <w:r w:rsidR="00FD49BF">
        <w:rPr>
          <w:rFonts w:ascii="Arial" w:hAnsi="Arial" w:cs="Arial"/>
        </w:rPr>
        <w:t>100</w:t>
      </w:r>
      <w:r>
        <w:rPr>
          <w:rFonts w:ascii="Arial" w:hAnsi="Arial" w:cs="Arial"/>
        </w:rPr>
        <w:t>)</w:t>
      </w:r>
      <w:r w:rsidR="00591934">
        <w:rPr>
          <w:rFonts w:ascii="Arial" w:hAnsi="Arial" w:cs="Arial"/>
        </w:rPr>
        <w:t xml:space="preserve"> </w:t>
      </w:r>
      <w:r w:rsidR="001F482C">
        <w:rPr>
          <w:rFonts w:ascii="Arial" w:hAnsi="Arial" w:cs="Arial"/>
        </w:rPr>
        <w:t xml:space="preserve">were analysed by </w:t>
      </w:r>
      <w:r w:rsidR="002F2AAF">
        <w:rPr>
          <w:rFonts w:ascii="Arial" w:hAnsi="Arial" w:cs="Arial"/>
        </w:rPr>
        <w:t>LGC</w:t>
      </w:r>
      <w:r w:rsidR="00591934">
        <w:rPr>
          <w:rFonts w:ascii="Arial" w:hAnsi="Arial" w:cs="Arial"/>
        </w:rPr>
        <w:t xml:space="preserve"> </w:t>
      </w:r>
      <w:r w:rsidR="001F482C">
        <w:rPr>
          <w:rFonts w:ascii="Arial" w:hAnsi="Arial" w:cs="Arial"/>
        </w:rPr>
        <w:t>using t</w:t>
      </w:r>
      <w:r w:rsidR="004055D0">
        <w:rPr>
          <w:rFonts w:ascii="Arial" w:hAnsi="Arial" w:cs="Arial"/>
        </w:rPr>
        <w:t>he</w:t>
      </w:r>
      <w:r>
        <w:rPr>
          <w:rFonts w:ascii="Arial" w:hAnsi="Arial" w:cs="Arial"/>
        </w:rPr>
        <w:t xml:space="preserve"> </w:t>
      </w:r>
      <w:r w:rsidR="001F482C" w:rsidRPr="001F482C">
        <w:rPr>
          <w:rFonts w:ascii="Arial" w:hAnsi="Arial" w:cs="Arial"/>
        </w:rPr>
        <w:t>LC-MS/MS method described above</w:t>
      </w:r>
      <w:r w:rsidR="00FD49BF">
        <w:rPr>
          <w:rFonts w:ascii="Arial" w:hAnsi="Arial" w:cs="Arial"/>
        </w:rPr>
        <w:t>.</w:t>
      </w:r>
      <w:r w:rsidR="00E97DB9">
        <w:rPr>
          <w:rFonts w:ascii="Arial" w:hAnsi="Arial" w:cs="Arial"/>
        </w:rPr>
        <w:t xml:space="preserve"> Additional QCs prepared in aprotinin stabilised plasma  with lithium heparin anticoagulant were analysed to ensure assay performance in the sample matrix.</w:t>
      </w:r>
      <w:r w:rsidR="00FD49BF">
        <w:rPr>
          <w:rFonts w:ascii="Arial" w:hAnsi="Arial" w:cs="Arial"/>
        </w:rPr>
        <w:t xml:space="preserve"> 38 of </w:t>
      </w:r>
      <w:r w:rsidR="00A06C9F">
        <w:rPr>
          <w:rFonts w:ascii="Arial" w:hAnsi="Arial" w:cs="Arial"/>
        </w:rPr>
        <w:t xml:space="preserve">the study </w:t>
      </w:r>
      <w:r w:rsidR="00FD49BF">
        <w:rPr>
          <w:rFonts w:ascii="Arial" w:hAnsi="Arial" w:cs="Arial"/>
        </w:rPr>
        <w:t>samples were analysed over the calibration range 25</w:t>
      </w:r>
      <w:r w:rsidR="00644412">
        <w:rPr>
          <w:rFonts w:ascii="Arial" w:hAnsi="Arial" w:cs="Arial"/>
        </w:rPr>
        <w:t>–</w:t>
      </w:r>
      <w:r w:rsidR="00FD49BF">
        <w:rPr>
          <w:rFonts w:ascii="Arial" w:hAnsi="Arial" w:cs="Arial"/>
        </w:rPr>
        <w:t>1000 pg/mL, wh</w:t>
      </w:r>
      <w:r w:rsidR="004B38AD">
        <w:rPr>
          <w:rFonts w:ascii="Arial" w:hAnsi="Arial" w:cs="Arial"/>
        </w:rPr>
        <w:t>ilst</w:t>
      </w:r>
      <w:r w:rsidR="00FD49BF">
        <w:rPr>
          <w:rFonts w:ascii="Arial" w:hAnsi="Arial" w:cs="Arial"/>
        </w:rPr>
        <w:t xml:space="preserve"> </w:t>
      </w:r>
      <w:r w:rsidR="004B38AD">
        <w:rPr>
          <w:rFonts w:ascii="Arial" w:hAnsi="Arial" w:cs="Arial"/>
        </w:rPr>
        <w:t>the remainder</w:t>
      </w:r>
      <w:r w:rsidR="00FD49BF">
        <w:rPr>
          <w:rFonts w:ascii="Arial" w:hAnsi="Arial" w:cs="Arial"/>
        </w:rPr>
        <w:t xml:space="preserve"> were analysed over the calibration range 10</w:t>
      </w:r>
      <w:r w:rsidR="00644412">
        <w:rPr>
          <w:rFonts w:ascii="Arial" w:hAnsi="Arial" w:cs="Arial"/>
        </w:rPr>
        <w:t>–</w:t>
      </w:r>
      <w:r w:rsidR="00FD49BF">
        <w:rPr>
          <w:rFonts w:ascii="Arial" w:hAnsi="Arial" w:cs="Arial"/>
        </w:rPr>
        <w:t>1000 pg/mL. For these samples additional</w:t>
      </w:r>
      <w:r w:rsidR="001F482C">
        <w:rPr>
          <w:rFonts w:ascii="Arial" w:hAnsi="Arial" w:cs="Arial"/>
        </w:rPr>
        <w:t xml:space="preserve"> calibration points and QCs were included at</w:t>
      </w:r>
      <w:r w:rsidR="00FD49BF">
        <w:rPr>
          <w:rFonts w:ascii="Arial" w:hAnsi="Arial" w:cs="Arial"/>
        </w:rPr>
        <w:t xml:space="preserve"> the</w:t>
      </w:r>
      <w:r w:rsidR="001F482C">
        <w:rPr>
          <w:rFonts w:ascii="Arial" w:hAnsi="Arial" w:cs="Arial"/>
        </w:rPr>
        <w:t xml:space="preserve"> 10 and 15 pg/mL</w:t>
      </w:r>
      <w:r w:rsidR="00FD49BF">
        <w:rPr>
          <w:rFonts w:ascii="Arial" w:hAnsi="Arial" w:cs="Arial"/>
        </w:rPr>
        <w:t xml:space="preserve"> levels</w:t>
      </w:r>
      <w:r w:rsidR="001F482C">
        <w:rPr>
          <w:rFonts w:ascii="Arial" w:hAnsi="Arial" w:cs="Arial"/>
        </w:rPr>
        <w:t xml:space="preserve"> to </w:t>
      </w:r>
      <w:r w:rsidR="00DC28E2">
        <w:rPr>
          <w:rFonts w:ascii="Arial" w:hAnsi="Arial" w:cs="Arial"/>
        </w:rPr>
        <w:t>evaluate</w:t>
      </w:r>
      <w:r w:rsidR="00FD49BF">
        <w:rPr>
          <w:rFonts w:ascii="Arial" w:hAnsi="Arial" w:cs="Arial"/>
        </w:rPr>
        <w:t xml:space="preserve"> assay</w:t>
      </w:r>
      <w:r w:rsidR="00DC28E2">
        <w:rPr>
          <w:rFonts w:ascii="Arial" w:hAnsi="Arial" w:cs="Arial"/>
        </w:rPr>
        <w:t xml:space="preserve"> performance. </w:t>
      </w:r>
      <w:r w:rsidRPr="00776A35">
        <w:rPr>
          <w:rFonts w:ascii="Arial" w:hAnsi="Arial" w:cs="Arial"/>
        </w:rPr>
        <w:t>Samples (n=105)</w:t>
      </w:r>
      <w:r w:rsidR="001F482C" w:rsidRPr="00776A35">
        <w:rPr>
          <w:rFonts w:ascii="Arial" w:hAnsi="Arial" w:cs="Arial"/>
        </w:rPr>
        <w:t xml:space="preserve"> were</w:t>
      </w:r>
      <w:r w:rsidR="001F482C">
        <w:rPr>
          <w:rFonts w:ascii="Arial" w:hAnsi="Arial" w:cs="Arial"/>
        </w:rPr>
        <w:t xml:space="preserve"> also analysed by Imperial College using their </w:t>
      </w:r>
      <w:r w:rsidR="001F482C" w:rsidRPr="004C2053">
        <w:rPr>
          <w:rFonts w:ascii="Arial" w:hAnsi="Arial" w:cs="Arial"/>
        </w:rPr>
        <w:t xml:space="preserve">established </w:t>
      </w:r>
      <w:r w:rsidR="001F482C">
        <w:rPr>
          <w:rFonts w:ascii="Arial" w:hAnsi="Arial" w:cs="Arial"/>
        </w:rPr>
        <w:t>radioimmunoassay method</w:t>
      </w:r>
      <w:r w:rsidR="00FD49BF">
        <w:rPr>
          <w:rFonts w:ascii="Arial" w:hAnsi="Arial" w:cs="Arial"/>
        </w:rPr>
        <w:t xml:space="preserve"> over the calibration range </w:t>
      </w:r>
      <w:r w:rsidR="00A2251B">
        <w:rPr>
          <w:rFonts w:ascii="Arial" w:hAnsi="Arial" w:cs="Arial"/>
        </w:rPr>
        <w:t>5</w:t>
      </w:r>
      <w:r w:rsidR="00FD49BF">
        <w:rPr>
          <w:rFonts w:ascii="Arial" w:hAnsi="Arial" w:cs="Arial"/>
        </w:rPr>
        <w:t xml:space="preserve"> -</w:t>
      </w:r>
      <w:r w:rsidR="00A2251B">
        <w:rPr>
          <w:rFonts w:ascii="Arial" w:hAnsi="Arial" w:cs="Arial"/>
        </w:rPr>
        <w:t xml:space="preserve">1000 </w:t>
      </w:r>
      <w:r w:rsidR="00FD49BF">
        <w:rPr>
          <w:rFonts w:ascii="Arial" w:hAnsi="Arial" w:cs="Arial"/>
        </w:rPr>
        <w:t>pg/mL</w:t>
      </w:r>
      <w:r w:rsidR="004C2053">
        <w:rPr>
          <w:rFonts w:ascii="Arial" w:hAnsi="Arial" w:cs="Arial"/>
        </w:rPr>
        <w:t xml:space="preserve">, </w:t>
      </w:r>
      <w:r w:rsidR="004C2053" w:rsidRPr="00CA30D5">
        <w:rPr>
          <w:rFonts w:ascii="Arial" w:hAnsi="Arial" w:cs="Arial"/>
        </w:rPr>
        <w:t>which is directed against the C-terminal region of glucagon</w:t>
      </w:r>
      <w:r w:rsidR="00291FB2">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"abstract" : "The physiological role of glucagon-like peptide-1 7-36 amide (GLP-1 7-36) in man was investigated. GLP-1 7-36-like immunoreactivity was found in the human bowel; its circulating level rose after oral glucose and after a test breakfast. When it was infused into seven volunteers at a rate to mimic its postprandial plasma concentration in the fasting state, plasma insulin levels rose significantly and glucose and glucagon concentrations fell. During an intravenous glucose load, it greatly enhanced insulin release and significantly reduced peak plasma glucose concentrations, compared with a control saline infusion, even inducing postinfusion reactive hypoglycaemia. By comparison, infusion of glucose-dependent insulinotropic peptide (GIP) to physiological levels was less effective in stimulating insulin release. These observations suggest that GLP-1 7-36 is a physiological incretin and that it is more powerful than GIP. The observation of greatly increased postprandial plasma GLP-1 7-36 levels in patients with postgastrectomy dumping syndrome suggests that it may mediate the hyperinsulinaemia and reactive hypoglycaemia of this disorder.", "author" : [ { "dropping-particle" : "", "family" : "Kreymann B, Williams G, Ghatei MA", "given" : "Bloom SR.", "non-dropping-particle" : "", "parse-names" : false, "suffix" : "" } ], "container-title" : "Lancet", "id" : "ITEM-1", "issue" : "8571", "issued" : { "date-parts" : [ [ "1987" ] ] }, "note" : "Imperial RIA method- reference provided by Trica Tan", "page" : "1300\u20131304", "title" : "Glucagon-like peptide-1 7-36: a physiological incretin in man", "type" : "article-journal", "volume" : "2" }, "uris" : [ "http://www.mendeley.com/documents/?uuid=852f5b6b-14c2-4861-ab3a-cace90b56a80" ] } ], "mendeley" : { "previouslyFormattedCitation" : "[23]"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[23]</w:t>
      </w:r>
      <w:r w:rsidR="001B586C">
        <w:rPr>
          <w:rFonts w:ascii="Arial" w:hAnsi="Arial" w:cs="Arial"/>
        </w:rPr>
        <w:fldChar w:fldCharType="end"/>
      </w:r>
      <w:r w:rsidR="001B586C">
        <w:rPr>
          <w:rFonts w:ascii="Arial" w:hAnsi="Arial" w:cs="Arial"/>
        </w:rPr>
        <w:fldChar w:fldCharType="begin" w:fldLock="1"/>
      </w:r>
      <w:r w:rsidR="00261C24">
        <w:rPr>
          <w:rFonts w:ascii="Arial" w:hAnsi="Arial" w:cs="Arial"/>
        </w:rPr>
        <w:instrText>ADDIN CSL_CITATION { "citationItems" : [ { "id" : "ITEM-1", "itemData" : { "abstract" : "Glucagon-related polypeptides in porcine pancreas and intestine were analysed by gel-permeation chromatography and RIA. Three assays were employed: a nonspecific glucagon assay (R59) of 94% cross-reactivity with glicentin; a pancreatic glucagon assay (RCS5) directed against the C-terminal region of glucagon and of less than 0.01% cross-reactivity with glicentin; and a glicentin assay (R64) of less than 0.01% cross-reactivity with glucagon. For extracts of porcine pancreas all three assays gave similar molar concentrations of immunoreactivity. In porcine intestinal extracts immunoreactivity was detected in significant amounts only by the nonspecific glucagon (R59) and the glicentin (R64) assays, again in similar molar concentrations. The immunoreactivities present in pancreas and intestine were chromatographically and immunologically separable into six main peaks, peaks I, II, III, V, and VI being present in the pancreas, and peaks I, II, and IV in the intestine. The different immunoreactivities of the peaks allowed probable identities to be assigned to their main components. Apart from peak I, which consists of void-volume material that may interfere nonspecifically with the assays, the main components of the peaks can be interpreted as glicentin (in peak II) or fragments derived from glicentin. Peak III contains the N-terminal portion of glicentin (glicentin-related pancreatic peptide), peak IV probably contains glucagon with its 8 amino-acid C-terminal extension, peak V is pancreatic glucagon and peak VI contains smaller N-terminal glicentin fragments. These findings fit with the proposition that glicentin fulfills the role of proglucagon in the pancreas, and is the major component of enteroglucagon in the intestine.", "author" : [ { "dropping-particle" : "", "family" : "Ghatei MA, Uttenthal LO, Bryant MG, Christofides ND, Moody AJ", "given" : "Bloom SR", "non-dropping-particle" : "", "parse-names" : false, "suffix" : "" } ], "container-title" : "Endocrinology", "id" : "ITEM-1", "issue" : "112", "issued" : { "date-parts" : [ [ "1983" ] ] }, "note" : "Imperial RIA mehthod, from Tricia.", "page" : "917\u2013923.", "title" : "Molecular Forms of Glucagon-Like Immunoreactivity in Porcine Intestine and Pancreas", "type" : "article-journal" }, "uris" : [ "http://www.mendeley.com/documents/?uuid=f47b2078-8b46-45ad-9960-180bfc875565" ] } ], "mendeley" : { "previouslyFormattedCitation" : "[24]"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[24]</w:t>
      </w:r>
      <w:r w:rsidR="001B586C">
        <w:rPr>
          <w:rFonts w:ascii="Arial" w:hAnsi="Arial" w:cs="Arial"/>
        </w:rPr>
        <w:fldChar w:fldCharType="end"/>
      </w:r>
      <w:r w:rsidR="00DC083B">
        <w:rPr>
          <w:rFonts w:ascii="Arial" w:hAnsi="Arial" w:cs="Arial"/>
        </w:rPr>
        <w:t>.</w:t>
      </w:r>
      <w:r w:rsidR="00055194">
        <w:rPr>
          <w:rFonts w:ascii="Arial" w:hAnsi="Arial" w:cs="Arial"/>
        </w:rPr>
        <w:t xml:space="preserve"> </w:t>
      </w:r>
      <w:r w:rsidR="00B048CB">
        <w:rPr>
          <w:rFonts w:ascii="Arial" w:hAnsi="Arial" w:cs="Arial"/>
        </w:rPr>
        <w:t xml:space="preserve">Samples were analysed upon their </w:t>
      </w:r>
      <w:r w:rsidR="00B048CB" w:rsidRPr="00D92EA1">
        <w:rPr>
          <w:rFonts w:ascii="Arial" w:hAnsi="Arial" w:cs="Arial"/>
        </w:rPr>
        <w:t>first</w:t>
      </w:r>
      <w:r w:rsidR="00B048CB">
        <w:rPr>
          <w:rFonts w:ascii="Arial" w:hAnsi="Arial" w:cs="Arial"/>
        </w:rPr>
        <w:t xml:space="preserve"> freeze-thaw.</w:t>
      </w:r>
    </w:p>
    <w:p w:rsidR="00F201AB" w:rsidRDefault="00F201AB" w:rsidP="00DE2797">
      <w:pPr>
        <w:spacing w:line="360" w:lineRule="auto"/>
        <w:rPr>
          <w:rFonts w:ascii="Arial" w:hAnsi="Arial" w:cs="Arial"/>
        </w:rPr>
      </w:pPr>
    </w:p>
    <w:p w:rsidR="0078326E" w:rsidRPr="005D677F" w:rsidRDefault="0078326E" w:rsidP="00DE2797">
      <w:pPr>
        <w:spacing w:line="360" w:lineRule="auto"/>
        <w:rPr>
          <w:rFonts w:ascii="Arial" w:hAnsi="Arial" w:cs="Arial"/>
          <w:b/>
          <w:sz w:val="24"/>
          <w:szCs w:val="24"/>
          <w:u w:val="single"/>
        </w:rPr>
      </w:pPr>
      <w:r w:rsidRPr="005D677F">
        <w:rPr>
          <w:rFonts w:ascii="Arial" w:hAnsi="Arial" w:cs="Arial"/>
          <w:b/>
          <w:sz w:val="24"/>
          <w:szCs w:val="24"/>
          <w:u w:val="single"/>
        </w:rPr>
        <w:t>Results and discussion</w:t>
      </w:r>
    </w:p>
    <w:p w:rsidR="00D82588" w:rsidRPr="005D677F" w:rsidRDefault="00D82588" w:rsidP="00550C28">
      <w:pPr>
        <w:spacing w:line="360" w:lineRule="auto"/>
        <w:jc w:val="both"/>
        <w:rPr>
          <w:rFonts w:ascii="Arial" w:hAnsi="Arial" w:cs="Arial"/>
          <w:i/>
          <w:u w:val="single"/>
        </w:rPr>
      </w:pPr>
      <w:r w:rsidRPr="005D677F">
        <w:rPr>
          <w:rFonts w:ascii="Arial" w:hAnsi="Arial" w:cs="Arial"/>
          <w:i/>
          <w:u w:val="single"/>
        </w:rPr>
        <w:t>Method development</w:t>
      </w:r>
    </w:p>
    <w:p w:rsidR="00463EAE" w:rsidRDefault="00565F85" w:rsidP="00550C28">
      <w:pPr>
        <w:spacing w:line="360" w:lineRule="auto"/>
        <w:jc w:val="both"/>
        <w:rPr>
          <w:rFonts w:ascii="Arial" w:hAnsi="Arial" w:cs="Arial"/>
        </w:rPr>
      </w:pPr>
      <w:r>
        <w:rPr>
          <w:rFonts w:ascii="Arial" w:hAnsi="Arial" w:cs="Arial"/>
        </w:rPr>
        <w:t>Analysis of endogenous levels of glucagon by LC-MS/MS poses a significant technical challenge. Not only are th</w:t>
      </w:r>
      <w:r w:rsidR="00DC28E2">
        <w:rPr>
          <w:rFonts w:ascii="Arial" w:hAnsi="Arial" w:cs="Arial"/>
        </w:rPr>
        <w:t>e</w:t>
      </w:r>
      <w:r>
        <w:rPr>
          <w:rFonts w:ascii="Arial" w:hAnsi="Arial" w:cs="Arial"/>
        </w:rPr>
        <w:t xml:space="preserve"> low</w:t>
      </w:r>
      <w:r w:rsidR="00DC28E2">
        <w:rPr>
          <w:rFonts w:ascii="Arial" w:hAnsi="Arial" w:cs="Arial"/>
        </w:rPr>
        <w:t xml:space="preserve"> endogenous concentrations difficult to measure, an </w:t>
      </w:r>
      <w:r>
        <w:rPr>
          <w:rFonts w:ascii="Arial" w:hAnsi="Arial" w:cs="Arial"/>
        </w:rPr>
        <w:t xml:space="preserve">endogenous analyte </w:t>
      </w:r>
      <w:r w:rsidR="00184B40">
        <w:rPr>
          <w:rFonts w:ascii="Arial" w:hAnsi="Arial" w:cs="Arial"/>
        </w:rPr>
        <w:t>quantitation</w:t>
      </w:r>
      <w:r>
        <w:rPr>
          <w:rFonts w:ascii="Arial" w:hAnsi="Arial" w:cs="Arial"/>
        </w:rPr>
        <w:t xml:space="preserve"> strategy must be used, and stability issues must be addressed. </w:t>
      </w:r>
    </w:p>
    <w:p w:rsidR="00C26E10" w:rsidRDefault="00565F85" w:rsidP="00C73FED">
      <w:pPr>
        <w:spacing w:line="360" w:lineRule="auto"/>
        <w:jc w:val="both"/>
        <w:rPr>
          <w:rFonts w:ascii="Arial" w:hAnsi="Arial" w:cs="Arial"/>
        </w:rPr>
      </w:pPr>
      <w:r>
        <w:rPr>
          <w:rFonts w:ascii="Arial" w:hAnsi="Arial" w:cs="Arial"/>
        </w:rPr>
        <w:t>Extensive assay optimisation was</w:t>
      </w:r>
      <w:r w:rsidR="00494ED6">
        <w:rPr>
          <w:rFonts w:ascii="Arial" w:hAnsi="Arial" w:cs="Arial"/>
        </w:rPr>
        <w:t xml:space="preserve"> therefore</w:t>
      </w:r>
      <w:r>
        <w:rPr>
          <w:rFonts w:ascii="Arial" w:hAnsi="Arial" w:cs="Arial"/>
        </w:rPr>
        <w:t xml:space="preserve"> performed to obtain the low</w:t>
      </w:r>
      <w:r w:rsidR="00D82588">
        <w:rPr>
          <w:rFonts w:ascii="Arial" w:hAnsi="Arial" w:cs="Arial"/>
        </w:rPr>
        <w:t xml:space="preserve"> 25 pg/mL</w:t>
      </w:r>
      <w:r>
        <w:rPr>
          <w:rFonts w:ascii="Arial" w:hAnsi="Arial" w:cs="Arial"/>
        </w:rPr>
        <w:t xml:space="preserve"> LLOQ. </w:t>
      </w:r>
      <w:r w:rsidR="00DC28E2">
        <w:rPr>
          <w:rFonts w:ascii="Arial" w:hAnsi="Arial" w:cs="Arial"/>
        </w:rPr>
        <w:t>A</w:t>
      </w:r>
      <w:r>
        <w:rPr>
          <w:rFonts w:ascii="Arial" w:hAnsi="Arial" w:cs="Arial"/>
        </w:rPr>
        <w:t xml:space="preserve"> </w:t>
      </w:r>
      <w:r w:rsidRPr="00AD1840">
        <w:rPr>
          <w:rFonts w:ascii="Arial" w:hAnsi="Arial" w:cs="Arial"/>
        </w:rPr>
        <w:t>QTRAP</w:t>
      </w:r>
      <w:r w:rsidR="00DC28E2">
        <w:rPr>
          <w:rFonts w:ascii="Arial" w:hAnsi="Arial" w:cs="Arial"/>
        </w:rPr>
        <w:t xml:space="preserve"> mass spectrometer was </w:t>
      </w:r>
      <w:r>
        <w:rPr>
          <w:rFonts w:ascii="Arial" w:hAnsi="Arial" w:cs="Arial"/>
        </w:rPr>
        <w:t>used in SRM mode, and parameters were optimised. UHPLC was chosen</w:t>
      </w:r>
      <w:r w:rsidR="00DC28E2">
        <w:rPr>
          <w:rFonts w:ascii="Arial" w:hAnsi="Arial" w:cs="Arial"/>
        </w:rPr>
        <w:t xml:space="preserve"> for chromatographic separation</w:t>
      </w:r>
      <w:r>
        <w:rPr>
          <w:rFonts w:ascii="Arial" w:hAnsi="Arial" w:cs="Arial"/>
        </w:rPr>
        <w:t xml:space="preserve"> because </w:t>
      </w:r>
      <w:r w:rsidR="00DC28E2">
        <w:rPr>
          <w:rFonts w:ascii="Arial" w:hAnsi="Arial" w:cs="Arial"/>
        </w:rPr>
        <w:t>it</w:t>
      </w:r>
      <w:r w:rsidR="006B0BB9">
        <w:rPr>
          <w:rFonts w:ascii="Arial" w:hAnsi="Arial" w:cs="Arial"/>
        </w:rPr>
        <w:t xml:space="preserve"> </w:t>
      </w:r>
      <w:r w:rsidR="006B0BB9" w:rsidRPr="006B0BB9">
        <w:rPr>
          <w:rFonts w:ascii="Arial" w:hAnsi="Arial" w:cs="Arial"/>
        </w:rPr>
        <w:t>results in greater efficiencies</w:t>
      </w:r>
      <w:r w:rsidR="00AE34A4">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"10.1016/j.jpba.2009.08.003", "ISSN" : "1873-264X", "PMID" : "19726154", "abstract" : "Increasing the separating efficiency enhances the separation power. The most popular solution for improving chromatographic performance is to employ columns packed with small particle diameters (i.e., sub-2 microm particles) to induce a simultaneous improvement in efficiency, optimal velocity and mass transfer, albeit the cost of pressure. In this study a systematic evaluation of the possibilities and limitations of the separations obtained with 5 cm long narrow bore columns packed with 1.5-3.0 microm particles is presented. Several commercially available different sub-3 microm and sub-2 microm packed columns were evaluated by using van Deemter, Knox and kinetic plots. Theoretical Poppe plots were constructed for each column to compare their kinetic performance. Data are presented on different polar neutral real life analytes, to show that the separation time is not obviously shorter if the particle size is reduced. Comparison of low-molecular weight compounds (one steroid and one non-steroid hormone, with molecular weights lower than 500) and a high-molecular weight one (MW approximately 1000) was conducted. Same efficiency can be achieved with columns packed with 1.9-2.1 microm particles as with smaller particles. The column packed with 3 microm particles had the lowest reduced plate height minimum (h=2.2) while the column with the smallest particles (1.5 microm) gave the highest reduced plate height minimum (h approximately 3.0). According to this study, the theoretically expected efficiency of very fine particles (diameter &lt;2 microm) used in practice today is compromised. Investigation of this phenomenon is presented.", "author" : [ { "dropping-particle" : "", "family" : "Fekete", "given" : "Szabolcs", "non-dropping-particle" : "", "parse-names" : false, "suffix" : "" }, { "dropping-particle" : "", "family" : "Ganzler", "given" : "Katalin", "non-dropping-particle" : "", "parse-names" : false, "suffix" : "" }, { "dropping-particle" : "", "family" : "Fekete", "given" : "Jeno", "non-dropping-particle" : "", "parse-names" : false, "suffix" : "" } ], "container-title" : "Journal of pharmaceutical and biomedical analysis", "id" : "ITEM-1", "issue" : "1", "issued" : { "date-parts" : [ [ "2010", "1", "5" ] ] }, "note" : "Read paper 10 oct 11. Wrote Mendely notes 6 Nov 11\n        \nSmaller particles not necesssarily best. Don't neccesarily reduce analysis time and not neccesarily better effeciency.\n        \n__          \nAbstract\n                \nSmall particled lead to imorvments in optimal velocity &amp; mass \ntransfer at the cost of pressure. Evaluated several commerically avaliable sub 2 and 3 \u00b5m particle size columns using van deemter and knox plots. Theoretical Poope plots also constructed to compare kinetic performance. \n                  \nSeperation time of real polar neutral analytes is not obviously shorter if particle size is reduced. \n                \nCompared low and high mwt compounds. Same effeciency achieved with 1.9 -2.1 \u00b5m as small partciles.\n        \n        Column packed with smaller particles (1.5\u00b5m) gave highest reduced plate height than column packed with larger particles (3\u00b5m).\n                          \nIntroduction        \n        \nThird term has particle size squared-  so curve is steeper for larger particles at high linear velocities.\n        \nReferences to UPLC papers.\n        \nFrictional heating can be more significnat for for small particles at UPLC. Radial temperature gradient can lead to significant loss in plate count. Gritt (ref)l  concluded that longitudinal and radial temperature gradients are more significant when column lengths are smaller. Radial temperature gradient can lead to less than 10% loss in effeciency for a 50mm column operating at 1000 bar.\n        \nSmaller partcile size- harder to prepare columns. Get particle aggrgation, frit blockage, particle fracture. Guo et al ref  found effecienct of sub 2\u00b5m column is not as high as widely cited/ predicted.\n        \nDifferences observed between real life compounds and commonly used test compounds. \n        \nGuilllarme (ref) reported that molecular weight is a critical factor when effeciency of test compounds are investigated.  Knox, suggested using simple organic solute with low mwt which have no strong interactive group.\n        \nAdvantages of 1.7\u00b5m compared to 3,3.5, and 5\u00b5m are well documented but until this paper have been no comparisons wiht 2-3\u00b5m partcles.\n        \nColumns evaluated in term of getting the desired seperation speed as a function of plate count. Kinetic plots were constructed from the van deemter curves according to the method of Poppe. MWT of analyte in study= 296, 430 and 875.\n                  \nExperimental\n                \nUse real life test compounds. Retention factors are between 2-3. Differences in retention factor affect shape of van deemter and knox, as both b and C terms depend on analyte retention.But if altered mobile phase to keep sample retention, viscosity differences would have larger effect.\n                  \nVan deemter equations shown. Optimal velocity is directly propotional to the analyte diffusin co-effecient and invesersley proportional to the particle size.\n        \nPlate time, t0/N- elegant tool for visulizing the compromise between effeciency and speed. Can calculate the best plate number that can be reached with a certain maximum pressure.\n        \n        \n        Results and Discussion\n          \n3.1 Van deemtrer and Knox plots - (flow study)\n                \nResults differ significantly depending on the analyte.  A- eddy, B- longitudinal, C- mass transfer.\nA depends on quality of packing and contribution of slow mass transfer. Also depends on heating effects.\nB and C- depend on analyte retention. B increases as is more time for analyte to diffuse into mobile phase. Larger the mwt the larger the C term. C term of higer mwt is 2-7 larger than low mwt. - would expect smaller particle to have lower plate heights and optimal linear velocity. \n        \nFound that differences in effeciecny in range of 1.5-2.2\u00b5m, not as great as between 2.2-3.0\u00b5m. Amazingly, smallest particule is wore than 1.7-2.2mm.\n        \nAmazingly, optimal linear velocity does not increse significantly when particle size is smaller than 2.1\u00b5m. Even though theory says should due to more favourable mass transfer! Between 3-2.2, effeciency increase in good agreement with theory. However, columns came form different providers, and therefore packing and particle size distribution could have an effect on effeciency.\n        \nKnox plots provide comparisons between columns which should be independent of particle size. Poorly packed column has a high value of A (2.5-5) and a well packed column has a low value of A (0.5-1.5). In low V values B/V is dominant, whereas for high V C/V is dominant. B accounts for longitudinal diffusiona depends on analyte retention. C term expresses effect of mass transfer resistance in both stangant mobile and stationary phase, and is needed for good performance especially at high reduced velocities.\n        \nIn Knox plots minumum reduced plate heights (H/dp) for for sub 2\u00b5m are higher than those for larger. Columns packed with larger particles represent a more ideal bed. Could also be due to frictional heating at higer pressure reducing N.\n                  \nGraphs showing differences between experimental and actual  H-U plots. Smaller the particle the larger the deviation.\n                  \n3.2 Kinetic plots (Poppe plots)\n                \nVan deemter plots do not consider column permeability. Plate time (to/N) is plotteed against plate number N. Visualises the compromise between seperation effeciency and speed.\n        \nGenerally the smaller the particle size the smaller the plate number. Column with larger particles can offer faster seperation if it has a stationary phase with stronger mechnaical stability. \n        \nFor ethinylestradiol (mw=296) 2.1 and 1.7 offer similar analysis time if seperation needs 5000-100,000 plate counts. 1.5\u00b5m column only very useful if only very low plate numbers (&lt;4000 needed). If seperation needs &gt;100,000 3.0\u00b5m column may give shorter analysis. Athough needs to be 102cm long- would have to connect in series so real effeciency would probably be lower.\n        \nFor Bicalutamid (mw=430) poppe plots in good agreement with theory.All curves cross over in plate number at about 3000-20,000. On the right hand side of these cross over points columns with greater particles provide smaller plate time. For ultrafast seperation (10-20 s) the gain in plate count by reducing the particle size is neglible in the range 1.5-2.0\u00b5m.\n        \nFor invermectin (mw=875) curves show different behaviour compared to the smaller analytes. The hypersil column (packed with 3\u00b5m particles) gives faster seperation only when extreme plate numbers are needed (N&gt;800,000).  In the range 10,000- 70,000 Fortis 1.7 and 1.9 restek provide fastest seperation.  If analysis needs &lt;5000, as is typical for 5cm narrow bore columns analysis can be achieved in the same time for 1.5-2.1 columns.\n                  \nDifferent results for sampe size, by different manufacturers.1.9 Restek and Hypersil gold. Hypersil gold offers faster seperation if required plate number is &gt;80,000, whereas Restek column is better for ultra-fast seperations.\n        \nPerformance for invermectin is elevated compared to other 2 analytes, but probably due to its elution in higher organic.\n        \n1.7-2.1 columns offer same effeciency/speed when 5cm columns used. Except 1.8\u00b5m as this offers lower pressure drop.1.5\u00b5m grace also has lower pressure drop, so is advatageous only when required plate count is low.\n                  \n3.2 Practical example: impurity profiling of ethinylestradiol containing tablet (isocratic elution); comparison of column effeciency.        \n        \n1.7,1.9, and 2.1 all showed similar effeciency. Note though in real applications it is also important to consider the selectivity of the columns in addition to their effeciency.\n                          \nConclusions\n                          \nEffeciency of sub 2\u00b5m particles is not as high as theoretically predicted. Difference is lower as particle size increases.\n        \nData presented on real polar neutral analytes. Seperation time is not obviosult shorter if particle size is reduced.\n        \nSimilar effecienct achieved with 1.9-2.1 as with 1.5-1.8\u00b5m.\n        \nBig analyte showed different behavior to smaller- 3\u00b5m particles not as good. Big analyte had C term 2-7 times that of smaller.\n        \n1.7, 1.9, 2.1 all practically same with 5cm. Benefit provided by higher pressure limit (mechanical stability) can be promising for column development in the future.\n        \n                  \n          \n          \n                \n        \n        \n      ", "page" : "56-64", "title" : "Facts and myths about columns packed with sub-3 microm and sub-2 microm particles", "type" : "article-journal", "volume" : "51" }, "uris" : [ "http://www.mendeley.com/documents/?uuid=89eb88e3-70a0-4d5c-adb8-acfccaa31acd" ] } ], "mendeley" : { "previouslyFormattedCitation" : "[25]"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[25]</w:t>
      </w:r>
      <w:r w:rsidR="001B586C">
        <w:rPr>
          <w:rFonts w:ascii="Arial" w:hAnsi="Arial" w:cs="Arial"/>
        </w:rPr>
        <w:fldChar w:fldCharType="end"/>
      </w:r>
      <w:r w:rsidR="006B0BB9" w:rsidRPr="006B0BB9">
        <w:rPr>
          <w:rFonts w:ascii="Arial" w:hAnsi="Arial" w:cs="Arial"/>
        </w:rPr>
        <w:t xml:space="preserve"> and/or shorter runtimes</w:t>
      </w:r>
      <w:r w:rsidR="006B0BB9">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"10.1002/jssc.201000023", "ISSN" : "1615-9314", "PMID" : "20658489", "abstract" : "The objective of this study was to evaluate various chromatographic approaches for peptide analysis. Initially, the ultra-HPLC (UHPLC) strategy, which consists of using columns packed with sub-2 microm particles at a maximal pressure of 1000 bar, was tested. To limit the backpressure generated by small particles, columns packed with superficially porous sub-3 microm particles (fused-core technology) that should theoretically improve mass transfer, particularly beneficial for large biomolecules, were investigated. To evaluate these claims, kinetic plots were constructed in both isocratic and gradient modes at ambient and elevated temperature (up to 90 degrees C). For peptide analysis, both UHPLC and fused-core technologies showed a significant gain in peak capacity when compared with conventional HPLC using 5 mum particles and monolithic supports. Additionally, it has been shown that high temperature was of utmost interest to further improve kinetic performance and peak shape due to the improvement of secondary interaction kinetics. Finally, the best conditions developed for UHPLC using the gradient kinetic plot methodology were applied to the analysis of a complex tryptic digest of various proteins. The expected and experimental peak capacity values obtained were similar. In addition, the resolving power of UHPLC at 60 degrees C was appropriate for resolving complex mixtures of peptides.", "author" : [ { "dropping-particle" : "", "family" : "Ruta", "given" : "Josephine", "non-dropping-particle" : "", "parse-names" : false, "suffix" : "" }, { "dropping-particle" : "", "family" : "Guillarme", "given" : "Davy", "non-dropping-particle" : "", "parse-names" : false, "suffix" : "" }, { "dropping-particle" : "", "family" : "Rudaz", "given" : "Serge", "non-dropping-particle" : "", "parse-names" : false, "suffix" : "" }, { "dropping-particle" : "", "family" : "Veuthey", "given" : "Jean-Luc", "non-dropping-particle" : "", "parse-names" : false, "suffix" : "" } ], "container-title" : "Journal of separation science", "id" : "ITEM-1", "issue" : "16", "issued" : { "date-parts" : [ [ "2010", "8" ] ] }, "note" : "read and annotated 15 Apr12,\n        \nCracking paper :)\n        \nCompared HPLC, UHPLC and fused core.\nLooked at elevated temp (30,60,90 UHPLC)\nEvaluated conditons using model peptides (glucagon (3438), insulin (5807), triptorelin (1312) + smal molecule.\n        \nMentions schoenmakers to convert Poppe plots to \"gradient conditional peak capacity Poppe Plots\"\n        \nRefereces paper that show small %ACN variation leads to big effect on RT. Well known phenomenon,attributed to increase of \"S\" parameter.(slope of the plot logarithm of retention vs solvent composition) with an increase in molecular wieght of the compound.\n        \nElevated temp didn't reduce ACN required by as much as predicted, possibly secondary interactions between peptides and stationary phase or general trend when increase MW.\n                  \nKinetic performance isocratic\n                \noptimal velocity hard to reach as too small for stable flow, Dm means is u opt is low. Seperations occur in c term region of van deemter.\nUHPLC and fused core significantly reduce analysis time.- 3 fold for fused core and 4 fold for UHPLC. Related to particle size improvements in A and C terms.   \nFused core at 60 degrees two folder faster than 3- degrees\nUHPLC at 90 degrees 3-4 fold faster than 30 degrees. Hence, 15 fold better than HPLC at 30 degrees ( for 1,000 - 150,000 plates)\nMonoliths only 1.5 to 2 fold better- radial heterogeneity problems and low maximal pressure limit, limits these materials at present.\n                  \nKinetic performance gradient\n                \nbest combination of flow rate and column length determined by an interative procedure.\nsmall particles offer impovement of mass transfer resitance and increase in dm with high temperatures.\nHPLC and fused core worst, HT-UHPLC best.\n15 fold reduction time is analysis using HT-UHPLC cf HPLC. (for small molecules improvment less signifiant, 5- 10 fold)\n                  \nEvaluation of column length and mobile phase flow rate        \n1meter HPLC needed to reach 50,000 plates cf 30-50cm for HPLC. Lengths imilar order of magntiure for 1000 peak capacity in gradient mode.\n        \n                  \nEffect of peptide size on molecular performance\n                \nmolecular weight can strongly influence kinetic plot representation \n(i) optimal linear velocity directly proportional to diffusion coeffecient. Depends on size.\n(ii) Increasing branch of the van deemter curve, the c term (far more importnat than u opt for peptide analysis) is inversley proprtional to diffusion coefficent.  has been shown in isocratic mode. In gradient mode peak capacity depends on interplay of C-term with S term of gradient. S term is also strongly related to molecular weight, P also depends strongly on analyte size.\n                  \nGradient Kinetic plots\n                \nButylparabe (200) used as reference.\nSmall molecule, poor performance. Although peak capacity depends on square root of effeciency, depends more stronly on S paramater. (2 fold reduction in grad time for same peak capacity for peptide vs small molecule)\nHT-UHPLC best again.\nTo max peak  capacaity- small particles, very high pressure, high temp, high MW.\n        \n                  \nCompound stability\n                \nInsulin possibly unstable at 90degrees- peak shouldering. Althuogh other studeis suggest good till at least 200.\nFurther work needed.\n                  \nApplication to real tryptic digest\n                \n3 protein digested: myoglobin, b-casein, b-lactoglobulin.\n        \nlength and flow rate optimised. 30-40cm, 160-410\u00b5l/min.\n        \nexp vs actual  P: similar, but small difference which may be due to (i) variation of MW in digestion affects S, (ii) band compression (iii) degradtion?\n        \nPeak capacities increased with temp, but less peaks greater than 0.1AU seen - degradtion? Also poorer quality seperation at 90 vs 60. degradtion? Effect on UV detector?\n        \n        \n        Conclusion\n                \nfused core 3 fold reduced time than HPLC\nUHPLC 4 fold reduction\n        \nIn future high temp fused core migh be avalibale, which could out perform HT-UHPC.\n        \nHigh temp (90 degrees) may lead to thermal degradation. 60 degrees offers 40% reduction in analysis time cf ambient, and less degradtion. might be good compromise.\n        \n        \n      ", "page" : "2465-2477", "title" : "Comparison of columns packed with porous sub-2 microm particles and superficially porous sub-3 microm particles for peptide analysis at ambient and high temperature", "type" : "article-journal", "volume" : "33" }, "uris" : [ "http://www.mendeley.com/documents/?uuid=d4e62805-a5c7-41bc-81a2-5ee83c86bfd2" ] } ], "mendeley" : { "previouslyFormattedCitation" : "[26]"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[26]</w:t>
      </w:r>
      <w:r w:rsidR="001B586C">
        <w:rPr>
          <w:rFonts w:ascii="Arial" w:hAnsi="Arial" w:cs="Arial"/>
        </w:rPr>
        <w:fldChar w:fldCharType="end"/>
      </w:r>
      <w:r w:rsidR="006B0BB9">
        <w:rPr>
          <w:rFonts w:ascii="Arial" w:hAnsi="Arial" w:cs="Arial"/>
        </w:rPr>
        <w:t xml:space="preserve"> </w:t>
      </w:r>
      <w:r w:rsidR="006B0BB9" w:rsidRPr="006B0BB9">
        <w:rPr>
          <w:rFonts w:ascii="Arial" w:hAnsi="Arial" w:cs="Arial"/>
        </w:rPr>
        <w:t xml:space="preserve"> than the HPLC commonly</w:t>
      </w:r>
      <w:r w:rsidR="006B0BB9">
        <w:rPr>
          <w:rFonts w:ascii="Arial" w:hAnsi="Arial" w:cs="Arial"/>
        </w:rPr>
        <w:t xml:space="preserve"> </w:t>
      </w:r>
      <w:r w:rsidR="006B0BB9" w:rsidRPr="006B0BB9">
        <w:rPr>
          <w:rFonts w:ascii="Arial" w:hAnsi="Arial" w:cs="Arial"/>
        </w:rPr>
        <w:t>used for such separations</w:t>
      </w:r>
      <w:r w:rsidR="006B0BB9">
        <w:rPr>
          <w:rFonts w:ascii="Arial" w:hAnsi="Arial" w:cs="Arial"/>
        </w:rPr>
        <w:t xml:space="preserve">. The greater efficiency can lead to lower matrix effects due to improved separation from matrix suppressants </w:t>
      </w:r>
      <w:r w:rsidR="001B586C">
        <w:rPr>
          <w:rFonts w:ascii="Arial" w:hAnsi="Arial" w:cs="Arial"/>
        </w:rPr>
        <w:fldChar w:fldCharType="begin" w:fldLock="1"/>
      </w:r>
      <w:r w:rsidR="00261C24">
        <w:rPr>
          <w:rFonts w:ascii="Arial" w:hAnsi="Arial" w:cs="Arial"/>
        </w:rPr>
        <w:instrText>ADDIN CSL_CITATION { "citationItems" : [ { "id" : "ITEM-1", "itemData" : { "DOI" : "10.1016/j.jchromb.2011.05.039", "ISSN" : "1873-376X", "PMID" : "21700513", "abstract" : "A selective UHPLC-MS/MS method for determination of the therapeutic peptide octreotide in human plasma was developed and validated. This assay used a UHPLC C(18) column with 1.7\u03bcm particle size for efficient separation and an ion-exchange SPE for selective extraction. Octreotide and its labeled internal standard, [(13)C(6)Phe(3)] octreotide, were extracted from human plasma using a simple Oasis(\u00ae) WCX \u03bcElution SPE method and analyzed with a total chromatographic run time of 7.5min. Matrix effects were studied during method development by direct monitoring of representative phospholipids. On-line removal of phospholipids using column switching and pre-column back-flushing was carried out to trap and remove any residual phospholipid matrix interferences. The UHPLC column provided baseline separation between the analyte and matrix peaks. The chromatographic conditions yielded optimal retention and excellent peak shape for both the analyte and internal standard. The assay was linear in the concentration range of 0.025-25.0ng/ml, inter- and intra-assay precision and accuracy were within 6.1% and \u00b11.93%, respectively. Recovery was \u223c73%. Post-extraction addition experiments showed that matrix effects were less than 4%. This method for octreotide in human plasma has been validated and utilized to support of clinical pharmacokinetic studies.", "author" : [ { "dropping-particle" : "", "family" : "Ismaiel", "given" : "Omnia A", "non-dropping-particle" : "", "parse-names" : false, "suffix" : "" }, { "dropping-particle" : "", "family" : "Zhang", "given" : "Tianyi", "non-dropping-particle" : "", "parse-names" : false, "suffix" : "" }, { "dropping-particle" : "", "family" : "Jenkins", "given" : "Rand", "non-dropping-particle" : "", "parse-names" : false, "suffix" : "" }, { "dropping-particle" : "", "family" : "Karnes", "given" : "H Thomas", "non-dropping-particle" : "", "parse-names" : false, "suffix" : "" } ], "container-title" : "Journal of chromatography. B, Analytical technologies in the biomedical and life sciences", "id" : "ITEM-1", "issue" : "22", "issued" : { "date-parts" : [ [ "2011", "7", "15" ] ] }, "note" : "Read paper 4th Sept 11\n        \n25pg/mL 200\u00b5L plasma. API 4000\n        \nUses guard column to trap phospholipids in order to reduce matrix effects. Also analytical column flush. Once sample eluted from guard column back flushed at high flow rate to remove phospholipids. Technique resulted in very few phosolipids and ME. (Phospolipids can cause vairable ME if not fully eluted and therefore elute at different times for different injections). Quicker than having to do exteneded flush on analytical column.\n        \n        \n\u00b5L WCX SPE plates used. Previous method used diry PPT. Also used Tom tech. Mentions advantage of \u00b5 elution is no evap needed- reduces losses. Samples added to 4% H3PO4 (aq). condition=MeOH, eqm=H20, load, wash 5%NH4OH, wash2= 20% MeCN (Aq), elute 50\u00b5L 1% TFA (75/25 MeCN/H20).. Add 150\u00b5L H20.\n        \nAs 100% MeOH was not used (has been shown to remove phospholipids) decided to use guard column to trap them.\n        \nMonitored several phospholipid MRMs and also 184&gt;184 and 104&gt;104 transition.\n        \nUses UPLC BEH C18 2.1*100mm, 1.7\u00b5m analtyical column and ACQUITY UPLC BEH C18 VanGuard Pre-column 2.1mm * 5mm, 1.7\u00b5m. Tried using a 5cm analytical column but not enough resolution. \n                \nMobile phases= 0.1% FA(aq), 0.1%FA(MeCN).  Guard wash= 10:45:45 water/MeCN/MeOH. Autosampler washes= .01/10/90 FA/H2O/MECN, and 20/80 ACN/H20. Run time= 7.5mins. Inject 50\u00b5L.\n        \nValidated to FDA requirements with our standard experimetns (e.g. recovey, PA) plus some extra (whole blood stability, dilution of samples within range (model what do if insufficient sample volume)\n        \n        Initial method used non-UPLC and C18 only SPE (i.e. non mixed mode). Poor sensitivity, broard peaks, poor P&amp;A. Could have been due to column instability at high pH, insconistent recovery, ME. UPLC gave excellent peak shape (&lt;6s width), 4-5 fold increase in height, and 2-fold increase in LLOQ  conc.      ", "page" : "2081-2088", "title" : "Determination of octreotide and assessment of matrix effects in human plasma using ultra high performance liquid chromatography-tandem mass spectrometry", "type" : "article-journal", "volume" : "879" }, "uris" : [ "http://www.mendeley.com/documents/?uuid=11b53350-ec65-4857-ad5d-c6fbf52b8236" ] } ], "mendeley" : { "previouslyFormattedCitation" : "[27]"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[27]</w:t>
      </w:r>
      <w:r w:rsidR="001B586C">
        <w:rPr>
          <w:rFonts w:ascii="Arial" w:hAnsi="Arial" w:cs="Arial"/>
        </w:rPr>
        <w:fldChar w:fldCharType="end"/>
      </w:r>
      <w:r w:rsidR="006B0BB9">
        <w:rPr>
          <w:rFonts w:ascii="Arial" w:hAnsi="Arial" w:cs="Arial"/>
        </w:rPr>
        <w:t xml:space="preserve"> </w:t>
      </w:r>
      <w:r w:rsidR="00FD2DA1">
        <w:rPr>
          <w:rFonts w:ascii="Arial" w:hAnsi="Arial" w:cs="Arial"/>
        </w:rPr>
        <w:t xml:space="preserve"> and to </w:t>
      </w:r>
      <w:r w:rsidR="006B0BB9">
        <w:rPr>
          <w:rFonts w:ascii="Arial" w:hAnsi="Arial" w:cs="Arial"/>
        </w:rPr>
        <w:t>higher sensitivities due to sharp</w:t>
      </w:r>
      <w:r w:rsidR="00FD2DA1">
        <w:rPr>
          <w:rFonts w:ascii="Arial" w:hAnsi="Arial" w:cs="Arial"/>
        </w:rPr>
        <w:t>er</w:t>
      </w:r>
      <w:r w:rsidR="006B0BB9">
        <w:rPr>
          <w:rFonts w:ascii="Arial" w:hAnsi="Arial" w:cs="Arial"/>
        </w:rPr>
        <w:t xml:space="preserve"> peak shape</w:t>
      </w:r>
      <w:r w:rsidR="00FD2DA1">
        <w:rPr>
          <w:rFonts w:ascii="Arial" w:hAnsi="Arial" w:cs="Arial"/>
        </w:rPr>
        <w:t>s</w:t>
      </w:r>
      <w:r w:rsidR="006B0BB9">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"10.4155/bio.12.283", "ISSN" : "1757-6199", "PMID" : "23244286", "abstract" : "There is increasing interest within the pharmaceutical industry in the development of proteins and peptides as drugs in addition to their use as biomarkers. Immunochemistry-based techniques have been traditionally used for the quantitation of proteins and peptides; however, LC-MS-based methodologies are being increasingly adopted as they offer several advantages. UHPLC is well established within the small-molecule community as a means to increase resolution and/or the speed of separations prior to MS detection; however, it is rarely applied to proteins or peptides separations. In this paper, current applications of UHPLC to such separations are reviewed, as well as considerations with regard to the effect of altering various chromatographic parameters.", "author" : [ { "dropping-particle" : "", "family" : "Howard", "given" : "James W", "non-dropping-particle" : "", "parse-names" : false, "suffix" : "" }, { "dropping-particle" : "", "family" : "Kay", "given" : "Richard G", "non-dropping-particle" : "", "parse-names" : false, "suffix" : "" }, { "dropping-particle" : "", "family" : "Pleasance", "given" : "Steve", "non-dropping-particle" : "", "parse-names" : false, "suffix" : "" }, { "dropping-particle" : "", "family" : "Creaser", "given" : "Colin S", "non-dropping-particle" : "", "parse-names" : false, "suffix" : "" } ], "container-title" : "Bioanalysis", "id" : "ITEM-1", "issue" : "24", "issued" : { "date-parts" : [ [ "2012", "12" ] ] }, "note" : "my first paper :)", "page" : "2971-88", "title" : "UHPLC for the separation of proteins and peptides.", "type" : "article-journal", "volume" : "4" }, "uris" : [ "http://www.mendeley.com/documents/?uuid=18a848e4-c76c-4902-a158-8272cbd3978c" ] } ], "mendeley" : { "previouslyFormattedCitation" : "[21]"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[21]</w:t>
      </w:r>
      <w:r w:rsidR="001B586C">
        <w:rPr>
          <w:rFonts w:ascii="Arial" w:hAnsi="Arial" w:cs="Arial"/>
        </w:rPr>
        <w:fldChar w:fldCharType="end"/>
      </w:r>
      <w:r w:rsidR="006B0BB9">
        <w:rPr>
          <w:rFonts w:ascii="Arial" w:hAnsi="Arial" w:cs="Arial"/>
        </w:rPr>
        <w:t xml:space="preserve">. </w:t>
      </w:r>
      <w:r w:rsidR="00AE6207">
        <w:rPr>
          <w:rFonts w:ascii="Arial" w:hAnsi="Arial" w:cs="Arial"/>
        </w:rPr>
        <w:t>T</w:t>
      </w:r>
      <w:r w:rsidR="00184B40">
        <w:rPr>
          <w:rFonts w:ascii="Arial" w:hAnsi="Arial" w:cs="Arial"/>
        </w:rPr>
        <w:t xml:space="preserve">he </w:t>
      </w:r>
      <w:r w:rsidR="00A42767" w:rsidRPr="00A42767">
        <w:rPr>
          <w:rFonts w:ascii="Arial" w:hAnsi="Arial" w:cs="Arial"/>
        </w:rPr>
        <w:t>[M+5H</w:t>
      </w:r>
      <w:r w:rsidR="00A42767" w:rsidRPr="00A42767">
        <w:rPr>
          <w:rFonts w:ascii="Arial" w:hAnsi="Arial" w:cs="Arial"/>
          <w:vertAlign w:val="superscript"/>
        </w:rPr>
        <w:t>+</w:t>
      </w:r>
      <w:r w:rsidR="00AE6207" w:rsidRPr="00A42767">
        <w:rPr>
          <w:rFonts w:ascii="Arial" w:hAnsi="Arial" w:cs="Arial"/>
        </w:rPr>
        <w:t>]</w:t>
      </w:r>
      <w:r w:rsidR="00AE6207" w:rsidRPr="00A42767">
        <w:rPr>
          <w:rFonts w:ascii="Arial" w:hAnsi="Arial" w:cs="Arial"/>
          <w:vertAlign w:val="superscript"/>
        </w:rPr>
        <w:t xml:space="preserve"> 5</w:t>
      </w:r>
      <w:r w:rsidR="00A42767" w:rsidRPr="00A42767">
        <w:rPr>
          <w:rFonts w:ascii="Arial" w:hAnsi="Arial" w:cs="Arial"/>
          <w:vertAlign w:val="superscript"/>
        </w:rPr>
        <w:t>+</w:t>
      </w:r>
      <w:r w:rsidR="00AE6207">
        <w:rPr>
          <w:rFonts w:ascii="Arial" w:hAnsi="Arial" w:cs="Arial"/>
        </w:rPr>
        <w:t xml:space="preserve"> ion was found to give the highest intensity during MS method development</w:t>
      </w:r>
      <w:r w:rsidR="00B76AB6">
        <w:rPr>
          <w:rFonts w:ascii="Arial" w:hAnsi="Arial" w:cs="Arial"/>
        </w:rPr>
        <w:t xml:space="preserve"> (</w:t>
      </w:r>
      <w:r w:rsidR="001B586C">
        <w:fldChar w:fldCharType="begin"/>
      </w:r>
      <w:r w:rsidR="00B76AB6">
        <w:instrText xml:space="preserve"> REF _Ref310517366 \h  \* MERGEFORMAT </w:instrText>
      </w:r>
      <w:r w:rsidR="001B586C">
        <w:fldChar w:fldCharType="separate"/>
      </w:r>
      <w:r w:rsidR="00B76AB6" w:rsidRPr="0020538A">
        <w:rPr>
          <w:rFonts w:ascii="Arial" w:hAnsi="Arial" w:cs="Arial"/>
        </w:rPr>
        <w:t>Figure 1</w:t>
      </w:r>
      <w:r w:rsidR="001B586C">
        <w:fldChar w:fldCharType="end"/>
      </w:r>
      <w:r w:rsidR="00B76AB6">
        <w:rPr>
          <w:rFonts w:ascii="Arial" w:hAnsi="Arial" w:cs="Arial"/>
        </w:rPr>
        <w:t>)</w:t>
      </w:r>
      <w:r w:rsidR="00AE6207">
        <w:rPr>
          <w:rFonts w:ascii="Arial" w:hAnsi="Arial" w:cs="Arial"/>
        </w:rPr>
        <w:t xml:space="preserve">, </w:t>
      </w:r>
      <w:r w:rsidR="007E2370">
        <w:rPr>
          <w:rFonts w:ascii="Arial" w:hAnsi="Arial" w:cs="Arial"/>
        </w:rPr>
        <w:t xml:space="preserve">although </w:t>
      </w:r>
      <w:r w:rsidR="00B76AB6">
        <w:rPr>
          <w:rFonts w:ascii="Arial" w:hAnsi="Arial" w:cs="Arial"/>
        </w:rPr>
        <w:t>other studies have found the</w:t>
      </w:r>
      <w:r w:rsidR="007E2370">
        <w:rPr>
          <w:rFonts w:ascii="Arial" w:hAnsi="Arial" w:cs="Arial"/>
        </w:rPr>
        <w:t xml:space="preserve"> </w:t>
      </w:r>
      <w:r w:rsidR="0062646D">
        <w:rPr>
          <w:rFonts w:ascii="Arial" w:hAnsi="Arial" w:cs="Arial"/>
        </w:rPr>
        <w:t xml:space="preserve"> the</w:t>
      </w:r>
      <w:r w:rsidR="00A42767" w:rsidRPr="00A42767">
        <w:rPr>
          <w:rFonts w:ascii="Arial" w:hAnsi="Arial" w:cs="Arial"/>
        </w:rPr>
        <w:t xml:space="preserve"> [M+4H</w:t>
      </w:r>
      <w:r w:rsidR="00A42767" w:rsidRPr="00B777EA">
        <w:rPr>
          <w:rFonts w:ascii="Arial" w:hAnsi="Arial" w:cs="Arial"/>
          <w:vertAlign w:val="superscript"/>
        </w:rPr>
        <w:t>+</w:t>
      </w:r>
      <w:r w:rsidR="00A42767" w:rsidRPr="00A42767">
        <w:rPr>
          <w:rFonts w:ascii="Arial" w:hAnsi="Arial" w:cs="Arial"/>
        </w:rPr>
        <w:t>]</w:t>
      </w:r>
      <w:r w:rsidR="00A42767" w:rsidRPr="00A42767">
        <w:rPr>
          <w:rFonts w:ascii="Arial" w:hAnsi="Arial" w:cs="Arial"/>
          <w:vertAlign w:val="superscript"/>
        </w:rPr>
        <w:t>+4</w:t>
      </w:r>
      <w:r w:rsidR="00A03FFB">
        <w:rPr>
          <w:rFonts w:ascii="Arial" w:hAnsi="Arial" w:cs="Arial"/>
        </w:rPr>
        <w:t xml:space="preserve"> </w:t>
      </w:r>
      <w:r w:rsidR="00B76AB6">
        <w:rPr>
          <w:rFonts w:ascii="Arial" w:hAnsi="Arial" w:cs="Arial"/>
        </w:rPr>
        <w:t>to be optimal</w:t>
      </w:r>
      <w:r w:rsidR="00A42767" w:rsidRPr="00A42767">
        <w:rPr>
          <w:rFonts w:ascii="Arial" w:hAnsi="Arial" w:cs="Arial"/>
        </w:rPr>
        <w:t xml:space="preserve"> </w:t>
      </w:r>
      <w:r w:rsidR="001B586C" w:rsidRPr="00A42767">
        <w:rPr>
          <w:rFonts w:ascii="Arial" w:hAnsi="Arial" w:cs="Arial"/>
        </w:rPr>
        <w:fldChar w:fldCharType="begin" w:fldLock="1"/>
      </w:r>
      <w:r w:rsidR="00261C24">
        <w:rPr>
          <w:rFonts w:ascii="Arial" w:hAnsi="Arial" w:cs="Arial"/>
        </w:rPr>
        <w:instrText>ADDIN CSL_CITATION { "citationItems" : [ { "id" : "ITEM-1", "itemData" : { "abstract" : "BACKGROUND: Bioanalysis of large molecules can be challenging on LC-MS/MS due to multiply charged and endogenous interferences. While high sensitivity triple quadrupole systems (QqQ) have been commercialized recently, high-resolution MS (HRMS) systems are also available. HRMS provides alternative analysis methods, but more costly and with sensitivity lower than MRM on QqQ. RESULTS: QqQ is generally operated at unit resolution; however, newer systems are able to practically tune to 'high resolution'. Therefore, the advantages of both higher sensitivity of MRM on QqQ and better specificity on HRMS can possibly be combined on a QqQ to meet bioanalysis needs. Glucagon and salmon calcitonin were successfully quantified in high-resolution with fast cycle time on AB Sciex TripleQuad\u2122 5500. LLOQ (S/N) was increased and interferences reduced. CONCLUSION: For large molecules, the bioanalysis methods developed using high resolution on the QqQ are validated and used in preclinical and clinical studies.", "author" : [ { "dropping-particle" : "", "family" : "Li YX, Hackman M", "given" : "Wang CY.", "non-dropping-particle" : "", "parse-names" : false, "suffix" : "" } ], "container-title" : "Bioanalysis", "id" : "ITEM-1", "issue" : "6", "issued" : { "date-parts" : [ [ "2012" ] ] }, "note" : "Read and annotated 8 May 2012.\n        \nUsed triple quad in high res mode. Allowed reduction in interferences and lowering of background noise and therefore lower LLOQ to be achieved than unit res.\n        \nCompromise betwee sensitivity in triple quad, and selectivity in high res MRM e.g offerered on 5600, Qtof.\n        \nGlucagon range, 0.25- 200 ng/mL. 5500 used.\n        \nPure ACN crash.\n        \nHPLC, 3\u00b5m, 5cm, with 1% FA in MeOH/ H20, and 15-95%B in 8 minute gradient. Elutes at 6min.", "page" : "685-691", "title" : "Quantitation of polypeptides (glucagon and salmon calcitonin) in plasma samples by 'high resolution' on a triple quadrupole mass spectrometer.", "type" : "article-journal", "volume" : "4" }, "uris" : [ "http://www.mendeley.com/documents/?uuid=e61b666a-1f8d-4701-8570-6ed1e7e1b5fa" ] } ], "mendeley" : { "previouslyFormattedCitation" : "[10]" }, "properties" : { "noteIndex" : 0 }, "schema" : "https://github.com/citation-style-language/schema/raw/master/csl-citation.json" }</w:instrText>
      </w:r>
      <w:r w:rsidR="001B586C" w:rsidRPr="00A42767">
        <w:rPr>
          <w:rFonts w:ascii="Arial" w:hAnsi="Arial" w:cs="Arial"/>
        </w:rPr>
        <w:fldChar w:fldCharType="separate"/>
      </w:r>
      <w:r w:rsidR="00EC3CF8" w:rsidRPr="00EC3CF8">
        <w:rPr>
          <w:rFonts w:ascii="Arial" w:hAnsi="Arial" w:cs="Arial"/>
          <w:noProof/>
        </w:rPr>
        <w:t>[10]</w:t>
      </w:r>
      <w:r w:rsidR="001B586C" w:rsidRPr="00A42767">
        <w:rPr>
          <w:rFonts w:ascii="Arial" w:hAnsi="Arial" w:cs="Arial"/>
        </w:rPr>
        <w:fldChar w:fldCharType="end"/>
      </w:r>
      <w:r w:rsidR="001B586C">
        <w:rPr>
          <w:rFonts w:ascii="Arial" w:hAnsi="Arial" w:cs="Arial"/>
        </w:rPr>
        <w:fldChar w:fldCharType="begin" w:fldLock="1"/>
      </w:r>
      <w:r w:rsidR="00261C24">
        <w:rPr>
          <w:rFonts w:ascii="Arial" w:hAnsi="Arial" w:cs="Arial"/>
        </w:rPr>
        <w:instrText>ADDIN CSL_CITATION { "citationItems" : [ { "id" : "ITEM-1", "itemData" : { "DOI" : "10.1002/bmc.380", "ISSN" : "0269-3879", "PMID" : "15386587", "abstract" : "We present a method for the quantitation of glucagon from rat plasma by protein precipitation and LC/MS. No internal standard was used, as a labeled standard was not available and similar peptides did not show comparable extraction characteristics to glucagon. The LC system included a Keystone C18, 300 A pore size column; a linear gradient was used with a mobile phase consisting of water and acetonitrile, each with 0.2% acetic acid and 0.02% trifluoroacetic acid. Glucagon was detected with the mass spectrometer in positive ion mode monitoring the 4+ charge state at m/z 871.7. The method had an approximated limit of detection of 1 ng/mL. The lower limit of quantitation (LLOQ) was 25 ng/mL (7.2 fmol/mL), which could be reduced with an appropriate internal standard. External calibration was used and calibration curves were found to be linear over the range from 25 to 1000 ng/mL (7.2 to 290 fmol/mL). The method showed a high degree of precision and accuracy both within and between runs at four validation points, including the LLOQ.", "author" : [ { "dropping-particle" : "", "family" : "Delinsky", "given" : "David C", "non-dropping-particle" : "", "parse-names" : false, "suffix" : "" }, { "dropping-particle" : "", "family" : "Hill", "given" : "Kim T", "non-dropping-particle" : "", "parse-names" : false, "suffix" : "" }, { "dropping-particle" : "", "family" : "White", "given" : "Catherine A", "non-dropping-particle" : "", "parse-names" : false, "suffix" : "" }, { "dropping-particle" : "", "family" : "Bartlett", "given" : "Michael G", "non-dropping-particle" : "", "parse-names" : false, "suffix" : "" } ], "container-title" : "Biomedical chromatography : BMC", "id" : "ITEM-1", "issue" : "9", "issued" : { "date-parts" : [ [ "2004", "11" ] ] }, "note" : "re-read and annotated 8th May 2012\n        \nNo stable MS/MS, so used MS\nMontired 4+ ion\n        \n25-1000ng/mL with 1/y weighting. 1/y places more emphasis on the lower concentrations.\n        \nMade calibrants in plasma to prevent binding.  Bound lots in water. Less 10\u00b5m BSA which used as recovery reference solution. Glass tubes didn't have improved binding characteristics. Losses also experienced to membranes commonly used in filters to remove particualtes prior to LC-MS/MS.\n        \nExtracted by infusing ACN. 300\u00b5l for 150\u00b5l plasma. Found slow infusions prevented clumping that lead to variable recovery. Slow leads to finer precipitate.\n        \n No singnificant  binding over 20hrs in recon (80/20/0.2/0.2 Water/ACN/AA/TFA)\n        \n5\u00b5m particle size, 0.2% aa with 0.02% TFA in water/ acetonitrile, 23-38% over 8 mins, then 95% column flush.\n        \nHad to inject several blanks to stabilise. Else retention time increases ( normally expect it would decrease). Suggested due to plasma binding on column and adhering to glucagon.\n        \nNo IS used. Analog IS made things worse.\n        \nLiterature value for elimation phase halflife is 3.3minutes. In rat samples analysed they similalry found 2.3minutes.\n        \nSuggested wth IS could get to 5ng/mL.", "page" : "700-5", "title" : "Quantitation of the large polypeptide glucagon by protein precipitation and LC/MS.", "type" : "article-journal", "volume" : "18" }, "uris" : [ "http://www.mendeley.com/documents/?uuid=19d3db5f-604a-4646-8c8e-4e8f47ab5202" ] } ], "mendeley" : { "previouslyFormattedCitation" : "[9]"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[9]</w:t>
      </w:r>
      <w:r w:rsidR="001B586C">
        <w:rPr>
          <w:rFonts w:ascii="Arial" w:hAnsi="Arial" w:cs="Arial"/>
        </w:rPr>
        <w:fldChar w:fldCharType="end"/>
      </w:r>
      <w:r w:rsidR="00BF2953">
        <w:rPr>
          <w:rFonts w:ascii="Arial" w:hAnsi="Arial" w:cs="Arial"/>
        </w:rPr>
        <w:t xml:space="preserve"> </w:t>
      </w:r>
      <w:r w:rsidR="00184B40">
        <w:rPr>
          <w:rFonts w:ascii="Arial" w:hAnsi="Arial" w:cs="Arial"/>
        </w:rPr>
        <w:t xml:space="preserve">MS2 experiments showed </w:t>
      </w:r>
      <w:r w:rsidR="00184B40" w:rsidRPr="00FD2DA1">
        <w:rPr>
          <w:rFonts w:ascii="Arial" w:hAnsi="Arial" w:cs="Arial"/>
        </w:rPr>
        <w:t>that</w:t>
      </w:r>
      <w:r w:rsidR="00A03FFB" w:rsidRPr="00FD2DA1">
        <w:rPr>
          <w:rFonts w:ascii="Arial" w:hAnsi="Arial" w:cs="Arial"/>
        </w:rPr>
        <w:t xml:space="preserve"> </w:t>
      </w:r>
      <w:r w:rsidR="00954645" w:rsidRPr="00FD2DA1">
        <w:rPr>
          <w:rFonts w:ascii="Arial" w:hAnsi="Arial" w:cs="Arial"/>
        </w:rPr>
        <w:t xml:space="preserve">showed that the ionic species generated by ESI of glucagon were able to </w:t>
      </w:r>
      <w:r w:rsidR="00A03FFB" w:rsidRPr="00FD2DA1">
        <w:rPr>
          <w:rFonts w:ascii="Arial" w:hAnsi="Arial" w:cs="Arial"/>
        </w:rPr>
        <w:t>absorb</w:t>
      </w:r>
      <w:r w:rsidR="00A03FFB" w:rsidRPr="00A42767">
        <w:rPr>
          <w:rFonts w:ascii="Arial" w:hAnsi="Arial" w:cs="Arial"/>
        </w:rPr>
        <w:t xml:space="preserve"> substantial</w:t>
      </w:r>
      <w:r w:rsidR="00AE6207">
        <w:rPr>
          <w:rFonts w:ascii="Arial" w:hAnsi="Arial" w:cs="Arial"/>
        </w:rPr>
        <w:t xml:space="preserve"> collision</w:t>
      </w:r>
      <w:r w:rsidR="00A03FFB" w:rsidRPr="00A42767">
        <w:rPr>
          <w:rFonts w:ascii="Arial" w:hAnsi="Arial" w:cs="Arial"/>
        </w:rPr>
        <w:t xml:space="preserve"> energy without undergoing major fragmentations</w:t>
      </w:r>
      <w:r w:rsidR="00184B40">
        <w:rPr>
          <w:rFonts w:ascii="Arial" w:hAnsi="Arial" w:cs="Arial"/>
        </w:rPr>
        <w:t>,</w:t>
      </w:r>
      <w:r w:rsidR="00A03FFB" w:rsidRPr="00A42767">
        <w:rPr>
          <w:rFonts w:ascii="Arial" w:hAnsi="Arial" w:cs="Arial"/>
        </w:rPr>
        <w:t xml:space="preserve"> as demonstrated</w:t>
      </w:r>
      <w:r w:rsidR="00591934">
        <w:rPr>
          <w:rFonts w:ascii="Arial" w:hAnsi="Arial" w:cs="Arial"/>
        </w:rPr>
        <w:t xml:space="preserve"> </w:t>
      </w:r>
      <w:r w:rsidR="00A03FFB" w:rsidRPr="00A42767">
        <w:rPr>
          <w:rFonts w:ascii="Arial" w:hAnsi="Arial" w:cs="Arial"/>
        </w:rPr>
        <w:t>previously</w:t>
      </w:r>
      <w:r w:rsidR="00AE6207">
        <w:rPr>
          <w:rFonts w:ascii="Arial" w:hAnsi="Arial" w:cs="Arial"/>
        </w:rPr>
        <w:t xml:space="preserve"> </w:t>
      </w:r>
      <w:r w:rsidR="001B586C" w:rsidRPr="00A42767">
        <w:rPr>
          <w:rFonts w:ascii="Arial" w:hAnsi="Arial" w:cs="Arial"/>
        </w:rPr>
        <w:fldChar w:fldCharType="begin" w:fldLock="1"/>
      </w:r>
      <w:r w:rsidR="00261C24">
        <w:rPr>
          <w:rFonts w:ascii="Arial" w:hAnsi="Arial" w:cs="Arial"/>
        </w:rPr>
        <w:instrText>ADDIN CSL_CITATION { "citationItems" : [ { "id" : "ITEM-1", "itemData" : { "DOI" : "10.1002/bmc.380", "ISSN" : "0269-3879", "PMID" : "15386587", "abstract" : "We present a method for the quantitation of glucagon from rat plasma by protein precipitation and LC/MS. No internal standard was used, as a labeled standard was not available and similar peptides did not show comparable extraction characteristics to glucagon. The LC system included a Keystone C18, 300 A pore size column; a linear gradient was used with a mobile phase consisting of water and acetonitrile, each with 0.2% acetic acid and 0.02% trifluoroacetic acid. Glucagon was detected with the mass spectrometer in positive ion mode monitoring the 4+ charge state at m/z 871.7. The method had an approximated limit of detection of 1 ng/mL. The lower limit of quantitation (LLOQ) was 25 ng/mL (7.2 fmol/mL), which could be reduced with an appropriate internal standard. External calibration was used and calibration curves were found to be linear over the range from 25 to 1000 ng/mL (7.2 to 290 fmol/mL). The method showed a high degree of precision and accuracy both within and between runs at four validation points, including the LLOQ.", "author" : [ { "dropping-particle" : "", "family" : "Delinsky", "given" : "David C", "non-dropping-particle" : "", "parse-names" : false, "suffix" : "" }, { "dropping-particle" : "", "family" : "Hill", "given" : "Kim T", "non-dropping-particle" : "", "parse-names" : false, "suffix" : "" }, { "dropping-particle" : "", "family" : "White", "given" : "Catherine A", "non-dropping-particle" : "", "parse-names" : false, "suffix" : "" }, { "dropping-particle" : "", "family" : "Bartlett", "given" : "Michael G", "non-dropping-particle" : "", "parse-names" : false, "suffix" : "" } ], "container-title" : "Biomedical chromatography : BMC", "id" : "ITEM-1", "issue" : "9", "issued" : { "date-parts" : [ [ "2004", "11" ] ] }, "note" : "re-read and annotated 8th May 2012\n        \nNo stable MS/MS, so used MS\nMontired 4+ ion\n        \n25-1000ng/mL with 1/y weighting. 1/y places more emphasis on the lower concentrations.\n        \nMade calibrants in plasma to prevent binding.  Bound lots in water. Less 10\u00b5m BSA which used as recovery reference solution. Glass tubes didn't have improved binding characteristics. Losses also experienced to membranes commonly used in filters to remove particualtes prior to LC-MS/MS.\n        \nExtracted by infusing ACN. 300\u00b5l for 150\u00b5l plasma. Found slow infusions prevented clumping that lead to variable recovery. Slow leads to finer precipitate.\n        \n No singnificant  binding over 20hrs in recon (80/20/0.2/0.2 Water/ACN/AA/TFA)\n        \n5\u00b5m particle size, 0.2% aa with 0.02% TFA in water/ acetonitrile, 23-38% over 8 mins, then 95% column flush.\n        \nHad to inject several blanks to stabilise. Else retention time increases ( normally expect it would decrease). Suggested due to plasma binding on column and adhering to glucagon.\n        \nNo IS used. Analog IS made things worse.\n        \nLiterature value for elimation phase halflife is 3.3minutes. In rat samples analysed they similalry found 2.3minutes.\n        \nSuggested wth IS could get to 5ng/mL.", "page" : "700-5", "title" : "Quantitation of the large polypeptide glucagon by protein precipitation and LC/MS.", "type" : "article-journal", "volume" : "18" }, "uris" : [ "http://www.mendeley.com/documents/?uuid=19d3db5f-604a-4646-8c8e-4e8f47ab5202" ] } ], "mendeley" : { "previouslyFormattedCitation" : "[9]" }, "properties" : { "noteIndex" : 0 }, "schema" : "https://github.com/citation-style-language/schema/raw/master/csl-citation.json" }</w:instrText>
      </w:r>
      <w:r w:rsidR="001B586C" w:rsidRPr="00A42767">
        <w:rPr>
          <w:rFonts w:ascii="Arial" w:hAnsi="Arial" w:cs="Arial"/>
        </w:rPr>
        <w:fldChar w:fldCharType="separate"/>
      </w:r>
      <w:r w:rsidR="00EC3CF8" w:rsidRPr="00EC3CF8">
        <w:rPr>
          <w:rFonts w:ascii="Arial" w:hAnsi="Arial" w:cs="Arial"/>
          <w:noProof/>
        </w:rPr>
        <w:t>[9]</w:t>
      </w:r>
      <w:r w:rsidR="001B586C" w:rsidRPr="00A42767">
        <w:rPr>
          <w:rFonts w:ascii="Arial" w:hAnsi="Arial" w:cs="Arial"/>
        </w:rPr>
        <w:fldChar w:fldCharType="end"/>
      </w:r>
      <w:r w:rsidR="00BF2953">
        <w:rPr>
          <w:rFonts w:ascii="Arial" w:hAnsi="Arial" w:cs="Arial"/>
        </w:rPr>
        <w:t xml:space="preserve"> (</w:t>
      </w:r>
      <w:r w:rsidR="00342B10">
        <w:fldChar w:fldCharType="begin"/>
      </w:r>
      <w:r w:rsidR="00342B10">
        <w:instrText xml:space="preserve"> REF _Ref373670280 \h  \* MERGEFORMAT </w:instrText>
      </w:r>
      <w:r w:rsidR="00342B10">
        <w:fldChar w:fldCharType="separate"/>
      </w:r>
      <w:r w:rsidR="0020538A" w:rsidRPr="0020538A">
        <w:rPr>
          <w:rFonts w:ascii="Arial" w:hAnsi="Arial" w:cs="Arial"/>
        </w:rPr>
        <w:t>Figure 2</w:t>
      </w:r>
      <w:r w:rsidR="00342B10">
        <w:fldChar w:fldCharType="end"/>
      </w:r>
      <w:r w:rsidR="00BF2953">
        <w:rPr>
          <w:rFonts w:ascii="Arial" w:hAnsi="Arial" w:cs="Arial"/>
        </w:rPr>
        <w:t>)</w:t>
      </w:r>
      <w:r w:rsidR="00A03FFB" w:rsidRPr="00A42767">
        <w:rPr>
          <w:rFonts w:ascii="Arial" w:hAnsi="Arial" w:cs="Arial"/>
        </w:rPr>
        <w:t xml:space="preserve">. </w:t>
      </w:r>
      <w:r w:rsidR="00C52CCB">
        <w:rPr>
          <w:rFonts w:ascii="Arial" w:hAnsi="Arial" w:cs="Arial"/>
        </w:rPr>
        <w:t xml:space="preserve"> As</w:t>
      </w:r>
      <w:r w:rsidR="00C73FED">
        <w:rPr>
          <w:rFonts w:ascii="Arial" w:hAnsi="Arial" w:cs="Arial"/>
        </w:rPr>
        <w:t xml:space="preserve"> also</w:t>
      </w:r>
      <w:r w:rsidR="00C52CCB">
        <w:rPr>
          <w:rFonts w:ascii="Arial" w:hAnsi="Arial" w:cs="Arial"/>
        </w:rPr>
        <w:t xml:space="preserve"> </w:t>
      </w:r>
      <w:r w:rsidR="00FD2DA1">
        <w:rPr>
          <w:rFonts w:ascii="Arial" w:hAnsi="Arial" w:cs="Arial"/>
        </w:rPr>
        <w:t>reported</w:t>
      </w:r>
      <w:r w:rsidR="00C52CCB">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"author" : [ { "dropping-particle" : "", "family" : "Lapko, P. Brown, R. Nachi, C. Kafonek, A. Dzerk, B. Retke", "given" : "C. Ohnmacht", "non-dropping-particle" : "V.", "parse-names" : false, "suffix" : "" }, { "dropping-particle" : "", "family" : "Davis", "given" : "C. Sheldon and I.", "non-dropping-particle" : "", "parse-names" : false, "suffix" : "" } ], "container-title" : "EBF 3rd Annual Open Symposium: From Challenges to Solutions", "id" : "ITEM-1", "issued" : { "date-parts" : [ [ "0" ] ] }, "publisher-place" : "Barcelona, Spain, 1 - 3 December 2010", "title" : "Exploring quantification of peptides: measurement of glucagon in human plasma by LC\u2013MS/MS. Presented at:", "type" : "paper-conference" }, "uris" : [ "http://www.mendeley.com/documents/?uuid=d988a2cd-1593-499a-a2f6-73b1fa0119f3" ] } ], "mendeley" : { "previouslyFormattedCitation" : "[12]"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[12]</w:t>
      </w:r>
      <w:r w:rsidR="001B586C">
        <w:rPr>
          <w:rFonts w:ascii="Arial" w:hAnsi="Arial" w:cs="Arial"/>
        </w:rPr>
        <w:fldChar w:fldCharType="end"/>
      </w:r>
      <w:r w:rsidR="001B586C">
        <w:rPr>
          <w:rFonts w:ascii="Arial" w:hAnsi="Arial" w:cs="Arial"/>
        </w:rPr>
        <w:fldChar w:fldCharType="begin" w:fldLock="1"/>
      </w:r>
      <w:r w:rsidR="00261C24">
        <w:rPr>
          <w:rFonts w:ascii="Arial" w:hAnsi="Arial" w:cs="Arial"/>
        </w:rPr>
        <w:instrText>ADDIN CSL_CITATION { "citationItems" : [ { "id" : "ITEM-1", "itemData" : { "abstract" : "The peptide hormone glucagon plays an important role in homeostasis of glucose concentrations in the blood. Its biological importance is evidenced through the conservation of its peptide sequence between species. Reliable assays for glucagon in biological samples are important for gaining a better understanding of the pathology and treatment of diabetes. Numerous assays are available for the analysis of glucagon in biological samples, the majority of which employ an immunochemical approach and have been available for many years. However, recent advances in MS instrumentation and the amenability of glucagon for analysis by LC\u2013MS/MS has brought these new methods to the forefront. Concentrations of glucagon determined from different methods are not always consistent and this review provides suggestions of how to improve the reliability of methods for glucagon analysis.", "author" : [ { "dropping-particle" : "", "family" : "Veniamin N Lapko\u200b\u200c, Patrick S Miller\u200b\u200c, G Paul Brown\u200b\u200c, Rafiqul Islam\u200b\u200c, Sarah K Peters\u200b\u200c, Richard L Sukovaty\u200b\u200c", "given" : "Peggy F Ruhn\u200b\u200c &amp; Chris J Kafonek", "non-dropping-particle" : "", "parse-names" : false, "suffix" : "" } ], "container-title" : "Bioanalysis", "id" : "ITEM-1", "issue" : "23", "issued" : { "date-parts" : [ [ "2013" ] ] }, "page" : "2957-2972", "title" : "Sensitive glucagon quantification by immunochemical and LC \u2013 MS / MS methods", "type" : "article-journal", "volume" : "5" }, "uris" : [ "http://www.mendeley.com/documents/?uuid=c6419cfa-ac9b-45ea-a732-4f104f410c02" ] } ], "mendeley" : { "previouslyFormattedCitation" : "[11]"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[11]</w:t>
      </w:r>
      <w:r w:rsidR="001B586C">
        <w:rPr>
          <w:rFonts w:ascii="Arial" w:hAnsi="Arial" w:cs="Arial"/>
        </w:rPr>
        <w:fldChar w:fldCharType="end"/>
      </w:r>
      <w:r w:rsidR="00C52CCB">
        <w:rPr>
          <w:rFonts w:ascii="Arial" w:hAnsi="Arial" w:cs="Arial"/>
        </w:rPr>
        <w:t xml:space="preserve"> an SRM transition  corresponding to the loss of ammonia </w:t>
      </w:r>
      <w:r w:rsidR="00C52CCB" w:rsidRPr="00A42767">
        <w:rPr>
          <w:rFonts w:ascii="Arial" w:hAnsi="Arial" w:cs="Arial"/>
        </w:rPr>
        <w:t>([M+5H</w:t>
      </w:r>
      <w:r w:rsidR="00C52CCB" w:rsidRPr="00184B40">
        <w:rPr>
          <w:rFonts w:ascii="Arial" w:hAnsi="Arial" w:cs="Arial"/>
          <w:vertAlign w:val="superscript"/>
        </w:rPr>
        <w:t>+</w:t>
      </w:r>
      <w:r w:rsidR="00C52CCB" w:rsidRPr="00A42767">
        <w:rPr>
          <w:rFonts w:ascii="Arial" w:hAnsi="Arial" w:cs="Arial"/>
        </w:rPr>
        <w:t>]</w:t>
      </w:r>
      <w:r w:rsidR="00C52CCB" w:rsidRPr="00184B40">
        <w:rPr>
          <w:rFonts w:ascii="Arial" w:hAnsi="Arial" w:cs="Arial"/>
          <w:vertAlign w:val="superscript"/>
        </w:rPr>
        <w:t>+5</w:t>
      </w:r>
      <w:r w:rsidR="00C52CCB" w:rsidRPr="00A42767">
        <w:rPr>
          <w:rFonts w:ascii="Arial" w:hAnsi="Arial" w:cs="Arial"/>
        </w:rPr>
        <w:t>/[M+5H</w:t>
      </w:r>
      <w:r w:rsidR="00C52CCB" w:rsidRPr="00B777EA">
        <w:rPr>
          <w:rFonts w:ascii="Arial" w:hAnsi="Arial" w:cs="Arial"/>
          <w:vertAlign w:val="superscript"/>
        </w:rPr>
        <w:t>+</w:t>
      </w:r>
      <w:r w:rsidR="00C52CCB" w:rsidRPr="00A42767">
        <w:rPr>
          <w:rFonts w:ascii="Arial" w:hAnsi="Arial" w:cs="Arial"/>
        </w:rPr>
        <w:t>-NH</w:t>
      </w:r>
      <w:r w:rsidR="00C52CCB" w:rsidRPr="00184B40">
        <w:rPr>
          <w:rFonts w:ascii="Arial" w:hAnsi="Arial" w:cs="Arial"/>
          <w:vertAlign w:val="subscript"/>
        </w:rPr>
        <w:t>3</w:t>
      </w:r>
      <w:r w:rsidR="00C52CCB" w:rsidRPr="00A42767">
        <w:rPr>
          <w:rFonts w:ascii="Arial" w:hAnsi="Arial" w:cs="Arial"/>
        </w:rPr>
        <w:t>]</w:t>
      </w:r>
      <w:r w:rsidR="00C52CCB" w:rsidRPr="00B777EA">
        <w:rPr>
          <w:rFonts w:ascii="Arial" w:hAnsi="Arial" w:cs="Arial"/>
          <w:vertAlign w:val="superscript"/>
        </w:rPr>
        <w:t>+5</w:t>
      </w:r>
      <w:r w:rsidR="00C52CCB">
        <w:rPr>
          <w:rFonts w:ascii="Arial" w:hAnsi="Arial" w:cs="Arial"/>
        </w:rPr>
        <w:t xml:space="preserve"> was found to be optimal. </w:t>
      </w:r>
      <w:r w:rsidR="00184B40">
        <w:rPr>
          <w:rFonts w:ascii="Arial" w:hAnsi="Arial" w:cs="Arial"/>
        </w:rPr>
        <w:t xml:space="preserve"> </w:t>
      </w:r>
      <w:r w:rsidR="00C52CCB">
        <w:rPr>
          <w:rFonts w:ascii="Arial" w:hAnsi="Arial" w:cs="Arial"/>
        </w:rPr>
        <w:t xml:space="preserve">. Although this </w:t>
      </w:r>
      <w:r w:rsidR="00184B40">
        <w:rPr>
          <w:rFonts w:ascii="Arial" w:hAnsi="Arial" w:cs="Arial"/>
        </w:rPr>
        <w:t xml:space="preserve">is not a particularly specific transition, the intensity was significantly greater than other transitions </w:t>
      </w:r>
      <w:r w:rsidR="00494ED6">
        <w:rPr>
          <w:rFonts w:ascii="Arial" w:hAnsi="Arial" w:cs="Arial"/>
        </w:rPr>
        <w:t>and</w:t>
      </w:r>
      <w:r w:rsidR="00184B40">
        <w:rPr>
          <w:rFonts w:ascii="Arial" w:hAnsi="Arial" w:cs="Arial"/>
        </w:rPr>
        <w:t xml:space="preserve"> was therefore </w:t>
      </w:r>
      <w:r w:rsidR="00763B46">
        <w:rPr>
          <w:rFonts w:ascii="Arial" w:hAnsi="Arial" w:cs="Arial"/>
        </w:rPr>
        <w:t>chosen</w:t>
      </w:r>
      <w:r w:rsidR="00184B40">
        <w:rPr>
          <w:rFonts w:ascii="Arial" w:hAnsi="Arial" w:cs="Arial"/>
        </w:rPr>
        <w:t>; selectivity was fully investi</w:t>
      </w:r>
      <w:r w:rsidR="00B777EA">
        <w:rPr>
          <w:rFonts w:ascii="Arial" w:hAnsi="Arial" w:cs="Arial"/>
        </w:rPr>
        <w:t>gated during the validation.</w:t>
      </w:r>
      <w:r w:rsidR="00591934">
        <w:rPr>
          <w:rFonts w:ascii="Arial" w:hAnsi="Arial" w:cs="Arial"/>
        </w:rPr>
        <w:t xml:space="preserve"> </w:t>
      </w:r>
      <w:r w:rsidR="002A50A1">
        <w:rPr>
          <w:rFonts w:ascii="Arial" w:hAnsi="Arial" w:cs="Arial"/>
        </w:rPr>
        <w:t xml:space="preserve">Resolution settings for </w:t>
      </w:r>
      <w:r w:rsidR="00A03FFB" w:rsidRPr="00A42767">
        <w:rPr>
          <w:rFonts w:ascii="Arial" w:hAnsi="Arial" w:cs="Arial"/>
        </w:rPr>
        <w:t xml:space="preserve">Q1 and Q3 </w:t>
      </w:r>
      <w:r w:rsidR="002A50A1">
        <w:rPr>
          <w:rFonts w:ascii="Arial" w:hAnsi="Arial" w:cs="Arial"/>
        </w:rPr>
        <w:t>were</w:t>
      </w:r>
      <w:r w:rsidR="002A50A1" w:rsidRPr="00A42767">
        <w:rPr>
          <w:rFonts w:ascii="Arial" w:hAnsi="Arial" w:cs="Arial"/>
        </w:rPr>
        <w:t xml:space="preserve"> </w:t>
      </w:r>
      <w:r w:rsidR="00A03FFB" w:rsidRPr="00A42767">
        <w:rPr>
          <w:rFonts w:ascii="Arial" w:hAnsi="Arial" w:cs="Arial"/>
        </w:rPr>
        <w:t>opt</w:t>
      </w:r>
      <w:r w:rsidR="00E842DE">
        <w:rPr>
          <w:rFonts w:ascii="Arial" w:hAnsi="Arial" w:cs="Arial"/>
        </w:rPr>
        <w:t xml:space="preserve">imal at unit-unit, rather than </w:t>
      </w:r>
      <w:r w:rsidR="00A03FFB" w:rsidRPr="00A42767">
        <w:rPr>
          <w:rFonts w:ascii="Arial" w:hAnsi="Arial" w:cs="Arial"/>
        </w:rPr>
        <w:t xml:space="preserve">high-high as reported </w:t>
      </w:r>
      <w:r w:rsidR="00494ED6">
        <w:rPr>
          <w:rFonts w:ascii="Arial" w:hAnsi="Arial" w:cs="Arial"/>
        </w:rPr>
        <w:t>by others</w:t>
      </w:r>
      <w:r w:rsidR="00A03FFB" w:rsidRPr="00A42767">
        <w:rPr>
          <w:rFonts w:ascii="Arial" w:hAnsi="Arial" w:cs="Arial"/>
        </w:rPr>
        <w:t xml:space="preserve"> </w:t>
      </w:r>
      <w:r w:rsidR="001B586C" w:rsidRPr="00A42767">
        <w:rPr>
          <w:rFonts w:ascii="Arial" w:hAnsi="Arial" w:cs="Arial"/>
        </w:rPr>
        <w:fldChar w:fldCharType="begin" w:fldLock="1"/>
      </w:r>
      <w:r w:rsidR="00261C24">
        <w:rPr>
          <w:rFonts w:ascii="Arial" w:hAnsi="Arial" w:cs="Arial"/>
        </w:rPr>
        <w:instrText>ADDIN CSL_CITATION { "citationItems" : [ { "id" : "ITEM-1", "itemData" : { "abstract" : "BACKGROUND: Bioanalysis of large molecules can be challenging on LC-MS/MS due to multiply charged and endogenous interferences. While high sensitivity triple quadrupole systems (QqQ) have been commercialized recently, high-resolution MS (HRMS) systems are also available. HRMS provides alternative analysis methods, but more costly and with sensitivity lower than MRM on QqQ. RESULTS: QqQ is generally operated at unit resolution; however, newer systems are able to practically tune to 'high resolution'. Therefore, the advantages of both higher sensitivity of MRM on QqQ and better specificity on HRMS can possibly be combined on a QqQ to meet bioanalysis needs. Glucagon and salmon calcitonin were successfully quantified in high-resolution with fast cycle time on AB Sciex TripleQuad\u2122 5500. LLOQ (S/N) was increased and interferences reduced. CONCLUSION: For large molecules, the bioanalysis methods developed using high resolution on the QqQ are validated and used in preclinical and clinical studies.", "author" : [ { "dropping-particle" : "", "family" : "Li YX, Hackman M", "given" : "Wang CY.", "non-dropping-particle" : "", "parse-names" : false, "suffix" : "" } ], "container-title" : "Bioanalysis", "id" : "ITEM-1", "issue" : "6", "issued" : { "date-parts" : [ [ "2012" ] ] }, "note" : "Read and annotated 8 May 2012.\n        \nUsed triple quad in high res mode. Allowed reduction in interferences and lowering of background noise and therefore lower LLOQ to be achieved than unit res.\n        \nCompromise betwee sensitivity in triple quad, and selectivity in high res MRM e.g offerered on 5600, Qtof.\n        \nGlucagon range, 0.25- 200 ng/mL. 5500 used.\n        \nPure ACN crash.\n        \nHPLC, 3\u00b5m, 5cm, with 1% FA in MeOH/ H20, and 15-95%B in 8 minute gradient. Elutes at 6min.", "page" : "685-691", "title" : "Quantitation of polypeptides (glucagon and salmon calcitonin) in plasma samples by 'high resolution' on a triple quadrupole mass spectrometer.", "type" : "article-journal", "volume" : "4" }, "uris" : [ "http://www.mendeley.com/documents/?uuid=e61b666a-1f8d-4701-8570-6ed1e7e1b5fa" ] } ], "mendeley" : { "previouslyFormattedCitation" : "[10]" }, "properties" : { "noteIndex" : 0 }, "schema" : "https://github.com/citation-style-language/schema/raw/master/csl-citation.json" }</w:instrText>
      </w:r>
      <w:r w:rsidR="001B586C" w:rsidRPr="00A42767">
        <w:rPr>
          <w:rFonts w:ascii="Arial" w:hAnsi="Arial" w:cs="Arial"/>
        </w:rPr>
        <w:fldChar w:fldCharType="separate"/>
      </w:r>
      <w:r w:rsidR="00EC3CF8" w:rsidRPr="00EC3CF8">
        <w:rPr>
          <w:rFonts w:ascii="Arial" w:hAnsi="Arial" w:cs="Arial"/>
          <w:noProof/>
        </w:rPr>
        <w:t>[10]</w:t>
      </w:r>
      <w:r w:rsidR="001B586C" w:rsidRPr="00A42767">
        <w:rPr>
          <w:rFonts w:ascii="Arial" w:hAnsi="Arial" w:cs="Arial"/>
        </w:rPr>
        <w:fldChar w:fldCharType="end"/>
      </w:r>
      <w:r w:rsidR="00A03FFB" w:rsidRPr="00A42767">
        <w:rPr>
          <w:rFonts w:ascii="Arial" w:hAnsi="Arial" w:cs="Arial"/>
        </w:rPr>
        <w:t>.</w:t>
      </w:r>
      <w:r w:rsidR="00C52CCB">
        <w:rPr>
          <w:rFonts w:ascii="Arial" w:hAnsi="Arial" w:cs="Arial"/>
        </w:rPr>
        <w:t xml:space="preserve">  </w:t>
      </w:r>
      <w:r w:rsidR="00A345EB">
        <w:rPr>
          <w:rFonts w:ascii="Arial" w:hAnsi="Arial" w:cs="Arial"/>
        </w:rPr>
        <w:t>The optimal ion pairs of the transitions were</w:t>
      </w:r>
      <w:r w:rsidR="002F310E">
        <w:rPr>
          <w:rFonts w:ascii="Arial" w:hAnsi="Arial" w:cs="Arial"/>
        </w:rPr>
        <w:t xml:space="preserve"> 697.5/693.8</w:t>
      </w:r>
      <w:r w:rsidR="00FD2DA1">
        <w:rPr>
          <w:rFonts w:ascii="Arial" w:hAnsi="Arial" w:cs="Arial"/>
        </w:rPr>
        <w:t xml:space="preserve">, which </w:t>
      </w:r>
      <w:r w:rsidR="000C4906">
        <w:rPr>
          <w:rFonts w:ascii="Arial" w:hAnsi="Arial" w:cs="Arial"/>
        </w:rPr>
        <w:t xml:space="preserve">corresponds to a 18.5 Da loss. </w:t>
      </w:r>
      <w:r w:rsidR="00A345EB">
        <w:rPr>
          <w:rFonts w:ascii="Arial" w:hAnsi="Arial" w:cs="Arial"/>
        </w:rPr>
        <w:t>The</w:t>
      </w:r>
      <w:r w:rsidR="000C4906">
        <w:rPr>
          <w:rFonts w:ascii="Arial" w:hAnsi="Arial" w:cs="Arial"/>
        </w:rPr>
        <w:t xml:space="preserve"> small difference between </w:t>
      </w:r>
      <w:r w:rsidR="00A345EB">
        <w:rPr>
          <w:rFonts w:ascii="Arial" w:hAnsi="Arial" w:cs="Arial"/>
        </w:rPr>
        <w:t xml:space="preserve">our optimal </w:t>
      </w:r>
      <w:r w:rsidR="000C4906">
        <w:rPr>
          <w:rFonts w:ascii="Arial" w:hAnsi="Arial" w:cs="Arial"/>
        </w:rPr>
        <w:t>pair, and th</w:t>
      </w:r>
      <w:r w:rsidR="00A345EB">
        <w:rPr>
          <w:rFonts w:ascii="Arial" w:hAnsi="Arial" w:cs="Arial"/>
        </w:rPr>
        <w:t>at</w:t>
      </w:r>
      <w:r w:rsidR="002F310E">
        <w:rPr>
          <w:rFonts w:ascii="Arial" w:hAnsi="Arial" w:cs="Arial"/>
        </w:rPr>
        <w:t xml:space="preserve"> </w:t>
      </w:r>
      <w:r w:rsidR="00FD2DA1">
        <w:rPr>
          <w:rFonts w:ascii="Arial" w:hAnsi="Arial" w:cs="Arial"/>
        </w:rPr>
        <w:t xml:space="preserve">previously </w:t>
      </w:r>
      <w:r w:rsidR="002F310E">
        <w:rPr>
          <w:rFonts w:ascii="Arial" w:hAnsi="Arial" w:cs="Arial"/>
        </w:rPr>
        <w:t>reported (697.6/694.2)</w:t>
      </w:r>
      <w:r w:rsidR="000C4906">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"author" : [ { "dropping-particle" : "", "family" : "Lapko, P. Brown, R. Nachi, C. Kafonek, A. Dzerk, B. Retke", "given" : "C. Ohnmacht", "non-dropping-particle" : "V.", "parse-names" : false, "suffix" : "" }, { "dropping-particle" : "", "family" : "Davis", "given" : "C. Sheldon and I.", "non-dropping-particle" : "", "parse-names" : false, "suffix" : "" } ], "container-title" : "EBF 3rd Annual Open Symposium: From Challenges to Solutions", "id" : "ITEM-1", "issued" : { "date-parts" : [ [ "0" ] ] }, "publisher-place" : "Barcelona, Spain, 1 - 3 December 2010", "title" : "Exploring quantification of peptides: measurement of glucagon in human plasma by LC\u2013MS/MS. Presented at:", "type" : "paper-conference" }, "uris" : [ "http://www.mendeley.com/documents/?uuid=d988a2cd-1593-499a-a2f6-73b1fa0119f3" ] } ], "mendeley" : { "previouslyFormattedCitation" : "[12]"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[12]</w:t>
      </w:r>
      <w:r w:rsidR="001B586C">
        <w:rPr>
          <w:rFonts w:ascii="Arial" w:hAnsi="Arial" w:cs="Arial"/>
        </w:rPr>
        <w:fldChar w:fldCharType="end"/>
      </w:r>
      <w:r w:rsidR="001B586C">
        <w:rPr>
          <w:rFonts w:ascii="Arial" w:hAnsi="Arial" w:cs="Arial"/>
        </w:rPr>
        <w:fldChar w:fldCharType="begin" w:fldLock="1"/>
      </w:r>
      <w:r w:rsidR="00261C24">
        <w:rPr>
          <w:rFonts w:ascii="Arial" w:hAnsi="Arial" w:cs="Arial"/>
        </w:rPr>
        <w:instrText>ADDIN CSL_CITATION { "citationItems" : [ { "id" : "ITEM-1", "itemData" : { "abstract" : "The peptide hormone glucagon plays an important role in homeostasis of glucose concentrations in the blood. Its biological importance is evidenced through the conservation of its peptide sequence between species. Reliable assays for glucagon in biological samples are important for gaining a better understanding of the pathology and treatment of diabetes. Numerous assays are available for the analysis of glucagon in biological samples, the majority of which employ an immunochemical approach and have been available for many years. However, recent advances in MS instrumentation and the amenability of glucagon for analysis by LC\u2013MS/MS has brought these new methods to the forefront. Concentrations of glucagon determined from different methods are not always consistent and this review provides suggestions of how to improve the reliability of methods for glucagon analysis.", "author" : [ { "dropping-particle" : "", "family" : "Veniamin N Lapko\u200b\u200c, Patrick S Miller\u200b\u200c, G Paul Brown\u200b\u200c, Rafiqul Islam\u200b\u200c, Sarah K Peters\u200b\u200c, Richard L Sukovaty\u200b\u200c", "given" : "Peggy F Ruhn\u200b\u200c &amp; Chris J Kafonek", "non-dropping-particle" : "", "parse-names" : false, "suffix" : "" } ], "container-title" : "Bioanalysis", "id" : "ITEM-1", "issue" : "23", "issued" : { "date-parts" : [ [ "2013" ] ] }, "page" : "2957-2972", "title" : "Sensitive glucagon quantification by immunochemical and LC \u2013 MS / MS methods", "type" : "article-journal", "volume" : "5" }, "uris" : [ "http://www.mendeley.com/documents/?uuid=c6419cfa-ac9b-45ea-a732-4f104f410c02" ] } ], "mendeley" : { "previouslyFormattedCitation" : "[11]"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[11]</w:t>
      </w:r>
      <w:r w:rsidR="001B586C">
        <w:rPr>
          <w:rFonts w:ascii="Arial" w:hAnsi="Arial" w:cs="Arial"/>
        </w:rPr>
        <w:fldChar w:fldCharType="end"/>
      </w:r>
      <w:r w:rsidR="00A345EB">
        <w:rPr>
          <w:rFonts w:ascii="Arial" w:hAnsi="Arial" w:cs="Arial"/>
        </w:rPr>
        <w:t xml:space="preserve"> is attributed to the resolution limitations of the mass spectrometer</w:t>
      </w:r>
      <w:r w:rsidR="00FD2DA1">
        <w:rPr>
          <w:rFonts w:ascii="Arial" w:hAnsi="Arial" w:cs="Arial"/>
        </w:rPr>
        <w:t xml:space="preserve"> used</w:t>
      </w:r>
      <w:r w:rsidR="00A345EB">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"10.1016/j.chroma.2012.08.072", "ISSN" : "1873-3778", "PMID" : "22959775", "abstract" : "This review summarizes the state-of-art in liquid chromatography-mass spectrometry (LC-MS) and related techniques with the main focus on recent developments in the last decade. LC-MS records an enormous growth in recent years due to the application potential in analytical chemistry, biochemistry, pharmaceutical analysis, clinical analysis and many other fields, where the qualitative and quantitative characterization of complex organic, bioorganic and organometallic mixtures is needed. Beginners and moderately experienced LC-MS users may be confused by the number of different LC-MS systems on the market, therefore an actual overview of mass spectrometers designed for the LC-MS configuration and matrix-assisted laser desorption/ionization mass spectrometry (MALDI-MS) from main manufacturers is compiled here together with an independent assessment of their advantages and limitations. Current trends in terms of mass analyzers, ionization techniques, fast LC-MS, LC-MALDI-MS, ion mobility spectrometry used in LC-MS, quantitation issues specific to MS and emerging mass spectrometric approaches complementary to LC-MS are discussed as well.", "author" : [ { "dropping-particle" : "", "family" : "Hol\u010dapek", "given" : "Michal", "non-dropping-particle" : "", "parse-names" : false, "suffix" : "" }, { "dropping-particle" : "", "family" : "Jir\u00e1sko", "given" : "Robert", "non-dropping-particle" : "", "parse-names" : false, "suffix" : "" }, { "dropping-particle" : "", "family" : "L\u00edsa", "given" : "Miroslav", "non-dropping-particle" : "", "parse-names" : false, "suffix" : "" } ], "container-title" : "Journal of chromatography. A", "id" : "ITEM-1", "issued" : { "date-parts" : [ [ "2012", "10", "12" ] ] }, "page" : "3-15", "title" : "Recent developments in liquid chromatography-mass spectrometry and related techniques.", "type" : "article-journal", "volume" : "1259" }, "uris" : [ "http://www.mendeley.com/documents/?uuid=8ff5e273-5faf-4f52-bc4f-4b0af6baf0cb" ] } ], "mendeley" : { "previouslyFormattedCitation" : "[28]"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[28]</w:t>
      </w:r>
      <w:r w:rsidR="001B586C">
        <w:rPr>
          <w:rFonts w:ascii="Arial" w:hAnsi="Arial" w:cs="Arial"/>
        </w:rPr>
        <w:fldChar w:fldCharType="end"/>
      </w:r>
      <w:r w:rsidR="00A345EB">
        <w:rPr>
          <w:rFonts w:ascii="Arial" w:hAnsi="Arial" w:cs="Arial"/>
        </w:rPr>
        <w:t>, as</w:t>
      </w:r>
      <w:r w:rsidR="001D7655">
        <w:rPr>
          <w:rFonts w:ascii="Arial" w:hAnsi="Arial" w:cs="Arial"/>
        </w:rPr>
        <w:t xml:space="preserve"> is</w:t>
      </w:r>
      <w:r w:rsidR="00FA4BBA">
        <w:rPr>
          <w:rFonts w:ascii="Arial" w:hAnsi="Arial" w:cs="Arial"/>
        </w:rPr>
        <w:t xml:space="preserve"> </w:t>
      </w:r>
      <w:r w:rsidR="00C26E10">
        <w:rPr>
          <w:rFonts w:ascii="Arial" w:hAnsi="Arial" w:cs="Arial"/>
        </w:rPr>
        <w:t>the difference between the theoretical mass  loss of ammonia (17 Da) and that observed (18.5 Da).</w:t>
      </w:r>
    </w:p>
    <w:p w:rsidR="00A42767" w:rsidRDefault="00A42767" w:rsidP="001B7400">
      <w:pPr>
        <w:jc w:val="center"/>
      </w:pPr>
    </w:p>
    <w:p w:rsidR="006A2D78" w:rsidRPr="006A2D78" w:rsidRDefault="00342B10" w:rsidP="006A2D78">
      <w:r>
        <w:rPr>
          <w:noProof/>
        </w:rPr>
        <mc:AlternateContent>
          <mc:Choice Requires="wps">
            <w:drawing>
              <wp:anchor distT="0" distB="0" distL="114300" distR="114300" simplePos="0" relativeHeight="251658752" behindDoc="0" locked="0" layoutInCell="1" allowOverlap="1">
                <wp:simplePos x="0" y="0"/>
                <wp:positionH relativeFrom="column">
                  <wp:posOffset>4483100</wp:posOffset>
                </wp:positionH>
                <wp:positionV relativeFrom="paragraph">
                  <wp:posOffset>211455</wp:posOffset>
                </wp:positionV>
                <wp:extent cx="942975" cy="428625"/>
                <wp:effectExtent l="0" t="0" r="0" b="0"/>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428625"/>
                        </a:xfrm>
                        <a:prstGeom prst="rect">
                          <a:avLst/>
                        </a:prstGeom>
                        <a:noFill/>
                        <a:ln w="9525">
                          <a:noFill/>
                          <a:miter lim="800000"/>
                          <a:headEnd/>
                          <a:tailEnd/>
                        </a:ln>
                      </wps:spPr>
                      <wps:txbx>
                        <w:txbxContent>
                          <w:p w:rsidR="00FB0E4A" w:rsidRPr="009034BB" w:rsidRDefault="00FB0E4A" w:rsidP="00A42767">
                            <w:pPr>
                              <w:rPr>
                                <w:sz w:val="18"/>
                                <w:szCs w:val="18"/>
                              </w:rPr>
                            </w:pPr>
                            <w:r w:rsidRPr="009034BB">
                              <w:rPr>
                                <w:sz w:val="18"/>
                                <w:szCs w:val="18"/>
                              </w:rPr>
                              <w:t>[M+3H</w:t>
                            </w:r>
                            <w:r w:rsidRPr="009034BB">
                              <w:rPr>
                                <w:sz w:val="18"/>
                                <w:szCs w:val="18"/>
                                <w:vertAlign w:val="superscript"/>
                              </w:rPr>
                              <w:t>+</w:t>
                            </w:r>
                            <w:r w:rsidRPr="009034BB">
                              <w:rPr>
                                <w:sz w:val="18"/>
                                <w:szCs w:val="18"/>
                              </w:rPr>
                              <w:t>]</w:t>
                            </w:r>
                            <w:r w:rsidRPr="009034BB">
                              <w:rPr>
                                <w:sz w:val="18"/>
                                <w:szCs w:val="18"/>
                                <w:vertAlign w:val="superscript"/>
                              </w:rPr>
                              <w:t>+3</w:t>
                            </w:r>
                            <w:r w:rsidRPr="009034BB">
                              <w:rPr>
                                <w:sz w:val="18"/>
                                <w:szCs w:val="18"/>
                                <w:vertAlign w:val="superscript"/>
                              </w:rPr>
                              <w:br/>
                            </w:r>
                            <w:r>
                              <w:rPr>
                                <w:sz w:val="18"/>
                                <w:szCs w:val="18"/>
                              </w:rPr>
                              <w:t>m/z= 1161.8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53pt;margin-top:16.65pt;width:74.25pt;height:3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" filled="f" stroked="f">
                <v:textbox>
                  <w:txbxContent>
                    <w:p w:rsidR="00FB0E4A" w:rsidRPr="009034BB" w:rsidRDefault="00FB0E4A" w:rsidP="00A42767">
                      <w:pPr>
                        <w:rPr>
                          <w:sz w:val="18"/>
                          <w:szCs w:val="18"/>
                        </w:rPr>
                      </w:pPr>
                      <w:r w:rsidRPr="009034BB">
                        <w:rPr>
                          <w:sz w:val="18"/>
                          <w:szCs w:val="18"/>
                        </w:rPr>
                        <w:t>[M+3H</w:t>
                      </w:r>
                      <w:r w:rsidRPr="009034BB">
                        <w:rPr>
                          <w:sz w:val="18"/>
                          <w:szCs w:val="18"/>
                          <w:vertAlign w:val="superscript"/>
                        </w:rPr>
                        <w:t>+</w:t>
                      </w:r>
                      <w:r w:rsidRPr="009034BB">
                        <w:rPr>
                          <w:sz w:val="18"/>
                          <w:szCs w:val="18"/>
                        </w:rPr>
                        <w:t>]</w:t>
                      </w:r>
                      <w:r w:rsidRPr="009034BB">
                        <w:rPr>
                          <w:sz w:val="18"/>
                          <w:szCs w:val="18"/>
                          <w:vertAlign w:val="superscript"/>
                        </w:rPr>
                        <w:t>+3</w:t>
                      </w:r>
                      <w:r w:rsidRPr="009034BB">
                        <w:rPr>
                          <w:sz w:val="18"/>
                          <w:szCs w:val="18"/>
                          <w:vertAlign w:val="superscript"/>
                        </w:rPr>
                        <w:br/>
                      </w:r>
                      <w:r>
                        <w:rPr>
                          <w:sz w:val="18"/>
                          <w:szCs w:val="18"/>
                        </w:rPr>
                        <w:t>m/z= 1161.8</w:t>
                      </w:r>
                    </w:p>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3108960</wp:posOffset>
                </wp:positionH>
                <wp:positionV relativeFrom="paragraph">
                  <wp:posOffset>75565</wp:posOffset>
                </wp:positionV>
                <wp:extent cx="904875" cy="447675"/>
                <wp:effectExtent l="0" t="0" r="9525" b="9525"/>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447675"/>
                        </a:xfrm>
                        <a:prstGeom prst="rect">
                          <a:avLst/>
                        </a:prstGeom>
                        <a:solidFill>
                          <a:srgbClr val="FFFFFF"/>
                        </a:solidFill>
                        <a:ln w="9525">
                          <a:noFill/>
                          <a:miter lim="800000"/>
                          <a:headEnd/>
                          <a:tailEnd/>
                        </a:ln>
                      </wps:spPr>
                      <wps:txbx>
                        <w:txbxContent>
                          <w:p w:rsidR="00FB0E4A" w:rsidRPr="009034BB" w:rsidRDefault="00FB0E4A" w:rsidP="00A42767">
                            <w:pPr>
                              <w:rPr>
                                <w:sz w:val="18"/>
                                <w:szCs w:val="18"/>
                              </w:rPr>
                            </w:pPr>
                            <w:r w:rsidRPr="009034BB">
                              <w:rPr>
                                <w:sz w:val="18"/>
                                <w:szCs w:val="18"/>
                              </w:rPr>
                              <w:t>[M+4H</w:t>
                            </w:r>
                            <w:r w:rsidRPr="009034BB">
                              <w:rPr>
                                <w:sz w:val="18"/>
                                <w:szCs w:val="18"/>
                                <w:vertAlign w:val="superscript"/>
                              </w:rPr>
                              <w:t>+</w:t>
                            </w:r>
                            <w:r w:rsidRPr="009034BB">
                              <w:rPr>
                                <w:sz w:val="18"/>
                                <w:szCs w:val="18"/>
                              </w:rPr>
                              <w:t>]</w:t>
                            </w:r>
                            <w:r w:rsidRPr="009034BB">
                              <w:rPr>
                                <w:sz w:val="18"/>
                                <w:szCs w:val="18"/>
                                <w:vertAlign w:val="superscript"/>
                              </w:rPr>
                              <w:t>+4</w:t>
                            </w:r>
                            <w:r w:rsidRPr="009034BB">
                              <w:rPr>
                                <w:sz w:val="18"/>
                                <w:szCs w:val="18"/>
                                <w:vertAlign w:val="superscript"/>
                              </w:rPr>
                              <w:br/>
                            </w:r>
                            <w:r>
                              <w:rPr>
                                <w:sz w:val="18"/>
                                <w:szCs w:val="18"/>
                              </w:rPr>
                              <w:t>m/z=871.5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244.8pt;margin-top:5.95pt;width:71.25pt;height:3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" stroked="f">
                <v:textbox>
                  <w:txbxContent>
                    <w:p w:rsidR="00FB0E4A" w:rsidRPr="009034BB" w:rsidRDefault="00FB0E4A" w:rsidP="00A42767">
                      <w:pPr>
                        <w:rPr>
                          <w:sz w:val="18"/>
                          <w:szCs w:val="18"/>
                        </w:rPr>
                      </w:pPr>
                      <w:r w:rsidRPr="009034BB">
                        <w:rPr>
                          <w:sz w:val="18"/>
                          <w:szCs w:val="18"/>
                        </w:rPr>
                        <w:t>[M+4H</w:t>
                      </w:r>
                      <w:r w:rsidRPr="009034BB">
                        <w:rPr>
                          <w:sz w:val="18"/>
                          <w:szCs w:val="18"/>
                          <w:vertAlign w:val="superscript"/>
                        </w:rPr>
                        <w:t>+</w:t>
                      </w:r>
                      <w:r w:rsidRPr="009034BB">
                        <w:rPr>
                          <w:sz w:val="18"/>
                          <w:szCs w:val="18"/>
                        </w:rPr>
                        <w:t>]</w:t>
                      </w:r>
                      <w:r w:rsidRPr="009034BB">
                        <w:rPr>
                          <w:sz w:val="18"/>
                          <w:szCs w:val="18"/>
                          <w:vertAlign w:val="superscript"/>
                        </w:rPr>
                        <w:t>+4</w:t>
                      </w:r>
                      <w:r w:rsidRPr="009034BB">
                        <w:rPr>
                          <w:sz w:val="18"/>
                          <w:szCs w:val="18"/>
                          <w:vertAlign w:val="superscript"/>
                        </w:rPr>
                        <w:br/>
                      </w:r>
                      <w:r>
                        <w:rPr>
                          <w:sz w:val="18"/>
                          <w:szCs w:val="18"/>
                        </w:rPr>
                        <w:t>m/z=871.5</w:t>
                      </w:r>
                    </w:p>
                  </w:txbxContent>
                </v:textbox>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1688465</wp:posOffset>
                </wp:positionH>
                <wp:positionV relativeFrom="paragraph">
                  <wp:posOffset>50800</wp:posOffset>
                </wp:positionV>
                <wp:extent cx="1000125" cy="4572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noFill/>
                        <a:ln w="9525">
                          <a:noFill/>
                          <a:miter lim="800000"/>
                          <a:headEnd/>
                          <a:tailEnd/>
                        </a:ln>
                      </wps:spPr>
                      <wps:txbx>
                        <w:txbxContent>
                          <w:p w:rsidR="00FB0E4A" w:rsidRPr="009034BB" w:rsidRDefault="00FB0E4A" w:rsidP="00A42767">
                            <w:pPr>
                              <w:rPr>
                                <w:sz w:val="18"/>
                                <w:szCs w:val="18"/>
                              </w:rPr>
                            </w:pPr>
                            <w:r w:rsidRPr="009034BB">
                              <w:rPr>
                                <w:sz w:val="18"/>
                                <w:szCs w:val="18"/>
                              </w:rPr>
                              <w:t>[M+5H</w:t>
                            </w:r>
                            <w:r w:rsidRPr="009034BB">
                              <w:rPr>
                                <w:sz w:val="18"/>
                                <w:szCs w:val="18"/>
                                <w:vertAlign w:val="superscript"/>
                              </w:rPr>
                              <w:t>+</w:t>
                            </w:r>
                            <w:r w:rsidRPr="009034BB">
                              <w:rPr>
                                <w:sz w:val="18"/>
                                <w:szCs w:val="18"/>
                              </w:rPr>
                              <w:t>]</w:t>
                            </w:r>
                            <w:r w:rsidRPr="009034BB">
                              <w:rPr>
                                <w:sz w:val="18"/>
                                <w:szCs w:val="18"/>
                                <w:vertAlign w:val="superscript"/>
                              </w:rPr>
                              <w:t>+5</w:t>
                            </w:r>
                            <w:r>
                              <w:rPr>
                                <w:sz w:val="18"/>
                                <w:szCs w:val="18"/>
                              </w:rPr>
                              <w:br/>
                              <w:t>m/z= 697.5</w:t>
                            </w:r>
                          </w:p>
                          <w:p w:rsidR="00FB0E4A" w:rsidRDefault="00FB0E4A" w:rsidP="00A427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7" o:spid="_x0000_s1028" type="#_x0000_t202" style="position:absolute;margin-left:132.95pt;margin-top:4pt;width:78.75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" filled="f" stroked="f">
                <v:textbox>
                  <w:txbxContent>
                    <w:p w:rsidR="00FB0E4A" w:rsidRPr="009034BB" w:rsidRDefault="00FB0E4A" w:rsidP="00A42767">
                      <w:pPr>
                        <w:rPr>
                          <w:sz w:val="18"/>
                          <w:szCs w:val="18"/>
                        </w:rPr>
                      </w:pPr>
                      <w:r w:rsidRPr="009034BB">
                        <w:rPr>
                          <w:sz w:val="18"/>
                          <w:szCs w:val="18"/>
                        </w:rPr>
                        <w:t>[M+5H</w:t>
                      </w:r>
                      <w:r w:rsidRPr="009034BB">
                        <w:rPr>
                          <w:sz w:val="18"/>
                          <w:szCs w:val="18"/>
                          <w:vertAlign w:val="superscript"/>
                        </w:rPr>
                        <w:t>+</w:t>
                      </w:r>
                      <w:r w:rsidRPr="009034BB">
                        <w:rPr>
                          <w:sz w:val="18"/>
                          <w:szCs w:val="18"/>
                        </w:rPr>
                        <w:t>]</w:t>
                      </w:r>
                      <w:r w:rsidRPr="009034BB">
                        <w:rPr>
                          <w:sz w:val="18"/>
                          <w:szCs w:val="18"/>
                          <w:vertAlign w:val="superscript"/>
                        </w:rPr>
                        <w:t>+5</w:t>
                      </w:r>
                      <w:r>
                        <w:rPr>
                          <w:sz w:val="18"/>
                          <w:szCs w:val="18"/>
                        </w:rPr>
                        <w:br/>
                        <w:t>m/z= 697.5</w:t>
                      </w:r>
                    </w:p>
                    <w:p w:rsidR="00FB0E4A" w:rsidRDefault="00FB0E4A" w:rsidP="00A42767"/>
                  </w:txbxContent>
                </v:textbox>
              </v:shape>
            </w:pict>
          </mc:Fallback>
        </mc:AlternateContent>
      </w:r>
      <w:r w:rsidR="00F533AD">
        <w:rPr>
          <w:noProof/>
        </w:rPr>
        <w:drawing>
          <wp:inline distT="0" distB="0" distL="0" distR="0" wp14:anchorId="27929D82" wp14:editId="3EB151B4">
            <wp:extent cx="5731510" cy="1401648"/>
            <wp:effectExtent l="0" t="0" r="254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1510" cy="1401648"/>
                    </a:xfrm>
                    <a:prstGeom prst="rect">
                      <a:avLst/>
                    </a:prstGeom>
                  </pic:spPr>
                </pic:pic>
              </a:graphicData>
            </a:graphic>
          </wp:inline>
        </w:drawing>
      </w:r>
    </w:p>
    <w:p w:rsidR="00834F57" w:rsidRDefault="00834F57" w:rsidP="00834F57">
      <w:pPr>
        <w:pStyle w:val="Caption"/>
        <w:jc w:val="center"/>
        <w:rPr>
          <w:rFonts w:eastAsiaTheme="minorHAnsi" w:cs="Arial"/>
          <w:b w:val="0"/>
          <w:bCs w:val="0"/>
          <w:sz w:val="20"/>
        </w:rPr>
      </w:pPr>
      <w:bookmarkStart w:id="1" w:name="_Ref310517366"/>
      <w:bookmarkStart w:id="2" w:name="_Toc321227259"/>
      <w:r w:rsidRPr="00E842DE">
        <w:rPr>
          <w:rFonts w:eastAsiaTheme="minorHAnsi" w:cs="Arial"/>
          <w:b w:val="0"/>
          <w:bCs w:val="0"/>
          <w:sz w:val="20"/>
        </w:rPr>
        <w:t xml:space="preserve">Figure </w:t>
      </w:r>
      <w:r w:rsidR="001B586C" w:rsidRPr="00E842DE">
        <w:rPr>
          <w:rFonts w:eastAsiaTheme="minorHAnsi" w:cs="Arial"/>
          <w:b w:val="0"/>
          <w:bCs w:val="0"/>
          <w:sz w:val="20"/>
        </w:rPr>
        <w:fldChar w:fldCharType="begin"/>
      </w:r>
      <w:r w:rsidRPr="00E842DE">
        <w:rPr>
          <w:rFonts w:eastAsiaTheme="minorHAnsi" w:cs="Arial"/>
          <w:b w:val="0"/>
          <w:bCs w:val="0"/>
          <w:sz w:val="20"/>
        </w:rPr>
        <w:instrText xml:space="preserve"> SEQ Figure \* ARABIC </w:instrText>
      </w:r>
      <w:r w:rsidR="001B586C" w:rsidRPr="00E842DE">
        <w:rPr>
          <w:rFonts w:eastAsiaTheme="minorHAnsi" w:cs="Arial"/>
          <w:b w:val="0"/>
          <w:bCs w:val="0"/>
          <w:sz w:val="20"/>
        </w:rPr>
        <w:fldChar w:fldCharType="separate"/>
      </w:r>
      <w:r>
        <w:rPr>
          <w:rFonts w:eastAsiaTheme="minorHAnsi" w:cs="Arial"/>
          <w:b w:val="0"/>
          <w:bCs w:val="0"/>
          <w:noProof/>
          <w:sz w:val="20"/>
        </w:rPr>
        <w:t>1</w:t>
      </w:r>
      <w:r w:rsidR="001B586C" w:rsidRPr="00E842DE">
        <w:rPr>
          <w:rFonts w:eastAsiaTheme="minorHAnsi" w:cs="Arial"/>
          <w:b w:val="0"/>
          <w:bCs w:val="0"/>
          <w:sz w:val="20"/>
        </w:rPr>
        <w:fldChar w:fldCharType="end"/>
      </w:r>
      <w:bookmarkEnd w:id="1"/>
      <w:r w:rsidRPr="00E842DE">
        <w:rPr>
          <w:rFonts w:eastAsiaTheme="minorHAnsi" w:cs="Arial"/>
          <w:b w:val="0"/>
          <w:bCs w:val="0"/>
          <w:sz w:val="20"/>
        </w:rPr>
        <w:t>-</w:t>
      </w:r>
      <w:bookmarkEnd w:id="2"/>
      <w:r>
        <w:rPr>
          <w:rFonts w:eastAsiaTheme="minorHAnsi" w:cs="Arial"/>
          <w:b w:val="0"/>
          <w:bCs w:val="0"/>
          <w:sz w:val="20"/>
        </w:rPr>
        <w:t>Glucagon full scan MS</w:t>
      </w:r>
      <w:r w:rsidRPr="00E842DE">
        <w:rPr>
          <w:rFonts w:eastAsiaTheme="minorHAnsi" w:cs="Arial"/>
          <w:b w:val="0"/>
          <w:bCs w:val="0"/>
          <w:sz w:val="20"/>
        </w:rPr>
        <w:t xml:space="preserve"> spectr</w:t>
      </w:r>
      <w:r>
        <w:rPr>
          <w:rFonts w:eastAsiaTheme="minorHAnsi" w:cs="Arial"/>
          <w:b w:val="0"/>
          <w:bCs w:val="0"/>
          <w:sz w:val="20"/>
        </w:rPr>
        <w:t>um</w:t>
      </w:r>
      <w:r w:rsidR="004D48B7">
        <w:rPr>
          <w:rFonts w:eastAsiaTheme="minorHAnsi" w:cs="Arial"/>
          <w:b w:val="0"/>
          <w:bCs w:val="0"/>
          <w:sz w:val="20"/>
        </w:rPr>
        <w:t xml:space="preserve"> A mass window of 400 -1250 m/z was isolated.</w:t>
      </w:r>
    </w:p>
    <w:p w:rsidR="006A2D78" w:rsidRPr="006A2D78" w:rsidRDefault="006A2D78" w:rsidP="006A2D78"/>
    <w:p w:rsidR="00666EEC" w:rsidRPr="00666EEC" w:rsidRDefault="00342B10" w:rsidP="00666EEC">
      <w:r>
        <w:rPr>
          <w:noProof/>
        </w:rPr>
        <mc:AlternateContent>
          <mc:Choice Requires="wps">
            <w:drawing>
              <wp:anchor distT="0" distB="0" distL="114300" distR="114300" simplePos="0" relativeHeight="251677184" behindDoc="0" locked="0" layoutInCell="1" allowOverlap="1">
                <wp:simplePos x="0" y="0"/>
                <wp:positionH relativeFrom="column">
                  <wp:posOffset>3295650</wp:posOffset>
                </wp:positionH>
                <wp:positionV relativeFrom="paragraph">
                  <wp:posOffset>107315</wp:posOffset>
                </wp:positionV>
                <wp:extent cx="904875" cy="501015"/>
                <wp:effectExtent l="0" t="0" r="9525"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501015"/>
                        </a:xfrm>
                        <a:prstGeom prst="rect">
                          <a:avLst/>
                        </a:prstGeom>
                        <a:solidFill>
                          <a:srgbClr val="FFFFFF"/>
                        </a:solidFill>
                        <a:ln w="9525">
                          <a:noFill/>
                          <a:miter lim="800000"/>
                          <a:headEnd/>
                          <a:tailEnd/>
                        </a:ln>
                      </wps:spPr>
                      <wps:txbx>
                        <w:txbxContent>
                          <w:p w:rsidR="00FB0E4A" w:rsidRPr="0093085B" w:rsidRDefault="00FB0E4A" w:rsidP="00666EEC">
                            <w:pPr>
                              <w:rPr>
                                <w:rFonts w:cstheme="minorHAnsi"/>
                                <w:sz w:val="18"/>
                                <w:szCs w:val="18"/>
                              </w:rPr>
                            </w:pPr>
                            <w:r w:rsidRPr="002A50A1">
                              <w:rPr>
                                <w:rFonts w:cstheme="minorHAnsi"/>
                                <w:sz w:val="18"/>
                                <w:szCs w:val="18"/>
                              </w:rPr>
                              <w:t>[M+5H</w:t>
                            </w:r>
                            <w:r w:rsidRPr="002A50A1">
                              <w:rPr>
                                <w:rFonts w:cstheme="minorHAnsi"/>
                                <w:sz w:val="18"/>
                                <w:szCs w:val="18"/>
                                <w:vertAlign w:val="superscript"/>
                              </w:rPr>
                              <w:t>+</w:t>
                            </w:r>
                            <w:r w:rsidRPr="002A50A1">
                              <w:rPr>
                                <w:rFonts w:cstheme="minorHAnsi"/>
                                <w:sz w:val="18"/>
                                <w:szCs w:val="18"/>
                              </w:rPr>
                              <w:t>-NH</w:t>
                            </w:r>
                            <w:r w:rsidRPr="002A50A1">
                              <w:rPr>
                                <w:rFonts w:cstheme="minorHAnsi"/>
                                <w:sz w:val="18"/>
                                <w:szCs w:val="18"/>
                                <w:vertAlign w:val="subscript"/>
                              </w:rPr>
                              <w:t>3</w:t>
                            </w:r>
                            <w:r w:rsidRPr="002A50A1">
                              <w:rPr>
                                <w:rFonts w:cstheme="minorHAnsi"/>
                                <w:sz w:val="18"/>
                                <w:szCs w:val="18"/>
                              </w:rPr>
                              <w:t>]</w:t>
                            </w:r>
                            <w:r w:rsidRPr="002A50A1">
                              <w:rPr>
                                <w:rFonts w:cstheme="minorHAnsi"/>
                                <w:sz w:val="18"/>
                                <w:szCs w:val="18"/>
                                <w:vertAlign w:val="superscript"/>
                              </w:rPr>
                              <w:t>+5</w:t>
                            </w:r>
                            <w:r w:rsidRPr="002A50A1">
                              <w:rPr>
                                <w:rFonts w:cstheme="minorHAnsi"/>
                                <w:sz w:val="18"/>
                                <w:szCs w:val="18"/>
                                <w:vertAlign w:val="superscript"/>
                              </w:rPr>
                              <w:br/>
                            </w:r>
                            <w:r w:rsidRPr="0093085B">
                              <w:rPr>
                                <w:rFonts w:cstheme="minorHAnsi"/>
                                <w:sz w:val="18"/>
                                <w:szCs w:val="18"/>
                              </w:rPr>
                              <w:t>m/z=693.8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59.5pt;margin-top:8.45pt;width:71.25pt;height:3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" stroked="f">
                <v:textbox>
                  <w:txbxContent>
                    <w:p w:rsidR="00FB0E4A" w:rsidRPr="0093085B" w:rsidRDefault="00FB0E4A" w:rsidP="00666EEC">
                      <w:pPr>
                        <w:rPr>
                          <w:rFonts w:cstheme="minorHAnsi"/>
                          <w:sz w:val="18"/>
                          <w:szCs w:val="18"/>
                        </w:rPr>
                      </w:pPr>
                      <w:r w:rsidRPr="002A50A1">
                        <w:rPr>
                          <w:rFonts w:cstheme="minorHAnsi"/>
                          <w:sz w:val="18"/>
                          <w:szCs w:val="18"/>
                        </w:rPr>
                        <w:t>[M+5H</w:t>
                      </w:r>
                      <w:r w:rsidRPr="002A50A1">
                        <w:rPr>
                          <w:rFonts w:cstheme="minorHAnsi"/>
                          <w:sz w:val="18"/>
                          <w:szCs w:val="18"/>
                          <w:vertAlign w:val="superscript"/>
                        </w:rPr>
                        <w:t>+</w:t>
                      </w:r>
                      <w:r w:rsidRPr="002A50A1">
                        <w:rPr>
                          <w:rFonts w:cstheme="minorHAnsi"/>
                          <w:sz w:val="18"/>
                          <w:szCs w:val="18"/>
                        </w:rPr>
                        <w:t>-NH</w:t>
                      </w:r>
                      <w:r w:rsidRPr="002A50A1">
                        <w:rPr>
                          <w:rFonts w:cstheme="minorHAnsi"/>
                          <w:sz w:val="18"/>
                          <w:szCs w:val="18"/>
                          <w:vertAlign w:val="subscript"/>
                        </w:rPr>
                        <w:t>3</w:t>
                      </w:r>
                      <w:r w:rsidRPr="002A50A1">
                        <w:rPr>
                          <w:rFonts w:cstheme="minorHAnsi"/>
                          <w:sz w:val="18"/>
                          <w:szCs w:val="18"/>
                        </w:rPr>
                        <w:t>]</w:t>
                      </w:r>
                      <w:r w:rsidRPr="002A50A1">
                        <w:rPr>
                          <w:rFonts w:cstheme="minorHAnsi"/>
                          <w:sz w:val="18"/>
                          <w:szCs w:val="18"/>
                          <w:vertAlign w:val="superscript"/>
                        </w:rPr>
                        <w:t>+5</w:t>
                      </w:r>
                      <w:r w:rsidRPr="002A50A1">
                        <w:rPr>
                          <w:rFonts w:cstheme="minorHAnsi"/>
                          <w:sz w:val="18"/>
                          <w:szCs w:val="18"/>
                          <w:vertAlign w:val="superscript"/>
                        </w:rPr>
                        <w:br/>
                      </w:r>
                      <w:r w:rsidRPr="0093085B">
                        <w:rPr>
                          <w:rFonts w:cstheme="minorHAnsi"/>
                          <w:sz w:val="18"/>
                          <w:szCs w:val="18"/>
                        </w:rPr>
                        <w:t>m/z=693.8</w:t>
                      </w:r>
                    </w:p>
                  </w:txbxContent>
                </v:textbox>
              </v:shape>
            </w:pict>
          </mc:Fallback>
        </mc:AlternateContent>
      </w:r>
      <w:r w:rsidR="00F533AD">
        <w:rPr>
          <w:noProof/>
        </w:rPr>
        <w:drawing>
          <wp:inline distT="0" distB="0" distL="0" distR="0" wp14:anchorId="674456DA" wp14:editId="43C4CD73">
            <wp:extent cx="5732890" cy="18924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1510" cy="1891954"/>
                    </a:xfrm>
                    <a:prstGeom prst="rect">
                      <a:avLst/>
                    </a:prstGeom>
                  </pic:spPr>
                </pic:pic>
              </a:graphicData>
            </a:graphic>
          </wp:inline>
        </w:drawing>
      </w:r>
    </w:p>
    <w:p w:rsidR="00BF2953" w:rsidRDefault="00BF2953" w:rsidP="00C45ADA">
      <w:pPr>
        <w:pStyle w:val="Caption"/>
        <w:jc w:val="center"/>
        <w:rPr>
          <w:rFonts w:eastAsiaTheme="minorHAnsi" w:cs="Arial"/>
          <w:b w:val="0"/>
          <w:bCs w:val="0"/>
          <w:sz w:val="20"/>
        </w:rPr>
      </w:pPr>
      <w:bookmarkStart w:id="3" w:name="_Ref373670280"/>
      <w:r w:rsidRPr="00E842DE">
        <w:rPr>
          <w:rFonts w:eastAsiaTheme="minorHAnsi" w:cs="Arial"/>
          <w:b w:val="0"/>
          <w:bCs w:val="0"/>
          <w:sz w:val="20"/>
        </w:rPr>
        <w:t xml:space="preserve">Figure </w:t>
      </w:r>
      <w:r w:rsidR="001B586C" w:rsidRPr="00E842DE">
        <w:rPr>
          <w:rFonts w:eastAsiaTheme="minorHAnsi" w:cs="Arial"/>
          <w:b w:val="0"/>
          <w:bCs w:val="0"/>
          <w:sz w:val="20"/>
        </w:rPr>
        <w:fldChar w:fldCharType="begin"/>
      </w:r>
      <w:r w:rsidRPr="00E842DE">
        <w:rPr>
          <w:rFonts w:eastAsiaTheme="minorHAnsi" w:cs="Arial"/>
          <w:b w:val="0"/>
          <w:bCs w:val="0"/>
          <w:sz w:val="20"/>
        </w:rPr>
        <w:instrText xml:space="preserve"> SEQ Figure \* ARABIC </w:instrText>
      </w:r>
      <w:r w:rsidR="001B586C" w:rsidRPr="00E842DE">
        <w:rPr>
          <w:rFonts w:eastAsiaTheme="minorHAnsi" w:cs="Arial"/>
          <w:b w:val="0"/>
          <w:bCs w:val="0"/>
          <w:sz w:val="20"/>
        </w:rPr>
        <w:fldChar w:fldCharType="separate"/>
      </w:r>
      <w:r w:rsidR="0020538A">
        <w:rPr>
          <w:rFonts w:eastAsiaTheme="minorHAnsi" w:cs="Arial"/>
          <w:b w:val="0"/>
          <w:bCs w:val="0"/>
          <w:noProof/>
          <w:sz w:val="20"/>
        </w:rPr>
        <w:t>2</w:t>
      </w:r>
      <w:r w:rsidR="001B586C" w:rsidRPr="00E842DE">
        <w:rPr>
          <w:rFonts w:eastAsiaTheme="minorHAnsi" w:cs="Arial"/>
          <w:b w:val="0"/>
          <w:bCs w:val="0"/>
          <w:sz w:val="20"/>
        </w:rPr>
        <w:fldChar w:fldCharType="end"/>
      </w:r>
      <w:bookmarkEnd w:id="3"/>
      <w:r>
        <w:rPr>
          <w:rFonts w:eastAsiaTheme="minorHAnsi" w:cs="Arial"/>
          <w:b w:val="0"/>
          <w:bCs w:val="0"/>
          <w:sz w:val="20"/>
        </w:rPr>
        <w:t xml:space="preserve">- MS </w:t>
      </w:r>
      <w:r w:rsidR="00C45ADA">
        <w:rPr>
          <w:rFonts w:eastAsiaTheme="minorHAnsi" w:cs="Arial"/>
          <w:b w:val="0"/>
          <w:bCs w:val="0"/>
          <w:sz w:val="20"/>
        </w:rPr>
        <w:t>s</w:t>
      </w:r>
      <w:r>
        <w:rPr>
          <w:rFonts w:eastAsiaTheme="minorHAnsi" w:cs="Arial"/>
          <w:b w:val="0"/>
          <w:bCs w:val="0"/>
          <w:sz w:val="20"/>
        </w:rPr>
        <w:t>pectr</w:t>
      </w:r>
      <w:r w:rsidR="00C45ADA">
        <w:rPr>
          <w:rFonts w:eastAsiaTheme="minorHAnsi" w:cs="Arial"/>
          <w:b w:val="0"/>
          <w:bCs w:val="0"/>
          <w:sz w:val="20"/>
        </w:rPr>
        <w:t>um</w:t>
      </w:r>
      <w:r>
        <w:rPr>
          <w:rFonts w:eastAsiaTheme="minorHAnsi" w:cs="Arial"/>
          <w:b w:val="0"/>
          <w:bCs w:val="0"/>
          <w:sz w:val="20"/>
        </w:rPr>
        <w:t xml:space="preserve"> of production ion scans (Parent= 697.5, CE= 25 V)</w:t>
      </w:r>
    </w:p>
    <w:p w:rsidR="00834F57" w:rsidRPr="00834F57" w:rsidRDefault="00834F57" w:rsidP="00834F57"/>
    <w:p w:rsidR="00B95C0F" w:rsidRDefault="00087689" w:rsidP="00550C28">
      <w:pPr>
        <w:spacing w:line="360" w:lineRule="auto"/>
        <w:jc w:val="both"/>
        <w:rPr>
          <w:rFonts w:ascii="Arial" w:hAnsi="Arial" w:cs="Arial"/>
        </w:rPr>
      </w:pPr>
      <w:r>
        <w:rPr>
          <w:rFonts w:ascii="Arial" w:hAnsi="Arial" w:cs="Arial"/>
        </w:rPr>
        <w:t xml:space="preserve">A relatively large 400 µL plasma volume was chosen for extraction, </w:t>
      </w:r>
      <w:r w:rsidR="007906E7">
        <w:rPr>
          <w:rFonts w:ascii="Arial" w:hAnsi="Arial" w:cs="Arial"/>
        </w:rPr>
        <w:t xml:space="preserve">to enable </w:t>
      </w:r>
      <w:r>
        <w:rPr>
          <w:rFonts w:ascii="Arial" w:hAnsi="Arial" w:cs="Arial"/>
        </w:rPr>
        <w:t>concentration</w:t>
      </w:r>
      <w:r w:rsidR="007906E7">
        <w:rPr>
          <w:rFonts w:ascii="Arial" w:hAnsi="Arial" w:cs="Arial"/>
        </w:rPr>
        <w:t xml:space="preserve"> of extracts to achieve </w:t>
      </w:r>
      <w:r>
        <w:rPr>
          <w:rFonts w:ascii="Arial" w:hAnsi="Arial" w:cs="Arial"/>
        </w:rPr>
        <w:t xml:space="preserve">higher </w:t>
      </w:r>
      <w:r w:rsidR="007906E7">
        <w:rPr>
          <w:rFonts w:ascii="Arial" w:hAnsi="Arial" w:cs="Arial"/>
        </w:rPr>
        <w:t>sensitivities. The volume</w:t>
      </w:r>
      <w:r>
        <w:rPr>
          <w:rFonts w:ascii="Arial" w:hAnsi="Arial" w:cs="Arial"/>
        </w:rPr>
        <w:t xml:space="preserve"> </w:t>
      </w:r>
      <w:r w:rsidR="00D82588">
        <w:rPr>
          <w:rFonts w:ascii="Arial" w:hAnsi="Arial" w:cs="Arial"/>
        </w:rPr>
        <w:t>does</w:t>
      </w:r>
      <w:r w:rsidR="00C07714">
        <w:rPr>
          <w:rFonts w:ascii="Arial" w:hAnsi="Arial" w:cs="Arial"/>
        </w:rPr>
        <w:t>,</w:t>
      </w:r>
      <w:r w:rsidR="00D82588">
        <w:rPr>
          <w:rFonts w:ascii="Arial" w:hAnsi="Arial" w:cs="Arial"/>
        </w:rPr>
        <w:t xml:space="preserve"> </w:t>
      </w:r>
      <w:r>
        <w:rPr>
          <w:rFonts w:ascii="Arial" w:hAnsi="Arial" w:cs="Arial"/>
        </w:rPr>
        <w:t>however</w:t>
      </w:r>
      <w:r w:rsidR="00C07714">
        <w:rPr>
          <w:rFonts w:ascii="Arial" w:hAnsi="Arial" w:cs="Arial"/>
        </w:rPr>
        <w:t>,</w:t>
      </w:r>
      <w:r w:rsidR="001B7400">
        <w:rPr>
          <w:rFonts w:ascii="Arial" w:hAnsi="Arial" w:cs="Arial"/>
        </w:rPr>
        <w:t xml:space="preserve"> compare well to the </w:t>
      </w:r>
      <w:r w:rsidR="001B7400">
        <w:rPr>
          <w:rFonts w:ascii="Arial" w:hAnsi="Arial" w:cs="Arial"/>
        </w:rPr>
        <w:br/>
        <w:t>2 x</w:t>
      </w:r>
      <w:r w:rsidR="002F5186">
        <w:rPr>
          <w:rFonts w:ascii="Arial" w:hAnsi="Arial" w:cs="Arial"/>
        </w:rPr>
        <w:t xml:space="preserve"> </w:t>
      </w:r>
      <w:r w:rsidR="001B7400">
        <w:rPr>
          <w:rFonts w:ascii="Arial" w:hAnsi="Arial" w:cs="Arial"/>
        </w:rPr>
        <w:t>2</w:t>
      </w:r>
      <w:r>
        <w:rPr>
          <w:rFonts w:ascii="Arial" w:hAnsi="Arial" w:cs="Arial"/>
        </w:rPr>
        <w:t>00 µL</w:t>
      </w:r>
      <w:r w:rsidR="001B7400">
        <w:rPr>
          <w:rFonts w:ascii="Arial" w:hAnsi="Arial" w:cs="Arial"/>
        </w:rPr>
        <w:t xml:space="preserve"> </w:t>
      </w:r>
      <w:r>
        <w:rPr>
          <w:rFonts w:ascii="Arial" w:hAnsi="Arial" w:cs="Arial"/>
        </w:rPr>
        <w:t xml:space="preserve">typically required for RIA </w:t>
      </w:r>
      <w:r w:rsidR="00C07714">
        <w:rPr>
          <w:rFonts w:ascii="Arial" w:hAnsi="Arial" w:cs="Arial"/>
        </w:rPr>
        <w:t>methods</w:t>
      </w:r>
      <w:r>
        <w:rPr>
          <w:rFonts w:ascii="Arial" w:hAnsi="Arial" w:cs="Arial"/>
        </w:rPr>
        <w:t>.</w:t>
      </w:r>
      <w:r w:rsidR="00591934">
        <w:rPr>
          <w:rFonts w:ascii="Arial" w:hAnsi="Arial" w:cs="Arial"/>
        </w:rPr>
        <w:t xml:space="preserve"> </w:t>
      </w:r>
      <w:r w:rsidR="00D82588">
        <w:rPr>
          <w:rFonts w:ascii="Arial" w:hAnsi="Arial" w:cs="Arial"/>
        </w:rPr>
        <w:t>I</w:t>
      </w:r>
      <w:r w:rsidR="00612A1F">
        <w:rPr>
          <w:rFonts w:ascii="Arial" w:hAnsi="Arial" w:cs="Arial"/>
        </w:rPr>
        <w:t>nitially</w:t>
      </w:r>
      <w:r w:rsidR="00C07714">
        <w:rPr>
          <w:rFonts w:ascii="Arial" w:hAnsi="Arial" w:cs="Arial"/>
        </w:rPr>
        <w:t>,</w:t>
      </w:r>
      <w:r w:rsidR="00612A1F">
        <w:rPr>
          <w:rFonts w:ascii="Arial" w:hAnsi="Arial" w:cs="Arial"/>
        </w:rPr>
        <w:t xml:space="preserve"> protein precipitation based extraction techniques</w:t>
      </w:r>
      <w:r w:rsidR="00D82588">
        <w:rPr>
          <w:rFonts w:ascii="Arial" w:hAnsi="Arial" w:cs="Arial"/>
        </w:rPr>
        <w:t xml:space="preserve"> were investigated</w:t>
      </w:r>
      <w:r w:rsidR="00612A1F">
        <w:rPr>
          <w:rFonts w:ascii="Arial" w:hAnsi="Arial" w:cs="Arial"/>
        </w:rPr>
        <w:t xml:space="preserve">, as </w:t>
      </w:r>
      <w:r w:rsidR="00D82588">
        <w:rPr>
          <w:rFonts w:ascii="Arial" w:hAnsi="Arial" w:cs="Arial"/>
        </w:rPr>
        <w:t>they are quick and cheap,</w:t>
      </w:r>
      <w:r w:rsidR="00763B46">
        <w:rPr>
          <w:rFonts w:ascii="Arial" w:hAnsi="Arial" w:cs="Arial"/>
        </w:rPr>
        <w:t xml:space="preserve"> and are</w:t>
      </w:r>
      <w:r w:rsidR="00D82588">
        <w:rPr>
          <w:rFonts w:ascii="Arial" w:hAnsi="Arial" w:cs="Arial"/>
        </w:rPr>
        <w:t xml:space="preserve"> </w:t>
      </w:r>
      <w:r w:rsidR="00612A1F">
        <w:rPr>
          <w:rFonts w:ascii="Arial" w:hAnsi="Arial" w:cs="Arial"/>
        </w:rPr>
        <w:t>amenable to automati</w:t>
      </w:r>
      <w:r w:rsidR="006A7F09">
        <w:rPr>
          <w:rFonts w:ascii="Arial" w:hAnsi="Arial" w:cs="Arial"/>
        </w:rPr>
        <w:t>on and high throughput analysis</w:t>
      </w:r>
      <w:r w:rsidR="00915F60">
        <w:rPr>
          <w:rFonts w:ascii="Arial" w:hAnsi="Arial" w:cs="Arial"/>
        </w:rPr>
        <w:t>.</w:t>
      </w:r>
      <w:r w:rsidR="006A7F09">
        <w:rPr>
          <w:rFonts w:ascii="Arial" w:hAnsi="Arial" w:cs="Arial"/>
        </w:rPr>
        <w:t xml:space="preserve"> </w:t>
      </w:r>
      <w:r w:rsidR="00915F60">
        <w:rPr>
          <w:rFonts w:ascii="Arial" w:hAnsi="Arial" w:cs="Arial"/>
        </w:rPr>
        <w:t>Additionally</w:t>
      </w:r>
      <w:r w:rsidR="00C07714">
        <w:rPr>
          <w:rFonts w:ascii="Arial" w:hAnsi="Arial" w:cs="Arial"/>
        </w:rPr>
        <w:t>,</w:t>
      </w:r>
      <w:r w:rsidR="00915F60">
        <w:rPr>
          <w:rFonts w:ascii="Arial" w:hAnsi="Arial" w:cs="Arial"/>
        </w:rPr>
        <w:t xml:space="preserve"> </w:t>
      </w:r>
      <w:r w:rsidR="008A4CED">
        <w:rPr>
          <w:rFonts w:ascii="Arial" w:hAnsi="Arial" w:cs="Arial"/>
        </w:rPr>
        <w:t>pure</w:t>
      </w:r>
      <w:r w:rsidR="006A7F09">
        <w:rPr>
          <w:rFonts w:ascii="Arial" w:hAnsi="Arial" w:cs="Arial"/>
        </w:rPr>
        <w:t xml:space="preserve"> </w:t>
      </w:r>
      <w:r w:rsidR="00302644">
        <w:rPr>
          <w:rFonts w:ascii="Arial" w:hAnsi="Arial" w:cs="Arial"/>
        </w:rPr>
        <w:t xml:space="preserve">acetonitrile precipitation has been </w:t>
      </w:r>
      <w:r w:rsidR="00B777EA">
        <w:rPr>
          <w:rFonts w:ascii="Arial" w:hAnsi="Arial" w:cs="Arial"/>
        </w:rPr>
        <w:t>previously</w:t>
      </w:r>
      <w:r w:rsidR="006A7F09">
        <w:rPr>
          <w:rFonts w:ascii="Arial" w:hAnsi="Arial" w:cs="Arial"/>
        </w:rPr>
        <w:t xml:space="preserve"> </w:t>
      </w:r>
      <w:r w:rsidR="00494ED6">
        <w:rPr>
          <w:rFonts w:ascii="Arial" w:hAnsi="Arial" w:cs="Arial"/>
        </w:rPr>
        <w:t xml:space="preserve">selected </w:t>
      </w:r>
      <w:r w:rsidR="006A7F09">
        <w:rPr>
          <w:rFonts w:ascii="Arial" w:hAnsi="Arial" w:cs="Arial"/>
        </w:rPr>
        <w:t xml:space="preserve">for glucagon extractions </w:t>
      </w:r>
      <w:r w:rsidR="001B586C" w:rsidRPr="006A7F09">
        <w:rPr>
          <w:rFonts w:ascii="Arial" w:hAnsi="Arial" w:cs="Arial"/>
        </w:rPr>
        <w:fldChar w:fldCharType="begin" w:fldLock="1"/>
      </w:r>
      <w:r w:rsidR="00261C24">
        <w:rPr>
          <w:rFonts w:ascii="Arial" w:hAnsi="Arial" w:cs="Arial"/>
        </w:rPr>
        <w:instrText>ADDIN CSL_CITATION { "citationItems" : [ { "id" : "ITEM-1", "itemData" : { "DOI" : "10.1002/bmc.380", "ISSN" : "0269-3879", "PMID" : "15386587", "abstract" : "We present a method for the quantitation of glucagon from rat plasma by protein precipitation and LC/MS. No internal standard was used, as a labeled standard was not available and similar peptides did not show comparable extraction characteristics to glucagon. The LC system included a Keystone C18, 300 A pore size column; a linear gradient was used with a mobile phase consisting of water and acetonitrile, each with 0.2% acetic acid and 0.02% trifluoroacetic acid. Glucagon was detected with the mass spectrometer in positive ion mode monitoring the 4+ charge state at m/z 871.7. The method had an approximated limit of detection of 1 ng/mL. The lower limit of quantitation (LLOQ) was 25 ng/mL (7.2 fmol/mL), which could be reduced with an appropriate internal standard. External calibration was used and calibration curves were found to be linear over the range from 25 to 1000 ng/mL (7.2 to 290 fmol/mL). The method showed a high degree of precision and accuracy both within and between runs at four validation points, including the LLOQ.", "author" : [ { "dropping-particle" : "", "family" : "Delinsky", "given" : "David C", "non-dropping-particle" : "", "parse-names" : false, "suffix" : "" }, { "dropping-particle" : "", "family" : "Hill", "given" : "Kim T", "non-dropping-particle" : "", "parse-names" : false, "suffix" : "" }, { "dropping-particle" : "", "family" : "White", "given" : "Catherine A", "non-dropping-particle" : "", "parse-names" : false, "suffix" : "" }, { "dropping-particle" : "", "family" : "Bartlett", "given" : "Michael G", "non-dropping-particle" : "", "parse-names" : false, "suffix" : "" } ], "container-title" : "Biomedical chromatography : BMC", "id" : "ITEM-1", "issue" : "9", "issued" : { "date-parts" : [ [ "2004", "11" ] ] }, "note" : "re-read and annotated 8th May 2012\n        \nNo stable MS/MS, so used MS\nMontired 4+ ion\n        \n25-1000ng/mL with 1/y weighting. 1/y places more emphasis on the lower concentrations.\n        \nMade calibrants in plasma to prevent binding.  Bound lots in water. Less 10\u00b5m BSA which used as recovery reference solution. Glass tubes didn't have improved binding characteristics. Losses also experienced to membranes commonly used in filters to remove particualtes prior to LC-MS/MS.\n        \nExtracted by infusing ACN. 300\u00b5l for 150\u00b5l plasma. Found slow infusions prevented clumping that lead to variable recovery. Slow leads to finer precipitate.\n        \n No singnificant  binding over 20hrs in recon (80/20/0.2/0.2 Water/ACN/AA/TFA)\n        \n5\u00b5m particle size, 0.2% aa with 0.02% TFA in water/ acetonitrile, 23-38% over 8 mins, then 95% column flush.\n        \nHad to inject several blanks to stabilise. Else retention time increases ( normally expect it would decrease). Suggested due to plasma binding on column and adhering to glucagon.\n        \nNo IS used. Analog IS made things worse.\n        \nLiterature value for elimation phase halflife is 3.3minutes. In rat samples analysed they similalry found 2.3minutes.\n        \nSuggested wth IS could get to 5ng/mL.", "page" : "700-5", "title" : "Quantitation of the large polypeptide glucagon by protein precipitation and LC/MS.", "type" : "article-journal", "volume" : "18" }, "uris" : [ "http://www.mendeley.com/documents/?uuid=19d3db5f-604a-4646-8c8e-4e8f47ab5202" ] } ], "mendeley" : { "previouslyFormattedCitation" : "[9]" }, "properties" : { "noteIndex" : 0 }, "schema" : "https://github.com/citation-style-language/schema/raw/master/csl-citation.json" }</w:instrText>
      </w:r>
      <w:r w:rsidR="001B586C" w:rsidRPr="006A7F09">
        <w:rPr>
          <w:rFonts w:ascii="Arial" w:hAnsi="Arial" w:cs="Arial"/>
        </w:rPr>
        <w:fldChar w:fldCharType="separate"/>
      </w:r>
      <w:r w:rsidR="00EC3CF8" w:rsidRPr="00EC3CF8">
        <w:rPr>
          <w:rFonts w:ascii="Arial" w:hAnsi="Arial" w:cs="Arial"/>
          <w:noProof/>
        </w:rPr>
        <w:t>[9]</w:t>
      </w:r>
      <w:r w:rsidR="001B586C" w:rsidRPr="006A7F09">
        <w:rPr>
          <w:rFonts w:ascii="Arial" w:hAnsi="Arial" w:cs="Arial"/>
        </w:rPr>
        <w:fldChar w:fldCharType="end"/>
      </w:r>
      <w:r w:rsidR="00494ED6" w:rsidRPr="00494ED6">
        <w:rPr>
          <w:rFonts w:ascii="Arial" w:hAnsi="Arial" w:cs="Arial"/>
        </w:rPr>
        <w:t xml:space="preserve"> </w:t>
      </w:r>
      <w:r w:rsidR="001B586C" w:rsidRPr="006A7F09">
        <w:rPr>
          <w:rFonts w:ascii="Arial" w:hAnsi="Arial" w:cs="Arial"/>
        </w:rPr>
        <w:fldChar w:fldCharType="begin" w:fldLock="1"/>
      </w:r>
      <w:r w:rsidR="00261C24">
        <w:rPr>
          <w:rFonts w:ascii="Arial" w:hAnsi="Arial" w:cs="Arial"/>
        </w:rPr>
        <w:instrText>ADDIN CSL_CITATION { "citationItems" : [ { "id" : "ITEM-1", "itemData" : { "abstract" : "BACKGROUND: Bioanalysis of large molecules can be challenging on LC-MS/MS due to multiply charged and endogenous interferences. While high sensitivity triple quadrupole systems (QqQ) have been commercialized recently, high-resolution MS (HRMS) systems are also available. HRMS provides alternative analysis methods, but more costly and with sensitivity lower than MRM on QqQ. RESULTS: QqQ is generally operated at unit resolution; however, newer systems are able to practically tune to 'high resolution'. Therefore, the advantages of both higher sensitivity of MRM on QqQ and better specificity on HRMS can possibly be combined on a QqQ to meet bioanalysis needs. Glucagon and salmon calcitonin were successfully quantified in high-resolution with fast cycle time on AB Sciex TripleQuad\u2122 5500. LLOQ (S/N) was increased and interferences reduced. CONCLUSION: For large molecules, the bioanalysis methods developed using high resolution on the QqQ are validated and used in preclinical and clinical studies.", "author" : [ { "dropping-particle" : "", "family" : "Li YX, Hackman M", "given" : "Wang CY.", "non-dropping-particle" : "", "parse-names" : false, "suffix" : "" } ], "container-title" : "Bioanalysis", "id" : "ITEM-1", "issue" : "6", "issued" : { "date-parts" : [ [ "2012" ] ] }, "note" : "Read and annotated 8 May 2012.\n        \nUsed triple quad in high res mode. Allowed reduction in interferences and lowering of background noise and therefore lower LLOQ to be achieved than unit res.\n        \nCompromise betwee sensitivity in triple quad, and selectivity in high res MRM e.g offerered on 5600, Qtof.\n        \nGlucagon range, 0.25- 200 ng/mL. 5500 used.\n        \nPure ACN crash.\n        \nHPLC, 3\u00b5m, 5cm, with 1% FA in MeOH/ H20, and 15-95%B in 8 minute gradient. Elutes at 6min.", "page" : "685-691", "title" : "Quantitation of polypeptides (glucagon and salmon calcitonin) in plasma samples by 'high resolution' on a triple quadrupole mass spectrometer.", "type" : "article-journal", "volume" : "4" }, "uris" : [ "http://www.mendeley.com/documents/?uuid=e61b666a-1f8d-4701-8570-6ed1e7e1b5fa" ] } ], "mendeley" : { "previouslyFormattedCitation" : "[10]" }, "properties" : { "noteIndex" : 0 }, "schema" : "https://github.com/citation-style-language/schema/raw/master/csl-citation.json" }</w:instrText>
      </w:r>
      <w:r w:rsidR="001B586C" w:rsidRPr="006A7F09">
        <w:rPr>
          <w:rFonts w:ascii="Arial" w:hAnsi="Arial" w:cs="Arial"/>
        </w:rPr>
        <w:fldChar w:fldCharType="separate"/>
      </w:r>
      <w:r w:rsidR="00EC3CF8" w:rsidRPr="00EC3CF8">
        <w:rPr>
          <w:rFonts w:ascii="Arial" w:hAnsi="Arial" w:cs="Arial"/>
          <w:noProof/>
        </w:rPr>
        <w:t>[10]</w:t>
      </w:r>
      <w:r w:rsidR="001B586C" w:rsidRPr="006A7F09">
        <w:rPr>
          <w:rFonts w:ascii="Arial" w:hAnsi="Arial" w:cs="Arial"/>
        </w:rPr>
        <w:fldChar w:fldCharType="end"/>
      </w:r>
      <w:r w:rsidR="00915F60">
        <w:rPr>
          <w:rFonts w:ascii="Arial" w:hAnsi="Arial" w:cs="Arial"/>
        </w:rPr>
        <w:t>.</w:t>
      </w:r>
      <w:r w:rsidR="00591934">
        <w:rPr>
          <w:rFonts w:ascii="Arial" w:hAnsi="Arial" w:cs="Arial"/>
        </w:rPr>
        <w:t xml:space="preserve"> </w:t>
      </w:r>
      <w:r w:rsidR="00302644">
        <w:rPr>
          <w:rFonts w:ascii="Arial" w:hAnsi="Arial" w:cs="Arial"/>
        </w:rPr>
        <w:t>We have previously demonstrated that diluting acetonitrile with various p</w:t>
      </w:r>
      <w:r w:rsidR="008A4CED">
        <w:rPr>
          <w:rFonts w:ascii="Arial" w:hAnsi="Arial" w:cs="Arial"/>
        </w:rPr>
        <w:t xml:space="preserve">roportions of water can lead to more specific extractions </w:t>
      </w:r>
      <w:r w:rsidR="001B586C">
        <w:rPr>
          <w:rFonts w:ascii="Arial" w:hAnsi="Arial" w:cs="Arial"/>
        </w:rPr>
        <w:fldChar w:fldCharType="begin" w:fldLock="1"/>
      </w:r>
      <w:r w:rsidR="00261C24">
        <w:rPr>
          <w:rFonts w:ascii="Arial" w:hAnsi="Arial" w:cs="Arial"/>
        </w:rPr>
        <w:instrText>ADDIN CSL_CITATION { "citationItems" : [ { "id" : "ITEM-1", "itemData" : { "DOI" : "10.1002/rcm.3729", "ISSN" : "0951-4198", "PMID" : "18803344", "abstract" : "A rapid acetonitrile (ACN)-based extraction method has been developed that reproducibly depletes high abundance and high molecular weight proteins from serum prior to mass spectrometric analysis. A nanoflow liquid chromatography/tandem mass spectrometry (nano-LC/MS/MS) multiple reaction monitoring (MRM) method for 57 high to medium abundance serum proteins was used to characterise the ACN-depleted fraction after tryptic digestion. Of the 57 targeted proteins 29 were detected and albumin, the most abundant protein in serum and plasma, was identified as the 20th most abundant protein in the extract. The combination of ACN depletion and one-dimensional nano-LC/MS/MS enabled the detection of the low abundance serum protein, insulin-like growth factor-I (IGF-I), which has a serum concentration in the region of 100 ng/mL. One-dimensional sodium dodecyl sulfate/polyacrylamide gel electrophoresis (SDS-PAGE) analysis of the depleted serum showed no bands corresponding to proteins of molecular mass over 75 kDa after extraction, demonstrating the efficiency of the method for the depletion of high molecular weight proteins. Total protein analysis of the ACN extracts showed that approximately 99.6% of all protein is removed from the serum. The ACN-depletion strategy offers a viable alternative to the immunochemistry-based protein-depletion techniques commonly used for removing high abundance proteins from serum prior to MS-based proteomic analyses.", "author" : [ { "dropping-particle" : "", "family" : "Kay", "given" : "Richard", "non-dropping-particle" : "", "parse-names" : false, "suffix" : "" }, { "dropping-particle" : "", "family" : "Barton", "given" : "Chris", "non-dropping-particle" : "", "parse-names" : false, "suffix" : "" }, { "dropping-particle" : "", "family" : "Ratcliffe", "given" : "Lucy", "non-dropping-particle" : "", "parse-names" : false, "suffix" : "" }, { "dropping-particle" : "", "family" : "Matharoo-Ball", "given" : "Balwir", "non-dropping-particle" : "", "parse-names" : false, "suffix" : "" }, { "dropping-particle" : "", "family" : "Brown", "given" : "Pamela", "non-dropping-particle" : "", "parse-names" : false, "suffix" : "" }, { "dropping-particle" : "", "family" : "Roberts", "given" : "Jane", "non-dropping-particle" : "", "parse-names" : false, "suffix" : "" }, { "dropping-particle" : "", "family" : "Teale", "given" : "Phil", "non-dropping-particle" : "", "parse-names" : false, "suffix" : "" }, { "dropping-particle" : "", "family" : "Creaser", "given" : "Colin", "non-dropping-particle" : "", "parse-names" : false, "suffix" : "" } ], "container-title" : "Rapid communications in mass spectrometry : RCM", "id" : "ITEM-1", "issue" : "20", "issued" : { "date-parts" : [ [ "2008", "10" ] ] }, "note" : "Read  and Annotated Paper Copy 18th April 2010\n      ", "page" : "3255-60", "title" : "Enrichment of low molecular weight serum proteins using acetonitrile precipitation for mass spectrometry based proteomic analysis", "type" : "article-journal", "volume" : "22" }, "uris" : [ "http://www.mendeley.com/documents/?uuid=f3e006db-fb23-4cd1-b2ee-e27802800a32" ] } ], "mendeley" : { "previouslyFormattedCitation" : "[29]"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[29]</w:t>
      </w:r>
      <w:r w:rsidR="001B586C">
        <w:rPr>
          <w:rFonts w:ascii="Arial" w:hAnsi="Arial" w:cs="Arial"/>
        </w:rPr>
        <w:fldChar w:fldCharType="end"/>
      </w:r>
      <w:r w:rsidR="008A4CED">
        <w:rPr>
          <w:rFonts w:ascii="Arial" w:hAnsi="Arial" w:cs="Arial"/>
        </w:rPr>
        <w:t>, as can the addition of</w:t>
      </w:r>
      <w:r w:rsidR="00591934">
        <w:rPr>
          <w:rFonts w:ascii="Arial" w:hAnsi="Arial" w:cs="Arial"/>
        </w:rPr>
        <w:t xml:space="preserve"> </w:t>
      </w:r>
      <w:r w:rsidR="008A4CED">
        <w:rPr>
          <w:rFonts w:ascii="Arial" w:hAnsi="Arial" w:cs="Arial"/>
        </w:rPr>
        <w:t>a</w:t>
      </w:r>
      <w:r w:rsidR="008A4CED" w:rsidRPr="00B95C0F">
        <w:rPr>
          <w:rFonts w:ascii="Arial" w:hAnsi="Arial" w:cs="Arial"/>
        </w:rPr>
        <w:t xml:space="preserve">cids or bases </w:t>
      </w:r>
      <w:r w:rsidR="008A4CED">
        <w:rPr>
          <w:rFonts w:ascii="Arial" w:hAnsi="Arial" w:cs="Arial"/>
        </w:rPr>
        <w:t>to due to the</w:t>
      </w:r>
      <w:r w:rsidR="008A4CED" w:rsidRPr="00B95C0F">
        <w:rPr>
          <w:rFonts w:ascii="Arial" w:hAnsi="Arial" w:cs="Arial"/>
        </w:rPr>
        <w:t xml:space="preserve"> differences between the isoelectric points (pI) of the proteins or peptides of interest and the background proteins </w:t>
      </w:r>
      <w:r w:rsidR="001B586C" w:rsidRPr="00B95C0F">
        <w:rPr>
          <w:rFonts w:ascii="Arial" w:hAnsi="Arial" w:cs="Arial"/>
        </w:rPr>
        <w:fldChar w:fldCharType="begin" w:fldLock="1"/>
      </w:r>
      <w:r w:rsidR="00261C24">
        <w:rPr>
          <w:rFonts w:ascii="Arial" w:hAnsi="Arial" w:cs="Arial"/>
        </w:rPr>
        <w:instrText>ADDIN CSL_CITATION { "citationItems" : [ { "id" : "ITEM-1", "itemData" : { "DOI" : "10.1016/j.jchromb.2011.02.034", "ISSN" : "1873-376X", "PMID" : "21397570", "abstract" : "Quantitative analysis of a therapeutic protein through use of surrogate proteotypic peptides was evaluated for the measurement of Amevive (Alefacept) in human plasma using liquid chromatography tandem mass spectrometry. Signature peptides were obtained through in silico and iterative tuning processes to represent Alefacept for quantification. Horse heart myoglobin was chosen as a protein analogue internal standard to compensate for errors associated with matrix effects and to track recovery throughout the entire sample pretreatment process. Samples were prepared for analysis by selective precipitation of the target proteins with pH controlled at 5.1 and heat denaturation at 45\u00b0C followed by enzymatic digestion, dilution, and filtration. On-line extraction of the signature peptides was carried out using a Phenomenex Gemini C18 security guard column (4.0 mm \u00d7 2.0 mm) as a loading column and a Gemini C18 (100 mm \u00d7 2.1 I.D., particle size 5 \u03bcm) as the analytical (eluting) column. Tandem mass spectrometric detection was performed on a hybrid triple quadrupole linear ion trap equipped with electrospray ionization to positively ionize signature peptides for Alefacept and myoglobin. The method was linear for Alefacept (protein) concentrations between 250 and 10,000 ng/mL. Precision and accuracy for inter- and intra-assay for the lower limit of quantification was less than 20% (16.2 and 10.3, respectively). The method was validated according to current FDA guidelines for bioanalytical method validation.", "author" : [ { "dropping-particle" : "", "family" : "Halquist", "given" : "Matthew S", "non-dropping-particle" : "", "parse-names" : false, "suffix" : "" }, { "dropping-particle" : "", "family" : "Karnes", "given" : "H Thomas", "non-dropping-particle" : "", "parse-names" : false, "suffix" : "" } ], "container-title" : "Journal of chromatography. B, Analytical technologies in the biomedical and life sciences", "id" : "ITEM-1", "issue" : "11-12", "issued" : { "date-parts" : [ [ "2011", "4" ] ] }, "note" : "Skimmed 5th June 2011\nUse of Myoglobin as an internal standard for Aefacept.\n                  \nReferences        \nreferences gerber who pioned absolute qunatitation strategy (AQUA) where peptides are used to quantitiate IS.\n        \nAlso references- immunodepletion of highly abundant proteins, but expensive, possible inprecision, minimal volume applied, miminal column life (&lt;200 samples).\n        \nReferences for SISCAPA\n                  \nPaper        \n                  \nNovel sample preparation technique. Where use selective denaturation of other proteins by brining pH close to thier isoelectric point to cause aggregation and therefore insolubility.\n        \nProtein IS improved RE from -66% to +77% (no IS) to -3 to 2.9% (protein IS).\n        \n      ", "page" : "789-98", "publisher" : "ELSEVIER SCIENCE BV", "title" : "Quantification of Alefacept, an immunosuppressive fusion protein in human plasma using a protein analogue internal standard, trypsin cleaved signature peptides and liquid chromatography tandem mass spectrometry.", "type" : "article-journal", "volume" : "879" }, "uris" : [ "http://www.mendeley.com/documents/?uuid=606f209a-82c7-4666-9805-2943a2b1516c" ] } ], "mendeley" : { "previouslyFormattedCitation" : "[30]" }, "properties" : { "noteIndex" : 0 }, "schema" : "https://github.com/citation-style-language/schema/raw/master/csl-citation.json" }</w:instrText>
      </w:r>
      <w:r w:rsidR="001B586C" w:rsidRPr="00B95C0F">
        <w:rPr>
          <w:rFonts w:ascii="Arial" w:hAnsi="Arial" w:cs="Arial"/>
        </w:rPr>
        <w:fldChar w:fldCharType="separate"/>
      </w:r>
      <w:r w:rsidR="00EC3CF8" w:rsidRPr="00EC3CF8">
        <w:rPr>
          <w:rFonts w:ascii="Arial" w:hAnsi="Arial" w:cs="Arial"/>
          <w:noProof/>
        </w:rPr>
        <w:t>[30]</w:t>
      </w:r>
      <w:r w:rsidR="001B586C" w:rsidRPr="00B95C0F">
        <w:rPr>
          <w:rFonts w:ascii="Arial" w:hAnsi="Arial" w:cs="Arial"/>
        </w:rPr>
        <w:fldChar w:fldCharType="end"/>
      </w:r>
      <w:r w:rsidR="008A4CED" w:rsidRPr="00B95C0F">
        <w:rPr>
          <w:rFonts w:ascii="Arial" w:hAnsi="Arial" w:cs="Arial"/>
        </w:rPr>
        <w:t>.</w:t>
      </w:r>
      <w:r w:rsidR="008A4CED">
        <w:rPr>
          <w:rFonts w:ascii="Arial" w:hAnsi="Arial" w:cs="Arial"/>
        </w:rPr>
        <w:t xml:space="preserve"> </w:t>
      </w:r>
      <w:r w:rsidR="00B95C0F">
        <w:rPr>
          <w:rFonts w:ascii="Arial" w:hAnsi="Arial" w:cs="Arial"/>
        </w:rPr>
        <w:t>Precipitation solvents containing various proportions of acetonitrile</w:t>
      </w:r>
      <w:r w:rsidR="00612A1F">
        <w:rPr>
          <w:rFonts w:ascii="Arial" w:hAnsi="Arial" w:cs="Arial"/>
        </w:rPr>
        <w:t>, water, acid and base</w:t>
      </w:r>
      <w:r w:rsidR="00023659">
        <w:rPr>
          <w:rFonts w:ascii="Arial" w:hAnsi="Arial" w:cs="Arial"/>
        </w:rPr>
        <w:t xml:space="preserve"> were investigated, </w:t>
      </w:r>
      <w:r w:rsidR="00915F60">
        <w:rPr>
          <w:rFonts w:ascii="Arial" w:hAnsi="Arial" w:cs="Arial"/>
        </w:rPr>
        <w:t xml:space="preserve">with </w:t>
      </w:r>
      <w:r w:rsidR="001B7400">
        <w:rPr>
          <w:rFonts w:ascii="Arial" w:hAnsi="Arial" w:cs="Arial"/>
        </w:rPr>
        <w:t>Me</w:t>
      </w:r>
      <w:r w:rsidR="00D92EA1">
        <w:rPr>
          <w:rFonts w:ascii="Arial" w:hAnsi="Arial" w:cs="Arial"/>
        </w:rPr>
        <w:t>CN</w:t>
      </w:r>
      <w:r w:rsidR="00C07714">
        <w:rPr>
          <w:rFonts w:ascii="Arial" w:hAnsi="Arial" w:cs="Arial"/>
        </w:rPr>
        <w:t>:</w:t>
      </w:r>
      <w:r w:rsidR="00015D9F">
        <w:rPr>
          <w:rFonts w:ascii="Arial" w:hAnsi="Arial" w:cs="Arial"/>
        </w:rPr>
        <w:t>H</w:t>
      </w:r>
      <w:r w:rsidR="00015D9F" w:rsidRPr="00015D9F">
        <w:rPr>
          <w:rFonts w:ascii="Arial" w:hAnsi="Arial" w:cs="Arial"/>
          <w:vertAlign w:val="subscript"/>
        </w:rPr>
        <w:t>2</w:t>
      </w:r>
      <w:r w:rsidR="00015D9F">
        <w:rPr>
          <w:rFonts w:ascii="Arial" w:hAnsi="Arial" w:cs="Arial"/>
        </w:rPr>
        <w:t>O:NH</w:t>
      </w:r>
      <w:r w:rsidR="00015D9F" w:rsidRPr="00C07714">
        <w:rPr>
          <w:rFonts w:ascii="Arial" w:hAnsi="Arial" w:cs="Arial"/>
          <w:vertAlign w:val="subscript"/>
        </w:rPr>
        <w:t>3</w:t>
      </w:r>
      <w:r w:rsidR="00915F60">
        <w:rPr>
          <w:rFonts w:ascii="Arial" w:hAnsi="Arial" w:cs="Arial"/>
        </w:rPr>
        <w:t xml:space="preserve"> (75:25:0.1</w:t>
      </w:r>
      <w:r w:rsidR="0044630D">
        <w:rPr>
          <w:rFonts w:ascii="Arial" w:hAnsi="Arial" w:cs="Arial"/>
        </w:rPr>
        <w:t>,v/v/v</w:t>
      </w:r>
      <w:r w:rsidR="00915F60">
        <w:rPr>
          <w:rFonts w:ascii="Arial" w:hAnsi="Arial" w:cs="Arial"/>
        </w:rPr>
        <w:t>)</w:t>
      </w:r>
      <w:r w:rsidR="004F1912">
        <w:rPr>
          <w:rFonts w:ascii="Arial" w:hAnsi="Arial" w:cs="Arial"/>
        </w:rPr>
        <w:t xml:space="preserve"> giving t</w:t>
      </w:r>
      <w:r w:rsidR="00B478E9">
        <w:rPr>
          <w:rFonts w:ascii="Arial" w:hAnsi="Arial" w:cs="Arial"/>
        </w:rPr>
        <w:t>he best response</w:t>
      </w:r>
      <w:r w:rsidR="00023659">
        <w:rPr>
          <w:rFonts w:ascii="Arial" w:hAnsi="Arial" w:cs="Arial"/>
        </w:rPr>
        <w:t>. However</w:t>
      </w:r>
      <w:r w:rsidR="00C07714">
        <w:rPr>
          <w:rFonts w:ascii="Arial" w:hAnsi="Arial" w:cs="Arial"/>
        </w:rPr>
        <w:t>,</w:t>
      </w:r>
      <w:r w:rsidR="00023659">
        <w:rPr>
          <w:rFonts w:ascii="Arial" w:hAnsi="Arial" w:cs="Arial"/>
        </w:rPr>
        <w:t xml:space="preserve"> in all</w:t>
      </w:r>
      <w:r w:rsidR="00B95C0F">
        <w:rPr>
          <w:rFonts w:ascii="Arial" w:hAnsi="Arial" w:cs="Arial"/>
        </w:rPr>
        <w:t xml:space="preserve"> cases background noise and int</w:t>
      </w:r>
      <w:r w:rsidR="00ED73B1">
        <w:rPr>
          <w:rFonts w:ascii="Arial" w:hAnsi="Arial" w:cs="Arial"/>
        </w:rPr>
        <w:t>erferences were relatively high, as was matrix suppression.</w:t>
      </w:r>
    </w:p>
    <w:p w:rsidR="00261C24" w:rsidRDefault="00023659" w:rsidP="009612F0">
      <w:pPr>
        <w:spacing w:line="360" w:lineRule="auto"/>
        <w:jc w:val="both"/>
      </w:pPr>
      <w:r>
        <w:rPr>
          <w:rFonts w:ascii="Arial" w:hAnsi="Arial" w:cs="Arial"/>
        </w:rPr>
        <w:t xml:space="preserve">It was therefore </w:t>
      </w:r>
      <w:r w:rsidR="00612A1F">
        <w:rPr>
          <w:rFonts w:ascii="Arial" w:hAnsi="Arial" w:cs="Arial"/>
        </w:rPr>
        <w:t>decided to investigate solid phase extraction (SPE) based approaches</w:t>
      </w:r>
      <w:r w:rsidR="000C3F4C">
        <w:rPr>
          <w:rFonts w:ascii="Arial" w:hAnsi="Arial" w:cs="Arial"/>
        </w:rPr>
        <w:t>, as these should lead to cleaner samples with reduced background noise and interference</w:t>
      </w:r>
      <w:r w:rsidR="00C71D67">
        <w:rPr>
          <w:rFonts w:ascii="Arial" w:hAnsi="Arial" w:cs="Arial"/>
        </w:rPr>
        <w:t>s</w:t>
      </w:r>
      <w:r w:rsidR="000C3F4C">
        <w:rPr>
          <w:rFonts w:ascii="Arial" w:hAnsi="Arial" w:cs="Arial"/>
        </w:rPr>
        <w:t>.</w:t>
      </w:r>
      <w:r w:rsidR="002F4201">
        <w:rPr>
          <w:rFonts w:ascii="Arial" w:hAnsi="Arial" w:cs="Arial"/>
        </w:rPr>
        <w:t xml:space="preserve"> </w:t>
      </w:r>
      <w:r w:rsidR="00C07714">
        <w:rPr>
          <w:rFonts w:ascii="Arial" w:hAnsi="Arial" w:cs="Arial"/>
        </w:rPr>
        <w:t>These studies are described in the supplementary information.</w:t>
      </w:r>
      <w:r w:rsidR="00261C24">
        <w:t xml:space="preserve"> </w:t>
      </w:r>
    </w:p>
    <w:p w:rsidR="00261C24" w:rsidRDefault="00092C83" w:rsidP="009612F0">
      <w:pPr>
        <w:spacing w:line="360" w:lineRule="auto"/>
        <w:jc w:val="both"/>
        <w:rPr>
          <w:rFonts w:ascii="Arial" w:hAnsi="Arial" w:cs="Arial"/>
        </w:rPr>
      </w:pPr>
      <w:r>
        <w:rPr>
          <w:rFonts w:ascii="Arial" w:hAnsi="Arial" w:cs="Arial"/>
        </w:rPr>
        <w:t xml:space="preserve">Combining </w:t>
      </w:r>
      <w:r w:rsidR="00A42767">
        <w:rPr>
          <w:rFonts w:ascii="Arial" w:hAnsi="Arial" w:cs="Arial"/>
        </w:rPr>
        <w:t xml:space="preserve">protein precipitation with </w:t>
      </w:r>
      <w:r w:rsidR="009612F0">
        <w:rPr>
          <w:rFonts w:ascii="Arial" w:hAnsi="Arial" w:cs="Arial"/>
        </w:rPr>
        <w:t>s</w:t>
      </w:r>
      <w:r w:rsidR="00D17D11">
        <w:rPr>
          <w:rFonts w:ascii="Arial" w:hAnsi="Arial" w:cs="Arial"/>
        </w:rPr>
        <w:t xml:space="preserve">ize </w:t>
      </w:r>
      <w:r w:rsidR="009612F0">
        <w:rPr>
          <w:rFonts w:ascii="Arial" w:hAnsi="Arial" w:cs="Arial"/>
        </w:rPr>
        <w:t>e</w:t>
      </w:r>
      <w:r w:rsidR="00D17D11">
        <w:rPr>
          <w:rFonts w:ascii="Arial" w:hAnsi="Arial" w:cs="Arial"/>
        </w:rPr>
        <w:t xml:space="preserve">xclusion </w:t>
      </w:r>
      <w:r w:rsidR="009612F0">
        <w:rPr>
          <w:rFonts w:ascii="Arial" w:hAnsi="Arial" w:cs="Arial"/>
        </w:rPr>
        <w:t>h</w:t>
      </w:r>
      <w:r w:rsidR="00D17D11">
        <w:rPr>
          <w:rFonts w:ascii="Arial" w:hAnsi="Arial" w:cs="Arial"/>
        </w:rPr>
        <w:t>ydrophobic (</w:t>
      </w:r>
      <w:r w:rsidR="00A42767">
        <w:rPr>
          <w:rFonts w:ascii="Arial" w:hAnsi="Arial" w:cs="Arial"/>
        </w:rPr>
        <w:t>SEH</w:t>
      </w:r>
      <w:r w:rsidR="00D17D11">
        <w:rPr>
          <w:rFonts w:ascii="Arial" w:hAnsi="Arial" w:cs="Arial"/>
        </w:rPr>
        <w:t>)</w:t>
      </w:r>
      <w:r w:rsidR="00A42767">
        <w:rPr>
          <w:rFonts w:ascii="Arial" w:hAnsi="Arial" w:cs="Arial"/>
        </w:rPr>
        <w:t xml:space="preserve"> SPE</w:t>
      </w:r>
      <w:r>
        <w:rPr>
          <w:rFonts w:ascii="Arial" w:hAnsi="Arial" w:cs="Arial"/>
        </w:rPr>
        <w:t xml:space="preserve"> was found to reduce </w:t>
      </w:r>
      <w:r w:rsidR="00A03FFB">
        <w:rPr>
          <w:rFonts w:ascii="Arial" w:hAnsi="Arial" w:cs="Arial"/>
        </w:rPr>
        <w:t>the</w:t>
      </w:r>
      <w:r w:rsidR="00015D9F">
        <w:rPr>
          <w:rFonts w:ascii="Arial" w:hAnsi="Arial" w:cs="Arial"/>
        </w:rPr>
        <w:t xml:space="preserve"> on column</w:t>
      </w:r>
      <w:r w:rsidR="00A03FFB">
        <w:rPr>
          <w:rFonts w:ascii="Arial" w:hAnsi="Arial" w:cs="Arial"/>
        </w:rPr>
        <w:t xml:space="preserve"> matrix effects, </w:t>
      </w:r>
      <w:r w:rsidR="00A42767">
        <w:rPr>
          <w:rFonts w:ascii="Arial" w:hAnsi="Arial" w:cs="Arial"/>
        </w:rPr>
        <w:t>whilst providing</w:t>
      </w:r>
      <w:r w:rsidR="00530720">
        <w:rPr>
          <w:rFonts w:ascii="Arial" w:hAnsi="Arial" w:cs="Arial"/>
        </w:rPr>
        <w:t xml:space="preserve"> adequate recovery. </w:t>
      </w:r>
      <w:r w:rsidR="0029527A">
        <w:rPr>
          <w:rFonts w:ascii="Arial" w:hAnsi="Arial" w:cs="Arial"/>
        </w:rPr>
        <w:t>To our knowledge this is the first time protein precipitation has been combined with SE</w:t>
      </w:r>
      <w:r w:rsidR="00D17D11">
        <w:rPr>
          <w:rFonts w:ascii="Arial" w:hAnsi="Arial" w:cs="Arial"/>
        </w:rPr>
        <w:t>H</w:t>
      </w:r>
      <w:r w:rsidR="0029527A">
        <w:rPr>
          <w:rFonts w:ascii="Arial" w:hAnsi="Arial" w:cs="Arial"/>
        </w:rPr>
        <w:t xml:space="preserve"> SPE for quantitative peptide </w:t>
      </w:r>
      <w:r w:rsidR="0029527A" w:rsidRPr="00261C24">
        <w:rPr>
          <w:rFonts w:ascii="Arial" w:hAnsi="Arial" w:cs="Arial"/>
        </w:rPr>
        <w:t>analysis</w:t>
      </w:r>
      <w:r w:rsidR="00015718" w:rsidRPr="00261C24">
        <w:rPr>
          <w:rFonts w:ascii="Arial" w:hAnsi="Arial" w:cs="Arial"/>
        </w:rPr>
        <w:t>, although protein precipitation has been combined with other SPE phases for this purpose</w:t>
      </w:r>
      <w:r w:rsidR="001B586C" w:rsidRPr="00261C24">
        <w:rPr>
          <w:rFonts w:ascii="Arial" w:hAnsi="Arial" w:cs="Arial"/>
        </w:rPr>
        <w:fldChar w:fldCharType="begin" w:fldLock="1"/>
      </w:r>
      <w:r w:rsidR="00261C24">
        <w:rPr>
          <w:rFonts w:ascii="Arial" w:hAnsi="Arial" w:cs="Arial"/>
        </w:rPr>
        <w:instrText>ADDIN CSL_CITATION { "citationItems" : [ { "id" : "ITEM-1", "itemData" : { "author" : [ { "dropping-particle" : "", "family" : "Wang", "given" : "Y", "non-dropping-particle" : "", "parse-names" : false, "suffix" : "" }, { "dropping-particle" : "", "family" : "Qu", "given" : "Y", "non-dropping-particle" : "", "parse-names" : false, "suffix" : "" }, { "dropping-particle" : "", "family" : "Bellows", "given" : "C L", "non-dropping-particle" : "", "parse-names" : false, "suffix" : "" }, { "dropping-particle" : "", "family" : "Ahn", "given" : "JS", "non-dropping-particle" : "", "parse-names" : false, "suffix" : "" }, { "dropping-particle" : "", "family" : "Burkey", "given" : "J L", "non-dropping-particle" : "", "parse-names" : false, "suffix" : "" }, { "dropping-particle" : "", "family" : "Taylor", "given" : "S W", "non-dropping-particle" : "", "parse-names" : false, "suffix" : "" } ], "container-title" : "Bioanalysis", "id" : "ITEM-1", "issued" : { "date-parts" : [ [ "2012" ] ] }, "note" : "Sugested to be added by peer reviewer 4 of the gluacgon quantiation paper as an example of SPE and PP.", "page" : "2141-2152", "title" : "Simultaneous quantification of davalintide, a novel amylin-mimetic peptide, and its active metabolite in beagle and rat plasma by online SPE and LC\u2013MS/MS", "type" : "article-journal", "volume" : "4" }, "uris" : [ "http://www.mendeley.com/documents/?uuid=b5f20ed5-178c-4240-9592-8adf408b06de" ] } ], "mendeley" : { "previouslyFormattedCitation" : "[31]" }, "properties" : { "noteIndex" : 0 }, "schema" : "https://github.com/citation-style-language/schema/raw/master/csl-citation.json" }</w:instrText>
      </w:r>
      <w:r w:rsidR="001B586C" w:rsidRPr="00261C24">
        <w:rPr>
          <w:rFonts w:ascii="Arial" w:hAnsi="Arial" w:cs="Arial"/>
        </w:rPr>
        <w:fldChar w:fldCharType="separate"/>
      </w:r>
      <w:r w:rsidR="00EC3CF8" w:rsidRPr="00261C24">
        <w:rPr>
          <w:rFonts w:ascii="Arial" w:hAnsi="Arial" w:cs="Arial"/>
          <w:noProof/>
        </w:rPr>
        <w:t>[31]</w:t>
      </w:r>
      <w:r w:rsidR="001B586C" w:rsidRPr="00261C24">
        <w:rPr>
          <w:rFonts w:ascii="Arial" w:hAnsi="Arial" w:cs="Arial"/>
        </w:rPr>
        <w:fldChar w:fldCharType="end"/>
      </w:r>
      <w:r w:rsidR="00015718" w:rsidRPr="00261C24">
        <w:rPr>
          <w:rFonts w:ascii="Arial" w:hAnsi="Arial" w:cs="Arial"/>
        </w:rPr>
        <w:t xml:space="preserve">. </w:t>
      </w:r>
      <w:r w:rsidR="00261C24" w:rsidRPr="00261C24">
        <w:rPr>
          <w:rFonts w:ascii="Arial" w:hAnsi="Arial" w:cs="Arial"/>
        </w:rPr>
        <w:t xml:space="preserve"> Due to the satisfactory performance of this extraction methodology, alternatives such as immunoaffinity enrichment were not investigated</w:t>
      </w:r>
      <w:r w:rsidR="00261C24">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"abstract" : "BACKGROUND: Measuring endogenous levels of incretin hormones, like GLP-1, is critical in the development of antidiabetic compounds. However, the assays used to measure these molecules often have analytical issues. RESULTS: We have developed an ultrasensitive, highly-selective immunoaffinity LC-MS/MS (IA LC-MS/MS) assay capable of quantitating endogenous levels of active (7-36 amide) and inactive (9-36 amide) GLP-1 in human plasma. We performed fit-for-purpose validation of the assay by assessing the following assay performance characteristics: inter-assay precision, sensitivity, spike recovery, dilution linearity, absolute recovery, matrix effect, immunoprecipitation efficiency, and food effect. CONCLUSION: We have developed a robust analytical method for the quantitation of endogenous active and inactive GLP-1 in human plasma. In addition, we employed this method to measure the typical changes in GLP-1 levels after food intake. The sensitivity of this assay is better than another LC-MS/MS GLP-1 assay previously reported and many commercially available immunoassays. This important analytical tool could be used to qualify and/or harmonize the different immunoassays used for the quantitation of GLP-1.", "author" : [ { "dropping-particle" : "", "family" : "Chappell", "given" : "DL", "non-dropping-particle" : "", "parse-names" : false, "suffix" : "" }, { "dropping-particle" : "", "family" : "Lee", "given" : "AY", "non-dropping-particle" : "", "parse-names" : false, "suffix" : "" }, { "dropping-particle" : "", "family" : "Castro-Perez", "given" : "J", "non-dropping-particle" : "", "parse-names" : false, "suffix" : "" }, { "dropping-particle" : "", "family" : "Zhou", "given" : "H", "non-dropping-particle" : "", "parse-names" : false, "suffix" : "" }, { "dropping-particle" : "", "family" : "Roddy", "given" : "TP", "non-dropping-particle" : "", "parse-names" : false, "suffix" : "" }, { "dropping-particle" : "", "family" : "Lassman", "given" : "ME", "non-dropping-particle" : "", "parse-names" : false, "suffix" : "" }, { "dropping-particle" : "", "family" : "Shankar", "given" : "SS", "non-dropping-particle" : "", "parse-names" : false, "suffix" : "" }, { "dropping-particle" : "", "family" : "Yates", "given" : "NA", "non-dropping-particle" : "", "parse-names" : false, "suffix" : "" }, { "dropping-particle" : "", "family" : "Wang", "given" : "W", "non-dropping-particle" : "", "parse-names" : false, "suffix" : "" }, { "dropping-particle" : "", "family" : "Laterza", "given" : "OF", "non-dropping-particle" : "", "parse-names" : false, "suffix" : "" } ], "container-title" : "Bioanalysis.", "id" : "ITEM-1", "issue" : "1", "issued" : { "date-parts" : [ [ "2014" ] ] }, "note" : "Sugested to be added by peer reviewer 1 of the gluacgon quantiation paperas an example of recent work.", "page" : "33-42", "title" : "An ultrasensitive method for the quantitation of active and inactive GLP-1 in human plasma via immunoaffinity LC-MS/MS", "type" : "article-journal", "volume" : "6" }, "uris" : [ "http://www.mendeley.com/documents/?uuid=05b32083-23fe-4ef3-a918-7d6c575b3cdf" ] } ], "mendeley" : { "previouslyFormattedCitation" : "[32]" }, "properties" : { "noteIndex" : 0 }, "schema" : "https://github.com/citation-style-language/schema/raw/master/csl-citation.json" }</w:instrText>
      </w:r>
      <w:r w:rsidR="001B586C">
        <w:rPr>
          <w:rFonts w:ascii="Arial" w:hAnsi="Arial" w:cs="Arial"/>
        </w:rPr>
        <w:fldChar w:fldCharType="separate"/>
      </w:r>
      <w:r w:rsidR="00261C24" w:rsidRPr="00261C24">
        <w:rPr>
          <w:rFonts w:ascii="Arial" w:hAnsi="Arial" w:cs="Arial"/>
          <w:noProof/>
        </w:rPr>
        <w:t>[32]</w:t>
      </w:r>
      <w:r w:rsidR="001B586C">
        <w:rPr>
          <w:rFonts w:ascii="Arial" w:hAnsi="Arial" w:cs="Arial"/>
        </w:rPr>
        <w:fldChar w:fldCharType="end"/>
      </w:r>
      <w:r w:rsidR="00261C24" w:rsidRPr="00261C24">
        <w:rPr>
          <w:rFonts w:ascii="Arial" w:hAnsi="Arial" w:cs="Arial"/>
        </w:rPr>
        <w:t>.</w:t>
      </w:r>
      <w:r w:rsidR="00261C24">
        <w:rPr>
          <w:rFonts w:ascii="Arial" w:hAnsi="Arial" w:cs="Arial"/>
        </w:rPr>
        <w:t xml:space="preserve">  </w:t>
      </w:r>
    </w:p>
    <w:p w:rsidR="00530720" w:rsidRPr="00261C24" w:rsidRDefault="00530720" w:rsidP="009612F0">
      <w:pPr>
        <w:spacing w:line="360" w:lineRule="auto"/>
        <w:jc w:val="both"/>
        <w:rPr>
          <w:rFonts w:ascii="Arial" w:hAnsi="Arial" w:cs="Arial"/>
        </w:rPr>
      </w:pPr>
    </w:p>
    <w:p w:rsidR="00184B40" w:rsidRDefault="00530720" w:rsidP="0089796E">
      <w:pPr>
        <w:spacing w:line="360" w:lineRule="auto"/>
        <w:jc w:val="both"/>
        <w:rPr>
          <w:rFonts w:ascii="Arial" w:hAnsi="Arial" w:cs="Arial"/>
        </w:rPr>
      </w:pPr>
      <w:r>
        <w:rPr>
          <w:rFonts w:ascii="Arial" w:hAnsi="Arial" w:cs="Arial"/>
        </w:rPr>
        <w:t>Various UHPLC gradients were investigated to</w:t>
      </w:r>
      <w:r w:rsidR="00494ED6">
        <w:rPr>
          <w:rFonts w:ascii="Arial" w:hAnsi="Arial" w:cs="Arial"/>
        </w:rPr>
        <w:t xml:space="preserve"> further</w:t>
      </w:r>
      <w:r>
        <w:rPr>
          <w:rFonts w:ascii="Arial" w:hAnsi="Arial" w:cs="Arial"/>
        </w:rPr>
        <w:t xml:space="preserve"> reduc</w:t>
      </w:r>
      <w:r w:rsidR="00092C83">
        <w:rPr>
          <w:rFonts w:ascii="Arial" w:hAnsi="Arial" w:cs="Arial"/>
        </w:rPr>
        <w:t>e matrix build-up on the column</w:t>
      </w:r>
      <w:r w:rsidR="008B554F">
        <w:rPr>
          <w:rFonts w:ascii="Arial" w:hAnsi="Arial" w:cs="Arial"/>
        </w:rPr>
        <w:t xml:space="preserve"> and it was found that </w:t>
      </w:r>
      <w:r w:rsidR="00092C83">
        <w:rPr>
          <w:rFonts w:ascii="Arial" w:hAnsi="Arial" w:cs="Arial"/>
        </w:rPr>
        <w:t xml:space="preserve">a </w:t>
      </w:r>
      <w:r w:rsidR="007329DD">
        <w:rPr>
          <w:rFonts w:ascii="Arial" w:hAnsi="Arial" w:cs="Arial"/>
        </w:rPr>
        <w:t>4</w:t>
      </w:r>
      <w:r>
        <w:rPr>
          <w:rFonts w:ascii="Arial" w:hAnsi="Arial" w:cs="Arial"/>
        </w:rPr>
        <w:t xml:space="preserve"> minute flush at the starting conditions gave the best performance. This gradient combined with the 2D extraction methodology</w:t>
      </w:r>
      <w:r w:rsidR="00494ED6">
        <w:rPr>
          <w:rFonts w:ascii="Arial" w:hAnsi="Arial" w:cs="Arial"/>
        </w:rPr>
        <w:t xml:space="preserve"> significantly</w:t>
      </w:r>
      <w:r>
        <w:rPr>
          <w:rFonts w:ascii="Arial" w:hAnsi="Arial" w:cs="Arial"/>
        </w:rPr>
        <w:t xml:space="preserve"> </w:t>
      </w:r>
      <w:r w:rsidR="00C40FE9">
        <w:rPr>
          <w:rFonts w:ascii="Arial" w:hAnsi="Arial" w:cs="Arial"/>
        </w:rPr>
        <w:t>increased the robustness of the assay.</w:t>
      </w:r>
    </w:p>
    <w:p w:rsidR="007329DD" w:rsidRDefault="007329DD" w:rsidP="0089796E">
      <w:pPr>
        <w:spacing w:line="360" w:lineRule="auto"/>
        <w:jc w:val="both"/>
        <w:rPr>
          <w:rFonts w:ascii="Arial" w:hAnsi="Arial" w:cs="Arial"/>
        </w:rPr>
      </w:pPr>
      <w:r>
        <w:rPr>
          <w:rFonts w:ascii="Arial" w:hAnsi="Arial" w:cs="Arial"/>
        </w:rPr>
        <w:t xml:space="preserve">Glucagon is known to be </w:t>
      </w:r>
      <w:r w:rsidRPr="00565F85">
        <w:rPr>
          <w:rFonts w:ascii="Arial" w:hAnsi="Arial" w:cs="Arial"/>
        </w:rPr>
        <w:t>degraded</w:t>
      </w:r>
      <w:r>
        <w:rPr>
          <w:rFonts w:ascii="Arial" w:hAnsi="Arial" w:cs="Arial"/>
        </w:rPr>
        <w:t xml:space="preserve"> by the blood enzyme</w:t>
      </w:r>
      <w:r w:rsidR="00A2251B">
        <w:rPr>
          <w:rFonts w:ascii="Arial" w:hAnsi="Arial" w:cs="Arial"/>
        </w:rPr>
        <w:t>s</w:t>
      </w:r>
      <w:r w:rsidR="002F2AAF">
        <w:rPr>
          <w:rFonts w:ascii="Arial" w:hAnsi="Arial" w:cs="Arial"/>
        </w:rPr>
        <w:t xml:space="preserve"> </w:t>
      </w:r>
      <w:r>
        <w:rPr>
          <w:rFonts w:ascii="Arial" w:hAnsi="Arial" w:cs="Arial"/>
        </w:rPr>
        <w:t>and consequently sample stabilisation is required</w:t>
      </w:r>
      <w:r w:rsidR="00835A0F">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"ISSN" : "0021-9258", "PMID" : "10660533", "abstract" : "Over the past decade, numerous studies have been targeted at defining structure-activity relationships of glucagon. Recently, we have found that glucagon(1-29) is hydrolyzed by dipeptidyl peptidase IV (DPIV) to produce glucagon(3-29) and glucagon(5-29); in human serum, [pyroglutamyl (pGlu)(3)]glucagon(3-29) is formed from glucagon(3-29), and this prevents further hydrolysis of glucagon by DPIV (H.-U. Demuth, K. Glund, U. Heiser, J. Pospisilik, S. Hinke, T. Hoffmann, F. Rosche, D. Schlenzig, M. Wermann, C. McIntosh, and R. Pederson, manuscript in preparation). In the current study, the biological activity of these peptides was examined in vitro. The amino-terminally truncated peptides all behaved as partial agonists in cyclic AMP stimulation assays, with Chinese hamster ovary K1 cells overexpressing the human glucagon receptor (potency: glucagon(1-29) &gt; [pGlu(3)]glu- cagon(3-29) &gt; glucagon(3-29) &gt; glucagon(5-29) &gt; [Glu(9)]glu- cagon(2-29)). In competition binding experiments, [pGlu(3)]glucagon(3-29) and glucagon(5-29) both demonstrated 5-fold lower affinity for the receptor than glucagon(1-29), whereas glucagon(3-29) exhibited 18-fold lower affinity. Of the peptides tested, only glucagon(5-29) showed antagonist activity, and this was weak compared with the classical glucagon antagonist, [Glu(9)]glucagon(2-29). Hence, DPIV hydrolysis of glucagon yields low affinity agonists of the glucagon receptor. As a corollary to evidence indicating that DPIV degrades glucagon (Demuth, et al., manuscript in preparation), DPIV-resistant analogs were synthesized. Matrix-assisted laser desorption/ionization-time of flight mass spectrometry was used to assess DPIV resistance, and it allowed kinetic analysis of degradation. Of several analogs generated, only [D-Ser(2)] and [Gly(2)]glucagon retained high affinity binding and biological potency, similar to native glucagon in vitro. [D-Ser(2)]Glucagon exhibited enhanced hyperglycemic activity in a bioassay, whereas [Gly(2)]glucagon was not completely resistant to DPIV degradation.", "author" : [ { "dropping-particle" : "", "family" : "Hinke", "given" : "S A", "non-dropping-particle" : "", "parse-names" : false, "suffix" : "" }, { "dropping-particle" : "", "family" : "Pospisilik", "given" : "J A", "non-dropping-particle" : "", "parse-names" : false, "suffix" : "" }, { "dropping-particle" : "", "family" : "Demuth", "given" : "H U", "non-dropping-particle" : "", "parse-names" : false, "suffix" : "" }, { "dropping-particle" : "", "family" : "Mannhart", "given" : "S", "non-dropping-particle" : "", "parse-names" : false, "suffix" : "" }, { "dropping-particle" : "", "family" : "K\u00fchn-Wache", "given" : "K", "non-dropping-particle" : "", "parse-names" : false, "suffix" : "" }, { "dropping-particle" : "", "family" : "Hoffmann", "given" : "T", "non-dropping-particle" : "", "parse-names" : false, "suffix" : "" }, { "dropping-particle" : "", "family" : "Nishimura", "given" : "E", "non-dropping-particle" : "", "parse-names" : false, "suffix" : "" }, { "dropping-particle" : "", "family" : "Pederson", "given" : "R A", "non-dropping-particle" : "", "parse-names" : false, "suffix" : "" }, { "dropping-particle" : "", "family" : "McIntosh", "given" : "C H", "non-dropping-particle" : "", "parse-names" : false, "suffix" : "" } ], "container-title" : "The Journal of biological chemistry", "id" : "ITEM-1", "issue" : "6", "issued" : { "date-parts" : [ [ "2000", "2", "11" ] ] }, "note" : "Annotated paper copy. Added to mendley 5th June 2012.          \nAbstract        \nGlucagon 1-29 is hydrolysed by dipeptidyl peptidase IV (DPIV) to produce glucagon2-29 and 5-29 in human serum. \nProglutamyl (pGlu)3 glucagon2-29 is formed from glucagon2-29, and this prevents further hydrolysis by DPIV.\n                  \nIntro\n                \nHalf life immuno active glucagon between 5-6 mins in human &amp; dogs.\n                  \nrecently have been reports that glucagon degradation in blood or plasma is neglible. (ref 7&amp; 8)\n        \nRecently, been evidence that DPIV respsonsible in part for inactivation of glucagon. Finding is consistent with renal clearage of glucagon, but conflicts with absence of plasma degradtion. DPIV is foound on surface of lymphocytes and as a freely curculating enzyme in addtion to the apicial surface of renal proximal tubules.\n                  \nPurified pork DPIV can hydrolse glucagon1-29 to glucagon 3-29 and glucagon 5-29 in vitro. In human serum  it is convered first to glucagon 3-29 and then its amino terminus is cylized by a serum enzyme prenting further degradtion.         \n        \nStudy examined potential physiological activity of truncated amino fragments. Used chinesse hamster oveary cells transfected with the human glucagon receptor. Insvestigated agonsit, antagonist, and binding affinity.\n        \nAlso used DPIV resirance glucagon analogs to support exisiting evidence for glucagon DPIV degradation.\n                  \nResults\n                \nDPIV resistance was monitored using MALD-TOF. Incubated with porcine DPIV. Substituting second amino acid of glucagon (L-serine)with its D-isomer completely blocked degradtion. D-gln3 was moderateley reistance to DPIV. Altering chirality of 3rd a.a. also prevented further degradtion. Discsses other alterations too.\n        \nDPIV analogs has either enhanced or reduced activity cf glucagon.\n                  \nDiscussion\n                \nPreviously controvesy regarding invivo glucagon degradtion.\n        \nDipeptidyl petidase (IV) is a prime candidate for the inactivation of glucagon. \n        \nA measure of the degradtion in human serum obtained- (t1/2= 336 + 36 min) although only using 20% serum- underestimates true amount of degradtion. Further more serum DPIV degradtion only resprenents fraction of invivo as found on endothelial and surface of lymphocytes amoung other tisues.\n        \nThe D-ser2 analog was only analog that increased circualting glucose levels cg native glucagon.  Can be attriubuted to lack of DPIV degradtion as invitro potency moderately reduced. However substition made peptide more susceptible to degradtion by trypsin-llike enyzms. \n        \nDPIV primary enzyme in glucagon degradtion. \n        \n        \n        \n        \n        \n        \n        \n      ", "page" : "3827-34", "title" : "Dipeptidyl peptidase IV (DPIV/CD26) degradation of glucagon. Characterization of glucagon degradation products and DPIV-resistant analogs.", "type" : "article-journal", "volume" : "275" }, "uris" : [ "http://www.mendeley.com/documents/?uuid=c9617e5c-239a-4ede-8d24-3b66a6e4920c" ] } ], "mendeley" : { "previouslyFormattedCitation" : "[2]" }, "properties" : { "noteIndex" : 0 }, "schema" : "https://github.com/citation-style-language/schema/raw/master/csl-citation.json" }</w:instrText>
      </w:r>
      <w:r w:rsidR="001B586C">
        <w:rPr>
          <w:rFonts w:ascii="Arial" w:hAnsi="Arial" w:cs="Arial"/>
        </w:rPr>
        <w:fldChar w:fldCharType="separate"/>
      </w:r>
      <w:r w:rsidR="00835A0F" w:rsidRPr="00835A0F">
        <w:rPr>
          <w:rFonts w:ascii="Arial" w:hAnsi="Arial" w:cs="Arial"/>
          <w:noProof/>
        </w:rPr>
        <w:t>[2]</w:t>
      </w:r>
      <w:r w:rsidR="001B586C">
        <w:rPr>
          <w:rFonts w:ascii="Arial" w:hAnsi="Arial" w:cs="Arial"/>
        </w:rPr>
        <w:fldChar w:fldCharType="end"/>
      </w:r>
      <w:r w:rsidR="00835A0F">
        <w:rPr>
          <w:rFonts w:ascii="Arial" w:hAnsi="Arial" w:cs="Arial"/>
        </w:rPr>
        <w:t xml:space="preserve"> </w:t>
      </w:r>
      <w:r>
        <w:rPr>
          <w:rFonts w:ascii="Arial" w:hAnsi="Arial" w:cs="Arial"/>
        </w:rPr>
        <w:t>.</w:t>
      </w:r>
      <w:r w:rsidR="00591934">
        <w:rPr>
          <w:rFonts w:ascii="Arial" w:hAnsi="Arial" w:cs="Arial"/>
        </w:rPr>
        <w:t xml:space="preserve"> </w:t>
      </w:r>
      <w:r w:rsidR="00015D9F">
        <w:rPr>
          <w:rFonts w:ascii="Arial" w:hAnsi="Arial" w:cs="Arial"/>
        </w:rPr>
        <w:t>T</w:t>
      </w:r>
      <w:r>
        <w:rPr>
          <w:rFonts w:ascii="Arial" w:hAnsi="Arial" w:cs="Arial"/>
        </w:rPr>
        <w:t xml:space="preserve">he enzyme inhibitor </w:t>
      </w:r>
      <w:r w:rsidR="00DF713F">
        <w:rPr>
          <w:rFonts w:ascii="Arial" w:hAnsi="Arial" w:cs="Arial"/>
        </w:rPr>
        <w:t>a</w:t>
      </w:r>
      <w:r>
        <w:rPr>
          <w:rFonts w:ascii="Arial" w:hAnsi="Arial" w:cs="Arial"/>
        </w:rPr>
        <w:t>protinin was used to red</w:t>
      </w:r>
      <w:r w:rsidR="00015D9F">
        <w:rPr>
          <w:rFonts w:ascii="Arial" w:hAnsi="Arial" w:cs="Arial"/>
        </w:rPr>
        <w:t>uce degradation and samples were extracted on ice.</w:t>
      </w:r>
      <w:r>
        <w:rPr>
          <w:rFonts w:ascii="Arial" w:hAnsi="Arial" w:cs="Arial"/>
        </w:rPr>
        <w:t xml:space="preserve"> </w:t>
      </w:r>
      <w:r w:rsidR="00015D9F">
        <w:rPr>
          <w:rFonts w:ascii="Arial" w:hAnsi="Arial" w:cs="Arial"/>
        </w:rPr>
        <w:t xml:space="preserve">As there </w:t>
      </w:r>
      <w:r>
        <w:rPr>
          <w:rFonts w:ascii="Arial" w:hAnsi="Arial" w:cs="Arial"/>
        </w:rPr>
        <w:t xml:space="preserve">have been reports </w:t>
      </w:r>
      <w:r w:rsidR="00015D9F">
        <w:rPr>
          <w:rFonts w:ascii="Arial" w:hAnsi="Arial" w:cs="Arial"/>
        </w:rPr>
        <w:t>of enzyme inhibitors interfering</w:t>
      </w:r>
      <w:r>
        <w:rPr>
          <w:rFonts w:ascii="Arial" w:hAnsi="Arial" w:cs="Arial"/>
        </w:rPr>
        <w:t xml:space="preserve"> with peptide quantitation</w:t>
      </w:r>
      <w:r w:rsidR="00494ED6">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"10.1002/prca.200700369", "ISSN" : "18628346", "abstract" : "The Human Proteomics Organization (HUPO) Human Plasma Proteome Project (PPP) is a prominent example of the inherently collaborative nature of the overall community effort to characterize the proteome of humans in health and disease. The PPP Pilot Phase, called ldquoExploring the Human Plasma Proteomerdquo, engaged 55 laboratories, four technical committees, and vendors and sponsors on an international scale. Among other outcomes, the PPP generated a Core Dataset of 3020 proteins identified with two or more peptides, fully accessible at EBI/PRIDE, ISB/PeptideAtlas, and University of Michigan websites, a rich resource for follow-on analyses. The PPP provided extensive annotation, correlation of number of peptides with protein concentrations measured by immunoassay, an algorithm for choice of a representative protein for multiple proteins matching a given peptide, and independent analyses from the raw spectra. The next phase of the PPP will emphasize standardized procedures for specimen handling, potent new technology platforms for discovery and for targeted proteomics, and robust informatics efforts, including comparative analyses of other biofluids.", "author" : [ { "dropping-particle" : "", "family" : "Omenn", "given" : "Gilbert S.", "non-dropping-particle" : "", "parse-names" : false, "suffix" : "" } ], "container-title" : "PROTEOMICS \u2013 CLINICAL APPLICATIONS", "id" : "ITEM-1", "issue" : "8", "issued" : { "date-parts" : [ [ "2007", "8" ] ] }, "page" : "769-779", "title" : "THE HUPO Human Plasma Proteome Project", "type" : "article-journal", "volume" : "1" }, "uris" : [ "http://www.mendeley.com/documents/?uuid=449904b4-a8ea-4e0d-8afc-a7f178370656" ] } ], "mendeley" : { "previouslyFormattedCitation" : "[33]" }, "properties" : { "noteIndex" : 0 }, "schema" : "https://github.com/citation-style-language/schema/raw/master/csl-citation.json" }</w:instrText>
      </w:r>
      <w:r w:rsidR="001B586C">
        <w:rPr>
          <w:rFonts w:ascii="Arial" w:hAnsi="Arial" w:cs="Arial"/>
        </w:rPr>
        <w:fldChar w:fldCharType="separate"/>
      </w:r>
      <w:r w:rsidR="00261C24" w:rsidRPr="00261C24">
        <w:rPr>
          <w:rFonts w:ascii="Arial" w:hAnsi="Arial" w:cs="Arial"/>
          <w:noProof/>
        </w:rPr>
        <w:t>[33]</w:t>
      </w:r>
      <w:r w:rsidR="001B586C">
        <w:rPr>
          <w:rFonts w:ascii="Arial" w:hAnsi="Arial" w:cs="Arial"/>
        </w:rPr>
        <w:fldChar w:fldCharType="end"/>
      </w:r>
      <w:r>
        <w:rPr>
          <w:rFonts w:ascii="Arial" w:hAnsi="Arial" w:cs="Arial"/>
        </w:rPr>
        <w:t xml:space="preserve"> assay performance </w:t>
      </w:r>
      <w:r w:rsidR="00494ED6">
        <w:rPr>
          <w:rFonts w:ascii="Arial" w:hAnsi="Arial" w:cs="Arial"/>
        </w:rPr>
        <w:t>was</w:t>
      </w:r>
      <w:r w:rsidR="00262C7E">
        <w:rPr>
          <w:rFonts w:ascii="Arial" w:hAnsi="Arial" w:cs="Arial"/>
        </w:rPr>
        <w:t xml:space="preserve"> </w:t>
      </w:r>
      <w:r w:rsidR="00015D9F">
        <w:rPr>
          <w:rFonts w:ascii="Arial" w:hAnsi="Arial" w:cs="Arial"/>
        </w:rPr>
        <w:t>closely monitored during the validation for any such issues.</w:t>
      </w:r>
      <w:r>
        <w:rPr>
          <w:rFonts w:ascii="Arial" w:hAnsi="Arial" w:cs="Arial"/>
        </w:rPr>
        <w:t xml:space="preserve"> </w:t>
      </w:r>
    </w:p>
    <w:p w:rsidR="00530720" w:rsidRPr="005D677F" w:rsidRDefault="00530720" w:rsidP="00530720">
      <w:pPr>
        <w:spacing w:line="360" w:lineRule="auto"/>
        <w:jc w:val="both"/>
        <w:rPr>
          <w:rFonts w:ascii="Arial" w:hAnsi="Arial" w:cs="Arial"/>
          <w:i/>
          <w:u w:val="single"/>
        </w:rPr>
      </w:pPr>
      <w:r w:rsidRPr="005D677F">
        <w:rPr>
          <w:rFonts w:ascii="Arial" w:hAnsi="Arial" w:cs="Arial"/>
          <w:i/>
          <w:u w:val="single"/>
        </w:rPr>
        <w:t>Surrogate matrix quantitation</w:t>
      </w:r>
    </w:p>
    <w:p w:rsidR="00434C4E" w:rsidRDefault="00EB64BD" w:rsidP="00530720">
      <w:pPr>
        <w:spacing w:line="360" w:lineRule="auto"/>
        <w:jc w:val="both"/>
        <w:rPr>
          <w:rFonts w:ascii="Arial" w:hAnsi="Arial" w:cs="Arial"/>
        </w:rPr>
      </w:pPr>
      <w:r>
        <w:rPr>
          <w:rFonts w:ascii="Arial" w:hAnsi="Arial" w:cs="Arial"/>
        </w:rPr>
        <w:t>S</w:t>
      </w:r>
      <w:r w:rsidR="00530720" w:rsidRPr="00530720">
        <w:rPr>
          <w:rFonts w:ascii="Arial" w:hAnsi="Arial" w:cs="Arial"/>
        </w:rPr>
        <w:t>everal</w:t>
      </w:r>
      <w:r>
        <w:rPr>
          <w:rFonts w:ascii="Arial" w:hAnsi="Arial" w:cs="Arial"/>
        </w:rPr>
        <w:t xml:space="preserve"> </w:t>
      </w:r>
      <w:r w:rsidR="0083549C">
        <w:rPr>
          <w:rFonts w:ascii="Arial" w:hAnsi="Arial" w:cs="Arial"/>
        </w:rPr>
        <w:t>mixtures</w:t>
      </w:r>
      <w:r>
        <w:rPr>
          <w:rFonts w:ascii="Arial" w:hAnsi="Arial" w:cs="Arial"/>
        </w:rPr>
        <w:t xml:space="preserve"> were screened for their su</w:t>
      </w:r>
      <w:r w:rsidR="007F3F47">
        <w:rPr>
          <w:rFonts w:ascii="Arial" w:hAnsi="Arial" w:cs="Arial"/>
        </w:rPr>
        <w:t>itability as surrogate matrices.</w:t>
      </w:r>
      <w:r w:rsidR="00434C4E">
        <w:rPr>
          <w:rFonts w:ascii="Arial" w:hAnsi="Arial" w:cs="Arial"/>
        </w:rPr>
        <w:t xml:space="preserve"> A dilute buffer matrix was </w:t>
      </w:r>
      <w:r w:rsidR="005E687C">
        <w:rPr>
          <w:rFonts w:ascii="Arial" w:hAnsi="Arial" w:cs="Arial"/>
        </w:rPr>
        <w:t>evaluated, as</w:t>
      </w:r>
      <w:r w:rsidR="00CD3D67">
        <w:rPr>
          <w:rFonts w:ascii="Arial" w:hAnsi="Arial" w:cs="Arial"/>
        </w:rPr>
        <w:t xml:space="preserve"> such matrices have been shown to be suitable for some assays.</w:t>
      </w:r>
      <w:r w:rsidR="00434C4E">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"10.4155/bio.09.139", "ISSN" : "1757-6199", "PMID" : "21083084", "abstract" : "While the regulatory guidelines that describe the validation requirements for small molecules are very comprehensive, they are written primarily for xenobiotic drug molecules. However, the presence of endogenous analyte in control matrix presents an added analytical challenge that must be overcome if small-molecule biomarker assays are to be developed and characterized, especially where downregulation of analyte concentrations is expected.", "author" : [ { "dropping-particle" : "", "family" : "Houghton", "given" : "Richard", "non-dropping-particle" : "", "parse-names" : false, "suffix" : "" }, { "dropping-particle" : "", "family" : "Horro Pita", "given" : "Catarina", "non-dropping-particle" : "", "parse-names" : false, "suffix" : "" }, { "dropping-particle" : "", "family" : "Ward", "given" : "Ian", "non-dropping-particle" : "", "parse-names" : false, "suffix" : "" }, { "dropping-particle" : "", "family" : "Macarthur", "given" : "Roy", "non-dropping-particle" : "", "parse-names" : false, "suffix" : "" } ], "container-title" : "Bioanalysis", "id" : "ITEM-1", "issue" : "8", "issued" : { "date-parts" : [ [ "2009", "11" ] ] }, "note" : "Biomarker using surrogate matricies.\n      ", "page" : "1365-74", "title" : "Generic approach to validation of small-molecule LC-MS/MS biomarker assays.", "type" : "article-journal", "volume" : "1" }, "uris" : [ "http://www.mendeley.com/documents/?uuid=965e12cf-a004-4fd5-9c14-8b3a1ac7c364" ] } ], "mendeley" : { "previouslyFormattedCitation" : "[34]" }, "properties" : { "noteIndex" : 0 }, "schema" : "https://github.com/citation-style-language/schema/raw/master/csl-citation.json" }</w:instrText>
      </w:r>
      <w:r w:rsidR="001B586C">
        <w:rPr>
          <w:rFonts w:ascii="Arial" w:hAnsi="Arial" w:cs="Arial"/>
        </w:rPr>
        <w:fldChar w:fldCharType="separate"/>
      </w:r>
      <w:r w:rsidR="00261C24" w:rsidRPr="00261C24">
        <w:rPr>
          <w:rFonts w:ascii="Arial" w:hAnsi="Arial" w:cs="Arial"/>
          <w:noProof/>
        </w:rPr>
        <w:t>[34]</w:t>
      </w:r>
      <w:r w:rsidR="001B586C">
        <w:rPr>
          <w:rFonts w:ascii="Arial" w:hAnsi="Arial" w:cs="Arial"/>
        </w:rPr>
        <w:fldChar w:fldCharType="end"/>
      </w:r>
      <w:r w:rsidR="003323C0">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"10.4155/bio.09.130", "ISSN" : "1757-6199", "PMID" : "21083095", "abstract" : "Protein drug development and biomarkers share common bioanalytical technologies that are applied for different purposes. A fit-for-purpose approach should be used for biomarker assays at various stages of novel biomarker development and their application to drug development. Biomarker quantifications can be absolute or relative, depending upon the characteristics of the standard curve, which include the reference standard, substituted matrix and parallelism. Appropriate method-validation experiments should be carried out on sample collection, relative accuracy and precision, range finding, parallelism, selectivity, specificity and stability in order to meet the need for exploratory or advanced application that is specified for a study. The interaction of a biotherapeutic with the target ligand or inter-related biomarkers should be taken into consideration for method platform choice and validation. Direct adoption of commercial diagnostic kits can produce confounding data. Therefore, kit comparison, modification and appropriate validation experiments are often carried out to meet the specific purpose for drug development. Multiplex assays and physicochemical methods can complement the single-analyte ligand-binding assay for protein drugs and biomarkers.", "author" : [ { "dropping-particle" : "", "family" : "Lee", "given" : "Jean W", "non-dropping-particle" : "", "parse-names" : false, "suffix" : "" } ], "container-title" : "Bioanalysis", "id" : "ITEM-1", "issue" : "8", "issued" : { "date-parts" : [ [ "2009", "11" ] ] }, "page" : "1461-74", "title" : "Method validation and application of protein biomarkers: basic similarities and differences from biotherapeutics.", "type" : "article-journal", "volume" : "1" }, "uris" : [ "http://www.mendeley.com/documents/?uuid=98d00da5-2ce0-4ba1-b9a6-b4212165a468" ] } ], "mendeley" : { "previouslyFormattedCitation" : "[18]"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[18]</w:t>
      </w:r>
      <w:r w:rsidR="001B586C">
        <w:rPr>
          <w:rFonts w:ascii="Arial" w:hAnsi="Arial" w:cs="Arial"/>
        </w:rPr>
        <w:fldChar w:fldCharType="end"/>
      </w:r>
      <w:r w:rsidR="005E687C">
        <w:rPr>
          <w:rFonts w:ascii="Arial" w:hAnsi="Arial" w:cs="Arial"/>
        </w:rPr>
        <w:t>. A</w:t>
      </w:r>
      <w:r w:rsidR="00434C4E">
        <w:rPr>
          <w:rFonts w:ascii="Arial" w:hAnsi="Arial" w:cs="Arial"/>
        </w:rPr>
        <w:t xml:space="preserve"> buffer</w:t>
      </w:r>
      <w:r w:rsidR="005E687C">
        <w:rPr>
          <w:rFonts w:ascii="Arial" w:hAnsi="Arial" w:cs="Arial"/>
        </w:rPr>
        <w:t xml:space="preserve"> solution</w:t>
      </w:r>
      <w:r w:rsidR="00434C4E">
        <w:rPr>
          <w:rFonts w:ascii="Arial" w:hAnsi="Arial" w:cs="Arial"/>
        </w:rPr>
        <w:t xml:space="preserve"> </w:t>
      </w:r>
      <w:r w:rsidR="005E687C">
        <w:rPr>
          <w:rFonts w:ascii="Arial" w:hAnsi="Arial" w:cs="Arial"/>
        </w:rPr>
        <w:t>containing a</w:t>
      </w:r>
      <w:r w:rsidR="00434C4E">
        <w:rPr>
          <w:rFonts w:ascii="Arial" w:hAnsi="Arial" w:cs="Arial"/>
        </w:rPr>
        <w:t xml:space="preserve"> </w:t>
      </w:r>
      <w:r w:rsidR="005E687C">
        <w:rPr>
          <w:rFonts w:ascii="Arial" w:hAnsi="Arial" w:cs="Arial"/>
        </w:rPr>
        <w:t>relatively high</w:t>
      </w:r>
      <w:r w:rsidR="00434C4E">
        <w:rPr>
          <w:rFonts w:ascii="Arial" w:hAnsi="Arial" w:cs="Arial"/>
        </w:rPr>
        <w:t xml:space="preserve"> percentage of BSA was</w:t>
      </w:r>
      <w:r w:rsidR="003323C0">
        <w:rPr>
          <w:rFonts w:ascii="Arial" w:hAnsi="Arial" w:cs="Arial"/>
        </w:rPr>
        <w:t xml:space="preserve"> also</w:t>
      </w:r>
      <w:r w:rsidR="00434C4E">
        <w:rPr>
          <w:rFonts w:ascii="Arial" w:hAnsi="Arial" w:cs="Arial"/>
        </w:rPr>
        <w:t xml:space="preserve"> evaluated to minimise any non-specific</w:t>
      </w:r>
      <w:r w:rsidR="005E687C">
        <w:rPr>
          <w:rFonts w:ascii="Arial" w:hAnsi="Arial" w:cs="Arial"/>
        </w:rPr>
        <w:t xml:space="preserve"> analyte</w:t>
      </w:r>
      <w:r w:rsidR="00434C4E">
        <w:rPr>
          <w:rFonts w:ascii="Arial" w:hAnsi="Arial" w:cs="Arial"/>
        </w:rPr>
        <w:t xml:space="preserve"> binding that may </w:t>
      </w:r>
      <w:r w:rsidR="0047196E">
        <w:rPr>
          <w:rFonts w:ascii="Arial" w:hAnsi="Arial" w:cs="Arial"/>
        </w:rPr>
        <w:t>occur. In</w:t>
      </w:r>
      <w:r w:rsidR="00CD3D67">
        <w:rPr>
          <w:rFonts w:ascii="Arial" w:hAnsi="Arial" w:cs="Arial"/>
        </w:rPr>
        <w:t xml:space="preserve"> addition a</w:t>
      </w:r>
      <w:r w:rsidR="005E687C">
        <w:rPr>
          <w:rFonts w:ascii="Arial" w:hAnsi="Arial" w:cs="Arial"/>
        </w:rPr>
        <w:t xml:space="preserve"> diluted</w:t>
      </w:r>
      <w:r w:rsidR="00434C4E">
        <w:rPr>
          <w:rFonts w:ascii="Arial" w:hAnsi="Arial" w:cs="Arial"/>
        </w:rPr>
        <w:t xml:space="preserve"> rat plasma</w:t>
      </w:r>
      <w:r w:rsidR="005E687C">
        <w:rPr>
          <w:rFonts w:ascii="Arial" w:hAnsi="Arial" w:cs="Arial"/>
        </w:rPr>
        <w:t xml:space="preserve"> matrix</w:t>
      </w:r>
      <w:r w:rsidR="00434C4E">
        <w:rPr>
          <w:rFonts w:ascii="Arial" w:hAnsi="Arial" w:cs="Arial"/>
        </w:rPr>
        <w:t xml:space="preserve"> was </w:t>
      </w:r>
      <w:r w:rsidR="00CD3D67">
        <w:rPr>
          <w:rFonts w:ascii="Arial" w:hAnsi="Arial" w:cs="Arial"/>
        </w:rPr>
        <w:t>chosen</w:t>
      </w:r>
      <w:r w:rsidR="00434C4E">
        <w:rPr>
          <w:rFonts w:ascii="Arial" w:hAnsi="Arial" w:cs="Arial"/>
        </w:rPr>
        <w:t xml:space="preserve"> to investigate whether biological </w:t>
      </w:r>
      <w:r w:rsidR="003323C0">
        <w:rPr>
          <w:rFonts w:ascii="Arial" w:hAnsi="Arial" w:cs="Arial"/>
        </w:rPr>
        <w:t>matricies</w:t>
      </w:r>
      <w:r w:rsidR="00434C4E">
        <w:rPr>
          <w:rFonts w:ascii="Arial" w:hAnsi="Arial" w:cs="Arial"/>
        </w:rPr>
        <w:t xml:space="preserve"> improved assay performance.    </w:t>
      </w:r>
    </w:p>
    <w:p w:rsidR="00262C7E" w:rsidRDefault="007F3F47" w:rsidP="00530720">
      <w:pPr>
        <w:spacing w:line="360" w:lineRule="auto"/>
        <w:jc w:val="both"/>
        <w:rPr>
          <w:rFonts w:ascii="Arial" w:hAnsi="Arial" w:cs="Arial"/>
        </w:rPr>
      </w:pPr>
      <w:r>
        <w:rPr>
          <w:rFonts w:ascii="Arial" w:hAnsi="Arial" w:cs="Arial"/>
        </w:rPr>
        <w:t xml:space="preserve"> </w:t>
      </w:r>
      <w:r w:rsidR="005E687C">
        <w:rPr>
          <w:rFonts w:ascii="Arial" w:hAnsi="Arial" w:cs="Arial"/>
        </w:rPr>
        <w:t xml:space="preserve">The dilute buffer matrix, </w:t>
      </w:r>
      <w:r>
        <w:rPr>
          <w:rFonts w:ascii="Arial" w:hAnsi="Arial" w:cs="Arial"/>
        </w:rPr>
        <w:t>Water</w:t>
      </w:r>
      <w:r w:rsidR="00494ED6">
        <w:rPr>
          <w:rFonts w:ascii="Arial" w:hAnsi="Arial" w:cs="Arial"/>
        </w:rPr>
        <w:t xml:space="preserve"> </w:t>
      </w:r>
      <w:r w:rsidR="001B0E30">
        <w:rPr>
          <w:rFonts w:ascii="Arial" w:hAnsi="Arial" w:cs="Arial"/>
        </w:rPr>
        <w:t xml:space="preserve">and MeOH: </w:t>
      </w:r>
      <w:r w:rsidR="00591934">
        <w:rPr>
          <w:rFonts w:ascii="Arial" w:hAnsi="Arial" w:cs="Arial"/>
        </w:rPr>
        <w:t>H</w:t>
      </w:r>
      <w:r w:rsidR="00591934" w:rsidRPr="00C657F7">
        <w:rPr>
          <w:rFonts w:ascii="Arial" w:hAnsi="Arial" w:cs="Arial"/>
          <w:vertAlign w:val="subscript"/>
        </w:rPr>
        <w:t>2</w:t>
      </w:r>
      <w:r w:rsidR="00591934">
        <w:rPr>
          <w:rFonts w:ascii="Arial" w:hAnsi="Arial" w:cs="Arial"/>
        </w:rPr>
        <w:t>O</w:t>
      </w:r>
      <w:r w:rsidR="001B0E30">
        <w:rPr>
          <w:rFonts w:ascii="Arial" w:hAnsi="Arial" w:cs="Arial"/>
        </w:rPr>
        <w:t>: FA: BSA</w:t>
      </w:r>
      <w:r w:rsidR="00591934">
        <w:rPr>
          <w:rFonts w:ascii="Arial" w:hAnsi="Arial" w:cs="Arial"/>
        </w:rPr>
        <w:t xml:space="preserve"> </w:t>
      </w:r>
      <w:r w:rsidR="001B0E30">
        <w:rPr>
          <w:rFonts w:ascii="Arial" w:hAnsi="Arial" w:cs="Arial"/>
        </w:rPr>
        <w:t>(20:80:0.1:0.1</w:t>
      </w:r>
      <w:r w:rsidR="00BA3EC5">
        <w:rPr>
          <w:rFonts w:ascii="Arial" w:hAnsi="Arial" w:cs="Arial"/>
        </w:rPr>
        <w:t>, v/v/v/w</w:t>
      </w:r>
      <w:r w:rsidR="001B0E30">
        <w:rPr>
          <w:rFonts w:ascii="Arial" w:hAnsi="Arial" w:cs="Arial"/>
        </w:rPr>
        <w:t>)</w:t>
      </w:r>
      <w:r w:rsidR="005E687C">
        <w:rPr>
          <w:rFonts w:ascii="Arial" w:hAnsi="Arial" w:cs="Arial"/>
        </w:rPr>
        <w:t>,</w:t>
      </w:r>
      <w:r w:rsidR="001B0E30">
        <w:rPr>
          <w:rFonts w:ascii="Arial" w:hAnsi="Arial" w:cs="Arial"/>
        </w:rPr>
        <w:t xml:space="preserve"> </w:t>
      </w:r>
      <w:r w:rsidR="00A9397D">
        <w:rPr>
          <w:rFonts w:ascii="Arial" w:hAnsi="Arial" w:cs="Arial"/>
        </w:rPr>
        <w:t>resulted in low signals following extraction, which is attributed to non-specific binding of glucagon to plastic consumables used during the extraction procedure</w:t>
      </w:r>
      <w:r w:rsidR="0073740D">
        <w:rPr>
          <w:rFonts w:ascii="Arial" w:hAnsi="Arial" w:cs="Arial"/>
        </w:rPr>
        <w:t xml:space="preserve">, as has been </w:t>
      </w:r>
      <w:r w:rsidR="00A9397D">
        <w:rPr>
          <w:rFonts w:ascii="Arial" w:hAnsi="Arial" w:cs="Arial"/>
        </w:rPr>
        <w:t xml:space="preserve">described previously </w:t>
      </w:r>
      <w:r w:rsidR="001B586C">
        <w:rPr>
          <w:rFonts w:ascii="Times New Roman" w:hAnsi="Times New Roman" w:cs="Times New Roman"/>
          <w:sz w:val="24"/>
          <w:szCs w:val="24"/>
        </w:rPr>
        <w:fldChar w:fldCharType="begin" w:fldLock="1"/>
      </w:r>
      <w:r w:rsidR="00261C24">
        <w:rPr>
          <w:rFonts w:ascii="Times New Roman" w:hAnsi="Times New Roman" w:cs="Times New Roman"/>
          <w:sz w:val="24"/>
          <w:szCs w:val="24"/>
        </w:rPr>
        <w:instrText>ADDIN CSL_CITATION { "citationItems" : [ { "id" : "ITEM-1", "itemData" : { "DOI" : "10.1002/bmc.380", "ISSN" : "0269-3879", "PMID" : "15386587", "abstract" : "We present a method for the quantitation of glucagon from rat plasma by protein precipitation and LC/MS. No internal standard was used, as a labeled standard was not available and similar peptides did not show comparable extraction characteristics to glucagon. The LC system included a Keystone C18, 300 A pore size column; a linear gradient was used with a mobile phase consisting of water and acetonitrile, each with 0.2% acetic acid and 0.02% trifluoroacetic acid. Glucagon was detected with the mass spectrometer in positive ion mode monitoring the 4+ charge state at m/z 871.7. The method had an approximated limit of detection of 1 ng/mL. The lower limit of quantitation (LLOQ) was 25 ng/mL (7.2 fmol/mL), which could be reduced with an appropriate internal standard. External calibration was used and calibration curves were found to be linear over the range from 25 to 1000 ng/mL (7.2 to 290 fmol/mL). The method showed a high degree of precision and accuracy both within and between runs at four validation points, including the LLOQ.", "author" : [ { "dropping-particle" : "", "family" : "Delinsky", "given" : "David C", "non-dropping-particle" : "", "parse-names" : false, "suffix" : "" }, { "dropping-particle" : "", "family" : "Hill", "given" : "Kim T", "non-dropping-particle" : "", "parse-names" : false, "suffix" : "" }, { "dropping-particle" : "", "family" : "White", "given" : "Catherine A", "non-dropping-particle" : "", "parse-names" : false, "suffix" : "" }, { "dropping-particle" : "", "family" : "Bartlett", "given" : "Michael G", "non-dropping-particle" : "", "parse-names" : false, "suffix" : "" } ], "container-title" : "Biomedical chromatography : BMC", "id" : "ITEM-1", "issue" : "9", "issued" : { "date-parts" : [ [ "2004", "11" ] ] }, "note" : "re-read and annotated 8th May 2012\n        \nNo stable MS/MS, so used MS\nMontired 4+ ion\n        \n25-1000ng/mL with 1/y weighting. 1/y places more emphasis on the lower concentrations.\n        \nMade calibrants in plasma to prevent binding.  Bound lots in water. Less 10\u00b5m BSA which used as recovery reference solution. Glass tubes didn't have improved binding characteristics. Losses also experienced to membranes commonly used in filters to remove particualtes prior to LC-MS/MS.\n        \nExtracted by infusing ACN. 300\u00b5l for 150\u00b5l plasma. Found slow infusions prevented clumping that lead to variable recovery. Slow leads to finer precipitate.\n        \n No singnificant  binding over 20hrs in recon (80/20/0.2/0.2 Water/ACN/AA/TFA)\n        \n5\u00b5m particle size, 0.2% aa with 0.02% TFA in water/ acetonitrile, 23-38% over 8 mins, then 95% column flush.\n        \nHad to inject several blanks to stabilise. Else retention time increases ( normally expect it would decrease). Suggested due to plasma binding on column and adhering to glucagon.\n        \nNo IS used. Analog IS made things worse.\n        \nLiterature value for elimation phase halflife is 3.3minutes. In rat samples analysed they similalry found 2.3minutes.\n        \nSuggested wth IS could get to 5ng/mL.", "page" : "700-5", "title" : "Quantitation of the large polypeptide glucagon by protein precipitation and LC/MS.", "type" : "article-journal", "volume" : "18" }, "uris" : [ "http://www.mendeley.com/documents/?uuid=19d3db5f-604a-4646-8c8e-4e8f47ab5202" ] } ], "mendeley" : { "previouslyFormattedCitation" : "[9]" }, "properties" : { "noteIndex" : 0 }, "schema" : "https://github.com/citation-style-language/schema/raw/master/csl-citation.json" }</w:instrText>
      </w:r>
      <w:r w:rsidR="001B586C">
        <w:rPr>
          <w:rFonts w:ascii="Times New Roman" w:hAnsi="Times New Roman" w:cs="Times New Roman"/>
          <w:sz w:val="24"/>
          <w:szCs w:val="24"/>
        </w:rPr>
        <w:fldChar w:fldCharType="separate"/>
      </w:r>
      <w:r w:rsidR="00EC3CF8" w:rsidRPr="00EC3CF8">
        <w:rPr>
          <w:rFonts w:ascii="Times New Roman" w:hAnsi="Times New Roman" w:cs="Times New Roman"/>
          <w:noProof/>
          <w:sz w:val="24"/>
          <w:szCs w:val="24"/>
        </w:rPr>
        <w:t>[9]</w:t>
      </w:r>
      <w:r w:rsidR="001B586C">
        <w:rPr>
          <w:rFonts w:ascii="Times New Roman" w:hAnsi="Times New Roman" w:cs="Times New Roman"/>
          <w:sz w:val="24"/>
          <w:szCs w:val="24"/>
        </w:rPr>
        <w:fldChar w:fldCharType="end"/>
      </w:r>
      <w:r w:rsidR="00A9397D">
        <w:rPr>
          <w:rFonts w:ascii="Times New Roman" w:hAnsi="Times New Roman" w:cs="Times New Roman"/>
          <w:sz w:val="24"/>
          <w:szCs w:val="24"/>
        </w:rPr>
        <w:t xml:space="preserve">. </w:t>
      </w:r>
      <w:r w:rsidR="00A9397D" w:rsidRPr="00A9397D">
        <w:rPr>
          <w:rFonts w:ascii="Arial" w:hAnsi="Arial" w:cs="Arial"/>
        </w:rPr>
        <w:t xml:space="preserve">The </w:t>
      </w:r>
      <w:r>
        <w:rPr>
          <w:rFonts w:ascii="Arial" w:hAnsi="Arial" w:cs="Arial"/>
        </w:rPr>
        <w:t>6% BSA</w:t>
      </w:r>
      <w:r w:rsidR="001B0E30">
        <w:rPr>
          <w:rFonts w:ascii="Arial" w:hAnsi="Arial" w:cs="Arial"/>
        </w:rPr>
        <w:t xml:space="preserve"> (aq)</w:t>
      </w:r>
      <w:r>
        <w:rPr>
          <w:rFonts w:ascii="Arial" w:hAnsi="Arial" w:cs="Arial"/>
        </w:rPr>
        <w:t xml:space="preserve"> </w:t>
      </w:r>
      <w:r w:rsidR="00A9397D">
        <w:rPr>
          <w:rFonts w:ascii="Arial" w:hAnsi="Arial" w:cs="Arial"/>
        </w:rPr>
        <w:t>matrix</w:t>
      </w:r>
      <w:r w:rsidR="001A5BC8">
        <w:rPr>
          <w:rFonts w:ascii="Arial" w:hAnsi="Arial" w:cs="Arial"/>
        </w:rPr>
        <w:t xml:space="preserve">, selected to minimise non-specific binding in </w:t>
      </w:r>
      <w:r w:rsidR="00576120">
        <w:rPr>
          <w:rFonts w:ascii="Arial" w:hAnsi="Arial" w:cs="Arial"/>
        </w:rPr>
        <w:t>solvent</w:t>
      </w:r>
      <w:r w:rsidR="00A9397D">
        <w:rPr>
          <w:rFonts w:ascii="Arial" w:hAnsi="Arial" w:cs="Arial"/>
        </w:rPr>
        <w:t xml:space="preserve"> led to a very high background noise, whilst the </w:t>
      </w:r>
      <w:r>
        <w:rPr>
          <w:rFonts w:ascii="Arial" w:hAnsi="Arial" w:cs="Arial"/>
        </w:rPr>
        <w:t>6% rat plasma</w:t>
      </w:r>
      <w:r w:rsidR="001B0E30">
        <w:rPr>
          <w:rFonts w:ascii="Arial" w:hAnsi="Arial" w:cs="Arial"/>
        </w:rPr>
        <w:t xml:space="preserve"> (aq)</w:t>
      </w:r>
      <w:r>
        <w:rPr>
          <w:rFonts w:ascii="Arial" w:hAnsi="Arial" w:cs="Arial"/>
        </w:rPr>
        <w:t xml:space="preserve"> </w:t>
      </w:r>
      <w:r w:rsidR="00A9397D">
        <w:rPr>
          <w:rFonts w:ascii="Arial" w:hAnsi="Arial" w:cs="Arial"/>
        </w:rPr>
        <w:t>led to poor calibration line accuracy</w:t>
      </w:r>
      <w:r w:rsidR="00835A0F">
        <w:rPr>
          <w:rFonts w:ascii="Arial" w:hAnsi="Arial" w:cs="Arial"/>
        </w:rPr>
        <w:t xml:space="preserve"> against prepared concentrations</w:t>
      </w:r>
      <w:r w:rsidR="00A9397D">
        <w:rPr>
          <w:rFonts w:ascii="Arial" w:hAnsi="Arial" w:cs="Arial"/>
        </w:rPr>
        <w:t>.</w:t>
      </w:r>
      <w:r w:rsidR="00B777EA">
        <w:rPr>
          <w:rFonts w:ascii="Arial" w:hAnsi="Arial" w:cs="Arial"/>
        </w:rPr>
        <w:t xml:space="preserve"> </w:t>
      </w:r>
      <w:r w:rsidR="00E965A5">
        <w:rPr>
          <w:rFonts w:ascii="Arial" w:hAnsi="Arial" w:cs="Arial"/>
        </w:rPr>
        <w:t xml:space="preserve">It was therefore decided to </w:t>
      </w:r>
      <w:r w:rsidR="0083549C">
        <w:rPr>
          <w:rFonts w:ascii="Arial" w:hAnsi="Arial" w:cs="Arial"/>
        </w:rPr>
        <w:t>use</w:t>
      </w:r>
      <w:r w:rsidR="00E965A5">
        <w:rPr>
          <w:rFonts w:ascii="Arial" w:hAnsi="Arial" w:cs="Arial"/>
        </w:rPr>
        <w:t xml:space="preserve"> </w:t>
      </w:r>
      <w:r w:rsidR="001B0E30">
        <w:rPr>
          <w:rFonts w:ascii="Arial" w:hAnsi="Arial" w:cs="Arial"/>
        </w:rPr>
        <w:t xml:space="preserve">MeOH: </w:t>
      </w:r>
      <w:r w:rsidR="00591934">
        <w:rPr>
          <w:rFonts w:ascii="Arial" w:hAnsi="Arial" w:cs="Arial"/>
        </w:rPr>
        <w:t>H</w:t>
      </w:r>
      <w:r w:rsidR="00591934" w:rsidRPr="00C657F7">
        <w:rPr>
          <w:rFonts w:ascii="Arial" w:hAnsi="Arial" w:cs="Arial"/>
          <w:vertAlign w:val="subscript"/>
        </w:rPr>
        <w:t>2</w:t>
      </w:r>
      <w:r w:rsidR="00591934">
        <w:rPr>
          <w:rFonts w:ascii="Arial" w:hAnsi="Arial" w:cs="Arial"/>
        </w:rPr>
        <w:t>O</w:t>
      </w:r>
      <w:r w:rsidR="001B0E30">
        <w:rPr>
          <w:rFonts w:ascii="Arial" w:hAnsi="Arial" w:cs="Arial"/>
        </w:rPr>
        <w:t>: FA: BSA (20:80:0.1:0.1</w:t>
      </w:r>
      <w:r w:rsidR="00BA3EC5">
        <w:rPr>
          <w:rFonts w:ascii="Arial" w:hAnsi="Arial" w:cs="Arial"/>
        </w:rPr>
        <w:t>, v/v/v</w:t>
      </w:r>
      <w:r w:rsidR="0027715F">
        <w:rPr>
          <w:rFonts w:ascii="Arial" w:hAnsi="Arial" w:cs="Arial"/>
        </w:rPr>
        <w:t>/w</w:t>
      </w:r>
      <w:r w:rsidR="001B0E30">
        <w:rPr>
          <w:rFonts w:ascii="Arial" w:hAnsi="Arial" w:cs="Arial"/>
        </w:rPr>
        <w:t xml:space="preserve">) </w:t>
      </w:r>
      <w:r w:rsidR="00E965A5">
        <w:rPr>
          <w:rFonts w:ascii="Arial" w:hAnsi="Arial" w:cs="Arial"/>
        </w:rPr>
        <w:t>as the surrogate matrix</w:t>
      </w:r>
      <w:r w:rsidR="0073740D">
        <w:rPr>
          <w:rFonts w:ascii="Arial" w:hAnsi="Arial" w:cs="Arial"/>
        </w:rPr>
        <w:t>,</w:t>
      </w:r>
      <w:r w:rsidR="00B96C82">
        <w:rPr>
          <w:rFonts w:ascii="Arial" w:hAnsi="Arial" w:cs="Arial"/>
        </w:rPr>
        <w:t xml:space="preserve"> </w:t>
      </w:r>
      <w:r w:rsidR="00E965A5">
        <w:rPr>
          <w:rFonts w:ascii="Arial" w:hAnsi="Arial" w:cs="Arial"/>
        </w:rPr>
        <w:t>but</w:t>
      </w:r>
      <w:r w:rsidR="001B0E30">
        <w:rPr>
          <w:rFonts w:ascii="Arial" w:hAnsi="Arial" w:cs="Arial"/>
        </w:rPr>
        <w:t xml:space="preserve"> not to extract </w:t>
      </w:r>
      <w:r w:rsidR="00262C7E">
        <w:rPr>
          <w:rFonts w:ascii="Arial" w:hAnsi="Arial" w:cs="Arial"/>
        </w:rPr>
        <w:t>samples prepared in this</w:t>
      </w:r>
      <w:r w:rsidR="001B0E30">
        <w:rPr>
          <w:rFonts w:ascii="Arial" w:hAnsi="Arial" w:cs="Arial"/>
        </w:rPr>
        <w:t>, in order to prevent large losses</w:t>
      </w:r>
      <w:r w:rsidR="00E965A5">
        <w:rPr>
          <w:rFonts w:ascii="Arial" w:hAnsi="Arial" w:cs="Arial"/>
        </w:rPr>
        <w:t xml:space="preserve"> by</w:t>
      </w:r>
      <w:r w:rsidR="001B0E30">
        <w:rPr>
          <w:rFonts w:ascii="Arial" w:hAnsi="Arial" w:cs="Arial"/>
        </w:rPr>
        <w:t xml:space="preserve"> nonspecific</w:t>
      </w:r>
      <w:r w:rsidR="00262C7E">
        <w:rPr>
          <w:rFonts w:ascii="Arial" w:hAnsi="Arial" w:cs="Arial"/>
        </w:rPr>
        <w:t xml:space="preserve"> binding</w:t>
      </w:r>
      <w:r w:rsidR="001B0E30">
        <w:rPr>
          <w:rFonts w:ascii="Arial" w:hAnsi="Arial" w:cs="Arial"/>
        </w:rPr>
        <w:t>.</w:t>
      </w:r>
      <w:r w:rsidR="00591934">
        <w:rPr>
          <w:rFonts w:ascii="Arial" w:hAnsi="Arial" w:cs="Arial"/>
        </w:rPr>
        <w:t xml:space="preserve"> </w:t>
      </w:r>
      <w:r w:rsidR="001B0E30">
        <w:rPr>
          <w:rFonts w:ascii="Arial" w:hAnsi="Arial" w:cs="Arial"/>
        </w:rPr>
        <w:t xml:space="preserve">Whilst </w:t>
      </w:r>
      <w:r w:rsidR="006F68D4">
        <w:rPr>
          <w:rFonts w:ascii="Arial" w:hAnsi="Arial" w:cs="Arial"/>
        </w:rPr>
        <w:t>plasma samples require extraction, their high protein content prevents binding and the use of an internal standard was expected to take into account recovery differences between the surrogate matrix calibrants (which will necessarily have recovery of 100%</w:t>
      </w:r>
      <w:r w:rsidR="00262C7E">
        <w:rPr>
          <w:rFonts w:ascii="Arial" w:hAnsi="Arial" w:cs="Arial"/>
        </w:rPr>
        <w:t xml:space="preserve"> for the analyte and IS</w:t>
      </w:r>
      <w:r w:rsidR="006F68D4">
        <w:rPr>
          <w:rFonts w:ascii="Arial" w:hAnsi="Arial" w:cs="Arial"/>
        </w:rPr>
        <w:t>) and</w:t>
      </w:r>
      <w:r w:rsidR="001B0E30">
        <w:rPr>
          <w:rFonts w:ascii="Arial" w:hAnsi="Arial" w:cs="Arial"/>
        </w:rPr>
        <w:t xml:space="preserve"> the extracted</w:t>
      </w:r>
      <w:r w:rsidR="00D17D11">
        <w:rPr>
          <w:rFonts w:ascii="Arial" w:hAnsi="Arial" w:cs="Arial"/>
        </w:rPr>
        <w:t xml:space="preserve"> plasma samples. The internal standard was also expected to take in to account the differences in matrix effect between the two matrices</w:t>
      </w:r>
      <w:r w:rsidR="000261A4">
        <w:rPr>
          <w:rFonts w:ascii="Arial" w:hAnsi="Arial" w:cs="Arial"/>
        </w:rPr>
        <w:t>, as well as any small</w:t>
      </w:r>
      <w:r w:rsidR="00015718">
        <w:rPr>
          <w:rFonts w:ascii="Arial" w:hAnsi="Arial" w:cs="Arial"/>
        </w:rPr>
        <w:t xml:space="preserve"> losses that occurred due to</w:t>
      </w:r>
      <w:r w:rsidR="000261A4">
        <w:rPr>
          <w:rFonts w:ascii="Arial" w:hAnsi="Arial" w:cs="Arial"/>
        </w:rPr>
        <w:t xml:space="preserve"> non-specific </w:t>
      </w:r>
      <w:r w:rsidR="00015718">
        <w:rPr>
          <w:rFonts w:ascii="Arial" w:hAnsi="Arial" w:cs="Arial"/>
        </w:rPr>
        <w:t>binding that occurred in the</w:t>
      </w:r>
      <w:r w:rsidR="000261A4">
        <w:rPr>
          <w:rFonts w:ascii="Arial" w:hAnsi="Arial" w:cs="Arial"/>
        </w:rPr>
        <w:t xml:space="preserve"> </w:t>
      </w:r>
      <w:r w:rsidR="00015718">
        <w:rPr>
          <w:rFonts w:ascii="Arial" w:hAnsi="Arial" w:cs="Arial"/>
        </w:rPr>
        <w:t>injection plate.</w:t>
      </w:r>
      <w:r w:rsidR="00576120">
        <w:rPr>
          <w:rFonts w:ascii="Arial" w:hAnsi="Arial" w:cs="Arial"/>
        </w:rPr>
        <w:t xml:space="preserve"> Whilst the buffer solution selected as the surrogate matrix is of quite a different nature to the plasma samples, assays for small </w:t>
      </w:r>
      <w:r w:rsidR="001B586C">
        <w:rPr>
          <w:rFonts w:ascii="Arial" w:hAnsi="Arial" w:cs="Arial"/>
        </w:rPr>
        <w:fldChar w:fldCharType="begin" w:fldLock="1"/>
      </w:r>
      <w:r w:rsidR="00261C24">
        <w:rPr>
          <w:rFonts w:ascii="Arial" w:hAnsi="Arial" w:cs="Arial"/>
        </w:rPr>
        <w:instrText>ADDIN CSL_CITATION { "citationItems" : [ { "id" : "ITEM-1", "itemData" : { "DOI" : "10.4155/bio.09.139", "ISSN" : "1757-6199", "PMID" : "21083084", "abstract" : "While the regulatory guidelines that describe the validation requirements for small molecules are very comprehensive, they are written primarily for xenobiotic drug molecules. However, the presence of endogenous analyte in control matrix presents an added analytical challenge that must be overcome if small-molecule biomarker assays are to be developed and characterized, especially where downregulation of analyte concentrations is expected.", "author" : [ { "dropping-particle" : "", "family" : "Houghton", "given" : "Richard", "non-dropping-particle" : "", "parse-names" : false, "suffix" : "" }, { "dropping-particle" : "", "family" : "Horro Pita", "given" : "Catarina", "non-dropping-particle" : "", "parse-names" : false, "suffix" : "" }, { "dropping-particle" : "", "family" : "Ward", "given" : "Ian", "non-dropping-particle" : "", "parse-names" : false, "suffix" : "" }, { "dropping-particle" : "", "family" : "Macarthur", "given" : "Roy", "non-dropping-particle" : "", "parse-names" : false, "suffix" : "" } ], "container-title" : "Bioanalysis", "id" : "ITEM-1", "issue" : "8", "issued" : { "date-parts" : [ [ "2009", "11" ] ] }, "note" : "Biomarker using surrogate matricies.\n      ", "page" : "1365-74", "title" : "Generic approach to validation of small-molecule LC-MS/MS biomarker assays.", "type" : "article-journal", "volume" : "1" }, "uris" : [ "http://www.mendeley.com/documents/?uuid=965e12cf-a004-4fd5-9c14-8b3a1ac7c364" ] } ], "mendeley" : { "previouslyFormattedCitation" : "[34]" }, "properties" : { "noteIndex" : 0 }, "schema" : "https://github.com/citation-style-language/schema/raw/master/csl-citation.json" }</w:instrText>
      </w:r>
      <w:r w:rsidR="001B586C">
        <w:rPr>
          <w:rFonts w:ascii="Arial" w:hAnsi="Arial" w:cs="Arial"/>
        </w:rPr>
        <w:fldChar w:fldCharType="separate"/>
      </w:r>
      <w:r w:rsidR="00261C24" w:rsidRPr="00261C24">
        <w:rPr>
          <w:rFonts w:ascii="Arial" w:hAnsi="Arial" w:cs="Arial"/>
          <w:noProof/>
        </w:rPr>
        <w:t>[34]</w:t>
      </w:r>
      <w:r w:rsidR="001B586C">
        <w:rPr>
          <w:rFonts w:ascii="Arial" w:hAnsi="Arial" w:cs="Arial"/>
        </w:rPr>
        <w:fldChar w:fldCharType="end"/>
      </w:r>
      <w:r w:rsidR="00576120">
        <w:rPr>
          <w:rFonts w:ascii="Arial" w:hAnsi="Arial" w:cs="Arial"/>
        </w:rPr>
        <w:t xml:space="preserve"> and large molecules </w:t>
      </w:r>
      <w:r w:rsidR="001B586C">
        <w:rPr>
          <w:rFonts w:ascii="Arial" w:hAnsi="Arial" w:cs="Arial"/>
        </w:rPr>
        <w:fldChar w:fldCharType="begin" w:fldLock="1"/>
      </w:r>
      <w:r w:rsidR="00261C24">
        <w:rPr>
          <w:rFonts w:ascii="Arial" w:hAnsi="Arial" w:cs="Arial"/>
        </w:rPr>
        <w:instrText>ADDIN CSL_CITATION { "citationItems" : [ { "id" : "ITEM-1", "itemData" : { "DOI" : "10.4155/bio.09.130", "ISSN" : "1757-6199", "PMID" : "21083095", "abstract" : "Protein drug development and biomarkers share common bioanalytical technologies that are applied for different purposes. A fit-for-purpose approach should be used for biomarker assays at various stages of novel biomarker development and their application to drug development. Biomarker quantifications can be absolute or relative, depending upon the characteristics of the standard curve, which include the reference standard, substituted matrix and parallelism. Appropriate method-validation experiments should be carried out on sample collection, relative accuracy and precision, range finding, parallelism, selectivity, specificity and stability in order to meet the need for exploratory or advanced application that is specified for a study. The interaction of a biotherapeutic with the target ligand or inter-related biomarkers should be taken into consideration for method platform choice and validation. Direct adoption of commercial diagnostic kits can produce confounding data. Therefore, kit comparison, modification and appropriate validation experiments are often carried out to meet the specific purpose for drug development. Multiplex assays and physicochemical methods can complement the single-analyte ligand-binding assay for protein drugs and biomarkers.", "author" : [ { "dropping-particle" : "", "family" : "Lee", "given" : "Jean W", "non-dropping-particle" : "", "parse-names" : false, "suffix" : "" } ], "container-title" : "Bioanalysis", "id" : "ITEM-1", "issue" : "8", "issued" : { "date-parts" : [ [ "2009", "11" ] ] }, "page" : "1461-74", "title" : "Method validation and application of protein biomarkers: basic similarities and differences from biotherapeutics.", "type" : "article-journal", "volume" : "1" }, "uris" : [ "http://www.mendeley.com/documents/?uuid=98d00da5-2ce0-4ba1-b9a6-b4212165a468" ] } ], "mendeley" : { "previouslyFormattedCitation" : "[18]"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[18]</w:t>
      </w:r>
      <w:r w:rsidR="001B586C">
        <w:rPr>
          <w:rFonts w:ascii="Arial" w:hAnsi="Arial" w:cs="Arial"/>
        </w:rPr>
        <w:fldChar w:fldCharType="end"/>
      </w:r>
      <w:r w:rsidR="00576120">
        <w:rPr>
          <w:rFonts w:ascii="Arial" w:hAnsi="Arial" w:cs="Arial"/>
        </w:rPr>
        <w:t xml:space="preserve">  have been successfully validated using such</w:t>
      </w:r>
      <w:r w:rsidR="003323C0">
        <w:rPr>
          <w:rFonts w:ascii="Arial" w:hAnsi="Arial" w:cs="Arial"/>
        </w:rPr>
        <w:t xml:space="preserve"> an approach, and the</w:t>
      </w:r>
      <w:r w:rsidR="00576120">
        <w:rPr>
          <w:rFonts w:ascii="Arial" w:hAnsi="Arial" w:cs="Arial"/>
        </w:rPr>
        <w:t xml:space="preserve"> validation experiments described later in this manuscript fully assess </w:t>
      </w:r>
      <w:r w:rsidR="003323C0">
        <w:rPr>
          <w:rFonts w:ascii="Arial" w:hAnsi="Arial" w:cs="Arial"/>
        </w:rPr>
        <w:t>the</w:t>
      </w:r>
      <w:r w:rsidR="00576120">
        <w:rPr>
          <w:rFonts w:ascii="Arial" w:hAnsi="Arial" w:cs="Arial"/>
        </w:rPr>
        <w:t xml:space="preserve"> assay’s performance. </w:t>
      </w:r>
      <w:r w:rsidR="003323C0">
        <w:rPr>
          <w:rFonts w:ascii="Arial" w:hAnsi="Arial" w:cs="Arial"/>
        </w:rPr>
        <w:t xml:space="preserve"> It was decided to proceed with this approach rather than investigate alternative matrices such as charcoal stripped plasma.   </w:t>
      </w:r>
      <w:r w:rsidR="0073740D">
        <w:rPr>
          <w:rFonts w:ascii="Arial" w:hAnsi="Arial" w:cs="Arial"/>
        </w:rPr>
        <w:t>It has been suggested</w:t>
      </w:r>
      <w:r w:rsidR="00262C7E">
        <w:rPr>
          <w:rFonts w:ascii="Arial" w:hAnsi="Arial" w:cs="Arial"/>
        </w:rPr>
        <w:t xml:space="preserve"> that when a surrogate matrix approach is used that </w:t>
      </w:r>
      <w:r w:rsidR="00516EC6">
        <w:rPr>
          <w:rFonts w:ascii="Arial" w:hAnsi="Arial" w:cs="Arial"/>
        </w:rPr>
        <w:t>aliquots</w:t>
      </w:r>
      <w:r w:rsidR="00CD38A9">
        <w:rPr>
          <w:rFonts w:ascii="Arial" w:hAnsi="Arial" w:cs="Arial"/>
        </w:rPr>
        <w:t xml:space="preserve"> of the authentic matrix</w:t>
      </w:r>
      <w:r w:rsidR="0073740D">
        <w:rPr>
          <w:rFonts w:ascii="Arial" w:hAnsi="Arial" w:cs="Arial"/>
        </w:rPr>
        <w:t xml:space="preserve"> containing the endogenous analyte should be used as QC</w:t>
      </w:r>
      <w:r w:rsidR="00262C7E">
        <w:rPr>
          <w:rFonts w:ascii="Arial" w:hAnsi="Arial" w:cs="Arial"/>
        </w:rPr>
        <w:t xml:space="preserve"> </w:t>
      </w:r>
      <w:r w:rsidR="0073740D">
        <w:rPr>
          <w:rFonts w:ascii="Arial" w:hAnsi="Arial" w:cs="Arial"/>
        </w:rPr>
        <w:t>MED</w:t>
      </w:r>
      <w:r w:rsidR="00516EC6">
        <w:rPr>
          <w:rFonts w:ascii="Arial" w:hAnsi="Arial" w:cs="Arial"/>
        </w:rPr>
        <w:t xml:space="preserve"> samples and</w:t>
      </w:r>
      <w:r w:rsidR="001B0E30">
        <w:rPr>
          <w:rFonts w:ascii="Arial" w:hAnsi="Arial" w:cs="Arial"/>
        </w:rPr>
        <w:t xml:space="preserve"> </w:t>
      </w:r>
      <w:r w:rsidR="00CD38A9">
        <w:rPr>
          <w:rFonts w:ascii="Arial" w:hAnsi="Arial" w:cs="Arial"/>
        </w:rPr>
        <w:t xml:space="preserve">QC HIGH </w:t>
      </w:r>
      <w:r w:rsidR="001B0E30">
        <w:rPr>
          <w:rFonts w:ascii="Arial" w:hAnsi="Arial" w:cs="Arial"/>
        </w:rPr>
        <w:t>samples</w:t>
      </w:r>
      <w:r w:rsidR="00262C7E">
        <w:rPr>
          <w:rFonts w:ascii="Arial" w:hAnsi="Arial" w:cs="Arial"/>
        </w:rPr>
        <w:t xml:space="preserve"> should be</w:t>
      </w:r>
      <w:r w:rsidR="001B0E30">
        <w:rPr>
          <w:rFonts w:ascii="Arial" w:hAnsi="Arial" w:cs="Arial"/>
        </w:rPr>
        <w:t xml:space="preserve"> prepared </w:t>
      </w:r>
      <w:r w:rsidR="00516EC6">
        <w:rPr>
          <w:rFonts w:ascii="Arial" w:hAnsi="Arial" w:cs="Arial"/>
        </w:rPr>
        <w:t xml:space="preserve">by spiking analyte </w:t>
      </w:r>
      <w:r w:rsidR="00DE0A62">
        <w:rPr>
          <w:rFonts w:ascii="Arial" w:hAnsi="Arial" w:cs="Arial"/>
        </w:rPr>
        <w:t>in addition to</w:t>
      </w:r>
      <w:r w:rsidR="00516EC6">
        <w:rPr>
          <w:rFonts w:ascii="Arial" w:hAnsi="Arial" w:cs="Arial"/>
        </w:rPr>
        <w:t xml:space="preserve"> this</w:t>
      </w:r>
      <w:r w:rsidR="00DE0A62">
        <w:rPr>
          <w:rFonts w:ascii="Arial" w:hAnsi="Arial" w:cs="Arial"/>
        </w:rPr>
        <w:t xml:space="preserve"> endogenous</w:t>
      </w:r>
      <w:r w:rsidR="00516EC6">
        <w:rPr>
          <w:rFonts w:ascii="Arial" w:hAnsi="Arial" w:cs="Arial"/>
        </w:rPr>
        <w:t xml:space="preserve"> level</w:t>
      </w:r>
      <w:r w:rsidR="001B0E30">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"10.4155/bio.09.139", "ISSN" : "1757-6199", "PMID" : "21083084", "abstract" : "While the regulatory guidelines that describe the validation requirements for small molecules are very comprehensive, they are written primarily for xenobiotic drug molecules. However, the presence of endogenous analyte in control matrix presents an added analytical challenge that must be overcome if small-molecule biomarker assays are to be developed and characterized, especially where downregulation of analyte concentrations is expected.", "author" : [ { "dropping-particle" : "", "family" : "Houghton", "given" : "Richard", "non-dropping-particle" : "", "parse-names" : false, "suffix" : "" }, { "dropping-particle" : "", "family" : "Horro Pita", "given" : "Catarina", "non-dropping-particle" : "", "parse-names" : false, "suffix" : "" }, { "dropping-particle" : "", "family" : "Ward", "given" : "Ian", "non-dropping-particle" : "", "parse-names" : false, "suffix" : "" }, { "dropping-particle" : "", "family" : "Macarthur", "given" : "Roy", "non-dropping-particle" : "", "parse-names" : false, "suffix" : "" } ], "container-title" : "Bioanalysis", "id" : "ITEM-1", "issue" : "8", "issued" : { "date-parts" : [ [ "2009", "11" ] ] }, "note" : "Biomarker using surrogate matricies.\n      ", "page" : "1365-74", "title" : "Generic approach to validation of small-molecule LC-MS/MS biomarker assays.", "type" : "article-journal", "volume" : "1" }, "uris" : [ "http://www.mendeley.com/documents/?uuid=965e12cf-a004-4fd5-9c14-8b3a1ac7c364" ] } ], "mendeley" : { "previouslyFormattedCitation" : "[34]" }, "properties" : { "noteIndex" : 0 }, "schema" : "https://github.com/citation-style-language/schema/raw/master/csl-citation.json" }</w:instrText>
      </w:r>
      <w:r w:rsidR="001B586C">
        <w:rPr>
          <w:rFonts w:ascii="Arial" w:hAnsi="Arial" w:cs="Arial"/>
        </w:rPr>
        <w:fldChar w:fldCharType="separate"/>
      </w:r>
      <w:r w:rsidR="00261C24" w:rsidRPr="00261C24">
        <w:rPr>
          <w:rFonts w:ascii="Arial" w:hAnsi="Arial" w:cs="Arial"/>
          <w:noProof/>
        </w:rPr>
        <w:t>[34]</w:t>
      </w:r>
      <w:r w:rsidR="001B586C">
        <w:rPr>
          <w:rFonts w:ascii="Arial" w:hAnsi="Arial" w:cs="Arial"/>
        </w:rPr>
        <w:fldChar w:fldCharType="end"/>
      </w:r>
      <w:r w:rsidR="00516EC6">
        <w:rPr>
          <w:rFonts w:ascii="Arial" w:hAnsi="Arial" w:cs="Arial"/>
        </w:rPr>
        <w:t>.</w:t>
      </w:r>
      <w:r w:rsidR="00CD38A9">
        <w:rPr>
          <w:rFonts w:ascii="Arial" w:hAnsi="Arial" w:cs="Arial"/>
        </w:rPr>
        <w:t>QC LOW samples</w:t>
      </w:r>
      <w:r w:rsidR="001B0E30">
        <w:rPr>
          <w:rFonts w:ascii="Arial" w:hAnsi="Arial" w:cs="Arial"/>
        </w:rPr>
        <w:t xml:space="preserve"> are then</w:t>
      </w:r>
      <w:r w:rsidR="00CD38A9">
        <w:rPr>
          <w:rFonts w:ascii="Arial" w:hAnsi="Arial" w:cs="Arial"/>
        </w:rPr>
        <w:t xml:space="preserve"> made by diluting authentic matrix with surrogate matrix, and </w:t>
      </w:r>
      <w:r w:rsidR="00262C7E">
        <w:rPr>
          <w:rFonts w:ascii="Arial" w:hAnsi="Arial" w:cs="Arial"/>
        </w:rPr>
        <w:br/>
      </w:r>
      <w:r w:rsidR="00CD38A9">
        <w:rPr>
          <w:rFonts w:ascii="Arial" w:hAnsi="Arial" w:cs="Arial"/>
        </w:rPr>
        <w:t xml:space="preserve">QC LLOQ samples </w:t>
      </w:r>
      <w:r w:rsidR="001B0E30">
        <w:rPr>
          <w:rFonts w:ascii="Arial" w:hAnsi="Arial" w:cs="Arial"/>
        </w:rPr>
        <w:t>prepared in pure</w:t>
      </w:r>
      <w:r w:rsidR="00CD38A9">
        <w:rPr>
          <w:rFonts w:ascii="Arial" w:hAnsi="Arial" w:cs="Arial"/>
        </w:rPr>
        <w:t xml:space="preserve"> surrogate matrix. Unfortunately</w:t>
      </w:r>
      <w:r w:rsidR="0070101B">
        <w:rPr>
          <w:rFonts w:ascii="Arial" w:hAnsi="Arial" w:cs="Arial"/>
        </w:rPr>
        <w:t xml:space="preserve"> this strategy cannot be used for glucagon quantitation due to its</w:t>
      </w:r>
      <w:r w:rsidR="003E7AEF">
        <w:rPr>
          <w:rFonts w:ascii="Arial" w:hAnsi="Arial" w:cs="Arial"/>
        </w:rPr>
        <w:t xml:space="preserve"> relatively</w:t>
      </w:r>
      <w:r w:rsidR="0070101B">
        <w:rPr>
          <w:rFonts w:ascii="Arial" w:hAnsi="Arial" w:cs="Arial"/>
        </w:rPr>
        <w:t xml:space="preserve"> low endogenous levels </w:t>
      </w:r>
      <w:r w:rsidR="00DD7115">
        <w:rPr>
          <w:rFonts w:ascii="Arial" w:hAnsi="Arial" w:cs="Arial"/>
        </w:rPr>
        <w:t>(</w:t>
      </w:r>
      <w:r w:rsidR="00262C7E">
        <w:rPr>
          <w:rFonts w:ascii="Arial" w:hAnsi="Arial" w:cs="Arial"/>
        </w:rPr>
        <w:sym w:font="Symbol" w:char="F07E"/>
      </w:r>
      <w:r w:rsidR="005913EF">
        <w:rPr>
          <w:rFonts w:ascii="Arial" w:hAnsi="Arial" w:cs="Arial"/>
        </w:rPr>
        <w:t>LLOQ to</w:t>
      </w:r>
      <w:r w:rsidR="00DD7115">
        <w:rPr>
          <w:rFonts w:ascii="Arial" w:hAnsi="Arial" w:cs="Arial"/>
        </w:rPr>
        <w:t xml:space="preserve"> </w:t>
      </w:r>
      <w:r w:rsidR="005913EF">
        <w:rPr>
          <w:rFonts w:ascii="Arial" w:hAnsi="Arial" w:cs="Arial"/>
        </w:rPr>
        <w:sym w:font="Symbol" w:char="F07E"/>
      </w:r>
      <w:r w:rsidR="00DD7115">
        <w:rPr>
          <w:rFonts w:ascii="Arial" w:hAnsi="Arial" w:cs="Arial"/>
        </w:rPr>
        <w:t>3x LLOQ)</w:t>
      </w:r>
      <w:r w:rsidR="0070101B">
        <w:rPr>
          <w:rFonts w:ascii="Arial" w:hAnsi="Arial" w:cs="Arial"/>
        </w:rPr>
        <w:t>.</w:t>
      </w:r>
      <w:r w:rsidR="00591934">
        <w:rPr>
          <w:rFonts w:ascii="Arial" w:hAnsi="Arial" w:cs="Arial"/>
        </w:rPr>
        <w:t xml:space="preserve"> </w:t>
      </w:r>
      <w:r w:rsidR="0070101B">
        <w:rPr>
          <w:rFonts w:ascii="Arial" w:hAnsi="Arial" w:cs="Arial"/>
        </w:rPr>
        <w:t>It was</w:t>
      </w:r>
      <w:r w:rsidR="001B0E30">
        <w:rPr>
          <w:rFonts w:ascii="Arial" w:hAnsi="Arial" w:cs="Arial"/>
        </w:rPr>
        <w:t xml:space="preserve"> therefore</w:t>
      </w:r>
      <w:r w:rsidR="0070101B">
        <w:rPr>
          <w:rFonts w:ascii="Arial" w:hAnsi="Arial" w:cs="Arial"/>
        </w:rPr>
        <w:t xml:space="preserve"> decided to construct </w:t>
      </w:r>
      <w:r w:rsidR="005913EF">
        <w:rPr>
          <w:rFonts w:ascii="Arial" w:hAnsi="Arial" w:cs="Arial"/>
        </w:rPr>
        <w:t xml:space="preserve">QC </w:t>
      </w:r>
      <w:r w:rsidR="0070101B">
        <w:rPr>
          <w:rFonts w:ascii="Arial" w:hAnsi="Arial" w:cs="Arial"/>
        </w:rPr>
        <w:t>LOW</w:t>
      </w:r>
      <w:r w:rsidR="005913EF">
        <w:rPr>
          <w:rFonts w:ascii="Arial" w:hAnsi="Arial" w:cs="Arial"/>
        </w:rPr>
        <w:t xml:space="preserve"> using surrogate matrix</w:t>
      </w:r>
      <w:r w:rsidR="0070101B">
        <w:rPr>
          <w:rFonts w:ascii="Arial" w:hAnsi="Arial" w:cs="Arial"/>
        </w:rPr>
        <w:t xml:space="preserve">, and </w:t>
      </w:r>
      <w:r w:rsidR="005913EF">
        <w:rPr>
          <w:rFonts w:ascii="Arial" w:hAnsi="Arial" w:cs="Arial"/>
        </w:rPr>
        <w:t>QC MED and QC HIGH</w:t>
      </w:r>
      <w:r w:rsidR="00DD7115">
        <w:rPr>
          <w:rFonts w:ascii="Arial" w:hAnsi="Arial" w:cs="Arial"/>
        </w:rPr>
        <w:t xml:space="preserve"> </w:t>
      </w:r>
      <w:r w:rsidR="005913EF">
        <w:rPr>
          <w:rFonts w:ascii="Arial" w:hAnsi="Arial" w:cs="Arial"/>
        </w:rPr>
        <w:t>samples</w:t>
      </w:r>
      <w:r w:rsidR="002F2AAF">
        <w:rPr>
          <w:rFonts w:ascii="Arial" w:hAnsi="Arial" w:cs="Arial"/>
        </w:rPr>
        <w:t xml:space="preserve"> were prepared </w:t>
      </w:r>
      <w:r w:rsidR="0070101B">
        <w:rPr>
          <w:rFonts w:ascii="Arial" w:hAnsi="Arial" w:cs="Arial"/>
        </w:rPr>
        <w:t>by spiking analyte on top of the endogenous level in authentic matrix.</w:t>
      </w:r>
      <w:r w:rsidR="00591934">
        <w:rPr>
          <w:rFonts w:ascii="Arial" w:hAnsi="Arial" w:cs="Arial"/>
        </w:rPr>
        <w:t xml:space="preserve"> </w:t>
      </w:r>
      <w:r w:rsidR="000B3CAC">
        <w:rPr>
          <w:rFonts w:ascii="Arial" w:hAnsi="Arial" w:cs="Arial"/>
        </w:rPr>
        <w:t xml:space="preserve">Due to the low endogenous levels it was decided to limit the LOW level to 2 x LLOQ (rather than the 3x LLOQ typically used </w:t>
      </w:r>
      <w:r w:rsidR="001B586C">
        <w:rPr>
          <w:rFonts w:ascii="Arial" w:hAnsi="Arial" w:cs="Arial"/>
        </w:rPr>
        <w:fldChar w:fldCharType="begin" w:fldLock="1"/>
      </w:r>
      <w:r w:rsidR="00261C24">
        <w:rPr>
          <w:rFonts w:ascii="Arial" w:hAnsi="Arial" w:cs="Arial"/>
        </w:rPr>
        <w:instrText>ADDIN CSL_CITATION { "citationItems" : [ { "id" : "ITEM-1", "itemData" : { "id" : "ITEM-1", "issued" : { "date-parts" : [ [ "2012" ] ] }, "title" : "Guideline on bioanalytical method validation, EMA", "type" : "article-journal" }, "uris" : [ "http://www.mendeley.com/documents/?uuid=62ca7abe-b29a-4685-966f-7b286a090e82" ] } ], "mendeley" : { "previouslyFormattedCitation" : "[17]"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[17]</w:t>
      </w:r>
      <w:r w:rsidR="001B586C">
        <w:rPr>
          <w:rFonts w:ascii="Arial" w:hAnsi="Arial" w:cs="Arial"/>
        </w:rPr>
        <w:fldChar w:fldCharType="end"/>
      </w:r>
      <w:r w:rsidR="00262C7E">
        <w:rPr>
          <w:rFonts w:ascii="Arial" w:hAnsi="Arial" w:cs="Arial"/>
        </w:rPr>
        <w:t>.</w:t>
      </w:r>
    </w:p>
    <w:p w:rsidR="00C640BC" w:rsidRDefault="004D4A23" w:rsidP="0044630D">
      <w:pPr>
        <w:spacing w:line="360" w:lineRule="auto"/>
        <w:jc w:val="both"/>
        <w:rPr>
          <w:rFonts w:ascii="Arial" w:hAnsi="Arial" w:cs="Arial"/>
        </w:rPr>
      </w:pPr>
      <w:r w:rsidRPr="0056690F">
        <w:rPr>
          <w:rFonts w:ascii="Arial" w:hAnsi="Arial" w:cs="Arial"/>
        </w:rPr>
        <w:t xml:space="preserve">Human plasma (K3 EDTA) from a commercial supplier was analysed using the assay to determine its suitability as an authentic matrix. As </w:t>
      </w:r>
      <w:r w:rsidR="001B0E30" w:rsidRPr="00DF713F">
        <w:rPr>
          <w:rFonts w:ascii="Arial" w:hAnsi="Arial" w:cs="Arial"/>
        </w:rPr>
        <w:t>shown</w:t>
      </w:r>
      <w:r w:rsidRPr="00DF713F">
        <w:rPr>
          <w:rFonts w:ascii="Arial" w:hAnsi="Arial" w:cs="Arial"/>
        </w:rPr>
        <w:t xml:space="preserve"> in</w:t>
      </w:r>
      <w:r w:rsidR="00202E19">
        <w:rPr>
          <w:rFonts w:ascii="Arial" w:hAnsi="Arial" w:cs="Arial"/>
        </w:rPr>
        <w:t xml:space="preserve"> </w:t>
      </w:r>
      <w:r w:rsidR="00585CC0">
        <w:rPr>
          <w:rFonts w:ascii="Arial" w:hAnsi="Arial" w:cs="Arial"/>
        </w:rPr>
        <w:t>S</w:t>
      </w:r>
      <w:r w:rsidR="00202E19">
        <w:rPr>
          <w:rFonts w:ascii="Arial" w:hAnsi="Arial" w:cs="Arial"/>
        </w:rPr>
        <w:t>upplemental Figure 4</w:t>
      </w:r>
      <w:r w:rsidR="00591934" w:rsidRPr="00DF713F">
        <w:rPr>
          <w:rFonts w:ascii="Arial" w:hAnsi="Arial" w:cs="Arial"/>
        </w:rPr>
        <w:t xml:space="preserve"> </w:t>
      </w:r>
      <w:r w:rsidR="002F5186" w:rsidRPr="00DF713F">
        <w:rPr>
          <w:rFonts w:ascii="Arial" w:hAnsi="Arial" w:cs="Arial"/>
        </w:rPr>
        <w:t>such</w:t>
      </w:r>
      <w:r w:rsidR="00942FCD" w:rsidRPr="00DF713F">
        <w:rPr>
          <w:rFonts w:ascii="Arial" w:hAnsi="Arial" w:cs="Arial"/>
        </w:rPr>
        <w:t xml:space="preserve"> </w:t>
      </w:r>
      <w:r w:rsidRPr="00DF713F">
        <w:rPr>
          <w:rFonts w:ascii="Arial" w:hAnsi="Arial" w:cs="Arial"/>
        </w:rPr>
        <w:t>plasma</w:t>
      </w:r>
      <w:r w:rsidRPr="0056690F">
        <w:rPr>
          <w:rFonts w:ascii="Arial" w:hAnsi="Arial" w:cs="Arial"/>
        </w:rPr>
        <w:t xml:space="preserve"> has a significantly raised background compared to plasma collected fro</w:t>
      </w:r>
      <w:r w:rsidRPr="00A871C8">
        <w:rPr>
          <w:rFonts w:ascii="Arial" w:hAnsi="Arial" w:cs="Arial"/>
        </w:rPr>
        <w:t xml:space="preserve">m </w:t>
      </w:r>
      <w:r w:rsidR="001B0E30" w:rsidRPr="00A871C8">
        <w:rPr>
          <w:rFonts w:ascii="Arial" w:hAnsi="Arial" w:cs="Arial"/>
        </w:rPr>
        <w:t>volunteers</w:t>
      </w:r>
      <w:r w:rsidR="002F5186" w:rsidRPr="00A42EEC">
        <w:rPr>
          <w:rFonts w:ascii="Arial" w:hAnsi="Arial" w:cs="Arial"/>
        </w:rPr>
        <w:t xml:space="preserve"> in house</w:t>
      </w:r>
      <w:r w:rsidR="00267B55" w:rsidRPr="00A42EEC">
        <w:rPr>
          <w:rFonts w:ascii="Arial" w:hAnsi="Arial" w:cs="Arial"/>
        </w:rPr>
        <w:t>.</w:t>
      </w:r>
      <w:r w:rsidRPr="005741A9">
        <w:rPr>
          <w:rFonts w:ascii="Arial" w:hAnsi="Arial" w:cs="Arial"/>
        </w:rPr>
        <w:t xml:space="preserve"> This may be a result of the lack of stabiliser </w:t>
      </w:r>
      <w:r w:rsidR="0049585F" w:rsidRPr="00A813AC">
        <w:rPr>
          <w:rFonts w:ascii="Arial" w:hAnsi="Arial" w:cs="Arial"/>
        </w:rPr>
        <w:t xml:space="preserve">upon </w:t>
      </w:r>
      <w:r w:rsidRPr="00CB7900">
        <w:rPr>
          <w:rFonts w:ascii="Arial" w:hAnsi="Arial" w:cs="Arial"/>
        </w:rPr>
        <w:t xml:space="preserve">collection, </w:t>
      </w:r>
      <w:r w:rsidR="00FE75F3" w:rsidRPr="00983132">
        <w:rPr>
          <w:rFonts w:ascii="Arial" w:hAnsi="Arial" w:cs="Arial"/>
        </w:rPr>
        <w:t xml:space="preserve">the </w:t>
      </w:r>
      <w:r w:rsidRPr="00DB52F3">
        <w:rPr>
          <w:rFonts w:ascii="Arial" w:hAnsi="Arial" w:cs="Arial"/>
        </w:rPr>
        <w:t>age of the plasma and/or storage conditions. The raised background makes it unsuitable fo</w:t>
      </w:r>
      <w:r w:rsidRPr="009E7D6D">
        <w:rPr>
          <w:rFonts w:ascii="Arial" w:hAnsi="Arial" w:cs="Arial"/>
        </w:rPr>
        <w:t>r the construction of QC samples, and therefore it was decid</w:t>
      </w:r>
      <w:r w:rsidR="00FE75F3" w:rsidRPr="00592B0B">
        <w:rPr>
          <w:rFonts w:ascii="Arial" w:hAnsi="Arial" w:cs="Arial"/>
        </w:rPr>
        <w:t>ed to use</w:t>
      </w:r>
      <w:r w:rsidR="00B31762" w:rsidRPr="0056690F">
        <w:rPr>
          <w:rFonts w:ascii="Arial" w:hAnsi="Arial" w:cs="Arial"/>
        </w:rPr>
        <w:t xml:space="preserve"> plasma collected in house</w:t>
      </w:r>
      <w:r w:rsidR="00FE75F3" w:rsidRPr="0056690F">
        <w:rPr>
          <w:rFonts w:ascii="Arial" w:hAnsi="Arial" w:cs="Arial"/>
        </w:rPr>
        <w:t xml:space="preserve"> </w:t>
      </w:r>
      <w:r w:rsidR="00523060" w:rsidRPr="0056690F">
        <w:rPr>
          <w:rFonts w:ascii="Arial" w:hAnsi="Arial" w:cs="Arial"/>
        </w:rPr>
        <w:t>as</w:t>
      </w:r>
      <w:r w:rsidR="00FE75F3" w:rsidRPr="0056690F">
        <w:rPr>
          <w:rFonts w:ascii="Arial" w:hAnsi="Arial" w:cs="Arial"/>
        </w:rPr>
        <w:t xml:space="preserve"> the integrity of these samples could be ensured. </w:t>
      </w:r>
      <w:r w:rsidR="00EB3307">
        <w:rPr>
          <w:rFonts w:ascii="Arial" w:hAnsi="Arial" w:cs="Arial"/>
        </w:rPr>
        <w:t xml:space="preserve"> Similarly</w:t>
      </w:r>
      <w:r w:rsidR="006002CE">
        <w:rPr>
          <w:rFonts w:ascii="Arial" w:hAnsi="Arial" w:cs="Arial"/>
        </w:rPr>
        <w:t>, sample collection and storage regimes for</w:t>
      </w:r>
      <w:r w:rsidR="00751884">
        <w:rPr>
          <w:rFonts w:ascii="Arial" w:hAnsi="Arial" w:cs="Arial"/>
        </w:rPr>
        <w:t xml:space="preserve"> </w:t>
      </w:r>
      <w:r w:rsidR="0033699C">
        <w:rPr>
          <w:rFonts w:ascii="Arial" w:hAnsi="Arial" w:cs="Arial"/>
        </w:rPr>
        <w:t>any clinical</w:t>
      </w:r>
      <w:r w:rsidR="006002CE">
        <w:rPr>
          <w:rFonts w:ascii="Arial" w:hAnsi="Arial" w:cs="Arial"/>
        </w:rPr>
        <w:t xml:space="preserve"> samples should be car</w:t>
      </w:r>
      <w:r w:rsidR="00751884">
        <w:rPr>
          <w:rFonts w:ascii="Arial" w:hAnsi="Arial" w:cs="Arial"/>
        </w:rPr>
        <w:t>efully controlled to ensure their integrity.</w:t>
      </w:r>
    </w:p>
    <w:p w:rsidR="00840223" w:rsidRPr="005D677F" w:rsidRDefault="00840223" w:rsidP="00C050A4">
      <w:pPr>
        <w:rPr>
          <w:rFonts w:ascii="Arial" w:hAnsi="Arial" w:cs="Arial"/>
          <w:i/>
          <w:u w:val="single"/>
        </w:rPr>
      </w:pPr>
      <w:r w:rsidRPr="005D677F">
        <w:rPr>
          <w:rFonts w:ascii="Arial" w:hAnsi="Arial" w:cs="Arial"/>
          <w:i/>
          <w:u w:val="single"/>
        </w:rPr>
        <w:t xml:space="preserve">Validation </w:t>
      </w:r>
    </w:p>
    <w:p w:rsidR="00394AB5" w:rsidRDefault="00194CBE" w:rsidP="00237E4F">
      <w:pPr>
        <w:pStyle w:val="TemplateText"/>
        <w:spacing w:line="360" w:lineRule="auto"/>
        <w:rPr>
          <w:rFonts w:eastAsiaTheme="minorHAnsi" w:cs="Arial"/>
        </w:rPr>
      </w:pPr>
      <w:r>
        <w:rPr>
          <w:rFonts w:eastAsiaTheme="minorHAnsi" w:cs="Arial"/>
        </w:rPr>
        <w:t>T</w:t>
      </w:r>
      <w:r w:rsidRPr="00F66A9F">
        <w:rPr>
          <w:rFonts w:eastAsiaTheme="minorHAnsi" w:cs="Arial"/>
        </w:rPr>
        <w:t>he precision and accuracy of the method was determined by analysis of replicate (n=6) QC samples at four different concentrations</w:t>
      </w:r>
      <w:r w:rsidR="00CC598C">
        <w:rPr>
          <w:rFonts w:eastAsiaTheme="minorHAnsi" w:cs="Arial"/>
        </w:rPr>
        <w:t xml:space="preserve"> (25, 50, 100</w:t>
      </w:r>
      <w:r w:rsidR="00545AD2">
        <w:rPr>
          <w:rFonts w:eastAsiaTheme="minorHAnsi" w:cs="Arial"/>
        </w:rPr>
        <w:t xml:space="preserve"> and 750 pg/mL)</w:t>
      </w:r>
      <w:r w:rsidR="00394AB5">
        <w:rPr>
          <w:rFonts w:eastAsiaTheme="minorHAnsi" w:cs="Arial"/>
        </w:rPr>
        <w:t>. Precision and accuracy was</w:t>
      </w:r>
      <w:r w:rsidR="00394AB5" w:rsidRPr="00F66A9F">
        <w:rPr>
          <w:rFonts w:eastAsiaTheme="minorHAnsi" w:cs="Arial"/>
        </w:rPr>
        <w:t xml:space="preserve"> assessed within a batch (int</w:t>
      </w:r>
      <w:r w:rsidR="00394AB5">
        <w:rPr>
          <w:rFonts w:eastAsiaTheme="minorHAnsi" w:cs="Arial"/>
        </w:rPr>
        <w:t xml:space="preserve">ra-batch, n = 6 replicates) and </w:t>
      </w:r>
      <w:r w:rsidR="00394AB5" w:rsidRPr="00F66A9F">
        <w:rPr>
          <w:rFonts w:eastAsiaTheme="minorHAnsi" w:cs="Arial"/>
        </w:rPr>
        <w:t>between batches (inter-batch, 3 batches). The i</w:t>
      </w:r>
      <w:r w:rsidR="00394AB5">
        <w:rPr>
          <w:rFonts w:eastAsiaTheme="minorHAnsi" w:cs="Arial"/>
        </w:rPr>
        <w:t>ntra- and inter-assay precision did not exceed 20%, nor</w:t>
      </w:r>
      <w:r w:rsidR="00394AB5" w:rsidRPr="00F66A9F">
        <w:rPr>
          <w:rFonts w:eastAsiaTheme="minorHAnsi" w:cs="Arial"/>
        </w:rPr>
        <w:t xml:space="preserve"> </w:t>
      </w:r>
      <w:r w:rsidR="00394AB5">
        <w:rPr>
          <w:rFonts w:eastAsiaTheme="minorHAnsi" w:cs="Arial"/>
        </w:rPr>
        <w:t xml:space="preserve">did </w:t>
      </w:r>
      <w:r w:rsidR="00394AB5" w:rsidRPr="00F66A9F">
        <w:rPr>
          <w:rFonts w:eastAsiaTheme="minorHAnsi" w:cs="Arial"/>
        </w:rPr>
        <w:t xml:space="preserve">the </w:t>
      </w:r>
      <w:r w:rsidR="00394AB5">
        <w:rPr>
          <w:rFonts w:eastAsiaTheme="minorHAnsi" w:cs="Arial"/>
        </w:rPr>
        <w:t>intra- and inter-assay accuracy demonstrating the method was performing robustly</w:t>
      </w:r>
      <w:r w:rsidR="002F5186">
        <w:rPr>
          <w:rFonts w:eastAsiaTheme="minorHAnsi" w:cs="Arial"/>
        </w:rPr>
        <w:t xml:space="preserve"> (</w:t>
      </w:r>
      <w:r w:rsidR="00342B10">
        <w:fldChar w:fldCharType="begin"/>
      </w:r>
      <w:r w:rsidR="00342B10">
        <w:instrText xml:space="preserve"> REF _Ref373692</w:instrText>
      </w:r>
      <w:r w:rsidR="00342B10">
        <w:instrText xml:space="preserve">981 \h  \* MERGEFORMAT </w:instrText>
      </w:r>
      <w:r w:rsidR="00342B10">
        <w:fldChar w:fldCharType="separate"/>
      </w:r>
      <w:r w:rsidR="0020538A" w:rsidRPr="0020538A">
        <w:rPr>
          <w:rFonts w:eastAsiaTheme="minorHAnsi" w:cs="Arial"/>
        </w:rPr>
        <w:t>Table 1</w:t>
      </w:r>
      <w:r w:rsidR="00342B10">
        <w:fldChar w:fldCharType="end"/>
      </w:r>
      <w:r w:rsidR="002F5186">
        <w:rPr>
          <w:rFonts w:eastAsiaTheme="minorHAnsi" w:cs="Arial"/>
        </w:rPr>
        <w:t>)</w:t>
      </w:r>
      <w:r w:rsidR="00394AB5">
        <w:rPr>
          <w:rFonts w:eastAsiaTheme="minorHAnsi" w:cs="Arial"/>
        </w:rPr>
        <w:t>. No carryover after high calibration standards w</w:t>
      </w:r>
      <w:r w:rsidR="00237E4F">
        <w:rPr>
          <w:rFonts w:eastAsiaTheme="minorHAnsi" w:cs="Arial"/>
        </w:rPr>
        <w:t>as</w:t>
      </w:r>
      <w:r w:rsidR="00394AB5">
        <w:rPr>
          <w:rFonts w:eastAsiaTheme="minorHAnsi" w:cs="Arial"/>
        </w:rPr>
        <w:t xml:space="preserve"> observed and no potentially interfering peak</w:t>
      </w:r>
      <w:r w:rsidR="00237E4F">
        <w:rPr>
          <w:rFonts w:eastAsiaTheme="minorHAnsi" w:cs="Arial"/>
        </w:rPr>
        <w:t>s</w:t>
      </w:r>
      <w:r w:rsidR="00394AB5">
        <w:rPr>
          <w:rFonts w:eastAsiaTheme="minorHAnsi" w:cs="Arial"/>
        </w:rPr>
        <w:t xml:space="preserve"> were observed during the selectivity assessment.</w:t>
      </w:r>
      <w:r w:rsidR="00394AB5" w:rsidRPr="005C17DC">
        <w:rPr>
          <w:rFonts w:eastAsiaTheme="minorHAnsi" w:cs="Arial"/>
        </w:rPr>
        <w:t xml:space="preserve"> </w:t>
      </w:r>
      <w:r w:rsidR="00394AB5">
        <w:rPr>
          <w:rFonts w:eastAsiaTheme="minorHAnsi" w:cs="Arial"/>
        </w:rPr>
        <w:t xml:space="preserve">The 10-fold dilution of an over range QC sample </w:t>
      </w:r>
      <w:r w:rsidR="0050450C">
        <w:rPr>
          <w:rFonts w:eastAsiaTheme="minorHAnsi" w:cs="Arial"/>
        </w:rPr>
        <w:t>(7500 pg/mL) with control plasma</w:t>
      </w:r>
      <w:r w:rsidR="00394AB5">
        <w:rPr>
          <w:rFonts w:eastAsiaTheme="minorHAnsi" w:cs="Arial"/>
        </w:rPr>
        <w:t xml:space="preserve"> was used to demonstrate the absence of dilution effects (</w:t>
      </w:r>
      <w:r w:rsidR="003C0C63">
        <w:t>Supplemental Table 1).</w:t>
      </w:r>
    </w:p>
    <w:p w:rsidR="00394AB5" w:rsidRDefault="00394AB5">
      <w:pPr>
        <w:rPr>
          <w:rFonts w:ascii="Arial" w:eastAsia="Times New Roman" w:hAnsi="Arial" w:cs="Times New Roman"/>
          <w:bCs/>
          <w:sz w:val="20"/>
          <w:szCs w:val="20"/>
        </w:rPr>
      </w:pPr>
      <w:bookmarkStart w:id="4" w:name="_Ref360032011"/>
      <w:r>
        <w:rPr>
          <w:b/>
          <w:sz w:val="20"/>
        </w:rPr>
        <w:br w:type="page"/>
      </w:r>
    </w:p>
    <w:p w:rsidR="001575B5" w:rsidRPr="00613B00" w:rsidRDefault="001E10DC" w:rsidP="00613B00">
      <w:pPr>
        <w:pStyle w:val="Caption"/>
        <w:jc w:val="center"/>
        <w:rPr>
          <w:b w:val="0"/>
          <w:sz w:val="20"/>
        </w:rPr>
      </w:pPr>
      <w:bookmarkStart w:id="5" w:name="_Ref373692981"/>
      <w:r w:rsidRPr="000972E9">
        <w:rPr>
          <w:b w:val="0"/>
          <w:sz w:val="20"/>
        </w:rPr>
        <w:t xml:space="preserve">Table </w:t>
      </w:r>
      <w:r w:rsidR="001B586C" w:rsidRPr="000972E9">
        <w:rPr>
          <w:b w:val="0"/>
          <w:sz w:val="20"/>
        </w:rPr>
        <w:fldChar w:fldCharType="begin"/>
      </w:r>
      <w:r w:rsidRPr="000972E9">
        <w:rPr>
          <w:b w:val="0"/>
          <w:sz w:val="20"/>
        </w:rPr>
        <w:instrText xml:space="preserve"> SEQ Table \* ARABIC </w:instrText>
      </w:r>
      <w:r w:rsidR="001B586C" w:rsidRPr="000972E9">
        <w:rPr>
          <w:b w:val="0"/>
          <w:sz w:val="20"/>
        </w:rPr>
        <w:fldChar w:fldCharType="separate"/>
      </w:r>
      <w:r w:rsidR="0020538A">
        <w:rPr>
          <w:b w:val="0"/>
          <w:noProof/>
          <w:sz w:val="20"/>
        </w:rPr>
        <w:t>1</w:t>
      </w:r>
      <w:r w:rsidR="001B586C" w:rsidRPr="000972E9">
        <w:rPr>
          <w:b w:val="0"/>
          <w:sz w:val="20"/>
        </w:rPr>
        <w:fldChar w:fldCharType="end"/>
      </w:r>
      <w:bookmarkEnd w:id="4"/>
      <w:bookmarkEnd w:id="5"/>
      <w:r w:rsidRPr="000972E9">
        <w:rPr>
          <w:b w:val="0"/>
          <w:sz w:val="20"/>
        </w:rPr>
        <w:t xml:space="preserve">- </w:t>
      </w:r>
      <w:r>
        <w:rPr>
          <w:b w:val="0"/>
          <w:sz w:val="20"/>
        </w:rPr>
        <w:t>Intra and inter-assay precision and accuracy of the LC-MS/MS method for the quantita</w:t>
      </w:r>
      <w:r w:rsidR="00055194">
        <w:rPr>
          <w:b w:val="0"/>
          <w:sz w:val="20"/>
        </w:rPr>
        <w:t>t</w:t>
      </w:r>
      <w:r>
        <w:rPr>
          <w:b w:val="0"/>
          <w:sz w:val="20"/>
        </w:rPr>
        <w:t>ion of glucagon in human plasma.</w:t>
      </w:r>
    </w:p>
    <w:tbl>
      <w:tblPr>
        <w:tblW w:w="0" w:type="auto"/>
        <w:jc w:val="center"/>
        <w:tblCellMar>
          <w:left w:w="60" w:type="dxa"/>
          <w:right w:w="60" w:type="dxa"/>
        </w:tblCellMar>
        <w:tblLook w:val="0000" w:firstRow="0" w:lastRow="0" w:firstColumn="0" w:lastColumn="0" w:noHBand="0" w:noVBand="0"/>
      </w:tblPr>
      <w:tblGrid>
        <w:gridCol w:w="876"/>
        <w:gridCol w:w="1432"/>
        <w:gridCol w:w="1298"/>
        <w:gridCol w:w="1298"/>
        <w:gridCol w:w="1243"/>
        <w:gridCol w:w="1243"/>
      </w:tblGrid>
      <w:tr w:rsidR="00D651D0" w:rsidTr="00204B14">
        <w:trPr>
          <w:trHeight w:val="301"/>
          <w:jc w:val="center"/>
        </w:trPr>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 xml:space="preserve">P &amp;A </w:t>
            </w:r>
            <w:r w:rsidRPr="00237E4F">
              <w:rPr>
                <w:rFonts w:ascii="Arial" w:hAnsi="Arial" w:cs="Arial"/>
                <w:b/>
                <w:sz w:val="20"/>
                <w:szCs w:val="20"/>
              </w:rPr>
              <w:br/>
              <w:t>Number</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 xml:space="preserve">QC LLOQ </w:t>
            </w:r>
            <w:r w:rsidRPr="00237E4F">
              <w:rPr>
                <w:rFonts w:ascii="Arial" w:hAnsi="Arial" w:cs="Arial"/>
                <w:b/>
                <w:sz w:val="20"/>
                <w:szCs w:val="20"/>
              </w:rPr>
              <w:br/>
              <w:t>(25.0 pg/mL)</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QC LOW</w:t>
            </w:r>
            <w:r w:rsidRPr="00237E4F">
              <w:rPr>
                <w:rFonts w:ascii="Arial" w:hAnsi="Arial" w:cs="Arial"/>
                <w:b/>
                <w:sz w:val="20"/>
                <w:szCs w:val="20"/>
              </w:rPr>
              <w:br/>
              <w:t>(50.0 pg/mL)</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QC MED</w:t>
            </w:r>
            <w:r w:rsidRPr="00237E4F">
              <w:rPr>
                <w:rFonts w:ascii="Arial" w:hAnsi="Arial" w:cs="Arial"/>
                <w:b/>
                <w:sz w:val="20"/>
                <w:szCs w:val="20"/>
              </w:rPr>
              <w:br/>
              <w:t>(100 pg/mL)</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QC HIGH</w:t>
            </w:r>
            <w:r w:rsidRPr="00237E4F">
              <w:rPr>
                <w:rFonts w:ascii="Arial" w:hAnsi="Arial" w:cs="Arial"/>
                <w:b/>
                <w:sz w:val="20"/>
                <w:szCs w:val="20"/>
              </w:rPr>
              <w:br/>
              <w:t>(750 pg/mL)</w:t>
            </w:r>
          </w:p>
        </w:tc>
      </w:tr>
      <w:tr w:rsidR="00D651D0" w:rsidTr="00204B14">
        <w:trPr>
          <w:trHeight w:hRule="exact" w:val="301"/>
          <w:jc w:val="center"/>
        </w:trPr>
        <w:tc>
          <w:tcPr>
            <w:tcW w:w="0" w:type="auto"/>
            <w:vMerge w:val="restart"/>
            <w:tcBorders>
              <w:top w:val="single" w:sz="6" w:space="0" w:color="auto"/>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1</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Mean</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28.0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51.4</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107</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815</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SD</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1.84</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2.16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9.05</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29.0</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%CV</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4.2</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8.5</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3.6</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%RE</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12.0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2.8</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7.0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8.7</w:t>
            </w:r>
          </w:p>
        </w:tc>
      </w:tr>
      <w:tr w:rsidR="00D651D0" w:rsidTr="00204B14">
        <w:trPr>
          <w:trHeight w:hRule="exact" w:val="301"/>
          <w:jc w:val="center"/>
        </w:trPr>
        <w:tc>
          <w:tcPr>
            <w:tcW w:w="0" w:type="auto"/>
            <w:vMerge/>
            <w:tcBorders>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n</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r>
      <w:tr w:rsidR="00D651D0" w:rsidTr="00204B14">
        <w:trPr>
          <w:trHeight w:hRule="exact" w:val="301"/>
          <w:jc w:val="center"/>
        </w:trPr>
        <w:tc>
          <w:tcPr>
            <w:tcW w:w="0" w:type="auto"/>
            <w:vMerge w:val="restart"/>
            <w:tcBorders>
              <w:top w:val="single" w:sz="6" w:space="0" w:color="auto"/>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2</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Mean</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28.1</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52.9</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105</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668</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SD</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3.64</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3.74</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5.14</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31.3</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%CV</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13.0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7.1</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4.9</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4.7</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%RE</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12.4</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5.8</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5.0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-10.9</w:t>
            </w:r>
          </w:p>
        </w:tc>
      </w:tr>
      <w:tr w:rsidR="00D651D0" w:rsidTr="00204B14">
        <w:trPr>
          <w:trHeight w:hRule="exact" w:val="301"/>
          <w:jc w:val="center"/>
        </w:trPr>
        <w:tc>
          <w:tcPr>
            <w:tcW w:w="0" w:type="auto"/>
            <w:vMerge/>
            <w:tcBorders>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n</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r>
      <w:tr w:rsidR="00D651D0" w:rsidTr="00204B14">
        <w:trPr>
          <w:trHeight w:hRule="exact" w:val="301"/>
          <w:jc w:val="center"/>
        </w:trPr>
        <w:tc>
          <w:tcPr>
            <w:tcW w:w="0" w:type="auto"/>
            <w:vMerge w:val="restart"/>
            <w:tcBorders>
              <w:top w:val="single" w:sz="6" w:space="0" w:color="auto"/>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3</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Mean</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29.0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50.9</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97.8</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670</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SD</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2.33</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1.79</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3.16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24.9</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%CV</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8.0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3.5</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3.2</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3.7</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Intrarun %RE</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16.0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1.8</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-2.2</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-10.7</w:t>
            </w:r>
          </w:p>
        </w:tc>
      </w:tr>
      <w:tr w:rsidR="00D651D0" w:rsidTr="00204B14">
        <w:trPr>
          <w:trHeight w:hRule="exact" w:val="301"/>
          <w:jc w:val="center"/>
        </w:trPr>
        <w:tc>
          <w:tcPr>
            <w:tcW w:w="0" w:type="auto"/>
            <w:vMerge/>
            <w:tcBorders>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n</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w:t>
            </w:r>
          </w:p>
        </w:tc>
      </w:tr>
      <w:tr w:rsidR="00D651D0" w:rsidTr="00204B14">
        <w:trPr>
          <w:trHeight w:hRule="exact" w:val="301"/>
          <w:jc w:val="center"/>
        </w:trPr>
        <w:tc>
          <w:tcPr>
            <w:tcW w:w="0" w:type="auto"/>
            <w:vMerge w:val="restart"/>
            <w:tcBorders>
              <w:top w:val="single" w:sz="6" w:space="0" w:color="auto"/>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b/>
                <w:sz w:val="20"/>
                <w:szCs w:val="20"/>
              </w:rPr>
            </w:pPr>
            <w:r w:rsidRPr="00237E4F">
              <w:rPr>
                <w:rFonts w:ascii="Arial" w:hAnsi="Arial" w:cs="Arial"/>
                <w:b/>
                <w:sz w:val="20"/>
                <w:szCs w:val="20"/>
              </w:rPr>
              <w:t>Overall</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Inter-run mean</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28.4</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51.7</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103</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718</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Inter-run SD</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2.59</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2.67</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7.09</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75.8</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Inter-run %CV</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9.1</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5.2</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6.9</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10.6</w:t>
            </w:r>
          </w:p>
        </w:tc>
      </w:tr>
      <w:tr w:rsidR="00D651D0" w:rsidTr="00204B14">
        <w:trPr>
          <w:trHeight w:hRule="exact" w:val="301"/>
          <w:jc w:val="center"/>
        </w:trPr>
        <w:tc>
          <w:tcPr>
            <w:tcW w:w="0" w:type="auto"/>
            <w:vMerge/>
            <w:tcBorders>
              <w:left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Inter-run %RE</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13.6</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3.4</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3.0</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-4.3</w:t>
            </w:r>
          </w:p>
        </w:tc>
      </w:tr>
      <w:tr w:rsidR="00D651D0" w:rsidTr="00204B14">
        <w:trPr>
          <w:trHeight w:hRule="exact" w:val="301"/>
          <w:jc w:val="center"/>
        </w:trPr>
        <w:tc>
          <w:tcPr>
            <w:tcW w:w="0" w:type="auto"/>
            <w:vMerge/>
            <w:tcBorders>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n</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18</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18</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18</w:t>
            </w:r>
          </w:p>
        </w:tc>
        <w:tc>
          <w:tcPr>
            <w:tcW w:w="0" w:type="auto"/>
            <w:tcBorders>
              <w:top w:val="single" w:sz="6" w:space="0" w:color="auto"/>
              <w:left w:val="single" w:sz="6" w:space="0" w:color="auto"/>
              <w:bottom w:val="single" w:sz="6" w:space="0" w:color="auto"/>
              <w:right w:val="single" w:sz="6" w:space="0" w:color="auto"/>
            </w:tcBorders>
          </w:tcPr>
          <w:p w:rsidR="00D651D0" w:rsidRPr="00237E4F" w:rsidRDefault="00D651D0" w:rsidP="00204B14">
            <w:pPr>
              <w:widowControl w:val="0"/>
              <w:autoSpaceDE w:val="0"/>
              <w:autoSpaceDN w:val="0"/>
              <w:adjustRightInd w:val="0"/>
              <w:jc w:val="center"/>
              <w:rPr>
                <w:rFonts w:ascii="Arial" w:hAnsi="Arial" w:cs="Arial"/>
                <w:sz w:val="20"/>
                <w:szCs w:val="20"/>
              </w:rPr>
            </w:pPr>
            <w:r w:rsidRPr="00237E4F">
              <w:rPr>
                <w:rFonts w:ascii="Arial" w:hAnsi="Arial" w:cs="Arial"/>
                <w:sz w:val="20"/>
                <w:szCs w:val="20"/>
              </w:rPr>
              <w:t>18</w:t>
            </w:r>
          </w:p>
        </w:tc>
      </w:tr>
    </w:tbl>
    <w:p w:rsidR="00115C9C" w:rsidRDefault="00115C9C" w:rsidP="001E10DC">
      <w:pPr>
        <w:pStyle w:val="BodyText"/>
        <w:tabs>
          <w:tab w:val="left" w:pos="1276"/>
        </w:tabs>
        <w:ind w:right="-1"/>
        <w:rPr>
          <w:sz w:val="16"/>
          <w:szCs w:val="16"/>
        </w:rPr>
      </w:pPr>
    </w:p>
    <w:p w:rsidR="00115C9C" w:rsidRDefault="00237E4F" w:rsidP="00613B00">
      <w:pPr>
        <w:pStyle w:val="BodyText"/>
        <w:tabs>
          <w:tab w:val="left" w:pos="1276"/>
        </w:tabs>
        <w:ind w:right="-1"/>
        <w:jc w:val="center"/>
        <w:rPr>
          <w:sz w:val="16"/>
          <w:szCs w:val="16"/>
        </w:rPr>
      </w:pPr>
      <w:r>
        <w:rPr>
          <w:sz w:val="16"/>
          <w:szCs w:val="16"/>
        </w:rPr>
        <w:t>SD</w:t>
      </w:r>
      <w:r w:rsidR="001E10DC">
        <w:rPr>
          <w:sz w:val="16"/>
          <w:szCs w:val="16"/>
        </w:rPr>
        <w:tab/>
        <w:t>Standard deviation</w:t>
      </w:r>
      <w:r w:rsidR="001E10DC">
        <w:rPr>
          <w:sz w:val="16"/>
          <w:szCs w:val="16"/>
        </w:rPr>
        <w:tab/>
      </w:r>
      <w:r w:rsidR="001E10DC">
        <w:rPr>
          <w:sz w:val="16"/>
          <w:szCs w:val="16"/>
        </w:rPr>
        <w:tab/>
        <w:t>CV</w:t>
      </w:r>
      <w:r w:rsidR="001E10DC">
        <w:rPr>
          <w:sz w:val="16"/>
          <w:szCs w:val="16"/>
        </w:rPr>
        <w:tab/>
        <w:t>Coefficient of variation</w:t>
      </w:r>
    </w:p>
    <w:p w:rsidR="001E10DC" w:rsidRDefault="001E10DC" w:rsidP="00613B00">
      <w:pPr>
        <w:pStyle w:val="BodyText"/>
        <w:tabs>
          <w:tab w:val="left" w:pos="1276"/>
        </w:tabs>
        <w:ind w:right="-1"/>
        <w:jc w:val="center"/>
        <w:rPr>
          <w:sz w:val="16"/>
          <w:szCs w:val="16"/>
        </w:rPr>
      </w:pPr>
      <w:r>
        <w:rPr>
          <w:sz w:val="16"/>
          <w:szCs w:val="16"/>
        </w:rPr>
        <w:t>RE</w:t>
      </w:r>
      <w:r>
        <w:rPr>
          <w:sz w:val="16"/>
          <w:szCs w:val="16"/>
        </w:rPr>
        <w:tab/>
        <w:t>Relative error</w:t>
      </w:r>
      <w:r w:rsidR="00115C9C">
        <w:rPr>
          <w:sz w:val="16"/>
          <w:szCs w:val="16"/>
        </w:rPr>
        <w:tab/>
      </w:r>
      <w:r w:rsidR="00115C9C">
        <w:rPr>
          <w:sz w:val="16"/>
          <w:szCs w:val="16"/>
        </w:rPr>
        <w:tab/>
      </w:r>
      <w:r>
        <w:rPr>
          <w:sz w:val="16"/>
          <w:szCs w:val="16"/>
        </w:rPr>
        <w:t>n</w:t>
      </w:r>
      <w:r>
        <w:rPr>
          <w:sz w:val="16"/>
          <w:szCs w:val="16"/>
        </w:rPr>
        <w:tab/>
        <w:t>Number of replicates</w:t>
      </w:r>
    </w:p>
    <w:p w:rsidR="00394AB5" w:rsidRDefault="00394AB5" w:rsidP="005C17DC">
      <w:pPr>
        <w:pStyle w:val="Caption"/>
        <w:jc w:val="center"/>
        <w:rPr>
          <w:b w:val="0"/>
          <w:sz w:val="20"/>
        </w:rPr>
      </w:pPr>
      <w:bookmarkStart w:id="6" w:name="_Ref370470807"/>
    </w:p>
    <w:bookmarkEnd w:id="6"/>
    <w:p w:rsidR="005C17DC" w:rsidRDefault="005C17DC" w:rsidP="005C17DC">
      <w:pPr>
        <w:pStyle w:val="TemplateText"/>
        <w:rPr>
          <w:rFonts w:cs="Arial"/>
          <w:sz w:val="16"/>
          <w:szCs w:val="16"/>
        </w:rPr>
      </w:pPr>
    </w:p>
    <w:p w:rsidR="0050450C" w:rsidRDefault="0050450C" w:rsidP="0050450C">
      <w:pPr>
        <w:spacing w:line="360" w:lineRule="auto"/>
        <w:jc w:val="both"/>
        <w:rPr>
          <w:rFonts w:ascii="Arial" w:hAnsi="Arial" w:cs="Arial"/>
        </w:rPr>
      </w:pPr>
      <w:r w:rsidRPr="0050450C">
        <w:rPr>
          <w:rFonts w:ascii="Arial" w:hAnsi="Arial" w:cs="Arial"/>
        </w:rPr>
        <w:t xml:space="preserve">The </w:t>
      </w:r>
      <w:r>
        <w:rPr>
          <w:rFonts w:ascii="Arial" w:hAnsi="Arial" w:cs="Arial"/>
        </w:rPr>
        <w:t>analog</w:t>
      </w:r>
      <w:r w:rsidR="0056690F">
        <w:rPr>
          <w:rFonts w:ascii="Arial" w:hAnsi="Arial" w:cs="Arial"/>
        </w:rPr>
        <w:t>ue</w:t>
      </w:r>
      <w:r>
        <w:rPr>
          <w:rFonts w:ascii="Arial" w:hAnsi="Arial" w:cs="Arial"/>
        </w:rPr>
        <w:t xml:space="preserve"> Internal standard (IS)</w:t>
      </w:r>
      <w:r w:rsidRPr="0050450C">
        <w:rPr>
          <w:rFonts w:ascii="Arial" w:hAnsi="Arial" w:cs="Arial"/>
        </w:rPr>
        <w:t xml:space="preserve"> compensated for differences in suppression observed by the analyte in </w:t>
      </w:r>
      <w:r>
        <w:rPr>
          <w:rFonts w:ascii="Arial" w:hAnsi="Arial" w:cs="Arial"/>
        </w:rPr>
        <w:t>different matrices, with mean matrix factor (MF)</w:t>
      </w:r>
      <w:r w:rsidRPr="0050450C">
        <w:rPr>
          <w:rFonts w:ascii="Arial" w:hAnsi="Arial" w:cs="Arial"/>
        </w:rPr>
        <w:t xml:space="preserve"> ratios being 1.08 and 1.05 at the medium and high level; a perfect correction would have a ratio of 1 </w:t>
      </w:r>
      <w:r w:rsidR="003C0C63">
        <w:rPr>
          <w:rFonts w:ascii="Arial" w:hAnsi="Arial" w:cs="Arial"/>
        </w:rPr>
        <w:t xml:space="preserve">(Supplemental </w:t>
      </w:r>
      <w:r w:rsidR="00253EC2">
        <w:rPr>
          <w:rFonts w:ascii="Arial" w:hAnsi="Arial" w:cs="Arial"/>
        </w:rPr>
        <w:br/>
      </w:r>
      <w:r w:rsidR="003C0C63">
        <w:rPr>
          <w:rFonts w:ascii="Arial" w:hAnsi="Arial" w:cs="Arial"/>
        </w:rPr>
        <w:t>Table 2)</w:t>
      </w:r>
      <w:r w:rsidR="00EB76BD">
        <w:rPr>
          <w:rFonts w:ascii="Arial" w:hAnsi="Arial" w:cs="Arial"/>
        </w:rPr>
        <w:t>.</w:t>
      </w:r>
    </w:p>
    <w:p w:rsidR="005566A9" w:rsidRDefault="0050450C" w:rsidP="0050450C">
      <w:pPr>
        <w:spacing w:line="360" w:lineRule="auto"/>
        <w:jc w:val="both"/>
        <w:rPr>
          <w:rFonts w:ascii="Arial" w:hAnsi="Arial" w:cs="Arial"/>
        </w:rPr>
      </w:pPr>
      <w:r>
        <w:rPr>
          <w:rFonts w:ascii="Arial" w:hAnsi="Arial" w:cs="Arial"/>
        </w:rPr>
        <w:t xml:space="preserve">Recovery was assessed across three different batches with a minimum of 3 replicates at each level. In order to investigate whether the nature </w:t>
      </w:r>
      <w:r w:rsidR="005566A9">
        <w:rPr>
          <w:rFonts w:ascii="Arial" w:hAnsi="Arial" w:cs="Arial"/>
        </w:rPr>
        <w:t>of the matrix affected recovery</w:t>
      </w:r>
      <w:r>
        <w:rPr>
          <w:rFonts w:ascii="Arial" w:hAnsi="Arial" w:cs="Arial"/>
        </w:rPr>
        <w:t xml:space="preserve"> </w:t>
      </w:r>
      <w:r w:rsidR="005566A9">
        <w:rPr>
          <w:rFonts w:ascii="Arial" w:hAnsi="Arial" w:cs="Arial"/>
        </w:rPr>
        <w:t xml:space="preserve">it was assessed from; </w:t>
      </w:r>
      <w:r>
        <w:rPr>
          <w:rFonts w:ascii="Arial" w:hAnsi="Arial" w:cs="Arial"/>
        </w:rPr>
        <w:t>samples where the analyte was spiked into control matrix then immediately extracted,</w:t>
      </w:r>
      <w:r w:rsidR="005566A9">
        <w:rPr>
          <w:rFonts w:ascii="Arial" w:hAnsi="Arial" w:cs="Arial"/>
        </w:rPr>
        <w:t xml:space="preserve"> samples where the analyte</w:t>
      </w:r>
      <w:r>
        <w:rPr>
          <w:rFonts w:ascii="Arial" w:hAnsi="Arial" w:cs="Arial"/>
        </w:rPr>
        <w:t xml:space="preserve"> was spiked into 3 freshly acquired matrix pools then immediately extracted, and </w:t>
      </w:r>
      <w:r w:rsidR="005566A9">
        <w:rPr>
          <w:rFonts w:ascii="Arial" w:hAnsi="Arial" w:cs="Arial"/>
        </w:rPr>
        <w:t xml:space="preserve">finally from samples where the analyte was </w:t>
      </w:r>
      <w:r>
        <w:rPr>
          <w:rFonts w:ascii="Arial" w:hAnsi="Arial" w:cs="Arial"/>
        </w:rPr>
        <w:t xml:space="preserve">spiked into matrix then stored for a week at -80 </w:t>
      </w:r>
      <w:r>
        <w:rPr>
          <w:rFonts w:ascii="Arial" w:hAnsi="Arial" w:cs="Arial"/>
        </w:rPr>
        <w:sym w:font="Symbol" w:char="F0B0"/>
      </w:r>
      <w:r>
        <w:rPr>
          <w:rFonts w:ascii="Arial" w:hAnsi="Arial" w:cs="Arial"/>
        </w:rPr>
        <w:t>C before extraction</w:t>
      </w:r>
      <w:r w:rsidR="00EB76BD">
        <w:rPr>
          <w:rFonts w:ascii="Arial" w:hAnsi="Arial" w:cs="Arial"/>
        </w:rPr>
        <w:t xml:space="preserve"> (Supplemental Table 3)</w:t>
      </w:r>
      <w:r w:rsidR="005566A9">
        <w:rPr>
          <w:rFonts w:ascii="Arial" w:hAnsi="Arial" w:cs="Arial"/>
        </w:rPr>
        <w:t>.</w:t>
      </w:r>
      <w:r>
        <w:rPr>
          <w:rFonts w:ascii="Arial" w:hAnsi="Arial" w:cs="Arial"/>
        </w:rPr>
        <w:t xml:space="preserve"> No significant difference between these experiments was observed, which gave an average analyte recovery of 51.2% </w:t>
      </w:r>
    </w:p>
    <w:p w:rsidR="005566A9" w:rsidRDefault="005566A9">
      <w:pPr>
        <w:rPr>
          <w:rFonts w:ascii="Arial" w:hAnsi="Arial" w:cs="Arial"/>
        </w:rPr>
      </w:pPr>
      <w:r>
        <w:rPr>
          <w:rFonts w:ascii="Arial" w:hAnsi="Arial" w:cs="Arial"/>
        </w:rPr>
        <w:br w:type="page"/>
      </w:r>
    </w:p>
    <w:p w:rsidR="00847B02" w:rsidRDefault="008F7653" w:rsidP="00847B02">
      <w:pPr>
        <w:pStyle w:val="TemplateText"/>
        <w:spacing w:line="360" w:lineRule="auto"/>
        <w:rPr>
          <w:rFonts w:eastAsiaTheme="minorHAnsi" w:cs="Arial"/>
        </w:rPr>
      </w:pPr>
      <w:r>
        <w:rPr>
          <w:rFonts w:eastAsiaTheme="minorHAnsi" w:cs="Arial"/>
        </w:rPr>
        <w:t>Acceptable s</w:t>
      </w:r>
      <w:r w:rsidR="00847B02">
        <w:rPr>
          <w:rFonts w:eastAsiaTheme="minorHAnsi" w:cs="Arial"/>
        </w:rPr>
        <w:t xml:space="preserve">ensitivity is usually </w:t>
      </w:r>
      <w:r>
        <w:rPr>
          <w:rFonts w:eastAsiaTheme="minorHAnsi" w:cs="Arial"/>
        </w:rPr>
        <w:t>demonstrated</w:t>
      </w:r>
      <w:r w:rsidR="00847B02">
        <w:rPr>
          <w:rFonts w:eastAsiaTheme="minorHAnsi" w:cs="Arial"/>
        </w:rPr>
        <w:t xml:space="preserve"> by</w:t>
      </w:r>
      <w:r>
        <w:rPr>
          <w:rFonts w:eastAsiaTheme="minorHAnsi" w:cs="Arial"/>
        </w:rPr>
        <w:t xml:space="preserve"> assessing whether the analyte response at the LLOQ level is at </w:t>
      </w:r>
      <w:r w:rsidRPr="00F66A9F">
        <w:rPr>
          <w:rFonts w:eastAsiaTheme="minorHAnsi" w:cs="Arial"/>
        </w:rPr>
        <w:t>least 5 times</w:t>
      </w:r>
      <w:r w:rsidR="009E20C6">
        <w:rPr>
          <w:rFonts w:eastAsiaTheme="minorHAnsi" w:cs="Arial"/>
        </w:rPr>
        <w:t xml:space="preserve"> </w:t>
      </w:r>
      <w:r w:rsidR="001B586C">
        <w:rPr>
          <w:rFonts w:eastAsiaTheme="minorHAnsi" w:cs="Arial"/>
        </w:rPr>
        <w:fldChar w:fldCharType="begin" w:fldLock="1"/>
      </w:r>
      <w:r w:rsidR="00261C24">
        <w:rPr>
          <w:rFonts w:eastAsiaTheme="minorHAnsi" w:cs="Arial"/>
        </w:rPr>
        <w:instrText>ADDIN CSL_CITATION { "citationItems" : [ { "id" : "ITEM-1", "itemData" : { "id" : "ITEM-1", "issued" : { "date-parts" : [ [ "2012" ] ] }, "title" : "Guideline on bioanalytical method validation, EMA", "type" : "article-journal" }, "uris" : [ "http://www.mendeley.com/documents/?uuid=62ca7abe-b29a-4685-966f-7b286a090e82" ] } ], "mendeley" : { "previouslyFormattedCitation" : "[17]" }, "properties" : { "noteIndex" : 0 }, "schema" : "https://github.com/citation-style-language/schema/raw/master/csl-citation.json" }</w:instrText>
      </w:r>
      <w:r w:rsidR="001B586C">
        <w:rPr>
          <w:rFonts w:eastAsiaTheme="minorHAnsi" w:cs="Arial"/>
        </w:rPr>
        <w:fldChar w:fldCharType="separate"/>
      </w:r>
      <w:r w:rsidR="00EC3CF8" w:rsidRPr="00EC3CF8">
        <w:rPr>
          <w:rFonts w:eastAsiaTheme="minorHAnsi" w:cs="Arial"/>
          <w:noProof/>
        </w:rPr>
        <w:t>[17]</w:t>
      </w:r>
      <w:r w:rsidR="001B586C">
        <w:rPr>
          <w:rFonts w:eastAsiaTheme="minorHAnsi" w:cs="Arial"/>
        </w:rPr>
        <w:fldChar w:fldCharType="end"/>
      </w:r>
      <w:r w:rsidRPr="00F66A9F">
        <w:rPr>
          <w:rFonts w:eastAsiaTheme="minorHAnsi" w:cs="Arial"/>
        </w:rPr>
        <w:t xml:space="preserve"> the average response due to </w:t>
      </w:r>
      <w:r>
        <w:rPr>
          <w:rFonts w:eastAsiaTheme="minorHAnsi" w:cs="Arial"/>
        </w:rPr>
        <w:t xml:space="preserve">background </w:t>
      </w:r>
      <w:r w:rsidR="000972E9">
        <w:rPr>
          <w:rFonts w:eastAsiaTheme="minorHAnsi" w:cs="Arial"/>
        </w:rPr>
        <w:t>noise (</w:t>
      </w:r>
      <w:r w:rsidR="00342B10">
        <w:fldChar w:fldCharType="begin"/>
      </w:r>
      <w:r w:rsidR="00342B10">
        <w:instrText xml:space="preserve"> REF _Ref360031883 \h  \* MERGEFORMAT </w:instrText>
      </w:r>
      <w:r w:rsidR="00342B10">
        <w:fldChar w:fldCharType="separate"/>
      </w:r>
      <w:r w:rsidR="0020538A" w:rsidRPr="0020538A">
        <w:rPr>
          <w:rFonts w:eastAsiaTheme="minorHAnsi" w:cs="Arial"/>
        </w:rPr>
        <w:t>Figure 3</w:t>
      </w:r>
      <w:r w:rsidR="00342B10">
        <w:fldChar w:fldCharType="end"/>
      </w:r>
      <w:r w:rsidR="000972E9">
        <w:rPr>
          <w:rFonts w:eastAsiaTheme="minorHAnsi" w:cs="Arial"/>
        </w:rPr>
        <w:t>)</w:t>
      </w:r>
      <w:r w:rsidR="0050450C">
        <w:rPr>
          <w:rFonts w:eastAsiaTheme="minorHAnsi" w:cs="Arial"/>
        </w:rPr>
        <w:t>, which was the case for all accepted batches.</w:t>
      </w:r>
      <w:r>
        <w:rPr>
          <w:rFonts w:eastAsiaTheme="minorHAnsi" w:cs="Arial"/>
        </w:rPr>
        <w:t xml:space="preserve"> </w:t>
      </w:r>
      <w:r w:rsidR="00847B02">
        <w:rPr>
          <w:rFonts w:eastAsiaTheme="minorHAnsi" w:cs="Arial"/>
        </w:rPr>
        <w:t xml:space="preserve">It is then assumed that an unknown sample at the LLOQ concentration </w:t>
      </w:r>
      <w:r>
        <w:rPr>
          <w:rFonts w:eastAsiaTheme="minorHAnsi" w:cs="Arial"/>
        </w:rPr>
        <w:t xml:space="preserve">would also have a similarly </w:t>
      </w:r>
      <w:r w:rsidR="00847B02">
        <w:rPr>
          <w:rFonts w:eastAsiaTheme="minorHAnsi" w:cs="Arial"/>
        </w:rPr>
        <w:t xml:space="preserve">acceptable response. </w:t>
      </w:r>
      <w:r>
        <w:rPr>
          <w:rFonts w:eastAsiaTheme="minorHAnsi" w:cs="Arial"/>
        </w:rPr>
        <w:t>However</w:t>
      </w:r>
      <w:r w:rsidR="00115C9C">
        <w:rPr>
          <w:rFonts w:eastAsiaTheme="minorHAnsi" w:cs="Arial"/>
        </w:rPr>
        <w:t>,</w:t>
      </w:r>
      <w:r>
        <w:rPr>
          <w:rFonts w:eastAsiaTheme="minorHAnsi" w:cs="Arial"/>
        </w:rPr>
        <w:t xml:space="preserve"> this </w:t>
      </w:r>
      <w:r w:rsidR="001575B5">
        <w:rPr>
          <w:rFonts w:eastAsiaTheme="minorHAnsi" w:cs="Arial"/>
        </w:rPr>
        <w:t>will not</w:t>
      </w:r>
      <w:r>
        <w:rPr>
          <w:rFonts w:eastAsiaTheme="minorHAnsi" w:cs="Arial"/>
        </w:rPr>
        <w:t xml:space="preserve"> necessarily be the case for surrogate matrix assays, due to differences in</w:t>
      </w:r>
      <w:r w:rsidR="00CC598C">
        <w:rPr>
          <w:rFonts w:eastAsiaTheme="minorHAnsi" w:cs="Arial"/>
        </w:rPr>
        <w:t xml:space="preserve"> the</w:t>
      </w:r>
      <w:r>
        <w:rPr>
          <w:rFonts w:eastAsiaTheme="minorHAnsi" w:cs="Arial"/>
        </w:rPr>
        <w:t xml:space="preserve"> recovery and matrix factor between the surrogate and authentic matrices. B</w:t>
      </w:r>
      <w:r w:rsidR="00847B02">
        <w:rPr>
          <w:rFonts w:eastAsiaTheme="minorHAnsi" w:cs="Arial"/>
        </w:rPr>
        <w:t>y taking into account</w:t>
      </w:r>
      <w:r w:rsidR="00115C9C">
        <w:rPr>
          <w:rFonts w:eastAsiaTheme="minorHAnsi" w:cs="Arial"/>
        </w:rPr>
        <w:t xml:space="preserve"> the mean analyte recovery (51.2</w:t>
      </w:r>
      <w:r w:rsidR="00847B02">
        <w:rPr>
          <w:rFonts w:eastAsiaTheme="minorHAnsi" w:cs="Arial"/>
        </w:rPr>
        <w:t>%) and</w:t>
      </w:r>
      <w:r>
        <w:rPr>
          <w:rFonts w:eastAsiaTheme="minorHAnsi" w:cs="Arial"/>
        </w:rPr>
        <w:t xml:space="preserve"> mean</w:t>
      </w:r>
      <w:r w:rsidR="0045581F">
        <w:rPr>
          <w:rFonts w:eastAsiaTheme="minorHAnsi" w:cs="Arial"/>
        </w:rPr>
        <w:t xml:space="preserve"> matrix factor (0.746</w:t>
      </w:r>
      <w:r w:rsidR="00847B02">
        <w:rPr>
          <w:rFonts w:eastAsiaTheme="minorHAnsi" w:cs="Arial"/>
        </w:rPr>
        <w:t>)</w:t>
      </w:r>
      <w:r>
        <w:rPr>
          <w:rFonts w:eastAsiaTheme="minorHAnsi" w:cs="Arial"/>
        </w:rPr>
        <w:t xml:space="preserve"> for our assay</w:t>
      </w:r>
      <w:r w:rsidR="00847B02">
        <w:rPr>
          <w:rFonts w:eastAsiaTheme="minorHAnsi" w:cs="Arial"/>
        </w:rPr>
        <w:t xml:space="preserve">, it </w:t>
      </w:r>
      <w:r w:rsidR="00115C9C">
        <w:rPr>
          <w:rFonts w:eastAsiaTheme="minorHAnsi" w:cs="Arial"/>
        </w:rPr>
        <w:t>was</w:t>
      </w:r>
      <w:r w:rsidR="00847B02">
        <w:rPr>
          <w:rFonts w:eastAsiaTheme="minorHAnsi" w:cs="Arial"/>
        </w:rPr>
        <w:t xml:space="preserve"> calculated that signal-to-noise (S/N) at </w:t>
      </w:r>
      <w:r w:rsidR="0045581F">
        <w:rPr>
          <w:rFonts w:eastAsiaTheme="minorHAnsi" w:cs="Arial"/>
        </w:rPr>
        <w:t>the LLOQ should be at least 13.1</w:t>
      </w:r>
      <w:r w:rsidR="00847B02">
        <w:rPr>
          <w:rFonts w:eastAsiaTheme="minorHAnsi" w:cs="Arial"/>
        </w:rPr>
        <w:t xml:space="preserve"> to ensure that S/N for an authentic sample at the LLOQ level </w:t>
      </w:r>
      <w:r w:rsidR="00847B02">
        <w:rPr>
          <w:rFonts w:eastAsiaTheme="minorHAnsi" w:cs="Arial"/>
        </w:rPr>
        <w:sym w:font="Symbol" w:char="F0B3"/>
      </w:r>
      <w:r w:rsidR="003D2732">
        <w:rPr>
          <w:rFonts w:eastAsiaTheme="minorHAnsi" w:cs="Arial"/>
        </w:rPr>
        <w:t>5</w:t>
      </w:r>
      <w:r>
        <w:rPr>
          <w:rFonts w:eastAsiaTheme="minorHAnsi" w:cs="Arial"/>
        </w:rPr>
        <w:t xml:space="preserve"> (assuming an unchanged background level)</w:t>
      </w:r>
      <w:r w:rsidR="003D2732">
        <w:rPr>
          <w:rFonts w:eastAsiaTheme="minorHAnsi" w:cs="Arial"/>
        </w:rPr>
        <w:t>.</w:t>
      </w:r>
      <w:r w:rsidR="00591934">
        <w:rPr>
          <w:rFonts w:eastAsiaTheme="minorHAnsi" w:cs="Arial"/>
        </w:rPr>
        <w:t xml:space="preserve"> </w:t>
      </w:r>
      <w:r w:rsidR="00124CFF">
        <w:rPr>
          <w:rFonts w:eastAsiaTheme="minorHAnsi" w:cs="Arial"/>
        </w:rPr>
        <w:t>This</w:t>
      </w:r>
      <w:r w:rsidR="00437546">
        <w:rPr>
          <w:rFonts w:eastAsiaTheme="minorHAnsi" w:cs="Arial"/>
        </w:rPr>
        <w:t xml:space="preserve"> </w:t>
      </w:r>
      <w:r w:rsidR="00363769">
        <w:rPr>
          <w:rFonts w:eastAsiaTheme="minorHAnsi" w:cs="Arial"/>
        </w:rPr>
        <w:t>criterion</w:t>
      </w:r>
      <w:r w:rsidR="00437546">
        <w:rPr>
          <w:rFonts w:eastAsiaTheme="minorHAnsi" w:cs="Arial"/>
        </w:rPr>
        <w:t xml:space="preserve"> was not formally part of our validation,</w:t>
      </w:r>
      <w:r w:rsidR="00124CFF">
        <w:rPr>
          <w:rFonts w:eastAsiaTheme="minorHAnsi" w:cs="Arial"/>
        </w:rPr>
        <w:t xml:space="preserve"> but </w:t>
      </w:r>
      <w:r w:rsidR="00437546">
        <w:rPr>
          <w:rFonts w:eastAsiaTheme="minorHAnsi" w:cs="Arial"/>
        </w:rPr>
        <w:t xml:space="preserve">it was </w:t>
      </w:r>
      <w:r>
        <w:rPr>
          <w:rFonts w:eastAsiaTheme="minorHAnsi" w:cs="Arial"/>
        </w:rPr>
        <w:t>met by all accepted batches.</w:t>
      </w:r>
    </w:p>
    <w:p w:rsidR="00197299" w:rsidRDefault="00197299" w:rsidP="00847B02">
      <w:pPr>
        <w:pStyle w:val="TemplateText"/>
        <w:spacing w:line="360" w:lineRule="auto"/>
        <w:rPr>
          <w:rFonts w:eastAsiaTheme="minorHAnsi" w:cs="Arial"/>
        </w:rPr>
      </w:pPr>
    </w:p>
    <w:p w:rsidR="001575B5" w:rsidRDefault="00342B10" w:rsidP="00847B02">
      <w:pPr>
        <w:pStyle w:val="TemplateText"/>
        <w:spacing w:line="360" w:lineRule="auto"/>
        <w:rPr>
          <w:rFonts w:eastAsiaTheme="minorHAnsi" w:cs="Arial"/>
        </w:rPr>
      </w:pPr>
      <w:r>
        <w:rPr>
          <w:rFonts w:cs="Arial"/>
          <w:noProof/>
        </w:rPr>
        <mc:AlternateContent>
          <mc:Choice Requires="wps">
            <w:drawing>
              <wp:anchor distT="0" distB="0" distL="114300" distR="114300" simplePos="0" relativeHeight="251675136" behindDoc="0" locked="0" layoutInCell="1" allowOverlap="1">
                <wp:simplePos x="0" y="0"/>
                <wp:positionH relativeFrom="column">
                  <wp:posOffset>4559935</wp:posOffset>
                </wp:positionH>
                <wp:positionV relativeFrom="paragraph">
                  <wp:posOffset>127000</wp:posOffset>
                </wp:positionV>
                <wp:extent cx="1303655" cy="558165"/>
                <wp:effectExtent l="0" t="0" r="10795" b="1333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655" cy="558165"/>
                        </a:xfrm>
                        <a:prstGeom prst="rect">
                          <a:avLst/>
                        </a:prstGeom>
                        <a:solidFill>
                          <a:srgbClr val="FFFFFF"/>
                        </a:solidFill>
                        <a:ln w="9525">
                          <a:solidFill>
                            <a:schemeClr val="bg1">
                              <a:lumMod val="100000"/>
                              <a:lumOff val="0"/>
                            </a:schemeClr>
                          </a:solidFill>
                          <a:miter lim="800000"/>
                          <a:headEnd/>
                          <a:tailEnd/>
                        </a:ln>
                      </wps:spPr>
                      <wps:txbx>
                        <w:txbxContent>
                          <w:p w:rsidR="00FB0E4A" w:rsidRPr="00D24FC0" w:rsidRDefault="00FB0E4A" w:rsidP="00115C9C">
                            <w:pPr>
                              <w:spacing w:line="360" w:lineRule="auto"/>
                              <w:jc w:val="both"/>
                              <w:rPr>
                                <w:rFonts w:ascii="Arial" w:hAnsi="Arial" w:cs="Arial"/>
                                <w:sz w:val="20"/>
                                <w:szCs w:val="20"/>
                              </w:rPr>
                            </w:pPr>
                            <w:r>
                              <w:rPr>
                                <w:rFonts w:ascii="Arial" w:hAnsi="Arial" w:cs="Arial"/>
                                <w:sz w:val="20"/>
                                <w:szCs w:val="20"/>
                              </w:rPr>
                              <w:t>Internal standard transition</w:t>
                            </w:r>
                          </w:p>
                          <w:p w:rsidR="00FB0E4A" w:rsidRDefault="00FB0E4A" w:rsidP="00115C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30" type="#_x0000_t202" style="position:absolute;left:0;text-align:left;margin-left:359.05pt;margin-top:10pt;width:102.65pt;height:43.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" strokecolor="white [3212]">
                <v:textbox>
                  <w:txbxContent>
                    <w:p w:rsidR="00FB0E4A" w:rsidRPr="00D24FC0" w:rsidRDefault="00FB0E4A" w:rsidP="00115C9C">
                      <w:pPr>
                        <w:spacing w:line="360" w:lineRule="auto"/>
                        <w:jc w:val="both"/>
                        <w:rPr>
                          <w:rFonts w:ascii="Arial" w:hAnsi="Arial" w:cs="Arial"/>
                          <w:sz w:val="20"/>
                          <w:szCs w:val="20"/>
                        </w:rPr>
                      </w:pPr>
                      <w:r>
                        <w:rPr>
                          <w:rFonts w:ascii="Arial" w:hAnsi="Arial" w:cs="Arial"/>
                          <w:sz w:val="20"/>
                          <w:szCs w:val="20"/>
                        </w:rPr>
                        <w:t>Internal standard transition</w:t>
                      </w:r>
                    </w:p>
                    <w:p w:rsidR="00FB0E4A" w:rsidRDefault="00FB0E4A" w:rsidP="00115C9C"/>
                  </w:txbxContent>
                </v:textbox>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1420495</wp:posOffset>
                </wp:positionH>
                <wp:positionV relativeFrom="paragraph">
                  <wp:posOffset>79375</wp:posOffset>
                </wp:positionV>
                <wp:extent cx="1376045" cy="605790"/>
                <wp:effectExtent l="0" t="0" r="14605" b="2286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045" cy="605790"/>
                        </a:xfrm>
                        <a:prstGeom prst="rect">
                          <a:avLst/>
                        </a:prstGeom>
                        <a:solidFill>
                          <a:srgbClr val="FFFFFF"/>
                        </a:solidFill>
                        <a:ln w="9525">
                          <a:solidFill>
                            <a:schemeClr val="bg1">
                              <a:lumMod val="100000"/>
                              <a:lumOff val="0"/>
                            </a:schemeClr>
                          </a:solidFill>
                          <a:miter lim="800000"/>
                          <a:headEnd/>
                          <a:tailEnd/>
                        </a:ln>
                      </wps:spPr>
                      <wps:txbx>
                        <w:txbxContent>
                          <w:p w:rsidR="00FB0E4A" w:rsidRPr="00115C9C" w:rsidRDefault="00FB0E4A">
                            <w:pPr>
                              <w:rPr>
                                <w:rFonts w:ascii="Arial" w:hAnsi="Arial" w:cs="Arial"/>
                                <w:sz w:val="20"/>
                                <w:szCs w:val="20"/>
                              </w:rPr>
                            </w:pPr>
                            <w:r w:rsidRPr="00115C9C">
                              <w:rPr>
                                <w:rFonts w:ascii="Arial" w:hAnsi="Arial" w:cs="Arial"/>
                                <w:sz w:val="20"/>
                                <w:szCs w:val="20"/>
                              </w:rPr>
                              <w:t>Analyte Transition</w:t>
                            </w:r>
                          </w:p>
                          <w:p w:rsidR="00FB0E4A" w:rsidRPr="00115C9C" w:rsidRDefault="00FB0E4A">
                            <w:pPr>
                              <w:rPr>
                                <w:rFonts w:ascii="Arial" w:hAnsi="Arial" w:cs="Arial"/>
                              </w:rPr>
                            </w:pPr>
                            <w:r w:rsidRPr="00115C9C">
                              <w:rPr>
                                <w:rFonts w:ascii="Arial" w:hAnsi="Arial" w:cs="Arial"/>
                                <w:sz w:val="20"/>
                                <w:szCs w:val="20"/>
                              </w:rPr>
                              <w:t>S/N= 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31" type="#_x0000_t202" style="position:absolute;left:0;text-align:left;margin-left:111.85pt;margin-top:6.25pt;width:108.35pt;height:47.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" strokecolor="white [3212]">
                <v:textbox>
                  <w:txbxContent>
                    <w:p w:rsidR="00FB0E4A" w:rsidRPr="00115C9C" w:rsidRDefault="00FB0E4A">
                      <w:pPr>
                        <w:rPr>
                          <w:rFonts w:ascii="Arial" w:hAnsi="Arial" w:cs="Arial"/>
                          <w:sz w:val="20"/>
                          <w:szCs w:val="20"/>
                        </w:rPr>
                      </w:pPr>
                      <w:r w:rsidRPr="00115C9C">
                        <w:rPr>
                          <w:rFonts w:ascii="Arial" w:hAnsi="Arial" w:cs="Arial"/>
                          <w:sz w:val="20"/>
                          <w:szCs w:val="20"/>
                        </w:rPr>
                        <w:t>Analyte Transition</w:t>
                      </w:r>
                    </w:p>
                    <w:p w:rsidR="00FB0E4A" w:rsidRPr="00115C9C" w:rsidRDefault="00FB0E4A">
                      <w:pPr>
                        <w:rPr>
                          <w:rFonts w:ascii="Arial" w:hAnsi="Arial" w:cs="Arial"/>
                        </w:rPr>
                      </w:pPr>
                      <w:r w:rsidRPr="00115C9C">
                        <w:rPr>
                          <w:rFonts w:ascii="Arial" w:hAnsi="Arial" w:cs="Arial"/>
                          <w:sz w:val="20"/>
                          <w:szCs w:val="20"/>
                        </w:rPr>
                        <w:t>S/N= 19</w:t>
                      </w:r>
                    </w:p>
                  </w:txbxContent>
                </v:textbox>
              </v:shape>
            </w:pict>
          </mc:Fallback>
        </mc:AlternateContent>
      </w:r>
      <w:r w:rsidR="00197299">
        <w:rPr>
          <w:noProof/>
        </w:rPr>
        <w:drawing>
          <wp:inline distT="0" distB="0" distL="0" distR="0" wp14:anchorId="522A160D" wp14:editId="339CD37B">
            <wp:extent cx="5731510" cy="17212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731510" cy="1721290"/>
                    </a:xfrm>
                    <a:prstGeom prst="rect">
                      <a:avLst/>
                    </a:prstGeom>
                  </pic:spPr>
                </pic:pic>
              </a:graphicData>
            </a:graphic>
          </wp:inline>
        </w:drawing>
      </w:r>
    </w:p>
    <w:p w:rsidR="000972E9" w:rsidRDefault="000972E9" w:rsidP="00FF1B41">
      <w:pPr>
        <w:jc w:val="center"/>
        <w:rPr>
          <w:rFonts w:ascii="Arial" w:hAnsi="Arial" w:cs="Arial"/>
          <w:i/>
        </w:rPr>
      </w:pPr>
      <w:bookmarkStart w:id="7" w:name="_Ref360031883"/>
      <w:r w:rsidRPr="00E842DE">
        <w:rPr>
          <w:rFonts w:ascii="Arial" w:hAnsi="Arial" w:cs="Arial"/>
          <w:sz w:val="20"/>
          <w:szCs w:val="20"/>
        </w:rPr>
        <w:t xml:space="preserve">Figure </w:t>
      </w:r>
      <w:r w:rsidR="001B586C" w:rsidRPr="00E842DE">
        <w:rPr>
          <w:rFonts w:ascii="Arial" w:hAnsi="Arial" w:cs="Arial"/>
          <w:sz w:val="20"/>
          <w:szCs w:val="20"/>
        </w:rPr>
        <w:fldChar w:fldCharType="begin"/>
      </w:r>
      <w:r w:rsidRPr="00E842DE">
        <w:rPr>
          <w:rFonts w:ascii="Arial" w:hAnsi="Arial" w:cs="Arial"/>
          <w:sz w:val="20"/>
          <w:szCs w:val="20"/>
        </w:rPr>
        <w:instrText xml:space="preserve"> SEQ Figure \* ARABIC </w:instrText>
      </w:r>
      <w:r w:rsidR="001B586C" w:rsidRPr="00E842DE">
        <w:rPr>
          <w:rFonts w:ascii="Arial" w:hAnsi="Arial" w:cs="Arial"/>
          <w:sz w:val="20"/>
          <w:szCs w:val="20"/>
        </w:rPr>
        <w:fldChar w:fldCharType="separate"/>
      </w:r>
      <w:r w:rsidR="0020538A">
        <w:rPr>
          <w:rFonts w:ascii="Arial" w:hAnsi="Arial" w:cs="Arial"/>
          <w:noProof/>
          <w:sz w:val="20"/>
          <w:szCs w:val="20"/>
        </w:rPr>
        <w:t>3</w:t>
      </w:r>
      <w:r w:rsidR="001B586C" w:rsidRPr="00E842DE">
        <w:rPr>
          <w:rFonts w:ascii="Arial" w:hAnsi="Arial" w:cs="Arial"/>
          <w:sz w:val="20"/>
          <w:szCs w:val="20"/>
        </w:rPr>
        <w:fldChar w:fldCharType="end"/>
      </w:r>
      <w:bookmarkEnd w:id="7"/>
      <w:r w:rsidR="0021392D">
        <w:rPr>
          <w:rFonts w:ascii="Arial" w:hAnsi="Arial" w:cs="Arial"/>
          <w:sz w:val="20"/>
          <w:szCs w:val="20"/>
        </w:rPr>
        <w:t>- Representative</w:t>
      </w:r>
      <w:r w:rsidR="00115C9C">
        <w:rPr>
          <w:rFonts w:ascii="Arial" w:hAnsi="Arial" w:cs="Arial"/>
          <w:sz w:val="20"/>
          <w:szCs w:val="20"/>
        </w:rPr>
        <w:t xml:space="preserve"> </w:t>
      </w:r>
      <w:r>
        <w:rPr>
          <w:rFonts w:ascii="Arial" w:hAnsi="Arial" w:cs="Arial"/>
          <w:sz w:val="20"/>
          <w:szCs w:val="20"/>
        </w:rPr>
        <w:t>LLOQ</w:t>
      </w:r>
      <w:r w:rsidR="001575B5">
        <w:rPr>
          <w:rFonts w:ascii="Arial" w:hAnsi="Arial" w:cs="Arial"/>
          <w:sz w:val="20"/>
          <w:szCs w:val="20"/>
        </w:rPr>
        <w:t xml:space="preserve"> </w:t>
      </w:r>
      <w:r w:rsidR="00FF1B41">
        <w:rPr>
          <w:rFonts w:ascii="Arial" w:hAnsi="Arial" w:cs="Arial"/>
          <w:sz w:val="20"/>
          <w:szCs w:val="20"/>
        </w:rPr>
        <w:t xml:space="preserve">for glucagon in plasma </w:t>
      </w:r>
      <w:r w:rsidR="001575B5">
        <w:rPr>
          <w:rFonts w:ascii="Arial" w:hAnsi="Arial" w:cs="Arial"/>
          <w:sz w:val="20"/>
          <w:szCs w:val="20"/>
        </w:rPr>
        <w:t>(25 pg/mL) surrogate matrix</w:t>
      </w:r>
      <w:r>
        <w:rPr>
          <w:rFonts w:ascii="Arial" w:hAnsi="Arial" w:cs="Arial"/>
          <w:sz w:val="20"/>
          <w:szCs w:val="20"/>
        </w:rPr>
        <w:t xml:space="preserve"> chromatogram</w:t>
      </w:r>
      <w:r w:rsidR="00115C9C">
        <w:rPr>
          <w:rFonts w:ascii="Arial" w:hAnsi="Arial" w:cs="Arial"/>
          <w:sz w:val="20"/>
          <w:szCs w:val="20"/>
        </w:rPr>
        <w:t xml:space="preserve"> demonstrat</w:t>
      </w:r>
      <w:r w:rsidR="00AB752C">
        <w:rPr>
          <w:rFonts w:ascii="Arial" w:hAnsi="Arial" w:cs="Arial"/>
          <w:sz w:val="20"/>
          <w:szCs w:val="20"/>
        </w:rPr>
        <w:t>ing a signal-to-noise of ≥ 13.1</w:t>
      </w:r>
      <w:r w:rsidR="00115C9C">
        <w:rPr>
          <w:rFonts w:ascii="Arial" w:hAnsi="Arial" w:cs="Arial"/>
          <w:sz w:val="20"/>
          <w:szCs w:val="20"/>
        </w:rPr>
        <w:t xml:space="preserve"> </w:t>
      </w:r>
    </w:p>
    <w:p w:rsidR="005566A9" w:rsidRDefault="005566A9" w:rsidP="00EB76BD">
      <w:pPr>
        <w:pStyle w:val="TemplateText"/>
        <w:spacing w:line="360" w:lineRule="auto"/>
        <w:rPr>
          <w:rFonts w:eastAsiaTheme="minorHAnsi" w:cs="Arial"/>
        </w:rPr>
      </w:pPr>
      <w:r>
        <w:rPr>
          <w:rFonts w:eastAsiaTheme="minorHAnsi" w:cs="Arial"/>
        </w:rPr>
        <w:t>Although we used</w:t>
      </w:r>
      <w:r w:rsidR="00046178">
        <w:rPr>
          <w:rFonts w:eastAsiaTheme="minorHAnsi" w:cs="Arial"/>
        </w:rPr>
        <w:t xml:space="preserve"> Aprotinin,</w:t>
      </w:r>
      <w:r w:rsidR="007A48B7">
        <w:rPr>
          <w:rFonts w:eastAsiaTheme="minorHAnsi" w:cs="Arial"/>
        </w:rPr>
        <w:t xml:space="preserve"> a degree of glucagon</w:t>
      </w:r>
      <w:r w:rsidR="00F94558">
        <w:rPr>
          <w:rFonts w:eastAsiaTheme="minorHAnsi" w:cs="Arial"/>
        </w:rPr>
        <w:t xml:space="preserve"> instability</w:t>
      </w:r>
      <w:r w:rsidR="007A48B7">
        <w:rPr>
          <w:rFonts w:eastAsiaTheme="minorHAnsi" w:cs="Arial"/>
        </w:rPr>
        <w:t xml:space="preserve"> within human plasma was apparent and </w:t>
      </w:r>
      <w:r w:rsidR="00BB0E12">
        <w:rPr>
          <w:rFonts w:eastAsiaTheme="minorHAnsi" w:cs="Arial"/>
        </w:rPr>
        <w:t>most</w:t>
      </w:r>
      <w:r w:rsidR="007A48B7">
        <w:rPr>
          <w:rFonts w:eastAsiaTheme="minorHAnsi" w:cs="Arial"/>
        </w:rPr>
        <w:t xml:space="preserve"> experiments gave results</w:t>
      </w:r>
      <w:r w:rsidR="00BB0E12">
        <w:rPr>
          <w:rFonts w:eastAsiaTheme="minorHAnsi" w:cs="Arial"/>
        </w:rPr>
        <w:t xml:space="preserve"> </w:t>
      </w:r>
      <w:r w:rsidR="00046178">
        <w:rPr>
          <w:rFonts w:eastAsiaTheme="minorHAnsi" w:cs="Arial"/>
        </w:rPr>
        <w:t>outside</w:t>
      </w:r>
      <w:r w:rsidR="007A48B7">
        <w:rPr>
          <w:rFonts w:eastAsiaTheme="minorHAnsi" w:cs="Arial"/>
        </w:rPr>
        <w:t xml:space="preserve"> </w:t>
      </w:r>
      <w:r w:rsidR="00046178">
        <w:rPr>
          <w:rFonts w:eastAsiaTheme="minorHAnsi" w:cs="Arial"/>
        </w:rPr>
        <w:t xml:space="preserve">the acceptance criteria of </w:t>
      </w:r>
      <w:r w:rsidR="007A48B7">
        <w:rPr>
          <w:rFonts w:eastAsiaTheme="minorHAnsi" w:cs="Arial"/>
        </w:rPr>
        <w:sym w:font="Symbol" w:char="F0B1"/>
      </w:r>
      <w:r w:rsidR="007A48B7">
        <w:rPr>
          <w:rFonts w:eastAsiaTheme="minorHAnsi" w:cs="Arial"/>
        </w:rPr>
        <w:t xml:space="preserve">20% of the nominal concentration </w:t>
      </w:r>
      <w:r w:rsidRPr="002E5AB7">
        <w:rPr>
          <w:rFonts w:eastAsiaTheme="minorHAnsi" w:cs="Arial"/>
        </w:rPr>
        <w:t>(</w:t>
      </w:r>
      <w:r w:rsidR="00342B10">
        <w:fldChar w:fldCharType="begin"/>
      </w:r>
      <w:r w:rsidR="00342B10">
        <w:instrText xml:space="preserve"> REF _Ref360032323 \h  \* MERGEFORMAT </w:instrText>
      </w:r>
      <w:r w:rsidR="00342B10">
        <w:fldChar w:fldCharType="separate"/>
      </w:r>
      <w:r w:rsidR="0020538A" w:rsidRPr="0020538A">
        <w:rPr>
          <w:rFonts w:eastAsiaTheme="minorHAnsi" w:cs="Arial"/>
        </w:rPr>
        <w:t>Table 2</w:t>
      </w:r>
      <w:r w:rsidR="00342B10">
        <w:fldChar w:fldCharType="end"/>
      </w:r>
      <w:r>
        <w:rPr>
          <w:rFonts w:eastAsiaTheme="minorHAnsi" w:cs="Arial"/>
        </w:rPr>
        <w:t>)</w:t>
      </w:r>
      <w:r w:rsidR="00046178">
        <w:rPr>
          <w:rFonts w:eastAsiaTheme="minorHAnsi" w:cs="Arial"/>
        </w:rPr>
        <w:t>.</w:t>
      </w:r>
      <w:r w:rsidR="00F94558">
        <w:rPr>
          <w:rFonts w:eastAsiaTheme="minorHAnsi" w:cs="Arial"/>
        </w:rPr>
        <w:t xml:space="preserve"> </w:t>
      </w:r>
      <w:r w:rsidR="00233F1F">
        <w:rPr>
          <w:rFonts w:eastAsiaTheme="minorHAnsi" w:cs="Arial"/>
        </w:rPr>
        <w:t>Even if 0 hr concentrati</w:t>
      </w:r>
      <w:r w:rsidR="00046178">
        <w:rPr>
          <w:rFonts w:eastAsiaTheme="minorHAnsi" w:cs="Arial"/>
        </w:rPr>
        <w:t>ons were</w:t>
      </w:r>
      <w:r>
        <w:rPr>
          <w:rFonts w:eastAsiaTheme="minorHAnsi" w:cs="Arial"/>
        </w:rPr>
        <w:t xml:space="preserve"> used, to take into account</w:t>
      </w:r>
      <w:r w:rsidR="00233F1F">
        <w:rPr>
          <w:rFonts w:eastAsiaTheme="minorHAnsi" w:cs="Arial"/>
        </w:rPr>
        <w:t xml:space="preserve"> any assay bias or preparation </w:t>
      </w:r>
      <w:r>
        <w:rPr>
          <w:rFonts w:eastAsiaTheme="minorHAnsi" w:cs="Arial"/>
        </w:rPr>
        <w:t>differences</w:t>
      </w:r>
      <w:r w:rsidR="00233F1F">
        <w:rPr>
          <w:rFonts w:eastAsiaTheme="minorHAnsi" w:cs="Arial"/>
        </w:rPr>
        <w:t xml:space="preserve">, </w:t>
      </w:r>
      <w:r w:rsidR="007A48B7">
        <w:rPr>
          <w:rFonts w:eastAsiaTheme="minorHAnsi" w:cs="Arial"/>
        </w:rPr>
        <w:t xml:space="preserve">many </w:t>
      </w:r>
      <w:r w:rsidR="00233F1F">
        <w:rPr>
          <w:rFonts w:eastAsiaTheme="minorHAnsi" w:cs="Arial"/>
        </w:rPr>
        <w:t xml:space="preserve">results </w:t>
      </w:r>
      <w:r>
        <w:rPr>
          <w:rFonts w:eastAsiaTheme="minorHAnsi" w:cs="Arial"/>
        </w:rPr>
        <w:t>remain</w:t>
      </w:r>
      <w:r w:rsidR="00BB0E12">
        <w:rPr>
          <w:rFonts w:eastAsiaTheme="minorHAnsi" w:cs="Arial"/>
        </w:rPr>
        <w:t xml:space="preserve"> </w:t>
      </w:r>
      <w:r w:rsidR="00233F1F">
        <w:rPr>
          <w:rFonts w:eastAsiaTheme="minorHAnsi" w:cs="Arial"/>
        </w:rPr>
        <w:t xml:space="preserve">outside </w:t>
      </w:r>
      <w:r w:rsidR="00233F1F">
        <w:rPr>
          <w:rFonts w:eastAsiaTheme="minorHAnsi" w:cs="Arial"/>
        </w:rPr>
        <w:sym w:font="Symbol" w:char="F0B1"/>
      </w:r>
      <w:r w:rsidR="00AB752C">
        <w:rPr>
          <w:rFonts w:eastAsiaTheme="minorHAnsi" w:cs="Arial"/>
        </w:rPr>
        <w:t xml:space="preserve">20% of this concentration. </w:t>
      </w:r>
      <w:r>
        <w:rPr>
          <w:rFonts w:eastAsiaTheme="minorHAnsi" w:cs="Arial"/>
        </w:rPr>
        <w:t>Glucagon plasma samples were found to be within 23.7% of their nominal concentration</w:t>
      </w:r>
      <w:r w:rsidR="00046178">
        <w:rPr>
          <w:rFonts w:eastAsiaTheme="minorHAnsi" w:cs="Arial"/>
        </w:rPr>
        <w:t>s</w:t>
      </w:r>
      <w:r>
        <w:rPr>
          <w:rFonts w:eastAsiaTheme="minorHAnsi" w:cs="Arial"/>
        </w:rPr>
        <w:t xml:space="preserve"> following storage at the extraction temperature </w:t>
      </w:r>
      <w:r w:rsidR="00046178">
        <w:rPr>
          <w:rFonts w:eastAsiaTheme="minorHAnsi" w:cs="Arial"/>
        </w:rPr>
        <w:t>(+</w:t>
      </w:r>
      <w:r>
        <w:rPr>
          <w:rFonts w:eastAsiaTheme="minorHAnsi" w:cs="Arial"/>
        </w:rPr>
        <w:t>4</w:t>
      </w:r>
      <w:r>
        <w:rPr>
          <w:rFonts w:eastAsiaTheme="minorHAnsi" w:cs="Arial"/>
        </w:rPr>
        <w:sym w:font="Symbol" w:char="F0B0"/>
      </w:r>
      <w:r>
        <w:rPr>
          <w:rFonts w:eastAsiaTheme="minorHAnsi" w:cs="Arial"/>
        </w:rPr>
        <w:t>C) for 6 hours 20 minutes, and within 21.4% of their 0 hr concentration following storage for 75 days at -20</w:t>
      </w:r>
      <w:r>
        <w:rPr>
          <w:rFonts w:eastAsiaTheme="minorHAnsi" w:cs="Arial"/>
        </w:rPr>
        <w:sym w:font="Symbol" w:char="F0B0"/>
      </w:r>
      <w:r>
        <w:rPr>
          <w:rFonts w:eastAsiaTheme="minorHAnsi" w:cs="Arial"/>
        </w:rPr>
        <w:t>C, or within 20.2% following storage for 51 days at -80</w:t>
      </w:r>
      <w:r>
        <w:rPr>
          <w:rFonts w:eastAsiaTheme="minorHAnsi" w:cs="Arial"/>
        </w:rPr>
        <w:sym w:font="Symbol" w:char="F0B0"/>
      </w:r>
      <w:r>
        <w:rPr>
          <w:rFonts w:eastAsiaTheme="minorHAnsi" w:cs="Arial"/>
        </w:rPr>
        <w:t>C. Greater instability was observed following multiple freeze-thaw cycles, and these should therefore be minimised during analysis</w:t>
      </w:r>
      <w:r w:rsidR="00EB76BD">
        <w:rPr>
          <w:rFonts w:eastAsiaTheme="minorHAnsi" w:cs="Arial"/>
        </w:rPr>
        <w:t>.</w:t>
      </w:r>
      <w:r w:rsidR="00D03C64">
        <w:rPr>
          <w:rFonts w:eastAsiaTheme="minorHAnsi" w:cs="Arial"/>
        </w:rPr>
        <w:t xml:space="preserve"> </w:t>
      </w:r>
      <w:r w:rsidR="00D03C64">
        <w:t xml:space="preserve">The accuracy of the method is therefore limited by the sub-optimal sample </w:t>
      </w:r>
      <w:r w:rsidR="007507CC">
        <w:t>stabilisation</w:t>
      </w:r>
      <w:r w:rsidR="00D03C64">
        <w:t xml:space="preserve"> procedure.  The effect of</w:t>
      </w:r>
      <w:r w:rsidR="007507CC">
        <w:t xml:space="preserve"> such</w:t>
      </w:r>
      <w:r w:rsidR="00D03C64">
        <w:t xml:space="preserve"> pre-analytical parameters has been described by others </w:t>
      </w:r>
      <w:r w:rsidR="001B586C">
        <w:fldChar w:fldCharType="begin" w:fldLock="1"/>
      </w:r>
      <w:r w:rsidR="00261C24">
        <w:instrText>ADDIN CSL_CITATION { "citationItems" : [ { "id" : "ITEM-1", "itemData" : { "DOI" : "10.1002/pmic.200401245", "ISSN" : "1615-9853", "PMID" : "16052621", "abstract" : "There is a substantial list of pre-analytical variables that can alter the analysis of blood-derived samples. We have undertaken studies on some of these issues including choice of sample type, stability during storage, use of protease inhibitors, and clinical standardization. As there is a wide range of sample variables and a broad spectrum of analytical techniques in the HUPO PPP effort, it is not possible to define a single list of pre-analytical standards for samples or their processing. We present here a compendium of observations, drawing on actual results and sound clinical theories and practices. Based on our data, we find that (1) platelet-depleted plasma is preferable to serum for certain peptidomic studies; (2) samples should be aliquoted and stored preferably in liquid nitrogen; (3) the addition of protease inhibitors is recommended, but should be incorporated early and used judiciously, as some form non specific protein adducts and others interfere with peptide studies. Further, (4) the diligent tracking of pre-analytical variables and (5) the use of reference materials for quality control and quality assurance, are recommended. These findings help provide guidance on sample handling issues, with the overall suggestion being to be conscious of all possible pre-analytical variables as a prerequisite of any proteomic study.", "author" : [ { "dropping-particle" : "", "family" : "Rai", "given" : "Alex J", "non-dropping-particle" : "", "parse-names" : false, "suffix" : "" }, { "dropping-particle" : "", "family" : "Gelfand", "given" : "Craig A", "non-dropping-particle" : "", "parse-names" : false, "suffix" : "" }, { "dropping-particle" : "", "family" : "Haywood", "given" : "Bruce C", "non-dropping-particle" : "", "parse-names" : false, "suffix" : "" }, { "dropping-particle" : "", "family" : "Warunek", "given" : "David J", "non-dropping-particle" : "", "parse-names" : false, "suffix" : "" }, { "dropping-particle" : "", "family" : "Yi", "given" : "Jizu", "non-dropping-particle" : "", "parse-names" : false, "suffix" : "" }, { "dropping-particle" : "", "family" : "Schuchard", "given" : "Mark D", "non-dropping-particle" : "", "parse-names" : false, "suffix" : "" }, { "dropping-particle" : "", "family" : "Mehigh", "given" : "Richard J", "non-dropping-particle" : "", "parse-names" : false, "suffix" : "" }, { "dropping-particle" : "", "family" : "Cockrill", "given" : "Steven L", "non-dropping-particle" : "", "parse-names" : false, "suffix" : "" }, { "dropping-particle" : "", "family" : "Scott", "given" : "Graham B I", "non-dropping-particle" : "", "parse-names" : false, "suffix" : "" }, { "dropping-particle" : "", "family" : "Tammen", "given" : "Harald", "non-dropping-particle" : "", "parse-names" : false, "suffix" : "" }, { "dropping-particle" : "", "family" : "Schulz-Knappe", "given" : "Peter", "non-dropping-particle" : "", "parse-names" : false, "suffix" : "" }, { "dropping-particle" : "", "family" : "Speicher", "given" : "David W", "non-dropping-particle" : "", "parse-names" : false, "suffix" : "" }, { "dropping-particle" : "", "family" : "Vitzthum", "given" : "Frank", "non-dropping-particle" : "", "parse-names" : false, "suffix" : "" }, { "dropping-particle" : "", "family" : "Haab", "given" : "Brian B", "non-dropping-particle" : "", "parse-names" : false, "suffix" : "" }, { "dropping-particle" : "", "family" : "Siest", "given" : "Gerard", "non-dropping-particle" : "", "parse-names" : false, "suffix" : "" }, { "dropping-particle" : "", "family" : "Chan", "given" : "Daniel W", "non-dropping-particle" : "", "parse-names" : false, "suffix" : "" } ], "container-title" : "Proteomics", "id" : "ITEM-1", "issue" : "13", "issued" : { "date-parts" : [ [ "2005", "8" ] ] }, "note" : "skimmed 19th june 2011\nrecommendation use inhibitors, aliquot and store in liquid nirogen, \n      ", "page" : "3262-77", "title" : "HUPO Plasma Proteome Project specimen collection and handling: towards the standardization of parameters for plasma proteome samples.", "type" : "article-journal", "volume" : "5" }, "uris" : [ "http://www.mendeley.com/documents/?uuid=28d9df02-ce69-4e60-9f95-85a634e4961b" ] } ], "mendeley" : { "previouslyFormattedCitation" : "[35]" }, "properties" : { "noteIndex" : 0 }, "schema" : "https://github.com/citation-style-language/schema/raw/master/csl-citation.json" }</w:instrText>
      </w:r>
      <w:r w:rsidR="001B586C">
        <w:fldChar w:fldCharType="separate"/>
      </w:r>
      <w:r w:rsidR="00261C24" w:rsidRPr="00261C24">
        <w:rPr>
          <w:noProof/>
        </w:rPr>
        <w:t>[35]</w:t>
      </w:r>
      <w:r w:rsidR="001B586C">
        <w:fldChar w:fldCharType="end"/>
      </w:r>
      <w:r w:rsidR="00D03C64">
        <w:t xml:space="preserve"> </w:t>
      </w:r>
      <w:r w:rsidR="007507CC">
        <w:t xml:space="preserve">, </w:t>
      </w:r>
      <w:r w:rsidR="00D03C64">
        <w:t xml:space="preserve">and  future assay development should include an </w:t>
      </w:r>
      <w:r w:rsidR="007507CC">
        <w:t>evaluation</w:t>
      </w:r>
      <w:r w:rsidR="00D03C64">
        <w:t xml:space="preserve"> of these. For example, </w:t>
      </w:r>
      <w:r w:rsidR="00D03C64">
        <w:rPr>
          <w:rFonts w:eastAsiaTheme="minorHAnsi" w:cs="Arial"/>
        </w:rPr>
        <w:t>s</w:t>
      </w:r>
      <w:r w:rsidR="00DF713F">
        <w:rPr>
          <w:rFonts w:eastAsiaTheme="minorHAnsi" w:cs="Arial"/>
        </w:rPr>
        <w:t>tability would likely be improved if specific DPP</w:t>
      </w:r>
      <w:r w:rsidR="00BA34B8">
        <w:rPr>
          <w:rFonts w:eastAsiaTheme="minorHAnsi" w:cs="Arial"/>
        </w:rPr>
        <w:t>-</w:t>
      </w:r>
      <w:r w:rsidR="00DF713F">
        <w:rPr>
          <w:rFonts w:eastAsiaTheme="minorHAnsi" w:cs="Arial"/>
        </w:rPr>
        <w:t>IV inhibitors were used</w:t>
      </w:r>
      <w:r w:rsidR="009E20C6">
        <w:rPr>
          <w:rFonts w:eastAsiaTheme="minorHAnsi" w:cs="Arial"/>
        </w:rPr>
        <w:t xml:space="preserve"> </w:t>
      </w:r>
      <w:r w:rsidR="001B586C">
        <w:rPr>
          <w:rFonts w:eastAsiaTheme="minorHAnsi" w:cs="Arial"/>
        </w:rPr>
        <w:fldChar w:fldCharType="begin" w:fldLock="1"/>
      </w:r>
      <w:r w:rsidR="00261C24">
        <w:rPr>
          <w:rFonts w:eastAsiaTheme="minorHAnsi" w:cs="Arial"/>
        </w:rPr>
        <w:instrText>ADDIN CSL_CITATION { "citationItems" : [ { "id" : "ITEM-1", "itemData" : { "DOI" : "10.3132/dvdr.2006.024", "ISSN" : "1479-1641", "PMID" : "17160910", "abstract" : "Inhibitors of the enzyme dipeptidyl peptidase IV (DPP IV) provide a strategy for the treatment of type 2 diabetes. DPP IV rapidly inactivates the incretin hormones glucagon-like peptide-1 (GLP-1) and glucose-dependent insulinotropic polypeptide (GIP). Inhibition of DPP IV prolongs and enhances the activity of endogenous GLP-1 and GIP, which serve as important prandial stimulators of insulin secretion and regulators of blood glucose control. In clinical trials DPP IV inhibitors (or 'gliptins') have shown efficacy and tolerability in the management of hyperglycaemia in type 2 diabetes, without causing weight gain or hypoglycaemia.", "author" : [ { "dropping-particle" : "", "family" : "Green", "given" : "Brian D", "non-dropping-particle" : "", "parse-names" : false, "suffix" : "" }, { "dropping-particle" : "", "family" : "Flatt", "given" : "Peter R", "non-dropping-particle" : "", "parse-names" : false, "suffix" : "" }, { "dropping-particle" : "", "family" : "Bailey", "given" : "Clifford J", "non-dropping-particle" : "", "parse-names" : false, "suffix" : "" } ], "container-title" : "Diabetes &amp; vascular disease research : official journal of the International Society of Diabetes and Vascular Disease", "id" : "ITEM-1", "issue" : "3", "issued" : { "date-parts" : [ [ "2006", "12" ] ] }, "note" : "Peer reviewer 4 on glucaogn quantitation paper suggested getting a DPPIV inhibitor paper refeence. ", "page" : "159-65", "title" : "Dipeptidyl peptidase IV (DPP IV) inhibitors: A newly emerging drug class for the treatment of type 2 diabetes.", "type" : "article-journal", "volume" : "3" }, "uris" : [ "http://www.mendeley.com/documents/?uuid=fddd8388-07d7-4c11-a3e3-50c973c28467" ] } ], "mendeley" : { "previouslyFormattedCitation" : "[36]" }, "properties" : { "noteIndex" : 0 }, "schema" : "https://github.com/citation-style-language/schema/raw/master/csl-citation.json" }</w:instrText>
      </w:r>
      <w:r w:rsidR="001B586C">
        <w:rPr>
          <w:rFonts w:eastAsiaTheme="minorHAnsi" w:cs="Arial"/>
        </w:rPr>
        <w:fldChar w:fldCharType="separate"/>
      </w:r>
      <w:r w:rsidR="00261C24" w:rsidRPr="00261C24">
        <w:rPr>
          <w:rFonts w:eastAsiaTheme="minorHAnsi" w:cs="Arial"/>
          <w:noProof/>
        </w:rPr>
        <w:t>[36]</w:t>
      </w:r>
      <w:r w:rsidR="001B586C">
        <w:rPr>
          <w:rFonts w:eastAsiaTheme="minorHAnsi" w:cs="Arial"/>
        </w:rPr>
        <w:fldChar w:fldCharType="end"/>
      </w:r>
      <w:r w:rsidR="00DF713F">
        <w:rPr>
          <w:rFonts w:eastAsiaTheme="minorHAnsi" w:cs="Arial"/>
        </w:rPr>
        <w:t xml:space="preserve">, rather than the broad serine protease inhibitor </w:t>
      </w:r>
      <w:r w:rsidR="00815ADE">
        <w:t>Aprotinin</w:t>
      </w:r>
      <w:r w:rsidR="00DF713F">
        <w:t>.</w:t>
      </w:r>
      <w:r w:rsidR="00DB379E">
        <w:t xml:space="preserve"> </w:t>
      </w:r>
    </w:p>
    <w:p w:rsidR="005566A9" w:rsidRDefault="005566A9" w:rsidP="00233F1F">
      <w:pPr>
        <w:pStyle w:val="TemplateText"/>
        <w:spacing w:line="360" w:lineRule="auto"/>
        <w:rPr>
          <w:rFonts w:eastAsiaTheme="minorHAnsi" w:cs="Arial"/>
        </w:rPr>
      </w:pPr>
    </w:p>
    <w:p w:rsidR="00CA30D5" w:rsidRDefault="00233F1F" w:rsidP="00233F1F">
      <w:pPr>
        <w:pStyle w:val="TemplateText"/>
        <w:spacing w:line="360" w:lineRule="auto"/>
        <w:rPr>
          <w:rFonts w:eastAsiaTheme="minorHAnsi" w:cs="Arial"/>
        </w:rPr>
      </w:pPr>
      <w:r>
        <w:rPr>
          <w:rFonts w:eastAsiaTheme="minorHAnsi" w:cs="Arial"/>
        </w:rPr>
        <w:t xml:space="preserve">As stability in </w:t>
      </w:r>
      <w:r w:rsidR="00BB0E12">
        <w:rPr>
          <w:rFonts w:eastAsiaTheme="minorHAnsi" w:cs="Arial"/>
        </w:rPr>
        <w:t>Human K3 EDTA plasma with Aprotinin stabilisation</w:t>
      </w:r>
      <w:r>
        <w:rPr>
          <w:rFonts w:eastAsiaTheme="minorHAnsi" w:cs="Arial"/>
        </w:rPr>
        <w:t xml:space="preserve"> </w:t>
      </w:r>
      <w:r w:rsidR="00046178">
        <w:rPr>
          <w:rFonts w:eastAsiaTheme="minorHAnsi" w:cs="Arial"/>
        </w:rPr>
        <w:t>did</w:t>
      </w:r>
      <w:r>
        <w:rPr>
          <w:rFonts w:eastAsiaTheme="minorHAnsi" w:cs="Arial"/>
        </w:rPr>
        <w:t xml:space="preserve"> not</w:t>
      </w:r>
      <w:r w:rsidR="00BB0E12">
        <w:rPr>
          <w:rFonts w:eastAsiaTheme="minorHAnsi" w:cs="Arial"/>
        </w:rPr>
        <w:t xml:space="preserve"> pass</w:t>
      </w:r>
      <w:r w:rsidR="007A48B7">
        <w:rPr>
          <w:rFonts w:eastAsiaTheme="minorHAnsi" w:cs="Arial"/>
        </w:rPr>
        <w:t xml:space="preserve"> our acceptance criteria, </w:t>
      </w:r>
      <w:r>
        <w:rPr>
          <w:rFonts w:eastAsiaTheme="minorHAnsi" w:cs="Arial"/>
        </w:rPr>
        <w:t xml:space="preserve">the method is described as qualified, rather than validated. However, the instability was </w:t>
      </w:r>
      <w:r w:rsidR="00BC5CF9">
        <w:rPr>
          <w:rFonts w:eastAsiaTheme="minorHAnsi" w:cs="Arial"/>
        </w:rPr>
        <w:t>moderate</w:t>
      </w:r>
      <w:r>
        <w:rPr>
          <w:rFonts w:eastAsiaTheme="minorHAnsi" w:cs="Arial"/>
        </w:rPr>
        <w:t>,</w:t>
      </w:r>
      <w:r w:rsidR="00046178">
        <w:rPr>
          <w:rFonts w:eastAsiaTheme="minorHAnsi" w:cs="Arial"/>
        </w:rPr>
        <w:t xml:space="preserve"> and the data generated is likely to “fit for purpose” for many applications</w:t>
      </w:r>
      <w:r w:rsidR="0045581F">
        <w:rPr>
          <w:rFonts w:eastAsiaTheme="minorHAnsi" w:cs="Arial"/>
        </w:rPr>
        <w:t>.</w:t>
      </w:r>
    </w:p>
    <w:p w:rsidR="00BC5CF9" w:rsidRDefault="00BC5CF9" w:rsidP="00233F1F">
      <w:pPr>
        <w:pStyle w:val="TemplateText"/>
        <w:spacing w:line="360" w:lineRule="auto"/>
        <w:rPr>
          <w:rFonts w:eastAsiaTheme="minorHAnsi" w:cs="Arial"/>
        </w:rPr>
      </w:pPr>
    </w:p>
    <w:p w:rsidR="00F85C59" w:rsidRPr="00F85C59" w:rsidRDefault="00F85C59" w:rsidP="00F85C59">
      <w:pPr>
        <w:spacing w:line="360" w:lineRule="auto"/>
        <w:rPr>
          <w:rFonts w:ascii="Arial" w:hAnsi="Arial" w:cs="Arial"/>
          <w:b/>
          <w:sz w:val="24"/>
          <w:szCs w:val="24"/>
          <w:u w:val="single"/>
        </w:rPr>
      </w:pPr>
      <w:r w:rsidRPr="00FF167F">
        <w:rPr>
          <w:rFonts w:ascii="Arial" w:hAnsi="Arial" w:cs="Arial"/>
          <w:b/>
          <w:sz w:val="24"/>
          <w:szCs w:val="24"/>
          <w:u w:val="single"/>
        </w:rPr>
        <w:t>Key Terms</w:t>
      </w:r>
    </w:p>
    <w:p w:rsidR="00E8166A" w:rsidRPr="00D023E8" w:rsidRDefault="00E8166A" w:rsidP="00E120F6">
      <w:pPr>
        <w:spacing w:line="360" w:lineRule="auto"/>
        <w:jc w:val="both"/>
        <w:rPr>
          <w:rFonts w:ascii="Arial" w:hAnsi="Arial" w:cs="Arial"/>
        </w:rPr>
      </w:pPr>
      <w:r w:rsidRPr="00D023E8">
        <w:rPr>
          <w:rFonts w:ascii="Arial" w:hAnsi="Arial" w:cs="Arial"/>
          <w:i/>
        </w:rPr>
        <w:t>Validated assay</w:t>
      </w:r>
      <w:r w:rsidRPr="00D023E8">
        <w:rPr>
          <w:rFonts w:ascii="Arial" w:hAnsi="Arial" w:cs="Arial"/>
        </w:rPr>
        <w:t xml:space="preserve"> –An assay where experiments based on those describ</w:t>
      </w:r>
      <w:r w:rsidR="000E0D7A" w:rsidRPr="00D023E8">
        <w:rPr>
          <w:rFonts w:ascii="Arial" w:hAnsi="Arial" w:cs="Arial"/>
        </w:rPr>
        <w:t>ed in the USA FDA Guidance for Industry: Bioanalytical Method V</w:t>
      </w:r>
      <w:r w:rsidRPr="00D023E8">
        <w:rPr>
          <w:rFonts w:ascii="Arial" w:hAnsi="Arial" w:cs="Arial"/>
        </w:rPr>
        <w:t xml:space="preserve">alidation (2001) </w:t>
      </w:r>
      <w:r w:rsidR="00D10AFC">
        <w:rPr>
          <w:rFonts w:ascii="Arial" w:hAnsi="Arial" w:cs="Arial"/>
        </w:rPr>
        <w:t xml:space="preserve">and </w:t>
      </w:r>
      <w:r w:rsidRPr="00D023E8">
        <w:rPr>
          <w:rFonts w:ascii="Arial" w:hAnsi="Arial" w:cs="Arial"/>
        </w:rPr>
        <w:t>those des</w:t>
      </w:r>
      <w:r w:rsidR="000E0D7A" w:rsidRPr="00D023E8">
        <w:rPr>
          <w:rFonts w:ascii="Arial" w:hAnsi="Arial" w:cs="Arial"/>
        </w:rPr>
        <w:t>cribed in the EMA Guideline on Bioanalytical Method V</w:t>
      </w:r>
      <w:r w:rsidRPr="00D023E8">
        <w:rPr>
          <w:rFonts w:ascii="Arial" w:hAnsi="Arial" w:cs="Arial"/>
        </w:rPr>
        <w:t>alidation (2012) meet their prospectively defined acceptance criteria.</w:t>
      </w:r>
    </w:p>
    <w:p w:rsidR="00E8166A" w:rsidRPr="00D023E8" w:rsidRDefault="00E8166A" w:rsidP="00E120F6">
      <w:pPr>
        <w:spacing w:line="360" w:lineRule="auto"/>
        <w:jc w:val="both"/>
        <w:rPr>
          <w:rFonts w:ascii="Arial" w:hAnsi="Arial" w:cs="Arial"/>
        </w:rPr>
      </w:pPr>
      <w:r w:rsidRPr="00D023E8">
        <w:rPr>
          <w:rFonts w:ascii="Arial" w:hAnsi="Arial" w:cs="Arial"/>
          <w:i/>
        </w:rPr>
        <w:t>Qualified assay –</w:t>
      </w:r>
      <w:r w:rsidRPr="00D023E8">
        <w:rPr>
          <w:rFonts w:ascii="Arial" w:hAnsi="Arial" w:cs="Arial"/>
        </w:rPr>
        <w:t xml:space="preserve"> An assay where not all of the validation experiments</w:t>
      </w:r>
      <w:r w:rsidR="00B92C19">
        <w:rPr>
          <w:rFonts w:ascii="Arial" w:hAnsi="Arial" w:cs="Arial"/>
        </w:rPr>
        <w:t xml:space="preserve"> described in the guidance</w:t>
      </w:r>
      <w:r w:rsidRPr="00D023E8">
        <w:rPr>
          <w:rFonts w:ascii="Arial" w:hAnsi="Arial" w:cs="Arial"/>
        </w:rPr>
        <w:t xml:space="preserve"> have</w:t>
      </w:r>
      <w:r w:rsidR="00D10AFC">
        <w:rPr>
          <w:rFonts w:ascii="Arial" w:hAnsi="Arial" w:cs="Arial"/>
        </w:rPr>
        <w:t xml:space="preserve"> been assessed or</w:t>
      </w:r>
      <w:r w:rsidR="00B92C19">
        <w:rPr>
          <w:rFonts w:ascii="Arial" w:hAnsi="Arial" w:cs="Arial"/>
        </w:rPr>
        <w:t xml:space="preserve"> </w:t>
      </w:r>
      <w:r w:rsidR="00D10AFC">
        <w:rPr>
          <w:rFonts w:ascii="Arial" w:hAnsi="Arial" w:cs="Arial"/>
        </w:rPr>
        <w:t>have passed</w:t>
      </w:r>
      <w:r w:rsidRPr="00D023E8">
        <w:rPr>
          <w:rFonts w:ascii="Arial" w:hAnsi="Arial" w:cs="Arial"/>
        </w:rPr>
        <w:t xml:space="preserve"> their prospectively defined</w:t>
      </w:r>
      <w:r w:rsidR="00D10AFC">
        <w:rPr>
          <w:rFonts w:ascii="Arial" w:hAnsi="Arial" w:cs="Arial"/>
        </w:rPr>
        <w:t xml:space="preserve"> acceptance</w:t>
      </w:r>
      <w:r w:rsidRPr="00D023E8">
        <w:rPr>
          <w:rFonts w:ascii="Arial" w:hAnsi="Arial" w:cs="Arial"/>
        </w:rPr>
        <w:t xml:space="preserve"> criteria</w:t>
      </w:r>
      <w:r w:rsidR="00B92C19">
        <w:rPr>
          <w:rFonts w:ascii="Arial" w:hAnsi="Arial" w:cs="Arial"/>
        </w:rPr>
        <w:t>.</w:t>
      </w:r>
      <w:r w:rsidRPr="00D023E8">
        <w:rPr>
          <w:rFonts w:ascii="Arial" w:hAnsi="Arial" w:cs="Arial"/>
        </w:rPr>
        <w:t xml:space="preserve"> However the ass</w:t>
      </w:r>
      <w:r w:rsidR="00715922">
        <w:rPr>
          <w:rFonts w:ascii="Arial" w:hAnsi="Arial" w:cs="Arial"/>
        </w:rPr>
        <w:t>ay may still be considered “fit-for-</w:t>
      </w:r>
      <w:r w:rsidRPr="00D023E8">
        <w:rPr>
          <w:rFonts w:ascii="Arial" w:hAnsi="Arial" w:cs="Arial"/>
        </w:rPr>
        <w:t>purpose”.</w:t>
      </w:r>
    </w:p>
    <w:p w:rsidR="00F85C59" w:rsidRPr="00D023E8" w:rsidRDefault="00E120F6" w:rsidP="00D023E8">
      <w:pPr>
        <w:spacing w:line="360" w:lineRule="auto"/>
        <w:rPr>
          <w:rFonts w:ascii="Arial" w:hAnsi="Arial" w:cs="Arial"/>
        </w:rPr>
        <w:sectPr w:rsidR="00F85C59" w:rsidRPr="00D023E8" w:rsidSect="008B3F06">
          <w:footerReference w:type="default" r:id="rId13"/>
          <w:type w:val="continuous"/>
          <w:pgSz w:w="11906" w:h="16838"/>
          <w:pgMar w:top="1440" w:right="1440" w:bottom="1440" w:left="1440" w:header="709" w:footer="709" w:gutter="0"/>
          <w:lnNumType w:countBy="1" w:restart="continuous"/>
          <w:cols w:space="708"/>
          <w:titlePg/>
          <w:docGrid w:linePitch="360"/>
        </w:sectPr>
      </w:pPr>
      <w:r w:rsidRPr="00D023E8">
        <w:rPr>
          <w:rFonts w:ascii="Arial" w:hAnsi="Arial" w:cs="Arial"/>
          <w:i/>
        </w:rPr>
        <w:t>Fit</w:t>
      </w:r>
      <w:r w:rsidR="00E8166A" w:rsidRPr="00D023E8">
        <w:rPr>
          <w:rFonts w:ascii="Arial" w:hAnsi="Arial" w:cs="Arial"/>
          <w:i/>
        </w:rPr>
        <w:t>- for-purpose assay-</w:t>
      </w:r>
      <w:r w:rsidR="00E8166A" w:rsidRPr="00D023E8">
        <w:rPr>
          <w:rFonts w:ascii="Arial" w:hAnsi="Arial" w:cs="Arial"/>
        </w:rPr>
        <w:t xml:space="preserve"> An assay where its performance characteristics</w:t>
      </w:r>
      <w:r w:rsidR="00FA74C1">
        <w:rPr>
          <w:rFonts w:ascii="Arial" w:hAnsi="Arial" w:cs="Arial"/>
        </w:rPr>
        <w:t xml:space="preserve"> have been assessed and</w:t>
      </w:r>
      <w:r w:rsidR="00E8166A" w:rsidRPr="00D023E8">
        <w:rPr>
          <w:rFonts w:ascii="Arial" w:hAnsi="Arial" w:cs="Arial"/>
        </w:rPr>
        <w:t xml:space="preserve"> are reliable for the intended application. For example</w:t>
      </w:r>
      <w:r w:rsidR="000E0D7A" w:rsidRPr="00D023E8">
        <w:rPr>
          <w:rFonts w:ascii="Arial" w:hAnsi="Arial" w:cs="Arial"/>
        </w:rPr>
        <w:t>,</w:t>
      </w:r>
      <w:r w:rsidR="00E8166A" w:rsidRPr="00D023E8">
        <w:rPr>
          <w:rFonts w:ascii="Arial" w:hAnsi="Arial" w:cs="Arial"/>
        </w:rPr>
        <w:t xml:space="preserve"> a biomark</w:t>
      </w:r>
      <w:r w:rsidR="00673FA0">
        <w:rPr>
          <w:rFonts w:ascii="Arial" w:hAnsi="Arial" w:cs="Arial"/>
        </w:rPr>
        <w:t>er assay  which is used to assess</w:t>
      </w:r>
      <w:r w:rsidR="00E8166A" w:rsidRPr="00D023E8">
        <w:rPr>
          <w:rFonts w:ascii="Arial" w:hAnsi="Arial" w:cs="Arial"/>
        </w:rPr>
        <w:t xml:space="preserve">  a sole pharmacodynamic end point </w:t>
      </w:r>
      <w:r w:rsidR="00D023E8">
        <w:rPr>
          <w:rFonts w:ascii="Arial" w:hAnsi="Arial" w:cs="Arial"/>
        </w:rPr>
        <w:t xml:space="preserve">requires </w:t>
      </w:r>
      <w:r w:rsidR="00E8166A" w:rsidRPr="00D023E8">
        <w:rPr>
          <w:rFonts w:ascii="Arial" w:hAnsi="Arial" w:cs="Arial"/>
        </w:rPr>
        <w:t xml:space="preserve"> better performance characteristics than an assay used as part of </w:t>
      </w:r>
      <w:r w:rsidR="000E0D7A" w:rsidRPr="00D023E8">
        <w:rPr>
          <w:rFonts w:ascii="Arial" w:hAnsi="Arial" w:cs="Arial"/>
        </w:rPr>
        <w:t>a panel</w:t>
      </w:r>
      <w:r w:rsidRPr="00D023E8">
        <w:rPr>
          <w:rFonts w:ascii="Arial" w:hAnsi="Arial" w:cs="Arial"/>
        </w:rPr>
        <w:t xml:space="preserve"> of </w:t>
      </w:r>
      <w:r w:rsidR="00715922">
        <w:rPr>
          <w:rFonts w:ascii="Arial" w:hAnsi="Arial" w:cs="Arial"/>
        </w:rPr>
        <w:t xml:space="preserve">measurements. </w:t>
      </w:r>
    </w:p>
    <w:p w:rsidR="00233F1F" w:rsidRDefault="00233F1F" w:rsidP="00233F1F">
      <w:pPr>
        <w:pStyle w:val="TemplateText"/>
        <w:spacing w:line="360" w:lineRule="auto"/>
        <w:rPr>
          <w:rFonts w:eastAsiaTheme="minorHAnsi" w:cs="Arial"/>
        </w:rPr>
      </w:pPr>
    </w:p>
    <w:p w:rsidR="00442121" w:rsidRPr="000972E9" w:rsidRDefault="00442121" w:rsidP="005570D8">
      <w:pPr>
        <w:pStyle w:val="Caption"/>
        <w:jc w:val="center"/>
        <w:rPr>
          <w:rFonts w:ascii="Calibri" w:hAnsi="Calibri" w:cs="Calibri"/>
          <w:b w:val="0"/>
          <w:color w:val="000000"/>
          <w:sz w:val="20"/>
        </w:rPr>
      </w:pPr>
      <w:bookmarkStart w:id="8" w:name="_Ref360032323"/>
      <w:r w:rsidRPr="000972E9">
        <w:rPr>
          <w:b w:val="0"/>
          <w:sz w:val="20"/>
        </w:rPr>
        <w:t xml:space="preserve">Table </w:t>
      </w:r>
      <w:r w:rsidR="001B586C" w:rsidRPr="000972E9">
        <w:rPr>
          <w:b w:val="0"/>
          <w:sz w:val="20"/>
        </w:rPr>
        <w:fldChar w:fldCharType="begin"/>
      </w:r>
      <w:r w:rsidRPr="000972E9">
        <w:rPr>
          <w:b w:val="0"/>
          <w:sz w:val="20"/>
        </w:rPr>
        <w:instrText xml:space="preserve"> SEQ Table \* ARABIC </w:instrText>
      </w:r>
      <w:r w:rsidR="001B586C" w:rsidRPr="000972E9">
        <w:rPr>
          <w:b w:val="0"/>
          <w:sz w:val="20"/>
        </w:rPr>
        <w:fldChar w:fldCharType="separate"/>
      </w:r>
      <w:r w:rsidR="0020538A">
        <w:rPr>
          <w:b w:val="0"/>
          <w:noProof/>
          <w:sz w:val="20"/>
        </w:rPr>
        <w:t>2</w:t>
      </w:r>
      <w:r w:rsidR="001B586C" w:rsidRPr="000972E9">
        <w:rPr>
          <w:b w:val="0"/>
          <w:sz w:val="20"/>
        </w:rPr>
        <w:fldChar w:fldCharType="end"/>
      </w:r>
      <w:bookmarkEnd w:id="8"/>
      <w:r w:rsidRPr="000972E9">
        <w:rPr>
          <w:b w:val="0"/>
          <w:sz w:val="20"/>
        </w:rPr>
        <w:t xml:space="preserve">- </w:t>
      </w:r>
      <w:r w:rsidR="005570D8">
        <w:rPr>
          <w:b w:val="0"/>
          <w:sz w:val="20"/>
        </w:rPr>
        <w:t>Glucagon s</w:t>
      </w:r>
      <w:r>
        <w:rPr>
          <w:b w:val="0"/>
          <w:sz w:val="20"/>
        </w:rPr>
        <w:t>tability data; Freezer and, extraction temperature stability of glucagon in plasma</w:t>
      </w:r>
    </w:p>
    <w:tbl>
      <w:tblPr>
        <w:tblW w:w="5143" w:type="pct"/>
        <w:tblLook w:val="04A0" w:firstRow="1" w:lastRow="0" w:firstColumn="1" w:lastColumn="0" w:noHBand="0" w:noVBand="1"/>
      </w:tblPr>
      <w:tblGrid>
        <w:gridCol w:w="1572"/>
        <w:gridCol w:w="3538"/>
        <w:gridCol w:w="1380"/>
        <w:gridCol w:w="1048"/>
        <w:gridCol w:w="1048"/>
        <w:gridCol w:w="1048"/>
        <w:gridCol w:w="908"/>
        <w:gridCol w:w="908"/>
        <w:gridCol w:w="1048"/>
        <w:gridCol w:w="1115"/>
        <w:gridCol w:w="966"/>
      </w:tblGrid>
      <w:tr w:rsidR="00546893" w:rsidRPr="009072C9" w:rsidTr="0081700A">
        <w:trPr>
          <w:trHeight w:hRule="exact" w:val="272"/>
        </w:trPr>
        <w:tc>
          <w:tcPr>
            <w:tcW w:w="523" w:type="pct"/>
            <w:vMerge w:val="restart"/>
            <w:tcBorders>
              <w:top w:val="single" w:sz="8" w:space="0" w:color="auto"/>
              <w:left w:val="single" w:sz="8" w:space="0" w:color="auto"/>
              <w:right w:val="single" w:sz="8" w:space="0" w:color="auto"/>
            </w:tcBorders>
            <w:shd w:val="clear" w:color="000000" w:fill="FFFFFF"/>
            <w:noWrap/>
            <w:vAlign w:val="center"/>
            <w:hideMark/>
          </w:tcPr>
          <w:p w:rsidR="00546893" w:rsidRPr="00546893" w:rsidRDefault="006323F8" w:rsidP="00E52847">
            <w:pPr>
              <w:jc w:val="center"/>
              <w:rPr>
                <w:rFonts w:ascii="Arial" w:hAnsi="Arial" w:cs="Arial"/>
                <w:b/>
                <w:bCs/>
                <w:color w:val="000000"/>
                <w:sz w:val="20"/>
                <w:szCs w:val="20"/>
              </w:rPr>
            </w:pPr>
            <w:r>
              <w:rPr>
                <w:rFonts w:ascii="Arial" w:hAnsi="Arial" w:cs="Arial"/>
                <w:b/>
                <w:bCs/>
                <w:color w:val="000000"/>
                <w:sz w:val="20"/>
                <w:szCs w:val="20"/>
              </w:rPr>
              <w:t xml:space="preserve">Nominal </w:t>
            </w:r>
            <w:r>
              <w:rPr>
                <w:rFonts w:ascii="Arial" w:hAnsi="Arial" w:cs="Arial"/>
                <w:b/>
                <w:bCs/>
                <w:color w:val="000000"/>
                <w:sz w:val="20"/>
                <w:szCs w:val="20"/>
              </w:rPr>
              <w:br/>
            </w:r>
            <w:r w:rsidR="0081700A">
              <w:rPr>
                <w:rFonts w:ascii="Arial" w:hAnsi="Arial" w:cs="Arial"/>
                <w:b/>
                <w:bCs/>
                <w:color w:val="000000"/>
                <w:sz w:val="20"/>
                <w:szCs w:val="20"/>
              </w:rPr>
              <w:t>Concentration</w:t>
            </w:r>
          </w:p>
        </w:tc>
        <w:tc>
          <w:tcPr>
            <w:tcW w:w="1215" w:type="pct"/>
            <w:vMerge w:val="restart"/>
            <w:tcBorders>
              <w:top w:val="single" w:sz="8" w:space="0" w:color="auto"/>
              <w:left w:val="nil"/>
              <w:right w:val="single" w:sz="8" w:space="0" w:color="auto"/>
            </w:tcBorders>
            <w:shd w:val="clear" w:color="000000" w:fill="FFFFFF"/>
            <w:vAlign w:val="center"/>
            <w:hideMark/>
          </w:tcPr>
          <w:p w:rsidR="00546893" w:rsidRPr="00546893" w:rsidRDefault="00546893" w:rsidP="00E52847">
            <w:pPr>
              <w:jc w:val="center"/>
              <w:rPr>
                <w:rFonts w:ascii="Arial" w:hAnsi="Arial" w:cs="Arial"/>
                <w:b/>
                <w:bCs/>
                <w:color w:val="000000"/>
                <w:sz w:val="20"/>
                <w:szCs w:val="20"/>
              </w:rPr>
            </w:pPr>
          </w:p>
        </w:tc>
        <w:tc>
          <w:tcPr>
            <w:tcW w:w="3262" w:type="pct"/>
            <w:gridSpan w:val="9"/>
            <w:tcBorders>
              <w:top w:val="single" w:sz="8" w:space="0" w:color="auto"/>
              <w:left w:val="nil"/>
              <w:bottom w:val="single" w:sz="8" w:space="0" w:color="auto"/>
              <w:right w:val="single" w:sz="4" w:space="0" w:color="auto"/>
            </w:tcBorders>
            <w:shd w:val="clear" w:color="000000" w:fill="FFFFFF"/>
          </w:tcPr>
          <w:p w:rsidR="00546893" w:rsidRPr="00546893" w:rsidRDefault="00546893" w:rsidP="00F137FC">
            <w:pPr>
              <w:jc w:val="center"/>
              <w:rPr>
                <w:rFonts w:ascii="Arial" w:eastAsia="Arial" w:hAnsi="Arial" w:cs="Arial"/>
                <w:color w:val="000000"/>
                <w:sz w:val="20"/>
                <w:szCs w:val="20"/>
              </w:rPr>
            </w:pPr>
            <w:r w:rsidRPr="00546893">
              <w:rPr>
                <w:rFonts w:ascii="Arial" w:eastAsia="Arial" w:hAnsi="Arial" w:cs="Arial"/>
                <w:b/>
                <w:color w:val="000000"/>
                <w:sz w:val="20"/>
                <w:szCs w:val="20"/>
              </w:rPr>
              <w:t>Stability of Glucagon in Aprotinin stabilised human plasma (K3 EDTA)</w:t>
            </w:r>
            <w:r w:rsidR="00591934">
              <w:rPr>
                <w:rFonts w:ascii="Arial" w:eastAsia="Arial" w:hAnsi="Arial" w:cs="Arial"/>
                <w:b/>
                <w:color w:val="000000"/>
                <w:sz w:val="20"/>
                <w:szCs w:val="20"/>
              </w:rPr>
              <w:t xml:space="preserve"> </w:t>
            </w:r>
          </w:p>
        </w:tc>
      </w:tr>
      <w:tr w:rsidR="00546893" w:rsidRPr="009072C9" w:rsidTr="0081700A">
        <w:trPr>
          <w:trHeight w:hRule="exact" w:val="272"/>
        </w:trPr>
        <w:tc>
          <w:tcPr>
            <w:tcW w:w="523" w:type="pct"/>
            <w:vMerge/>
            <w:tcBorders>
              <w:left w:val="single" w:sz="8" w:space="0" w:color="auto"/>
              <w:right w:val="single" w:sz="8" w:space="0" w:color="auto"/>
            </w:tcBorders>
            <w:shd w:val="clear" w:color="000000" w:fill="FFFFFF"/>
            <w:noWrap/>
            <w:vAlign w:val="center"/>
            <w:hideMark/>
          </w:tcPr>
          <w:p w:rsidR="00546893" w:rsidRPr="00546893" w:rsidRDefault="00546893" w:rsidP="00E52847">
            <w:pPr>
              <w:jc w:val="center"/>
              <w:rPr>
                <w:rFonts w:ascii="Arial" w:hAnsi="Arial" w:cs="Arial"/>
                <w:b/>
                <w:bCs/>
                <w:color w:val="000000"/>
                <w:sz w:val="20"/>
                <w:szCs w:val="20"/>
              </w:rPr>
            </w:pPr>
          </w:p>
        </w:tc>
        <w:tc>
          <w:tcPr>
            <w:tcW w:w="1215" w:type="pct"/>
            <w:vMerge/>
            <w:tcBorders>
              <w:left w:val="nil"/>
              <w:right w:val="single" w:sz="8" w:space="0" w:color="auto"/>
            </w:tcBorders>
            <w:shd w:val="clear" w:color="000000" w:fill="FFFFFF"/>
            <w:vAlign w:val="center"/>
            <w:hideMark/>
          </w:tcPr>
          <w:p w:rsidR="00546893" w:rsidRPr="00546893" w:rsidRDefault="00546893" w:rsidP="00E52847">
            <w:pPr>
              <w:jc w:val="center"/>
              <w:rPr>
                <w:rFonts w:ascii="Arial" w:hAnsi="Arial" w:cs="Arial"/>
                <w:b/>
                <w:bCs/>
                <w:color w:val="000000"/>
                <w:sz w:val="20"/>
                <w:szCs w:val="20"/>
              </w:rPr>
            </w:pPr>
          </w:p>
        </w:tc>
        <w:tc>
          <w:tcPr>
            <w:tcW w:w="475" w:type="pct"/>
            <w:tcBorders>
              <w:top w:val="single" w:sz="8" w:space="0" w:color="auto"/>
              <w:left w:val="nil"/>
              <w:bottom w:val="single" w:sz="8" w:space="0" w:color="auto"/>
              <w:right w:val="single" w:sz="8" w:space="0" w:color="auto"/>
            </w:tcBorders>
            <w:shd w:val="clear" w:color="000000" w:fill="FFFFFF"/>
          </w:tcPr>
          <w:p w:rsidR="00546893" w:rsidRPr="00546893" w:rsidRDefault="00546893" w:rsidP="00F137FC">
            <w:pPr>
              <w:jc w:val="center"/>
              <w:rPr>
                <w:rFonts w:ascii="Arial" w:eastAsia="Arial" w:hAnsi="Arial" w:cs="Arial"/>
                <w:color w:val="000000"/>
                <w:sz w:val="20"/>
                <w:szCs w:val="20"/>
              </w:rPr>
            </w:pPr>
            <w:r w:rsidRPr="00546893">
              <w:rPr>
                <w:rFonts w:ascii="Arial" w:eastAsia="Arial" w:hAnsi="Arial" w:cs="Arial"/>
                <w:b/>
                <w:bCs/>
                <w:color w:val="000000"/>
                <w:sz w:val="20"/>
                <w:szCs w:val="20"/>
              </w:rPr>
              <w:t xml:space="preserve">+4 </w:t>
            </w:r>
            <w:r>
              <w:rPr>
                <w:rFonts w:ascii="Arial" w:eastAsia="Arial" w:hAnsi="Arial" w:cs="Arial"/>
                <w:b/>
                <w:bCs/>
                <w:color w:val="000000"/>
                <w:sz w:val="20"/>
                <w:szCs w:val="20"/>
              </w:rPr>
              <w:sym w:font="Symbol" w:char="F0B0"/>
            </w:r>
            <w:r w:rsidRPr="00546893">
              <w:rPr>
                <w:rFonts w:ascii="Arial" w:eastAsia="Arial" w:hAnsi="Arial" w:cs="Arial"/>
                <w:b/>
                <w:bCs/>
                <w:color w:val="000000"/>
                <w:sz w:val="20"/>
                <w:szCs w:val="20"/>
              </w:rPr>
              <w:t>C</w:t>
            </w:r>
          </w:p>
        </w:tc>
        <w:tc>
          <w:tcPr>
            <w:tcW w:w="1083" w:type="pct"/>
            <w:gridSpan w:val="3"/>
            <w:tcBorders>
              <w:top w:val="single" w:sz="8" w:space="0" w:color="auto"/>
              <w:left w:val="single" w:sz="8" w:space="0" w:color="auto"/>
              <w:bottom w:val="single" w:sz="8" w:space="0" w:color="auto"/>
              <w:right w:val="single" w:sz="8" w:space="0" w:color="auto"/>
            </w:tcBorders>
            <w:shd w:val="clear" w:color="000000" w:fill="FFFFFF"/>
          </w:tcPr>
          <w:p w:rsidR="00546893" w:rsidRPr="00546893" w:rsidRDefault="00546893" w:rsidP="00F137FC">
            <w:pPr>
              <w:jc w:val="center"/>
              <w:rPr>
                <w:rFonts w:ascii="Arial" w:hAnsi="Arial" w:cs="Arial"/>
                <w:color w:val="000000"/>
                <w:sz w:val="20"/>
                <w:szCs w:val="20"/>
              </w:rPr>
            </w:pPr>
            <w:r w:rsidRPr="00546893">
              <w:rPr>
                <w:rFonts w:ascii="Arial" w:eastAsia="Arial" w:hAnsi="Arial" w:cs="Arial"/>
                <w:color w:val="000000"/>
                <w:sz w:val="20"/>
                <w:szCs w:val="20"/>
              </w:rPr>
              <w:t xml:space="preserve">- </w:t>
            </w:r>
            <w:r w:rsidRPr="00546893">
              <w:rPr>
                <w:rFonts w:ascii="Arial" w:eastAsia="Arial" w:hAnsi="Arial" w:cs="Arial"/>
                <w:b/>
                <w:bCs/>
                <w:color w:val="000000"/>
                <w:sz w:val="20"/>
                <w:szCs w:val="20"/>
              </w:rPr>
              <w:t xml:space="preserve">20 </w:t>
            </w:r>
            <w:r>
              <w:rPr>
                <w:rFonts w:ascii="Arial" w:eastAsia="Arial" w:hAnsi="Arial" w:cs="Arial"/>
                <w:b/>
                <w:bCs/>
                <w:color w:val="000000"/>
                <w:sz w:val="20"/>
                <w:szCs w:val="20"/>
              </w:rPr>
              <w:sym w:font="Symbol" w:char="F0B0"/>
            </w:r>
            <w:r w:rsidRPr="00546893">
              <w:rPr>
                <w:rFonts w:ascii="Arial" w:eastAsia="Arial" w:hAnsi="Arial" w:cs="Arial"/>
                <w:b/>
                <w:bCs/>
                <w:color w:val="000000"/>
                <w:sz w:val="20"/>
                <w:szCs w:val="20"/>
              </w:rPr>
              <w:t>C</w:t>
            </w:r>
          </w:p>
          <w:p w:rsidR="00546893" w:rsidRPr="00546893" w:rsidRDefault="00546893" w:rsidP="00F137FC">
            <w:pPr>
              <w:jc w:val="center"/>
              <w:rPr>
                <w:rFonts w:ascii="Arial" w:hAnsi="Arial" w:cs="Arial"/>
                <w:color w:val="000000"/>
                <w:sz w:val="20"/>
                <w:szCs w:val="20"/>
              </w:rPr>
            </w:pPr>
            <w:r>
              <w:rPr>
                <w:rFonts w:ascii="Arial" w:eastAsia="Arial" w:hAnsi="Arial" w:cs="Arial"/>
                <w:b/>
                <w:bCs/>
                <w:color w:val="000000"/>
                <w:sz w:val="20"/>
                <w:szCs w:val="20"/>
              </w:rPr>
              <w:sym w:font="Symbol" w:char="F0B0"/>
            </w:r>
            <w:r w:rsidRPr="00546893">
              <w:rPr>
                <w:rFonts w:ascii="Arial" w:eastAsia="Arial" w:hAnsi="Arial" w:cs="Arial"/>
                <w:b/>
                <w:bCs/>
                <w:color w:val="000000"/>
                <w:sz w:val="20"/>
                <w:szCs w:val="20"/>
              </w:rPr>
              <w:t>C</w:t>
            </w:r>
          </w:p>
        </w:tc>
        <w:tc>
          <w:tcPr>
            <w:tcW w:w="1705" w:type="pct"/>
            <w:gridSpan w:val="5"/>
            <w:tcBorders>
              <w:top w:val="single" w:sz="8" w:space="0" w:color="auto"/>
              <w:left w:val="nil"/>
              <w:bottom w:val="single" w:sz="8" w:space="0" w:color="auto"/>
              <w:right w:val="single" w:sz="4" w:space="0" w:color="auto"/>
            </w:tcBorders>
            <w:shd w:val="clear" w:color="000000" w:fill="FFFFFF"/>
          </w:tcPr>
          <w:p w:rsidR="00546893" w:rsidRPr="00546893" w:rsidRDefault="00621569" w:rsidP="00F137FC">
            <w:pPr>
              <w:jc w:val="center"/>
              <w:rPr>
                <w:rFonts w:ascii="Arial" w:eastAsia="Arial" w:hAnsi="Arial" w:cs="Arial"/>
                <w:color w:val="000000"/>
                <w:sz w:val="20"/>
                <w:szCs w:val="20"/>
              </w:rPr>
            </w:pPr>
            <w:r>
              <w:rPr>
                <w:rFonts w:ascii="Arial" w:eastAsia="Arial" w:hAnsi="Arial" w:cs="Arial"/>
                <w:b/>
                <w:bCs/>
                <w:color w:val="000000"/>
                <w:sz w:val="20"/>
                <w:szCs w:val="20"/>
              </w:rPr>
              <w:t>-</w:t>
            </w:r>
            <w:r w:rsidR="00546893" w:rsidRPr="00546893">
              <w:rPr>
                <w:rFonts w:ascii="Arial" w:eastAsia="Arial" w:hAnsi="Arial" w:cs="Arial"/>
                <w:b/>
                <w:bCs/>
                <w:color w:val="000000"/>
                <w:sz w:val="20"/>
                <w:szCs w:val="20"/>
              </w:rPr>
              <w:t xml:space="preserve">80 </w:t>
            </w:r>
            <w:r w:rsidR="00546893">
              <w:rPr>
                <w:rFonts w:ascii="Arial" w:eastAsia="Arial" w:hAnsi="Arial" w:cs="Arial"/>
                <w:b/>
                <w:bCs/>
                <w:color w:val="000000"/>
                <w:sz w:val="20"/>
                <w:szCs w:val="20"/>
              </w:rPr>
              <w:sym w:font="Symbol" w:char="F0B0"/>
            </w:r>
            <w:r w:rsidR="00546893" w:rsidRPr="00546893">
              <w:rPr>
                <w:rFonts w:ascii="Arial" w:eastAsia="Arial" w:hAnsi="Arial" w:cs="Arial"/>
                <w:b/>
                <w:bCs/>
                <w:color w:val="000000"/>
                <w:sz w:val="20"/>
                <w:szCs w:val="20"/>
              </w:rPr>
              <w:t>C</w:t>
            </w:r>
          </w:p>
        </w:tc>
      </w:tr>
      <w:tr w:rsidR="00335AE0" w:rsidRPr="009072C9" w:rsidTr="0081700A">
        <w:trPr>
          <w:trHeight w:hRule="exact" w:val="272"/>
        </w:trPr>
        <w:tc>
          <w:tcPr>
            <w:tcW w:w="523" w:type="pct"/>
            <w:vMerge/>
            <w:tcBorders>
              <w:left w:val="single" w:sz="8" w:space="0" w:color="auto"/>
              <w:bottom w:val="single" w:sz="8" w:space="0" w:color="auto"/>
              <w:right w:val="single" w:sz="8" w:space="0" w:color="auto"/>
            </w:tcBorders>
            <w:shd w:val="clear" w:color="000000" w:fill="FFFFFF"/>
            <w:noWrap/>
            <w:vAlign w:val="center"/>
            <w:hideMark/>
          </w:tcPr>
          <w:p w:rsidR="00546893" w:rsidRPr="00546893" w:rsidRDefault="00546893" w:rsidP="00E52847">
            <w:pPr>
              <w:jc w:val="center"/>
              <w:rPr>
                <w:rFonts w:ascii="Arial" w:hAnsi="Arial" w:cs="Arial"/>
                <w:b/>
                <w:bCs/>
                <w:color w:val="000000"/>
                <w:sz w:val="20"/>
                <w:szCs w:val="20"/>
              </w:rPr>
            </w:pPr>
          </w:p>
        </w:tc>
        <w:tc>
          <w:tcPr>
            <w:tcW w:w="1215" w:type="pct"/>
            <w:vMerge/>
            <w:tcBorders>
              <w:left w:val="nil"/>
              <w:bottom w:val="single" w:sz="8" w:space="0" w:color="auto"/>
              <w:right w:val="single" w:sz="8" w:space="0" w:color="auto"/>
            </w:tcBorders>
            <w:shd w:val="clear" w:color="000000" w:fill="FFFFFF"/>
            <w:vAlign w:val="center"/>
            <w:hideMark/>
          </w:tcPr>
          <w:p w:rsidR="00546893" w:rsidRPr="00546893" w:rsidRDefault="00546893" w:rsidP="00E52847">
            <w:pPr>
              <w:jc w:val="center"/>
              <w:rPr>
                <w:rFonts w:ascii="Arial" w:hAnsi="Arial" w:cs="Arial"/>
                <w:b/>
                <w:bCs/>
                <w:color w:val="000000"/>
                <w:sz w:val="20"/>
                <w:szCs w:val="20"/>
              </w:rPr>
            </w:pPr>
          </w:p>
        </w:tc>
        <w:tc>
          <w:tcPr>
            <w:tcW w:w="475" w:type="pct"/>
            <w:tcBorders>
              <w:top w:val="single" w:sz="8" w:space="0" w:color="auto"/>
              <w:left w:val="nil"/>
              <w:bottom w:val="single" w:sz="8" w:space="0" w:color="auto"/>
              <w:right w:val="single" w:sz="8" w:space="0" w:color="auto"/>
            </w:tcBorders>
            <w:shd w:val="clear" w:color="000000" w:fill="FFFFFF"/>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6 hr 20 min</w:t>
            </w:r>
          </w:p>
          <w:p w:rsidR="00546893" w:rsidRPr="00546893" w:rsidRDefault="00546893" w:rsidP="00F137FC">
            <w:pPr>
              <w:rPr>
                <w:rFonts w:ascii="Arial" w:hAnsi="Arial" w:cs="Arial"/>
                <w:b/>
                <w:bCs/>
                <w:color w:val="000000"/>
                <w:sz w:val="20"/>
                <w:szCs w:val="20"/>
              </w:rPr>
            </w:pPr>
          </w:p>
        </w:tc>
        <w:tc>
          <w:tcPr>
            <w:tcW w:w="361" w:type="pct"/>
            <w:tcBorders>
              <w:top w:val="single" w:sz="8" w:space="0" w:color="auto"/>
              <w:left w:val="single" w:sz="8" w:space="0" w:color="auto"/>
              <w:bottom w:val="single" w:sz="8" w:space="0" w:color="auto"/>
              <w:right w:val="single" w:sz="8" w:space="0" w:color="auto"/>
            </w:tcBorders>
            <w:shd w:val="clear" w:color="000000" w:fill="FFFFFF"/>
            <w:vAlign w:val="center"/>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4 F/T</w:t>
            </w:r>
          </w:p>
        </w:tc>
        <w:tc>
          <w:tcPr>
            <w:tcW w:w="361"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11days</w:t>
            </w:r>
          </w:p>
        </w:tc>
        <w:tc>
          <w:tcPr>
            <w:tcW w:w="361" w:type="pct"/>
            <w:tcBorders>
              <w:top w:val="single" w:sz="8" w:space="0" w:color="auto"/>
              <w:left w:val="nil"/>
              <w:bottom w:val="single" w:sz="8" w:space="0" w:color="auto"/>
              <w:right w:val="single" w:sz="8" w:space="0" w:color="auto"/>
            </w:tcBorders>
            <w:shd w:val="clear" w:color="000000" w:fill="FFFFFF"/>
            <w:vAlign w:val="center"/>
            <w:hideMark/>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75days</w:t>
            </w:r>
          </w:p>
        </w:tc>
        <w:tc>
          <w:tcPr>
            <w:tcW w:w="313" w:type="pct"/>
            <w:tcBorders>
              <w:top w:val="single" w:sz="8" w:space="0" w:color="auto"/>
              <w:left w:val="nil"/>
              <w:bottom w:val="single" w:sz="8" w:space="0" w:color="auto"/>
              <w:right w:val="single" w:sz="8" w:space="0" w:color="auto"/>
            </w:tcBorders>
            <w:shd w:val="clear" w:color="000000" w:fill="FFFFFF"/>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4 F/T</w:t>
            </w:r>
          </w:p>
        </w:tc>
        <w:tc>
          <w:tcPr>
            <w:tcW w:w="31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7days</w:t>
            </w:r>
          </w:p>
        </w:tc>
        <w:tc>
          <w:tcPr>
            <w:tcW w:w="361" w:type="pct"/>
            <w:tcBorders>
              <w:top w:val="single" w:sz="8" w:space="0" w:color="auto"/>
              <w:left w:val="nil"/>
              <w:bottom w:val="single" w:sz="8" w:space="0" w:color="auto"/>
              <w:right w:val="single" w:sz="8" w:space="0" w:color="auto"/>
            </w:tcBorders>
            <w:shd w:val="clear" w:color="000000" w:fill="FFFFFF"/>
            <w:noWrap/>
            <w:vAlign w:val="center"/>
            <w:hideMark/>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11days</w:t>
            </w:r>
          </w:p>
        </w:tc>
        <w:tc>
          <w:tcPr>
            <w:tcW w:w="384" w:type="pct"/>
            <w:tcBorders>
              <w:top w:val="single" w:sz="8" w:space="0" w:color="auto"/>
              <w:left w:val="nil"/>
              <w:bottom w:val="single" w:sz="8" w:space="0" w:color="auto"/>
              <w:right w:val="single" w:sz="8" w:space="0" w:color="auto"/>
            </w:tcBorders>
            <w:shd w:val="clear" w:color="000000" w:fill="FFFFFF"/>
            <w:noWrap/>
            <w:vAlign w:val="center"/>
            <w:hideMark/>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51Days</w:t>
            </w:r>
          </w:p>
        </w:tc>
        <w:tc>
          <w:tcPr>
            <w:tcW w:w="333" w:type="pct"/>
            <w:tcBorders>
              <w:top w:val="single" w:sz="8" w:space="0" w:color="auto"/>
              <w:left w:val="nil"/>
              <w:bottom w:val="single" w:sz="8" w:space="0" w:color="auto"/>
              <w:right w:val="single" w:sz="4" w:space="0" w:color="auto"/>
            </w:tcBorders>
            <w:shd w:val="clear" w:color="000000" w:fill="FFFFFF"/>
            <w:noWrap/>
            <w:vAlign w:val="center"/>
            <w:hideMark/>
          </w:tcPr>
          <w:p w:rsidR="00546893" w:rsidRPr="00546893" w:rsidRDefault="00546893" w:rsidP="00F137FC">
            <w:pPr>
              <w:jc w:val="center"/>
              <w:rPr>
                <w:rFonts w:ascii="Arial" w:hAnsi="Arial" w:cs="Arial"/>
                <w:b/>
                <w:sz w:val="20"/>
                <w:szCs w:val="20"/>
              </w:rPr>
            </w:pPr>
            <w:r w:rsidRPr="00546893">
              <w:rPr>
                <w:rFonts w:ascii="Arial" w:hAnsi="Arial" w:cs="Arial"/>
                <w:b/>
                <w:sz w:val="20"/>
                <w:szCs w:val="20"/>
              </w:rPr>
              <w:t xml:space="preserve">64days </w:t>
            </w:r>
          </w:p>
        </w:tc>
      </w:tr>
      <w:tr w:rsidR="006323F8" w:rsidRPr="009072C9" w:rsidTr="0081700A">
        <w:trPr>
          <w:trHeight w:hRule="exact" w:val="272"/>
        </w:trPr>
        <w:tc>
          <w:tcPr>
            <w:tcW w:w="523" w:type="pct"/>
            <w:vMerge w:val="restart"/>
            <w:tcBorders>
              <w:top w:val="single" w:sz="8" w:space="0" w:color="auto"/>
              <w:left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 xml:space="preserve"> MED </w:t>
            </w:r>
            <w:r w:rsidRPr="00546893">
              <w:rPr>
                <w:rFonts w:ascii="Arial" w:hAnsi="Arial" w:cs="Arial"/>
                <w:b/>
                <w:bCs/>
                <w:color w:val="000000"/>
                <w:sz w:val="20"/>
                <w:szCs w:val="20"/>
              </w:rPr>
              <w:br/>
              <w:t>(100 pg/mL)</w:t>
            </w:r>
          </w:p>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 </w:t>
            </w:r>
          </w:p>
        </w:tc>
        <w:tc>
          <w:tcPr>
            <w:tcW w:w="1215" w:type="pct"/>
            <w:tcBorders>
              <w:top w:val="single" w:sz="8" w:space="0" w:color="auto"/>
              <w:left w:val="nil"/>
              <w:bottom w:val="single" w:sz="8" w:space="0" w:color="auto"/>
              <w:right w:val="single" w:sz="8" w:space="0" w:color="auto"/>
            </w:tcBorders>
            <w:shd w:val="clear" w:color="000000" w:fill="FFFFFF"/>
            <w:vAlign w:val="center"/>
            <w:hideMark/>
          </w:tcPr>
          <w:p w:rsidR="0020533C" w:rsidRPr="00546893" w:rsidRDefault="0020533C" w:rsidP="0081700A">
            <w:pPr>
              <w:jc w:val="center"/>
              <w:rPr>
                <w:rFonts w:ascii="Arial" w:hAnsi="Arial" w:cs="Arial"/>
                <w:b/>
                <w:bCs/>
                <w:color w:val="000000"/>
                <w:sz w:val="20"/>
                <w:szCs w:val="20"/>
              </w:rPr>
            </w:pPr>
            <w:r w:rsidRPr="00546893">
              <w:rPr>
                <w:rFonts w:ascii="Arial" w:hAnsi="Arial" w:cs="Arial"/>
                <w:b/>
                <w:bCs/>
                <w:color w:val="000000"/>
                <w:sz w:val="20"/>
                <w:szCs w:val="20"/>
              </w:rPr>
              <w:t>Mean</w:t>
            </w:r>
            <w:r w:rsidR="00442121">
              <w:rPr>
                <w:rFonts w:ascii="Arial" w:hAnsi="Arial" w:cs="Arial"/>
                <w:b/>
                <w:bCs/>
                <w:color w:val="000000"/>
                <w:sz w:val="20"/>
                <w:szCs w:val="20"/>
              </w:rPr>
              <w:t xml:space="preserve"> Measured Conc</w:t>
            </w:r>
            <w:r w:rsidR="0081700A">
              <w:rPr>
                <w:rFonts w:ascii="Arial" w:hAnsi="Arial" w:cs="Arial"/>
                <w:b/>
                <w:bCs/>
                <w:color w:val="000000"/>
                <w:sz w:val="20"/>
                <w:szCs w:val="20"/>
              </w:rPr>
              <w:t>. (pg/mL)</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76.9</w:t>
            </w:r>
          </w:p>
        </w:tc>
        <w:tc>
          <w:tcPr>
            <w:tcW w:w="361" w:type="pct"/>
            <w:tcBorders>
              <w:top w:val="single" w:sz="8" w:space="0" w:color="auto"/>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54.8</w:t>
            </w:r>
          </w:p>
        </w:tc>
        <w:tc>
          <w:tcPr>
            <w:tcW w:w="361"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83.6</w:t>
            </w:r>
          </w:p>
        </w:tc>
        <w:tc>
          <w:tcPr>
            <w:tcW w:w="361" w:type="pct"/>
            <w:tcBorders>
              <w:top w:val="single" w:sz="8" w:space="0" w:color="auto"/>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81.8</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75.0</w:t>
            </w:r>
          </w:p>
        </w:tc>
        <w:tc>
          <w:tcPr>
            <w:tcW w:w="31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89</w:t>
            </w:r>
          </w:p>
        </w:tc>
        <w:tc>
          <w:tcPr>
            <w:tcW w:w="361" w:type="pct"/>
            <w:tcBorders>
              <w:top w:val="single" w:sz="8" w:space="0" w:color="auto"/>
              <w:left w:val="nil"/>
              <w:bottom w:val="single" w:sz="8" w:space="0" w:color="auto"/>
              <w:right w:val="single" w:sz="8" w:space="0" w:color="auto"/>
            </w:tcBorders>
            <w:shd w:val="clear" w:color="000000" w:fill="FFFFFF"/>
            <w:noWrap/>
            <w:vAlign w:val="bottom"/>
            <w:hideMark/>
          </w:tcPr>
          <w:p w:rsidR="0020533C" w:rsidRPr="00546893" w:rsidRDefault="0020533C" w:rsidP="00E52847">
            <w:pPr>
              <w:jc w:val="center"/>
              <w:rPr>
                <w:rFonts w:ascii="Arial" w:hAnsi="Arial" w:cs="Arial"/>
                <w:sz w:val="20"/>
                <w:szCs w:val="20"/>
              </w:rPr>
            </w:pPr>
            <w:r w:rsidRPr="00546893">
              <w:rPr>
                <w:rFonts w:ascii="Arial" w:hAnsi="Arial" w:cs="Arial"/>
                <w:sz w:val="20"/>
                <w:szCs w:val="20"/>
              </w:rPr>
              <w:t>-</w:t>
            </w:r>
          </w:p>
        </w:tc>
        <w:tc>
          <w:tcPr>
            <w:tcW w:w="384" w:type="pct"/>
            <w:tcBorders>
              <w:top w:val="single" w:sz="8" w:space="0" w:color="auto"/>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81.4</w:t>
            </w:r>
          </w:p>
        </w:tc>
        <w:tc>
          <w:tcPr>
            <w:tcW w:w="333" w:type="pct"/>
            <w:tcBorders>
              <w:top w:val="single" w:sz="8" w:space="0" w:color="auto"/>
              <w:left w:val="nil"/>
              <w:bottom w:val="single" w:sz="8" w:space="0" w:color="auto"/>
              <w:right w:val="single" w:sz="4"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71.4</w:t>
            </w:r>
          </w:p>
        </w:tc>
      </w:tr>
      <w:tr w:rsidR="006323F8" w:rsidRPr="009072C9" w:rsidTr="0081700A">
        <w:trPr>
          <w:trHeight w:hRule="exact" w:val="272"/>
        </w:trPr>
        <w:tc>
          <w:tcPr>
            <w:tcW w:w="523" w:type="pct"/>
            <w:vMerge/>
            <w:tcBorders>
              <w:left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b/>
                <w:bCs/>
                <w:color w:val="000000"/>
                <w:sz w:val="20"/>
                <w:szCs w:val="20"/>
              </w:rPr>
            </w:pPr>
          </w:p>
        </w:tc>
        <w:tc>
          <w:tcPr>
            <w:tcW w:w="1215" w:type="pct"/>
            <w:tcBorders>
              <w:top w:val="nil"/>
              <w:left w:val="nil"/>
              <w:bottom w:val="single" w:sz="8" w:space="0" w:color="auto"/>
              <w:right w:val="single" w:sz="8" w:space="0" w:color="auto"/>
            </w:tcBorders>
            <w:shd w:val="clear" w:color="000000" w:fill="FFFFFF"/>
            <w:vAlign w:val="center"/>
            <w:hideMark/>
          </w:tcPr>
          <w:p w:rsidR="0020533C" w:rsidRPr="00546893" w:rsidRDefault="006E45A4" w:rsidP="00E52847">
            <w:pPr>
              <w:jc w:val="center"/>
              <w:rPr>
                <w:rFonts w:ascii="Arial" w:hAnsi="Arial" w:cs="Arial"/>
                <w:b/>
                <w:bCs/>
                <w:color w:val="000000"/>
                <w:sz w:val="20"/>
                <w:szCs w:val="20"/>
              </w:rPr>
            </w:pPr>
            <w:r>
              <w:rPr>
                <w:rFonts w:ascii="Arial" w:hAnsi="Arial" w:cs="Arial"/>
                <w:b/>
                <w:bCs/>
                <w:color w:val="000000"/>
                <w:sz w:val="20"/>
                <w:szCs w:val="20"/>
              </w:rPr>
              <w:t>SD</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4.23</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6.48</w:t>
            </w:r>
          </w:p>
        </w:tc>
        <w:tc>
          <w:tcPr>
            <w:tcW w:w="361"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6.75</w:t>
            </w:r>
          </w:p>
        </w:tc>
        <w:tc>
          <w:tcPr>
            <w:tcW w:w="361"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5.35</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5.23</w:t>
            </w:r>
          </w:p>
        </w:tc>
        <w:tc>
          <w:tcPr>
            <w:tcW w:w="313"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5.16</w:t>
            </w:r>
          </w:p>
        </w:tc>
        <w:tc>
          <w:tcPr>
            <w:tcW w:w="361" w:type="pct"/>
            <w:tcBorders>
              <w:top w:val="nil"/>
              <w:left w:val="nil"/>
              <w:bottom w:val="single" w:sz="8" w:space="0" w:color="auto"/>
              <w:right w:val="single" w:sz="8" w:space="0" w:color="auto"/>
            </w:tcBorders>
            <w:shd w:val="clear" w:color="000000" w:fill="FFFFFF"/>
            <w:noWrap/>
            <w:vAlign w:val="bottom"/>
            <w:hideMark/>
          </w:tcPr>
          <w:p w:rsidR="0020533C" w:rsidRPr="00546893" w:rsidRDefault="0020533C" w:rsidP="00E52847">
            <w:pPr>
              <w:jc w:val="center"/>
              <w:rPr>
                <w:rFonts w:ascii="Arial" w:hAnsi="Arial" w:cs="Arial"/>
                <w:sz w:val="20"/>
                <w:szCs w:val="20"/>
              </w:rPr>
            </w:pPr>
            <w:r w:rsidRPr="00546893">
              <w:rPr>
                <w:rFonts w:ascii="Arial" w:hAnsi="Arial" w:cs="Arial"/>
                <w:sz w:val="20"/>
                <w:szCs w:val="20"/>
              </w:rPr>
              <w:t>-</w:t>
            </w:r>
          </w:p>
        </w:tc>
        <w:tc>
          <w:tcPr>
            <w:tcW w:w="384"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8.97</w:t>
            </w:r>
          </w:p>
        </w:tc>
        <w:tc>
          <w:tcPr>
            <w:tcW w:w="333" w:type="pct"/>
            <w:tcBorders>
              <w:top w:val="nil"/>
              <w:left w:val="nil"/>
              <w:bottom w:val="single" w:sz="8" w:space="0" w:color="auto"/>
              <w:right w:val="single" w:sz="4"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4.16</w:t>
            </w:r>
          </w:p>
        </w:tc>
      </w:tr>
      <w:tr w:rsidR="006323F8" w:rsidRPr="009072C9" w:rsidTr="0081700A">
        <w:trPr>
          <w:trHeight w:hRule="exact" w:val="272"/>
        </w:trPr>
        <w:tc>
          <w:tcPr>
            <w:tcW w:w="523" w:type="pct"/>
            <w:vMerge/>
            <w:tcBorders>
              <w:left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b/>
                <w:bCs/>
                <w:color w:val="000000"/>
                <w:sz w:val="20"/>
                <w:szCs w:val="20"/>
              </w:rPr>
            </w:pPr>
          </w:p>
        </w:tc>
        <w:tc>
          <w:tcPr>
            <w:tcW w:w="1215"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%CV</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5.5</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11.8</w:t>
            </w:r>
          </w:p>
        </w:tc>
        <w:tc>
          <w:tcPr>
            <w:tcW w:w="361"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8.1</w:t>
            </w:r>
          </w:p>
        </w:tc>
        <w:tc>
          <w:tcPr>
            <w:tcW w:w="361"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6.5</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7.0</w:t>
            </w:r>
          </w:p>
        </w:tc>
        <w:tc>
          <w:tcPr>
            <w:tcW w:w="313"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5.8</w:t>
            </w:r>
          </w:p>
        </w:tc>
        <w:tc>
          <w:tcPr>
            <w:tcW w:w="361" w:type="pct"/>
            <w:tcBorders>
              <w:top w:val="nil"/>
              <w:left w:val="nil"/>
              <w:bottom w:val="single" w:sz="8" w:space="0" w:color="auto"/>
              <w:right w:val="single" w:sz="8" w:space="0" w:color="auto"/>
            </w:tcBorders>
            <w:shd w:val="clear" w:color="000000" w:fill="FFFFFF"/>
            <w:noWrap/>
            <w:vAlign w:val="bottom"/>
            <w:hideMark/>
          </w:tcPr>
          <w:p w:rsidR="0020533C" w:rsidRPr="00546893" w:rsidRDefault="0020533C" w:rsidP="00E52847">
            <w:pPr>
              <w:jc w:val="center"/>
              <w:rPr>
                <w:rFonts w:ascii="Arial" w:hAnsi="Arial" w:cs="Arial"/>
                <w:sz w:val="20"/>
                <w:szCs w:val="20"/>
              </w:rPr>
            </w:pPr>
            <w:r w:rsidRPr="00546893">
              <w:rPr>
                <w:rFonts w:ascii="Arial" w:hAnsi="Arial" w:cs="Arial"/>
                <w:sz w:val="20"/>
                <w:szCs w:val="20"/>
              </w:rPr>
              <w:t>-</w:t>
            </w:r>
          </w:p>
        </w:tc>
        <w:tc>
          <w:tcPr>
            <w:tcW w:w="384"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11</w:t>
            </w:r>
          </w:p>
        </w:tc>
        <w:tc>
          <w:tcPr>
            <w:tcW w:w="333" w:type="pct"/>
            <w:tcBorders>
              <w:top w:val="nil"/>
              <w:left w:val="nil"/>
              <w:bottom w:val="single" w:sz="8" w:space="0" w:color="auto"/>
              <w:right w:val="single" w:sz="4"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5.8</w:t>
            </w:r>
          </w:p>
        </w:tc>
      </w:tr>
      <w:tr w:rsidR="006323F8" w:rsidRPr="009072C9" w:rsidTr="0081700A">
        <w:trPr>
          <w:trHeight w:hRule="exact" w:val="272"/>
        </w:trPr>
        <w:tc>
          <w:tcPr>
            <w:tcW w:w="523" w:type="pct"/>
            <w:vMerge/>
            <w:tcBorders>
              <w:left w:val="single" w:sz="8" w:space="0" w:color="auto"/>
              <w:right w:val="single" w:sz="8" w:space="0" w:color="auto"/>
            </w:tcBorders>
            <w:shd w:val="clear" w:color="000000" w:fill="FFFFFF"/>
            <w:noWrap/>
            <w:vAlign w:val="center"/>
          </w:tcPr>
          <w:p w:rsidR="0020533C" w:rsidRPr="00546893" w:rsidRDefault="0020533C" w:rsidP="00E52847">
            <w:pPr>
              <w:jc w:val="center"/>
              <w:rPr>
                <w:rFonts w:ascii="Arial" w:hAnsi="Arial" w:cs="Arial"/>
                <w:b/>
                <w:bCs/>
                <w:color w:val="000000"/>
                <w:sz w:val="20"/>
                <w:szCs w:val="20"/>
              </w:rPr>
            </w:pPr>
          </w:p>
        </w:tc>
        <w:tc>
          <w:tcPr>
            <w:tcW w:w="1215" w:type="pct"/>
            <w:tcBorders>
              <w:top w:val="nil"/>
              <w:left w:val="nil"/>
              <w:bottom w:val="single" w:sz="8" w:space="0" w:color="auto"/>
              <w:right w:val="single" w:sz="8" w:space="0" w:color="auto"/>
            </w:tcBorders>
            <w:shd w:val="clear" w:color="000000" w:fill="FFFFFF"/>
            <w:vAlign w:val="center"/>
          </w:tcPr>
          <w:p w:rsidR="0020533C" w:rsidRPr="00546893" w:rsidRDefault="0020533C" w:rsidP="00E93809">
            <w:pPr>
              <w:jc w:val="center"/>
              <w:rPr>
                <w:rFonts w:ascii="Arial" w:hAnsi="Arial" w:cs="Arial"/>
                <w:b/>
                <w:bCs/>
                <w:color w:val="000000"/>
                <w:sz w:val="20"/>
                <w:szCs w:val="20"/>
              </w:rPr>
            </w:pPr>
            <w:r w:rsidRPr="00546893">
              <w:rPr>
                <w:rFonts w:ascii="Arial" w:hAnsi="Arial" w:cs="Arial"/>
                <w:b/>
                <w:bCs/>
                <w:color w:val="000000"/>
                <w:sz w:val="20"/>
                <w:szCs w:val="20"/>
              </w:rPr>
              <w:t>% Stability (c.f. nominal)</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76.9</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54.8</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83.6</w:t>
            </w:r>
          </w:p>
        </w:tc>
        <w:tc>
          <w:tcPr>
            <w:tcW w:w="361" w:type="pct"/>
            <w:tcBorders>
              <w:top w:val="nil"/>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81.8</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sz w:val="20"/>
                <w:szCs w:val="20"/>
              </w:rPr>
            </w:pPr>
            <w:r w:rsidRPr="00546893">
              <w:rPr>
                <w:rFonts w:ascii="Arial" w:hAnsi="Arial" w:cs="Arial"/>
                <w:sz w:val="20"/>
                <w:szCs w:val="20"/>
              </w:rPr>
              <w:t>75.0</w:t>
            </w:r>
          </w:p>
        </w:tc>
        <w:tc>
          <w:tcPr>
            <w:tcW w:w="313"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89.0</w:t>
            </w:r>
          </w:p>
        </w:tc>
        <w:tc>
          <w:tcPr>
            <w:tcW w:w="361" w:type="pct"/>
            <w:tcBorders>
              <w:top w:val="nil"/>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w:t>
            </w:r>
          </w:p>
        </w:tc>
        <w:tc>
          <w:tcPr>
            <w:tcW w:w="384" w:type="pct"/>
            <w:tcBorders>
              <w:top w:val="nil"/>
              <w:left w:val="nil"/>
              <w:bottom w:val="single" w:sz="8" w:space="0" w:color="auto"/>
              <w:right w:val="single" w:sz="8" w:space="0" w:color="auto"/>
            </w:tcBorders>
            <w:shd w:val="clear" w:color="000000" w:fill="FFFFFF"/>
            <w:noWrap/>
            <w:vAlign w:val="center"/>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81.4</w:t>
            </w:r>
          </w:p>
        </w:tc>
        <w:tc>
          <w:tcPr>
            <w:tcW w:w="333" w:type="pct"/>
            <w:tcBorders>
              <w:top w:val="nil"/>
              <w:left w:val="nil"/>
              <w:bottom w:val="single" w:sz="8" w:space="0" w:color="auto"/>
              <w:right w:val="single" w:sz="4" w:space="0" w:color="auto"/>
            </w:tcBorders>
            <w:shd w:val="clear" w:color="000000" w:fill="FFFFFF"/>
            <w:noWrap/>
            <w:vAlign w:val="center"/>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71.4</w:t>
            </w:r>
          </w:p>
        </w:tc>
      </w:tr>
      <w:tr w:rsidR="006323F8" w:rsidRPr="009072C9" w:rsidTr="0081700A">
        <w:trPr>
          <w:trHeight w:hRule="exact" w:val="272"/>
        </w:trPr>
        <w:tc>
          <w:tcPr>
            <w:tcW w:w="523" w:type="pct"/>
            <w:vMerge/>
            <w:tcBorders>
              <w:left w:val="single" w:sz="8" w:space="0" w:color="auto"/>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b/>
                <w:bCs/>
                <w:color w:val="000000"/>
                <w:sz w:val="20"/>
                <w:szCs w:val="20"/>
              </w:rPr>
            </w:pPr>
          </w:p>
        </w:tc>
        <w:tc>
          <w:tcPr>
            <w:tcW w:w="1215"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 Stability</w:t>
            </w:r>
            <w:r w:rsidR="00591934">
              <w:rPr>
                <w:rFonts w:ascii="Arial" w:hAnsi="Arial" w:cs="Arial"/>
                <w:b/>
                <w:bCs/>
                <w:color w:val="000000"/>
                <w:sz w:val="20"/>
                <w:szCs w:val="20"/>
              </w:rPr>
              <w:t xml:space="preserve"> </w:t>
            </w:r>
            <w:r w:rsidRPr="00546893">
              <w:rPr>
                <w:rFonts w:ascii="Arial" w:hAnsi="Arial" w:cs="Arial"/>
                <w:b/>
                <w:bCs/>
                <w:color w:val="000000"/>
                <w:sz w:val="20"/>
                <w:szCs w:val="20"/>
              </w:rPr>
              <w:t>(c.f. 0hr)</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51.6</w:t>
            </w:r>
          </w:p>
        </w:tc>
        <w:tc>
          <w:tcPr>
            <w:tcW w:w="361"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85.5</w:t>
            </w:r>
          </w:p>
        </w:tc>
        <w:tc>
          <w:tcPr>
            <w:tcW w:w="361"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83.7</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sz w:val="20"/>
                <w:szCs w:val="20"/>
              </w:rPr>
            </w:pPr>
            <w:r w:rsidRPr="00546893">
              <w:rPr>
                <w:rFonts w:ascii="Arial" w:hAnsi="Arial" w:cs="Arial"/>
                <w:sz w:val="20"/>
                <w:szCs w:val="20"/>
              </w:rPr>
              <w:t>70.6</w:t>
            </w:r>
          </w:p>
        </w:tc>
        <w:tc>
          <w:tcPr>
            <w:tcW w:w="313"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91.0</w:t>
            </w:r>
          </w:p>
        </w:tc>
        <w:tc>
          <w:tcPr>
            <w:tcW w:w="361" w:type="pct"/>
            <w:tcBorders>
              <w:top w:val="nil"/>
              <w:left w:val="nil"/>
              <w:bottom w:val="single" w:sz="8" w:space="0" w:color="auto"/>
              <w:right w:val="single" w:sz="8" w:space="0" w:color="auto"/>
            </w:tcBorders>
            <w:shd w:val="clear" w:color="000000" w:fill="FFFFFF"/>
            <w:vAlign w:val="bottom"/>
            <w:hideMark/>
          </w:tcPr>
          <w:p w:rsidR="0020533C" w:rsidRPr="00546893" w:rsidRDefault="0020533C" w:rsidP="00E52847">
            <w:pPr>
              <w:jc w:val="center"/>
              <w:rPr>
                <w:rFonts w:ascii="Arial" w:hAnsi="Arial" w:cs="Arial"/>
                <w:sz w:val="20"/>
                <w:szCs w:val="20"/>
              </w:rPr>
            </w:pPr>
            <w:r w:rsidRPr="00546893">
              <w:rPr>
                <w:rFonts w:ascii="Arial" w:hAnsi="Arial" w:cs="Arial"/>
                <w:sz w:val="20"/>
                <w:szCs w:val="20"/>
              </w:rPr>
              <w:t>-</w:t>
            </w:r>
          </w:p>
        </w:tc>
        <w:tc>
          <w:tcPr>
            <w:tcW w:w="384"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81.7</w:t>
            </w:r>
          </w:p>
        </w:tc>
        <w:tc>
          <w:tcPr>
            <w:tcW w:w="333" w:type="pct"/>
            <w:tcBorders>
              <w:top w:val="nil"/>
              <w:left w:val="nil"/>
              <w:bottom w:val="single" w:sz="8" w:space="0" w:color="auto"/>
              <w:right w:val="single" w:sz="4"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71.7</w:t>
            </w:r>
          </w:p>
        </w:tc>
      </w:tr>
      <w:tr w:rsidR="006323F8" w:rsidRPr="009072C9" w:rsidTr="0081700A">
        <w:trPr>
          <w:trHeight w:hRule="exact" w:val="272"/>
        </w:trPr>
        <w:tc>
          <w:tcPr>
            <w:tcW w:w="523" w:type="pct"/>
            <w:vMerge w:val="restart"/>
            <w:tcBorders>
              <w:top w:val="nil"/>
              <w:left w:val="single" w:sz="8" w:space="0" w:color="auto"/>
              <w:right w:val="single" w:sz="8" w:space="0" w:color="auto"/>
            </w:tcBorders>
            <w:shd w:val="clear" w:color="000000" w:fill="FFFFFF"/>
            <w:noWrap/>
            <w:vAlign w:val="center"/>
            <w:hideMark/>
          </w:tcPr>
          <w:p w:rsidR="0020533C" w:rsidRPr="00546893" w:rsidRDefault="0020533C" w:rsidP="00E93809">
            <w:pPr>
              <w:jc w:val="center"/>
              <w:rPr>
                <w:rFonts w:ascii="Arial" w:hAnsi="Arial" w:cs="Arial"/>
                <w:b/>
                <w:bCs/>
                <w:color w:val="000000"/>
                <w:sz w:val="20"/>
                <w:szCs w:val="20"/>
              </w:rPr>
            </w:pPr>
            <w:r w:rsidRPr="00546893">
              <w:rPr>
                <w:rFonts w:ascii="Arial" w:hAnsi="Arial" w:cs="Arial"/>
                <w:b/>
                <w:bCs/>
                <w:color w:val="000000"/>
                <w:sz w:val="20"/>
                <w:szCs w:val="20"/>
              </w:rPr>
              <w:t>HIGH</w:t>
            </w:r>
            <w:r w:rsidRPr="00546893">
              <w:rPr>
                <w:rFonts w:ascii="Arial" w:hAnsi="Arial" w:cs="Arial"/>
                <w:b/>
                <w:bCs/>
                <w:color w:val="000000"/>
                <w:sz w:val="20"/>
                <w:szCs w:val="20"/>
              </w:rPr>
              <w:br/>
              <w:t>(750 pg/mL) </w:t>
            </w:r>
          </w:p>
          <w:p w:rsidR="0020533C" w:rsidRPr="00546893" w:rsidRDefault="0020533C" w:rsidP="00E93809">
            <w:pPr>
              <w:jc w:val="center"/>
              <w:rPr>
                <w:rFonts w:ascii="Arial" w:hAnsi="Arial" w:cs="Arial"/>
                <w:b/>
                <w:bCs/>
                <w:color w:val="000000"/>
                <w:sz w:val="20"/>
                <w:szCs w:val="20"/>
              </w:rPr>
            </w:pPr>
          </w:p>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 </w:t>
            </w:r>
          </w:p>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 </w:t>
            </w:r>
          </w:p>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 </w:t>
            </w:r>
          </w:p>
        </w:tc>
        <w:tc>
          <w:tcPr>
            <w:tcW w:w="1215" w:type="pct"/>
            <w:tcBorders>
              <w:top w:val="nil"/>
              <w:left w:val="nil"/>
              <w:bottom w:val="single" w:sz="8" w:space="0" w:color="auto"/>
              <w:right w:val="single" w:sz="8" w:space="0" w:color="auto"/>
            </w:tcBorders>
            <w:shd w:val="clear" w:color="000000" w:fill="FFFFFF"/>
            <w:vAlign w:val="center"/>
            <w:hideMark/>
          </w:tcPr>
          <w:p w:rsidR="0020533C" w:rsidRPr="00546893" w:rsidRDefault="0081700A" w:rsidP="00E52847">
            <w:pPr>
              <w:jc w:val="center"/>
              <w:rPr>
                <w:rFonts w:ascii="Arial" w:hAnsi="Arial" w:cs="Arial"/>
                <w:b/>
                <w:bCs/>
                <w:color w:val="000000"/>
                <w:sz w:val="20"/>
                <w:szCs w:val="20"/>
              </w:rPr>
            </w:pPr>
            <w:r w:rsidRPr="00546893">
              <w:rPr>
                <w:rFonts w:ascii="Arial" w:hAnsi="Arial" w:cs="Arial"/>
                <w:b/>
                <w:bCs/>
                <w:color w:val="000000"/>
                <w:sz w:val="20"/>
                <w:szCs w:val="20"/>
              </w:rPr>
              <w:t>Mean</w:t>
            </w:r>
            <w:r>
              <w:rPr>
                <w:rFonts w:ascii="Arial" w:hAnsi="Arial" w:cs="Arial"/>
                <w:b/>
                <w:bCs/>
                <w:color w:val="000000"/>
                <w:sz w:val="20"/>
                <w:szCs w:val="20"/>
              </w:rPr>
              <w:t xml:space="preserve"> Measured Conc. (pg/mL)</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572</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332</w:t>
            </w:r>
          </w:p>
        </w:tc>
        <w:tc>
          <w:tcPr>
            <w:tcW w:w="361"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581</w:t>
            </w:r>
          </w:p>
        </w:tc>
        <w:tc>
          <w:tcPr>
            <w:tcW w:w="361"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526</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464</w:t>
            </w:r>
          </w:p>
        </w:tc>
        <w:tc>
          <w:tcPr>
            <w:tcW w:w="313"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530</w:t>
            </w:r>
          </w:p>
        </w:tc>
        <w:tc>
          <w:tcPr>
            <w:tcW w:w="361"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615</w:t>
            </w:r>
          </w:p>
        </w:tc>
        <w:tc>
          <w:tcPr>
            <w:tcW w:w="384"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533</w:t>
            </w:r>
          </w:p>
        </w:tc>
        <w:tc>
          <w:tcPr>
            <w:tcW w:w="333" w:type="pct"/>
            <w:tcBorders>
              <w:top w:val="nil"/>
              <w:left w:val="nil"/>
              <w:bottom w:val="single" w:sz="8" w:space="0" w:color="auto"/>
              <w:right w:val="single" w:sz="4"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445</w:t>
            </w:r>
          </w:p>
        </w:tc>
      </w:tr>
      <w:tr w:rsidR="006323F8" w:rsidRPr="009072C9" w:rsidTr="0081700A">
        <w:trPr>
          <w:trHeight w:hRule="exact" w:val="272"/>
        </w:trPr>
        <w:tc>
          <w:tcPr>
            <w:tcW w:w="523" w:type="pct"/>
            <w:vMerge/>
            <w:tcBorders>
              <w:left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b/>
                <w:bCs/>
                <w:color w:val="000000"/>
                <w:sz w:val="20"/>
                <w:szCs w:val="20"/>
              </w:rPr>
            </w:pPr>
          </w:p>
        </w:tc>
        <w:tc>
          <w:tcPr>
            <w:tcW w:w="1215" w:type="pct"/>
            <w:tcBorders>
              <w:top w:val="nil"/>
              <w:left w:val="nil"/>
              <w:bottom w:val="single" w:sz="8" w:space="0" w:color="auto"/>
              <w:right w:val="single" w:sz="8" w:space="0" w:color="auto"/>
            </w:tcBorders>
            <w:shd w:val="clear" w:color="000000" w:fill="FFFFFF"/>
            <w:vAlign w:val="center"/>
            <w:hideMark/>
          </w:tcPr>
          <w:p w:rsidR="0020533C" w:rsidRPr="00546893" w:rsidRDefault="006E45A4" w:rsidP="00E52847">
            <w:pPr>
              <w:jc w:val="center"/>
              <w:rPr>
                <w:rFonts w:ascii="Arial" w:hAnsi="Arial" w:cs="Arial"/>
                <w:b/>
                <w:bCs/>
                <w:color w:val="000000"/>
                <w:sz w:val="20"/>
                <w:szCs w:val="20"/>
              </w:rPr>
            </w:pPr>
            <w:r>
              <w:rPr>
                <w:rFonts w:ascii="Arial" w:hAnsi="Arial" w:cs="Arial"/>
                <w:b/>
                <w:bCs/>
                <w:color w:val="000000"/>
                <w:sz w:val="20"/>
                <w:szCs w:val="20"/>
              </w:rPr>
              <w:t>S</w:t>
            </w:r>
            <w:r w:rsidR="0020533C" w:rsidRPr="00546893">
              <w:rPr>
                <w:rFonts w:ascii="Arial" w:hAnsi="Arial" w:cs="Arial"/>
                <w:b/>
                <w:bCs/>
                <w:color w:val="000000"/>
                <w:sz w:val="20"/>
                <w:szCs w:val="20"/>
              </w:rPr>
              <w:t>D</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9.50</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25.3</w:t>
            </w:r>
          </w:p>
        </w:tc>
        <w:tc>
          <w:tcPr>
            <w:tcW w:w="361"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21.9</w:t>
            </w:r>
          </w:p>
        </w:tc>
        <w:tc>
          <w:tcPr>
            <w:tcW w:w="361"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52.8</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57.7</w:t>
            </w:r>
          </w:p>
        </w:tc>
        <w:tc>
          <w:tcPr>
            <w:tcW w:w="313"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11.9</w:t>
            </w:r>
          </w:p>
        </w:tc>
        <w:tc>
          <w:tcPr>
            <w:tcW w:w="361"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32.7</w:t>
            </w:r>
          </w:p>
        </w:tc>
        <w:tc>
          <w:tcPr>
            <w:tcW w:w="384"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46</w:t>
            </w:r>
          </w:p>
        </w:tc>
        <w:tc>
          <w:tcPr>
            <w:tcW w:w="333" w:type="pct"/>
            <w:tcBorders>
              <w:top w:val="nil"/>
              <w:left w:val="nil"/>
              <w:bottom w:val="single" w:sz="8" w:space="0" w:color="auto"/>
              <w:right w:val="single" w:sz="4"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30.6</w:t>
            </w:r>
          </w:p>
        </w:tc>
      </w:tr>
      <w:tr w:rsidR="006323F8" w:rsidRPr="009072C9" w:rsidTr="0081700A">
        <w:trPr>
          <w:trHeight w:hRule="exact" w:val="272"/>
        </w:trPr>
        <w:tc>
          <w:tcPr>
            <w:tcW w:w="523" w:type="pct"/>
            <w:vMerge/>
            <w:tcBorders>
              <w:left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b/>
                <w:bCs/>
                <w:color w:val="000000"/>
                <w:sz w:val="20"/>
                <w:szCs w:val="20"/>
              </w:rPr>
            </w:pPr>
          </w:p>
        </w:tc>
        <w:tc>
          <w:tcPr>
            <w:tcW w:w="1215"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%CV</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1.7</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7.6</w:t>
            </w:r>
          </w:p>
        </w:tc>
        <w:tc>
          <w:tcPr>
            <w:tcW w:w="361"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3.8</w:t>
            </w:r>
          </w:p>
        </w:tc>
        <w:tc>
          <w:tcPr>
            <w:tcW w:w="361" w:type="pct"/>
            <w:tcBorders>
              <w:top w:val="nil"/>
              <w:left w:val="nil"/>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10</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12.4</w:t>
            </w:r>
          </w:p>
        </w:tc>
        <w:tc>
          <w:tcPr>
            <w:tcW w:w="313" w:type="pct"/>
            <w:tcBorders>
              <w:top w:val="nil"/>
              <w:left w:val="single" w:sz="8" w:space="0" w:color="auto"/>
              <w:bottom w:val="single" w:sz="8"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2.2</w:t>
            </w:r>
          </w:p>
        </w:tc>
        <w:tc>
          <w:tcPr>
            <w:tcW w:w="361"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5.3</w:t>
            </w:r>
          </w:p>
        </w:tc>
        <w:tc>
          <w:tcPr>
            <w:tcW w:w="384" w:type="pct"/>
            <w:tcBorders>
              <w:top w:val="nil"/>
              <w:left w:val="nil"/>
              <w:bottom w:val="single" w:sz="8"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8.6</w:t>
            </w:r>
          </w:p>
        </w:tc>
        <w:tc>
          <w:tcPr>
            <w:tcW w:w="333" w:type="pct"/>
            <w:tcBorders>
              <w:top w:val="nil"/>
              <w:left w:val="nil"/>
              <w:bottom w:val="single" w:sz="8" w:space="0" w:color="auto"/>
              <w:right w:val="single" w:sz="4" w:space="0" w:color="auto"/>
            </w:tcBorders>
            <w:shd w:val="clear" w:color="000000" w:fill="FFFFFF"/>
            <w:noWrap/>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6.9</w:t>
            </w:r>
          </w:p>
        </w:tc>
      </w:tr>
      <w:tr w:rsidR="006323F8" w:rsidRPr="009072C9" w:rsidTr="0081700A">
        <w:trPr>
          <w:trHeight w:hRule="exact" w:val="272"/>
        </w:trPr>
        <w:tc>
          <w:tcPr>
            <w:tcW w:w="523" w:type="pct"/>
            <w:vMerge/>
            <w:tcBorders>
              <w:left w:val="single" w:sz="8" w:space="0" w:color="auto"/>
              <w:right w:val="single" w:sz="8" w:space="0" w:color="auto"/>
            </w:tcBorders>
            <w:shd w:val="clear" w:color="000000" w:fill="FFFFFF"/>
            <w:noWrap/>
            <w:vAlign w:val="center"/>
          </w:tcPr>
          <w:p w:rsidR="0020533C" w:rsidRPr="00546893" w:rsidRDefault="0020533C" w:rsidP="00E52847">
            <w:pPr>
              <w:jc w:val="center"/>
              <w:rPr>
                <w:rFonts w:ascii="Arial" w:hAnsi="Arial" w:cs="Arial"/>
                <w:b/>
                <w:bCs/>
                <w:color w:val="000000"/>
                <w:sz w:val="20"/>
                <w:szCs w:val="20"/>
              </w:rPr>
            </w:pPr>
          </w:p>
        </w:tc>
        <w:tc>
          <w:tcPr>
            <w:tcW w:w="1215" w:type="pct"/>
            <w:tcBorders>
              <w:top w:val="nil"/>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 Stability (c.f. nominal)</w:t>
            </w:r>
          </w:p>
        </w:tc>
        <w:tc>
          <w:tcPr>
            <w:tcW w:w="475"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76.3</w:t>
            </w:r>
          </w:p>
        </w:tc>
        <w:tc>
          <w:tcPr>
            <w:tcW w:w="361" w:type="pct"/>
            <w:tcBorders>
              <w:top w:val="nil"/>
              <w:left w:val="single" w:sz="8" w:space="0" w:color="auto"/>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44.3</w:t>
            </w:r>
          </w:p>
        </w:tc>
        <w:tc>
          <w:tcPr>
            <w:tcW w:w="361" w:type="pct"/>
            <w:tcBorders>
              <w:top w:val="nil"/>
              <w:left w:val="single" w:sz="8" w:space="0" w:color="auto"/>
              <w:bottom w:val="single" w:sz="8" w:space="0" w:color="auto"/>
              <w:right w:val="single" w:sz="8" w:space="0" w:color="auto"/>
            </w:tcBorders>
            <w:shd w:val="clear" w:color="000000" w:fill="FFFFFF"/>
            <w:vAlign w:val="bottom"/>
          </w:tcPr>
          <w:p w:rsidR="0020533C" w:rsidRPr="00546893" w:rsidRDefault="0020533C" w:rsidP="00E52847">
            <w:pPr>
              <w:jc w:val="center"/>
              <w:rPr>
                <w:rFonts w:ascii="Arial" w:hAnsi="Arial" w:cs="Arial"/>
                <w:sz w:val="20"/>
                <w:szCs w:val="20"/>
              </w:rPr>
            </w:pPr>
            <w:r w:rsidRPr="00546893">
              <w:rPr>
                <w:rFonts w:ascii="Arial" w:hAnsi="Arial" w:cs="Arial"/>
                <w:sz w:val="20"/>
                <w:szCs w:val="20"/>
              </w:rPr>
              <w:t>77.5</w:t>
            </w:r>
          </w:p>
        </w:tc>
        <w:tc>
          <w:tcPr>
            <w:tcW w:w="361" w:type="pct"/>
            <w:tcBorders>
              <w:top w:val="nil"/>
              <w:left w:val="nil"/>
              <w:bottom w:val="single" w:sz="8" w:space="0" w:color="auto"/>
              <w:right w:val="single" w:sz="8" w:space="0" w:color="auto"/>
            </w:tcBorders>
            <w:shd w:val="clear" w:color="000000" w:fill="FFFFFF"/>
            <w:vAlign w:val="bottom"/>
          </w:tcPr>
          <w:p w:rsidR="0020533C" w:rsidRPr="00546893" w:rsidRDefault="0020533C" w:rsidP="00E52847">
            <w:pPr>
              <w:jc w:val="center"/>
              <w:rPr>
                <w:rFonts w:ascii="Arial" w:hAnsi="Arial" w:cs="Arial"/>
                <w:sz w:val="20"/>
                <w:szCs w:val="20"/>
              </w:rPr>
            </w:pPr>
            <w:r w:rsidRPr="00546893">
              <w:rPr>
                <w:rFonts w:ascii="Arial" w:hAnsi="Arial" w:cs="Arial"/>
                <w:sz w:val="20"/>
                <w:szCs w:val="20"/>
              </w:rPr>
              <w:t>70.1</w:t>
            </w:r>
          </w:p>
        </w:tc>
        <w:tc>
          <w:tcPr>
            <w:tcW w:w="313" w:type="pct"/>
            <w:tcBorders>
              <w:top w:val="single" w:sz="8" w:space="0" w:color="auto"/>
              <w:left w:val="nil"/>
              <w:bottom w:val="single" w:sz="8" w:space="0" w:color="auto"/>
              <w:right w:val="single" w:sz="8" w:space="0" w:color="auto"/>
            </w:tcBorders>
            <w:shd w:val="clear" w:color="000000" w:fill="FFFFFF"/>
            <w:vAlign w:val="center"/>
          </w:tcPr>
          <w:p w:rsidR="0020533C" w:rsidRPr="00546893" w:rsidRDefault="0020533C" w:rsidP="0020533C">
            <w:pPr>
              <w:jc w:val="center"/>
              <w:rPr>
                <w:rFonts w:ascii="Arial" w:hAnsi="Arial" w:cs="Arial"/>
                <w:sz w:val="20"/>
                <w:szCs w:val="20"/>
              </w:rPr>
            </w:pPr>
            <w:r w:rsidRPr="00546893">
              <w:rPr>
                <w:rFonts w:ascii="Arial" w:hAnsi="Arial" w:cs="Arial"/>
                <w:sz w:val="20"/>
                <w:szCs w:val="20"/>
              </w:rPr>
              <w:t>61.9</w:t>
            </w:r>
          </w:p>
        </w:tc>
        <w:tc>
          <w:tcPr>
            <w:tcW w:w="313" w:type="pct"/>
            <w:tcBorders>
              <w:top w:val="nil"/>
              <w:left w:val="single" w:sz="8" w:space="0" w:color="auto"/>
              <w:bottom w:val="single" w:sz="8" w:space="0" w:color="auto"/>
              <w:right w:val="single" w:sz="8" w:space="0" w:color="auto"/>
            </w:tcBorders>
            <w:shd w:val="clear" w:color="000000" w:fill="FFFFFF"/>
            <w:vAlign w:val="bottom"/>
          </w:tcPr>
          <w:p w:rsidR="0020533C" w:rsidRPr="00546893" w:rsidRDefault="0020533C" w:rsidP="00E52847">
            <w:pPr>
              <w:jc w:val="center"/>
              <w:rPr>
                <w:rFonts w:ascii="Arial" w:hAnsi="Arial" w:cs="Arial"/>
                <w:sz w:val="20"/>
                <w:szCs w:val="20"/>
              </w:rPr>
            </w:pPr>
            <w:r w:rsidRPr="00546893">
              <w:rPr>
                <w:rFonts w:ascii="Arial" w:hAnsi="Arial" w:cs="Arial"/>
                <w:sz w:val="20"/>
                <w:szCs w:val="20"/>
              </w:rPr>
              <w:t>70.7</w:t>
            </w:r>
          </w:p>
        </w:tc>
        <w:tc>
          <w:tcPr>
            <w:tcW w:w="361" w:type="pct"/>
            <w:tcBorders>
              <w:top w:val="nil"/>
              <w:left w:val="nil"/>
              <w:bottom w:val="single" w:sz="8" w:space="0" w:color="auto"/>
              <w:right w:val="single" w:sz="8" w:space="0" w:color="auto"/>
            </w:tcBorders>
            <w:shd w:val="clear" w:color="000000" w:fill="FFFFFF"/>
            <w:vAlign w:val="bottom"/>
          </w:tcPr>
          <w:p w:rsidR="0020533C" w:rsidRPr="00546893" w:rsidRDefault="0020533C" w:rsidP="00E52847">
            <w:pPr>
              <w:jc w:val="center"/>
              <w:rPr>
                <w:rFonts w:ascii="Arial" w:hAnsi="Arial" w:cs="Arial"/>
                <w:sz w:val="20"/>
                <w:szCs w:val="20"/>
              </w:rPr>
            </w:pPr>
            <w:r w:rsidRPr="00546893">
              <w:rPr>
                <w:rFonts w:ascii="Arial" w:hAnsi="Arial" w:cs="Arial"/>
                <w:sz w:val="20"/>
                <w:szCs w:val="20"/>
              </w:rPr>
              <w:t>82.0</w:t>
            </w:r>
          </w:p>
        </w:tc>
        <w:tc>
          <w:tcPr>
            <w:tcW w:w="384" w:type="pct"/>
            <w:tcBorders>
              <w:top w:val="nil"/>
              <w:left w:val="nil"/>
              <w:bottom w:val="single" w:sz="8" w:space="0" w:color="auto"/>
              <w:right w:val="single" w:sz="8" w:space="0" w:color="auto"/>
            </w:tcBorders>
            <w:shd w:val="clear" w:color="000000" w:fill="FFFFFF"/>
            <w:vAlign w:val="bottom"/>
          </w:tcPr>
          <w:p w:rsidR="0020533C" w:rsidRPr="00546893" w:rsidRDefault="0020533C" w:rsidP="00E52847">
            <w:pPr>
              <w:jc w:val="center"/>
              <w:rPr>
                <w:rFonts w:ascii="Arial" w:hAnsi="Arial" w:cs="Arial"/>
                <w:sz w:val="20"/>
                <w:szCs w:val="20"/>
              </w:rPr>
            </w:pPr>
            <w:r w:rsidRPr="00546893">
              <w:rPr>
                <w:rFonts w:ascii="Arial" w:hAnsi="Arial" w:cs="Arial"/>
                <w:sz w:val="20"/>
                <w:szCs w:val="20"/>
              </w:rPr>
              <w:t>71.1</w:t>
            </w:r>
          </w:p>
        </w:tc>
        <w:tc>
          <w:tcPr>
            <w:tcW w:w="333" w:type="pct"/>
            <w:tcBorders>
              <w:top w:val="nil"/>
              <w:left w:val="nil"/>
              <w:bottom w:val="single" w:sz="8" w:space="0" w:color="auto"/>
              <w:right w:val="single" w:sz="4" w:space="0" w:color="auto"/>
            </w:tcBorders>
            <w:shd w:val="clear" w:color="000000" w:fill="FFFFFF"/>
            <w:vAlign w:val="bottom"/>
          </w:tcPr>
          <w:p w:rsidR="0020533C" w:rsidRPr="00546893" w:rsidRDefault="0020533C" w:rsidP="00E52847">
            <w:pPr>
              <w:jc w:val="center"/>
              <w:rPr>
                <w:rFonts w:ascii="Arial" w:hAnsi="Arial" w:cs="Arial"/>
                <w:sz w:val="20"/>
                <w:szCs w:val="20"/>
              </w:rPr>
            </w:pPr>
            <w:r w:rsidRPr="00546893">
              <w:rPr>
                <w:rFonts w:ascii="Arial" w:hAnsi="Arial" w:cs="Arial"/>
                <w:sz w:val="20"/>
                <w:szCs w:val="20"/>
              </w:rPr>
              <w:t>59.3</w:t>
            </w:r>
          </w:p>
        </w:tc>
      </w:tr>
      <w:tr w:rsidR="006323F8" w:rsidRPr="009072C9" w:rsidTr="0081700A">
        <w:trPr>
          <w:trHeight w:hRule="exact" w:val="272"/>
        </w:trPr>
        <w:tc>
          <w:tcPr>
            <w:tcW w:w="523" w:type="pct"/>
            <w:vMerge/>
            <w:tcBorders>
              <w:left w:val="single" w:sz="8" w:space="0" w:color="auto"/>
              <w:bottom w:val="single" w:sz="4" w:space="0" w:color="auto"/>
              <w:right w:val="single" w:sz="8" w:space="0" w:color="auto"/>
            </w:tcBorders>
            <w:shd w:val="clear" w:color="000000" w:fill="FFFFFF"/>
            <w:noWrap/>
            <w:vAlign w:val="center"/>
            <w:hideMark/>
          </w:tcPr>
          <w:p w:rsidR="0020533C" w:rsidRPr="00546893" w:rsidRDefault="0020533C" w:rsidP="00E52847">
            <w:pPr>
              <w:jc w:val="center"/>
              <w:rPr>
                <w:rFonts w:ascii="Arial" w:hAnsi="Arial" w:cs="Arial"/>
                <w:b/>
                <w:bCs/>
                <w:color w:val="000000"/>
                <w:sz w:val="20"/>
                <w:szCs w:val="20"/>
              </w:rPr>
            </w:pPr>
          </w:p>
        </w:tc>
        <w:tc>
          <w:tcPr>
            <w:tcW w:w="1215" w:type="pct"/>
            <w:tcBorders>
              <w:top w:val="nil"/>
              <w:left w:val="nil"/>
              <w:bottom w:val="single" w:sz="4"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b/>
                <w:bCs/>
                <w:color w:val="000000"/>
                <w:sz w:val="20"/>
                <w:szCs w:val="20"/>
              </w:rPr>
            </w:pPr>
            <w:r w:rsidRPr="00546893">
              <w:rPr>
                <w:rFonts w:ascii="Arial" w:hAnsi="Arial" w:cs="Arial"/>
                <w:b/>
                <w:bCs/>
                <w:color w:val="000000"/>
                <w:sz w:val="20"/>
                <w:szCs w:val="20"/>
              </w:rPr>
              <w:t>% Stability (c.f. 0hr)</w:t>
            </w:r>
          </w:p>
        </w:tc>
        <w:tc>
          <w:tcPr>
            <w:tcW w:w="475" w:type="pct"/>
            <w:tcBorders>
              <w:top w:val="single" w:sz="8" w:space="0" w:color="auto"/>
              <w:left w:val="nil"/>
              <w:bottom w:val="single" w:sz="4" w:space="0" w:color="auto"/>
              <w:right w:val="single" w:sz="8" w:space="0" w:color="auto"/>
            </w:tcBorders>
            <w:shd w:val="clear" w:color="000000" w:fill="FFFFFF"/>
            <w:vAlign w:val="center"/>
          </w:tcPr>
          <w:p w:rsidR="0020533C" w:rsidRPr="00546893" w:rsidRDefault="0020533C" w:rsidP="00E52847">
            <w:pPr>
              <w:jc w:val="center"/>
              <w:rPr>
                <w:rFonts w:ascii="Arial" w:hAnsi="Arial" w:cs="Arial"/>
                <w:sz w:val="20"/>
                <w:szCs w:val="20"/>
              </w:rPr>
            </w:pPr>
            <w:r w:rsidRPr="00546893">
              <w:rPr>
                <w:rFonts w:ascii="Arial" w:hAnsi="Arial" w:cs="Arial"/>
                <w:sz w:val="20"/>
                <w:szCs w:val="20"/>
              </w:rPr>
              <w:t>85.6</w:t>
            </w:r>
          </w:p>
        </w:tc>
        <w:tc>
          <w:tcPr>
            <w:tcW w:w="361" w:type="pct"/>
            <w:tcBorders>
              <w:top w:val="nil"/>
              <w:left w:val="single" w:sz="8" w:space="0" w:color="auto"/>
              <w:bottom w:val="single" w:sz="4" w:space="0" w:color="auto"/>
              <w:right w:val="single" w:sz="8" w:space="0" w:color="auto"/>
            </w:tcBorders>
            <w:shd w:val="clear" w:color="000000" w:fill="FFFFFF"/>
            <w:vAlign w:val="center"/>
          </w:tcPr>
          <w:p w:rsidR="0020533C" w:rsidRPr="00546893" w:rsidRDefault="0020533C" w:rsidP="0020533C">
            <w:pPr>
              <w:jc w:val="center"/>
              <w:rPr>
                <w:rFonts w:ascii="Arial" w:hAnsi="Arial" w:cs="Arial"/>
                <w:color w:val="000000"/>
                <w:sz w:val="20"/>
                <w:szCs w:val="20"/>
              </w:rPr>
            </w:pPr>
            <w:r w:rsidRPr="00546893">
              <w:rPr>
                <w:rFonts w:ascii="Arial" w:hAnsi="Arial" w:cs="Arial"/>
                <w:color w:val="000000"/>
                <w:sz w:val="20"/>
                <w:szCs w:val="20"/>
              </w:rPr>
              <w:t>41.5</w:t>
            </w:r>
          </w:p>
        </w:tc>
        <w:tc>
          <w:tcPr>
            <w:tcW w:w="361" w:type="pct"/>
            <w:tcBorders>
              <w:top w:val="nil"/>
              <w:left w:val="single" w:sz="8" w:space="0" w:color="auto"/>
              <w:bottom w:val="single" w:sz="4"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86.8</w:t>
            </w:r>
          </w:p>
        </w:tc>
        <w:tc>
          <w:tcPr>
            <w:tcW w:w="361" w:type="pct"/>
            <w:tcBorders>
              <w:top w:val="nil"/>
              <w:left w:val="nil"/>
              <w:bottom w:val="single" w:sz="4"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78.6</w:t>
            </w:r>
          </w:p>
        </w:tc>
        <w:tc>
          <w:tcPr>
            <w:tcW w:w="313" w:type="pct"/>
            <w:tcBorders>
              <w:top w:val="single" w:sz="8" w:space="0" w:color="auto"/>
              <w:left w:val="nil"/>
              <w:bottom w:val="single" w:sz="4" w:space="0" w:color="auto"/>
              <w:right w:val="single" w:sz="8" w:space="0" w:color="auto"/>
            </w:tcBorders>
            <w:shd w:val="clear" w:color="000000" w:fill="FFFFFF"/>
            <w:vAlign w:val="center"/>
          </w:tcPr>
          <w:p w:rsidR="0020533C" w:rsidRPr="00546893" w:rsidRDefault="0020533C" w:rsidP="0020533C">
            <w:pPr>
              <w:jc w:val="center"/>
              <w:rPr>
                <w:rFonts w:ascii="Arial" w:hAnsi="Arial" w:cs="Arial"/>
                <w:sz w:val="20"/>
                <w:szCs w:val="20"/>
              </w:rPr>
            </w:pPr>
            <w:r w:rsidRPr="00546893">
              <w:rPr>
                <w:rFonts w:ascii="Arial" w:hAnsi="Arial" w:cs="Arial"/>
                <w:sz w:val="20"/>
                <w:szCs w:val="20"/>
              </w:rPr>
              <w:t>58.0</w:t>
            </w:r>
          </w:p>
        </w:tc>
        <w:tc>
          <w:tcPr>
            <w:tcW w:w="313" w:type="pct"/>
            <w:tcBorders>
              <w:top w:val="nil"/>
              <w:left w:val="single" w:sz="8" w:space="0" w:color="auto"/>
              <w:bottom w:val="single" w:sz="4"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79.2</w:t>
            </w:r>
          </w:p>
        </w:tc>
        <w:tc>
          <w:tcPr>
            <w:tcW w:w="361" w:type="pct"/>
            <w:tcBorders>
              <w:top w:val="nil"/>
              <w:left w:val="nil"/>
              <w:bottom w:val="single" w:sz="4"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91.9</w:t>
            </w:r>
          </w:p>
        </w:tc>
        <w:tc>
          <w:tcPr>
            <w:tcW w:w="384" w:type="pct"/>
            <w:tcBorders>
              <w:top w:val="nil"/>
              <w:left w:val="nil"/>
              <w:bottom w:val="single" w:sz="4" w:space="0" w:color="auto"/>
              <w:right w:val="single" w:sz="8"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79.8</w:t>
            </w:r>
          </w:p>
        </w:tc>
        <w:tc>
          <w:tcPr>
            <w:tcW w:w="333" w:type="pct"/>
            <w:tcBorders>
              <w:top w:val="nil"/>
              <w:left w:val="nil"/>
              <w:bottom w:val="single" w:sz="4" w:space="0" w:color="auto"/>
              <w:right w:val="single" w:sz="4" w:space="0" w:color="auto"/>
            </w:tcBorders>
            <w:shd w:val="clear" w:color="000000" w:fill="FFFFFF"/>
            <w:vAlign w:val="center"/>
            <w:hideMark/>
          </w:tcPr>
          <w:p w:rsidR="0020533C" w:rsidRPr="00546893" w:rsidRDefault="0020533C" w:rsidP="00E52847">
            <w:pPr>
              <w:jc w:val="center"/>
              <w:rPr>
                <w:rFonts w:ascii="Arial" w:hAnsi="Arial" w:cs="Arial"/>
                <w:color w:val="000000"/>
                <w:sz w:val="20"/>
                <w:szCs w:val="20"/>
              </w:rPr>
            </w:pPr>
            <w:r w:rsidRPr="00546893">
              <w:rPr>
                <w:rFonts w:ascii="Arial" w:hAnsi="Arial" w:cs="Arial"/>
                <w:color w:val="000000"/>
                <w:sz w:val="20"/>
                <w:szCs w:val="20"/>
              </w:rPr>
              <w:t>66.7</w:t>
            </w:r>
          </w:p>
        </w:tc>
      </w:tr>
    </w:tbl>
    <w:p w:rsidR="00E278B9" w:rsidRDefault="00E278B9" w:rsidP="001816C9">
      <w:pPr>
        <w:pStyle w:val="TemplateText"/>
        <w:spacing w:line="360" w:lineRule="auto"/>
        <w:rPr>
          <w:rFonts w:eastAsiaTheme="minorHAnsi" w:cs="Arial"/>
        </w:rPr>
      </w:pPr>
    </w:p>
    <w:p w:rsidR="00442121" w:rsidRDefault="00442121" w:rsidP="001816C9">
      <w:pPr>
        <w:pStyle w:val="TemplateText"/>
        <w:spacing w:line="360" w:lineRule="auto"/>
        <w:rPr>
          <w:rFonts w:eastAsiaTheme="minorHAnsi" w:cs="Arial"/>
        </w:rPr>
      </w:pPr>
      <w:r w:rsidRPr="00442121">
        <w:rPr>
          <w:rFonts w:cs="Arial"/>
          <w:color w:val="000000"/>
          <w:sz w:val="16"/>
          <w:szCs w:val="16"/>
        </w:rPr>
        <w:t>SD Standard deviation</w:t>
      </w:r>
      <w:r w:rsidRPr="00442121">
        <w:rPr>
          <w:rFonts w:cs="Arial"/>
          <w:color w:val="000000"/>
          <w:sz w:val="16"/>
          <w:szCs w:val="16"/>
        </w:rPr>
        <w:tab/>
        <w:t>CV Coefficient of variation</w:t>
      </w:r>
      <w:r w:rsidR="002030C9">
        <w:rPr>
          <w:rFonts w:cs="Arial"/>
          <w:color w:val="000000"/>
          <w:sz w:val="16"/>
          <w:szCs w:val="16"/>
        </w:rPr>
        <w:t xml:space="preserve"> </w:t>
      </w:r>
      <w:r w:rsidR="002030C9">
        <w:rPr>
          <w:rFonts w:cs="Arial"/>
          <w:color w:val="000000"/>
          <w:sz w:val="16"/>
          <w:szCs w:val="16"/>
        </w:rPr>
        <w:tab/>
        <w:t>- No data available</w:t>
      </w:r>
    </w:p>
    <w:p w:rsidR="00442121" w:rsidRDefault="00442121" w:rsidP="001816C9">
      <w:pPr>
        <w:pStyle w:val="TemplateText"/>
        <w:spacing w:line="360" w:lineRule="auto"/>
        <w:rPr>
          <w:rFonts w:cs="Arial"/>
          <w:bCs/>
          <w:color w:val="000000"/>
          <w:sz w:val="16"/>
          <w:szCs w:val="16"/>
        </w:rPr>
      </w:pPr>
      <w:r w:rsidRPr="00442121">
        <w:rPr>
          <w:rFonts w:cs="Arial"/>
          <w:bCs/>
          <w:color w:val="000000"/>
          <w:sz w:val="16"/>
          <w:szCs w:val="16"/>
        </w:rPr>
        <w:t xml:space="preserve">% Stability (c.f. nominal) = </w:t>
      </w:r>
      <w:r w:rsidR="006323F8">
        <w:rPr>
          <w:rFonts w:cs="Arial"/>
          <w:bCs/>
          <w:color w:val="000000"/>
          <w:sz w:val="16"/>
          <w:szCs w:val="16"/>
        </w:rPr>
        <w:t>100 * m</w:t>
      </w:r>
      <w:r>
        <w:rPr>
          <w:rFonts w:cs="Arial"/>
          <w:bCs/>
          <w:color w:val="000000"/>
          <w:sz w:val="16"/>
          <w:szCs w:val="16"/>
        </w:rPr>
        <w:t>ean measured concentration</w:t>
      </w:r>
      <w:r w:rsidR="006323F8">
        <w:rPr>
          <w:rFonts w:cs="Arial"/>
          <w:bCs/>
          <w:color w:val="000000"/>
          <w:sz w:val="16"/>
          <w:szCs w:val="16"/>
        </w:rPr>
        <w:t xml:space="preserve"> / nominal concentration </w:t>
      </w:r>
    </w:p>
    <w:p w:rsidR="006323F8" w:rsidRDefault="006323F8" w:rsidP="006323F8">
      <w:pPr>
        <w:pStyle w:val="TemplateText"/>
        <w:spacing w:line="360" w:lineRule="auto"/>
        <w:rPr>
          <w:rFonts w:cs="Arial"/>
          <w:bCs/>
          <w:color w:val="000000"/>
          <w:sz w:val="16"/>
          <w:szCs w:val="16"/>
        </w:rPr>
      </w:pPr>
      <w:r w:rsidRPr="00442121">
        <w:rPr>
          <w:rFonts w:cs="Arial"/>
          <w:bCs/>
          <w:color w:val="000000"/>
          <w:sz w:val="16"/>
          <w:szCs w:val="16"/>
        </w:rPr>
        <w:t xml:space="preserve">% Stability (c.f. </w:t>
      </w:r>
      <w:r w:rsidR="0081700A">
        <w:rPr>
          <w:rFonts w:cs="Arial"/>
          <w:bCs/>
          <w:color w:val="000000"/>
          <w:sz w:val="16"/>
          <w:szCs w:val="16"/>
        </w:rPr>
        <w:t>0 hr</w:t>
      </w:r>
      <w:r w:rsidRPr="00442121">
        <w:rPr>
          <w:rFonts w:cs="Arial"/>
          <w:bCs/>
          <w:color w:val="000000"/>
          <w:sz w:val="16"/>
          <w:szCs w:val="16"/>
        </w:rPr>
        <w:t xml:space="preserve">) = </w:t>
      </w:r>
      <w:r>
        <w:rPr>
          <w:rFonts w:cs="Arial"/>
          <w:bCs/>
          <w:color w:val="000000"/>
          <w:sz w:val="16"/>
          <w:szCs w:val="16"/>
        </w:rPr>
        <w:t xml:space="preserve">100 * mean measured concentration / mean measured 0hr concentration </w:t>
      </w:r>
    </w:p>
    <w:p w:rsidR="0074262E" w:rsidRDefault="006E45A4" w:rsidP="006323F8">
      <w:pPr>
        <w:pStyle w:val="TemplateText"/>
        <w:spacing w:line="360" w:lineRule="auto"/>
        <w:rPr>
          <w:rFonts w:cs="Arial"/>
          <w:color w:val="000000"/>
          <w:sz w:val="16"/>
          <w:szCs w:val="16"/>
        </w:rPr>
      </w:pPr>
      <w:r>
        <w:rPr>
          <w:rFonts w:cs="Arial"/>
          <w:color w:val="000000"/>
          <w:sz w:val="16"/>
          <w:szCs w:val="16"/>
        </w:rPr>
        <w:t>Statistics</w:t>
      </w:r>
      <w:r w:rsidR="001742DB">
        <w:rPr>
          <w:rFonts w:cs="Arial"/>
          <w:color w:val="000000"/>
          <w:sz w:val="16"/>
          <w:szCs w:val="16"/>
        </w:rPr>
        <w:t xml:space="preserve"> are of n=6 replicates, expect for 64 days (-80</w:t>
      </w:r>
      <w:r w:rsidR="001742DB">
        <w:rPr>
          <w:rFonts w:cs="Arial"/>
          <w:color w:val="000000"/>
          <w:sz w:val="16"/>
          <w:szCs w:val="16"/>
        </w:rPr>
        <w:sym w:font="Symbol" w:char="F0B0"/>
      </w:r>
      <w:r w:rsidR="001742DB">
        <w:rPr>
          <w:rFonts w:cs="Arial"/>
          <w:color w:val="000000"/>
          <w:sz w:val="16"/>
          <w:szCs w:val="16"/>
        </w:rPr>
        <w:t>C), which have n=4 and n=5 replicates at the MED and HIGH level respectively.</w:t>
      </w:r>
      <w:r w:rsidR="00591934">
        <w:rPr>
          <w:rFonts w:cs="Arial"/>
          <w:color w:val="000000"/>
          <w:sz w:val="16"/>
          <w:szCs w:val="16"/>
        </w:rPr>
        <w:t xml:space="preserve"> </w:t>
      </w:r>
    </w:p>
    <w:p w:rsidR="00CA30D5" w:rsidRDefault="00CA30D5">
      <w:pPr>
        <w:rPr>
          <w:rFonts w:cs="Arial"/>
          <w:color w:val="000000"/>
          <w:sz w:val="16"/>
          <w:szCs w:val="16"/>
        </w:rPr>
        <w:sectPr w:rsidR="00CA30D5" w:rsidSect="001D1BC4">
          <w:pgSz w:w="16838" w:h="11906" w:orient="landscape"/>
          <w:pgMar w:top="1440" w:right="1440" w:bottom="1440" w:left="1440" w:header="709" w:footer="709" w:gutter="0"/>
          <w:lnNumType w:countBy="1" w:start="387" w:restart="continuous"/>
          <w:cols w:space="708"/>
          <w:titlePg/>
          <w:docGrid w:linePitch="360"/>
        </w:sectPr>
      </w:pPr>
    </w:p>
    <w:p w:rsidR="00F137FC" w:rsidRPr="00277C3D" w:rsidRDefault="00F137FC" w:rsidP="00277C3D">
      <w:pPr>
        <w:spacing w:line="360" w:lineRule="auto"/>
        <w:rPr>
          <w:rFonts w:ascii="Arial" w:eastAsia="Times New Roman" w:hAnsi="Arial" w:cs="Times New Roman"/>
        </w:rPr>
      </w:pPr>
      <w:r w:rsidRPr="00277C3D">
        <w:rPr>
          <w:rFonts w:ascii="Arial" w:eastAsia="Times New Roman" w:hAnsi="Arial" w:cs="Times New Roman"/>
        </w:rPr>
        <w:t xml:space="preserve">The ability to re-inject extracts was demonstrated after storage at +4°C for </w:t>
      </w:r>
      <w:r w:rsidR="004507FC" w:rsidRPr="00277C3D">
        <w:rPr>
          <w:rFonts w:ascii="Arial" w:eastAsia="Times New Roman" w:hAnsi="Arial" w:cs="Times New Roman"/>
        </w:rPr>
        <w:t>6</w:t>
      </w:r>
      <w:r w:rsidRPr="00277C3D">
        <w:rPr>
          <w:rFonts w:ascii="Arial" w:eastAsia="Times New Roman" w:hAnsi="Arial" w:cs="Times New Roman"/>
        </w:rPr>
        <w:t xml:space="preserve"> days</w:t>
      </w:r>
      <w:r w:rsidR="00BB0E12" w:rsidRPr="00277C3D">
        <w:rPr>
          <w:rFonts w:ascii="Arial" w:eastAsia="Times New Roman" w:hAnsi="Arial" w:cs="Times New Roman"/>
        </w:rPr>
        <w:t xml:space="preserve"> (Supplemental Table 4</w:t>
      </w:r>
      <w:r w:rsidR="006D3F7D" w:rsidRPr="00277C3D">
        <w:rPr>
          <w:rFonts w:ascii="Arial" w:eastAsia="Times New Roman" w:hAnsi="Arial" w:cs="Times New Roman"/>
        </w:rPr>
        <w:t xml:space="preserve">). </w:t>
      </w:r>
      <w:r w:rsidRPr="00277C3D">
        <w:rPr>
          <w:rFonts w:ascii="Arial" w:eastAsia="Times New Roman" w:hAnsi="Arial" w:cs="Times New Roman"/>
        </w:rPr>
        <w:t xml:space="preserve">The stability of stock and working solutions of glucagon, which were stored at -20 </w:t>
      </w:r>
      <w:r w:rsidRPr="00277C3D">
        <w:rPr>
          <w:rFonts w:ascii="Arial" w:eastAsia="Times New Roman" w:hAnsi="Arial" w:cs="Times New Roman"/>
        </w:rPr>
        <w:sym w:font="Symbol" w:char="F0B0"/>
      </w:r>
      <w:r w:rsidRPr="00277C3D">
        <w:rPr>
          <w:rFonts w:ascii="Arial" w:eastAsia="Times New Roman" w:hAnsi="Arial" w:cs="Times New Roman"/>
        </w:rPr>
        <w:t xml:space="preserve">C when not in use, was demonstrated for 67 and </w:t>
      </w:r>
      <w:r w:rsidR="002030C9" w:rsidRPr="00277C3D">
        <w:rPr>
          <w:rFonts w:ascii="Arial" w:eastAsia="Times New Roman" w:hAnsi="Arial" w:cs="Times New Roman"/>
        </w:rPr>
        <w:t>163</w:t>
      </w:r>
      <w:r w:rsidRPr="00277C3D">
        <w:rPr>
          <w:rFonts w:ascii="Arial" w:eastAsia="Times New Roman" w:hAnsi="Arial" w:cs="Times New Roman"/>
        </w:rPr>
        <w:t xml:space="preserve"> days respectively (</w:t>
      </w:r>
      <w:r w:rsidR="00BB0E12" w:rsidRPr="00277C3D">
        <w:rPr>
          <w:rFonts w:ascii="Arial" w:eastAsia="Times New Roman" w:hAnsi="Arial" w:cs="Times New Roman"/>
        </w:rPr>
        <w:t>Supplemental Table 5</w:t>
      </w:r>
      <w:r w:rsidRPr="00277C3D">
        <w:rPr>
          <w:rFonts w:ascii="Arial" w:eastAsia="Times New Roman" w:hAnsi="Arial" w:cs="Times New Roman"/>
        </w:rPr>
        <w:t xml:space="preserve">). </w:t>
      </w:r>
    </w:p>
    <w:p w:rsidR="00F5092F" w:rsidRPr="00277C3D" w:rsidRDefault="00F94558" w:rsidP="00F5092F">
      <w:pPr>
        <w:pStyle w:val="TemplateText"/>
        <w:spacing w:line="360" w:lineRule="auto"/>
      </w:pPr>
      <w:r w:rsidRPr="00277C3D">
        <w:t xml:space="preserve">The stability of glucagon in Aprotinin stabilised whole blood </w:t>
      </w:r>
      <w:r w:rsidR="00EE1777" w:rsidRPr="00277C3D">
        <w:t xml:space="preserve">following storage on ice for 1 hour </w:t>
      </w:r>
      <w:r w:rsidRPr="00277C3D">
        <w:t>was found t</w:t>
      </w:r>
      <w:r w:rsidR="00D86FB5" w:rsidRPr="00277C3D">
        <w:t>o be within acceptance criteria</w:t>
      </w:r>
      <w:r w:rsidR="006D3F7D" w:rsidRPr="00277C3D">
        <w:t xml:space="preserve"> (Supplemental Table 6).</w:t>
      </w:r>
      <w:r w:rsidR="00F5092F" w:rsidRPr="00277C3D">
        <w:t xml:space="preserve"> </w:t>
      </w:r>
    </w:p>
    <w:p w:rsidR="00277C3D" w:rsidRDefault="00277C3D" w:rsidP="00F5092F">
      <w:pPr>
        <w:pStyle w:val="TemplateText"/>
        <w:spacing w:line="360" w:lineRule="auto"/>
      </w:pPr>
    </w:p>
    <w:p w:rsidR="00D5675B" w:rsidRPr="00277C3D" w:rsidRDefault="00332254" w:rsidP="00F5092F">
      <w:pPr>
        <w:pStyle w:val="TemplateText"/>
        <w:spacing w:line="360" w:lineRule="auto"/>
      </w:pPr>
      <w:r w:rsidRPr="00277C3D">
        <w:t>H</w:t>
      </w:r>
      <w:r w:rsidR="000208D1" w:rsidRPr="00277C3D">
        <w:t>aemolysed samples</w:t>
      </w:r>
      <w:r w:rsidRPr="00277C3D">
        <w:t xml:space="preserve"> (plasma spiked with 3% whole blood)</w:t>
      </w:r>
      <w:r w:rsidR="000208D1" w:rsidRPr="00277C3D">
        <w:t xml:space="preserve"> contained a large neighbouring peak, and did not pass acceptance criteria</w:t>
      </w:r>
      <w:r w:rsidR="00CC598C" w:rsidRPr="00277C3D">
        <w:t xml:space="preserve">, demonstrating haemolysed samples cannot be accurately </w:t>
      </w:r>
      <w:r w:rsidR="00BE7694" w:rsidRPr="00277C3D">
        <w:t>quantified</w:t>
      </w:r>
      <w:r w:rsidR="00CC598C" w:rsidRPr="00277C3D">
        <w:t xml:space="preserve"> using </w:t>
      </w:r>
      <w:r w:rsidR="00BE7694" w:rsidRPr="00277C3D">
        <w:t>this</w:t>
      </w:r>
      <w:r w:rsidR="00CC598C" w:rsidRPr="00277C3D">
        <w:t xml:space="preserve"> method</w:t>
      </w:r>
      <w:r w:rsidR="006D3F7D" w:rsidRPr="00277C3D">
        <w:t xml:space="preserve"> (Supplemental Figure 5)</w:t>
      </w:r>
      <w:r w:rsidR="00F5092F" w:rsidRPr="00277C3D">
        <w:t xml:space="preserve">. </w:t>
      </w:r>
      <w:r w:rsidR="00D5675B">
        <w:t>The presence of h</w:t>
      </w:r>
      <w:r w:rsidR="00D5675B" w:rsidRPr="00D5675B">
        <w:t>yperlip</w:t>
      </w:r>
      <w:r w:rsidR="00BA34B8">
        <w:t>i</w:t>
      </w:r>
      <w:r w:rsidR="00D5675B" w:rsidRPr="00D5675B">
        <w:t>d</w:t>
      </w:r>
      <w:r w:rsidR="00BA34B8">
        <w:t>a</w:t>
      </w:r>
      <w:r w:rsidR="00D5675B" w:rsidRPr="00D5675B">
        <w:t xml:space="preserve">emic </w:t>
      </w:r>
      <w:r w:rsidR="00D5675B">
        <w:t>plasma did not significantly affect the quanti</w:t>
      </w:r>
      <w:r w:rsidR="00F5092F">
        <w:t>tation</w:t>
      </w:r>
      <w:r w:rsidR="00D5675B">
        <w:t xml:space="preserve"> of glucagon</w:t>
      </w:r>
      <w:r w:rsidR="00204B14">
        <w:t xml:space="preserve"> (</w:t>
      </w:r>
      <w:r w:rsidR="00F5092F">
        <w:t>Supplemental Table 7</w:t>
      </w:r>
      <w:r w:rsidR="00204B14">
        <w:t>)</w:t>
      </w:r>
      <w:r w:rsidR="00D5675B">
        <w:t xml:space="preserve">. </w:t>
      </w:r>
    </w:p>
    <w:p w:rsidR="00DF0595" w:rsidRDefault="00DF0595" w:rsidP="00DF0595">
      <w:pPr>
        <w:pStyle w:val="BodyText"/>
        <w:tabs>
          <w:tab w:val="left" w:pos="1276"/>
        </w:tabs>
        <w:ind w:right="-1"/>
        <w:rPr>
          <w:sz w:val="16"/>
          <w:szCs w:val="16"/>
        </w:rPr>
      </w:pPr>
    </w:p>
    <w:p w:rsidR="00DF0595" w:rsidRDefault="00DF0595">
      <w:pPr>
        <w:rPr>
          <w:rFonts w:ascii="Arial" w:eastAsia="Times New Roman" w:hAnsi="Arial" w:cs="Times New Roman"/>
          <w:i/>
          <w:u w:val="single"/>
        </w:rPr>
      </w:pPr>
    </w:p>
    <w:p w:rsidR="0078326E" w:rsidRPr="005D677F" w:rsidRDefault="009749D8" w:rsidP="001B4B71">
      <w:pPr>
        <w:rPr>
          <w:rFonts w:ascii="Arial" w:eastAsia="Times New Roman" w:hAnsi="Arial" w:cs="Times New Roman"/>
          <w:i/>
          <w:u w:val="single"/>
        </w:rPr>
      </w:pPr>
      <w:r w:rsidRPr="005D677F">
        <w:rPr>
          <w:rFonts w:ascii="Arial" w:eastAsia="Times New Roman" w:hAnsi="Arial" w:cs="Times New Roman"/>
          <w:i/>
          <w:u w:val="single"/>
        </w:rPr>
        <w:t>U</w:t>
      </w:r>
      <w:r w:rsidR="0070575C" w:rsidRPr="005D677F">
        <w:rPr>
          <w:rFonts w:ascii="Arial" w:eastAsia="Times New Roman" w:hAnsi="Arial" w:cs="Times New Roman"/>
          <w:i/>
          <w:u w:val="single"/>
        </w:rPr>
        <w:t xml:space="preserve">sing the </w:t>
      </w:r>
      <w:r w:rsidR="00983F7B">
        <w:rPr>
          <w:rFonts w:ascii="Arial" w:eastAsia="Times New Roman" w:hAnsi="Arial" w:cs="Times New Roman"/>
          <w:i/>
          <w:u w:val="single"/>
        </w:rPr>
        <w:t>qualified</w:t>
      </w:r>
      <w:r w:rsidR="00204B14">
        <w:rPr>
          <w:rFonts w:ascii="Arial" w:eastAsia="Times New Roman" w:hAnsi="Arial" w:cs="Times New Roman"/>
          <w:i/>
          <w:u w:val="single"/>
        </w:rPr>
        <w:t xml:space="preserve"> LC-MS/MS</w:t>
      </w:r>
      <w:r w:rsidR="00CC598C">
        <w:rPr>
          <w:rFonts w:ascii="Arial" w:eastAsia="Times New Roman" w:hAnsi="Arial" w:cs="Times New Roman"/>
          <w:i/>
          <w:u w:val="single"/>
        </w:rPr>
        <w:t xml:space="preserve"> method to assess endogenous</w:t>
      </w:r>
      <w:r w:rsidRPr="005D677F">
        <w:rPr>
          <w:rFonts w:ascii="Arial" w:eastAsia="Times New Roman" w:hAnsi="Arial" w:cs="Times New Roman"/>
          <w:i/>
          <w:u w:val="single"/>
        </w:rPr>
        <w:t xml:space="preserve"> glucagon </w:t>
      </w:r>
      <w:r w:rsidR="00CC598C">
        <w:rPr>
          <w:rFonts w:ascii="Arial" w:eastAsia="Times New Roman" w:hAnsi="Arial" w:cs="Times New Roman"/>
          <w:i/>
          <w:u w:val="single"/>
        </w:rPr>
        <w:t>concentrations</w:t>
      </w:r>
      <w:r w:rsidRPr="005D677F">
        <w:rPr>
          <w:rFonts w:ascii="Arial" w:eastAsia="Times New Roman" w:hAnsi="Arial" w:cs="Times New Roman"/>
          <w:i/>
          <w:u w:val="single"/>
        </w:rPr>
        <w:t xml:space="preserve"> from volunteers</w:t>
      </w:r>
    </w:p>
    <w:p w:rsidR="0044264E" w:rsidRDefault="0044264E" w:rsidP="00550C28">
      <w:pPr>
        <w:spacing w:line="360" w:lineRule="auto"/>
        <w:jc w:val="both"/>
        <w:rPr>
          <w:rFonts w:ascii="Arial" w:eastAsia="Times New Roman" w:hAnsi="Arial" w:cs="Times New Roman"/>
        </w:rPr>
      </w:pPr>
      <w:r>
        <w:rPr>
          <w:rFonts w:ascii="Arial" w:eastAsia="Times New Roman" w:hAnsi="Arial" w:cs="Times New Roman"/>
        </w:rPr>
        <w:t xml:space="preserve">Plasma was collected from </w:t>
      </w:r>
      <w:r w:rsidR="00DA433F">
        <w:rPr>
          <w:rFonts w:ascii="Arial" w:eastAsia="Times New Roman" w:hAnsi="Arial" w:cs="Times New Roman"/>
        </w:rPr>
        <w:t>12</w:t>
      </w:r>
      <w:r>
        <w:rPr>
          <w:rFonts w:ascii="Arial" w:eastAsia="Times New Roman" w:hAnsi="Arial" w:cs="Times New Roman"/>
        </w:rPr>
        <w:t xml:space="preserve"> healthy males and </w:t>
      </w:r>
      <w:r w:rsidR="00DA433F">
        <w:rPr>
          <w:rFonts w:ascii="Arial" w:eastAsia="Times New Roman" w:hAnsi="Arial" w:cs="Times New Roman"/>
        </w:rPr>
        <w:t>12</w:t>
      </w:r>
      <w:r>
        <w:rPr>
          <w:rFonts w:ascii="Arial" w:eastAsia="Times New Roman" w:hAnsi="Arial" w:cs="Times New Roman"/>
        </w:rPr>
        <w:t xml:space="preserve"> healthy</w:t>
      </w:r>
      <w:r w:rsidR="00F970E2">
        <w:rPr>
          <w:rFonts w:ascii="Arial" w:eastAsia="Times New Roman" w:hAnsi="Arial" w:cs="Times New Roman"/>
        </w:rPr>
        <w:t xml:space="preserve"> </w:t>
      </w:r>
      <w:r>
        <w:rPr>
          <w:rFonts w:ascii="Arial" w:eastAsia="Times New Roman" w:hAnsi="Arial" w:cs="Times New Roman"/>
        </w:rPr>
        <w:t>females</w:t>
      </w:r>
      <w:r w:rsidR="002F2AAF">
        <w:rPr>
          <w:rFonts w:ascii="Arial" w:eastAsia="Times New Roman" w:hAnsi="Arial" w:cs="Times New Roman"/>
        </w:rPr>
        <w:t xml:space="preserve"> </w:t>
      </w:r>
      <w:r>
        <w:rPr>
          <w:rFonts w:ascii="Arial" w:eastAsia="Times New Roman" w:hAnsi="Arial" w:cs="Times New Roman"/>
        </w:rPr>
        <w:t xml:space="preserve">and glucagon levels </w:t>
      </w:r>
      <w:r w:rsidR="00D80515">
        <w:rPr>
          <w:rFonts w:ascii="Arial" w:eastAsia="Times New Roman" w:hAnsi="Arial" w:cs="Times New Roman"/>
        </w:rPr>
        <w:t>determined</w:t>
      </w:r>
      <w:r w:rsidR="00BE7694">
        <w:rPr>
          <w:rFonts w:ascii="Arial" w:eastAsia="Times New Roman" w:hAnsi="Arial" w:cs="Times New Roman"/>
        </w:rPr>
        <w:t xml:space="preserve"> using</w:t>
      </w:r>
      <w:r w:rsidR="002E470A">
        <w:rPr>
          <w:rFonts w:ascii="Arial" w:eastAsia="Times New Roman" w:hAnsi="Arial" w:cs="Times New Roman"/>
        </w:rPr>
        <w:t xml:space="preserve"> the</w:t>
      </w:r>
      <w:r>
        <w:rPr>
          <w:rFonts w:ascii="Arial" w:eastAsia="Times New Roman" w:hAnsi="Arial" w:cs="Times New Roman"/>
        </w:rPr>
        <w:t xml:space="preserve"> </w:t>
      </w:r>
      <w:r w:rsidR="00204B14">
        <w:rPr>
          <w:rFonts w:ascii="Arial" w:eastAsia="Times New Roman" w:hAnsi="Arial" w:cs="Times New Roman"/>
        </w:rPr>
        <w:t>qualified LC-MS/MS method</w:t>
      </w:r>
      <w:r w:rsidR="00F970E2">
        <w:rPr>
          <w:rFonts w:ascii="Arial" w:eastAsia="Times New Roman" w:hAnsi="Arial" w:cs="Times New Roman"/>
        </w:rPr>
        <w:t>.</w:t>
      </w:r>
      <w:r>
        <w:rPr>
          <w:rFonts w:ascii="Arial" w:eastAsia="Times New Roman" w:hAnsi="Arial" w:cs="Times New Roman"/>
        </w:rPr>
        <w:t xml:space="preserve"> As shown in</w:t>
      </w:r>
      <w:r w:rsidR="00AE0832">
        <w:rPr>
          <w:rFonts w:ascii="Arial" w:eastAsia="Times New Roman" w:hAnsi="Arial" w:cs="Times New Roman"/>
        </w:rPr>
        <w:t xml:space="preserve"> </w:t>
      </w:r>
      <w:r w:rsidR="00342B10">
        <w:fldChar w:fldCharType="begin"/>
      </w:r>
      <w:r w:rsidR="00342B10">
        <w:instrText xml:space="preserve"> REF _Ref360032751 \h  \* MERGEFORMAT </w:instrText>
      </w:r>
      <w:r w:rsidR="00342B10">
        <w:fldChar w:fldCharType="separate"/>
      </w:r>
      <w:r w:rsidR="0020538A" w:rsidRPr="0020538A">
        <w:rPr>
          <w:rFonts w:ascii="Arial" w:eastAsia="Times New Roman" w:hAnsi="Arial" w:cs="Times New Roman"/>
        </w:rPr>
        <w:t>Table 3</w:t>
      </w:r>
      <w:r w:rsidR="00342B10">
        <w:fldChar w:fldCharType="end"/>
      </w:r>
      <w:r w:rsidR="00AE0832">
        <w:rPr>
          <w:rFonts w:ascii="Arial" w:eastAsia="Times New Roman" w:hAnsi="Arial" w:cs="Times New Roman"/>
        </w:rPr>
        <w:t xml:space="preserve"> </w:t>
      </w:r>
      <w:r>
        <w:rPr>
          <w:rFonts w:ascii="Arial" w:eastAsia="Times New Roman" w:hAnsi="Arial" w:cs="Times New Roman"/>
        </w:rPr>
        <w:t xml:space="preserve">levels </w:t>
      </w:r>
      <w:r w:rsidR="00DF7495">
        <w:rPr>
          <w:rFonts w:ascii="Arial" w:eastAsia="Times New Roman" w:hAnsi="Arial" w:cs="Times New Roman"/>
        </w:rPr>
        <w:t xml:space="preserve">agreed well with the 25-80 pg/mL range </w:t>
      </w:r>
      <w:r w:rsidR="00AB6528">
        <w:rPr>
          <w:rFonts w:ascii="Arial" w:eastAsia="Times New Roman" w:hAnsi="Arial" w:cs="Times New Roman"/>
        </w:rPr>
        <w:t>determined by RIA</w:t>
      </w:r>
      <w:r w:rsidR="00DF7495">
        <w:rPr>
          <w:rFonts w:ascii="Arial" w:eastAsia="Times New Roman" w:hAnsi="Arial" w:cs="Times New Roman"/>
        </w:rPr>
        <w:t xml:space="preserve"> </w:t>
      </w:r>
      <w:r w:rsidR="001B586C">
        <w:rPr>
          <w:rFonts w:ascii="Arial" w:hAnsi="Arial" w:cs="Arial"/>
        </w:rPr>
        <w:fldChar w:fldCharType="begin" w:fldLock="1"/>
      </w:r>
      <w:r w:rsidR="00261C24">
        <w:rPr>
          <w:rFonts w:ascii="Arial" w:hAnsi="Arial" w:cs="Arial"/>
        </w:rPr>
        <w:instrText>ADDIN CSL_CITATION { "citationItems" : [ { "id" : "ITEM-1", "itemData" : { "DOI" : "10.4161/cbt.8.16.9006", "ISSN" : "1538-4047", "PMID" : "19571666", "abstract" : "Pancreatic ductal adenocarcinoma (PDAC) is one of the most aggressive malignancies, with an overall 5-year survival rate of less than 5%. This dismal prognosis is largely due to the advanced stage of the disease at presentation, i.e., the late diagnosis. Therefore, early detection would have the potential to significantly improve the overall prognosis of PDAC patients. Diabetes mellitus (DM) has a high prevalence in PDAC patients and is frequently of new onset. The aim of this study was to analyze whether DM can be utilized as an early disease marker in PDAC. Quantitative RT-PCR analysis and immunohistochemistry for insulin and glucagon was performed in 22 PDAC and 16 normal pancreas tissues. Blood samples of 66 patients suffering from PDAC, 35 DM type 2 patients, and 29 healthy donors were analyzed for insulin, glucagon, C-peptide and glucose levels. Quantitative RT-PCR showed a two-fold increase of the glucagon/insulin ratio in pancreatic cancer tissues in comparison to the normal pancreas. By immunohistochemistry a shift in the expression pattern of glucagon and insulin, i.e., a higher glucagon/insulin ratio was found in PDAC associated islets compared to islets in the normal pancreas. Fasting insulin levels in PDAC patients were lower compared to DM patients. The calculated serum glucagon/insulin ratio was significantly different between PDAC and DM patients. At a cut-off of 7.4 ng/mU glucagon/insulin, pancreatic cancer induced new-onset DM could be discriminated from type 2 DM with 77% sensitivity and 69% specificity. In conclusion, the suggested serum glucagon/insulin ratio showed significant differences in patients with PDAC related DM and type 2 DM. Therefore, this analysis might help to identify PDAC in patients with new-onset DM in the age group at risk. Larger clinical trials have to confirm these findings.", "author" : [ { "dropping-particle" : "", "family" : "Kolb", "given" : "Armin", "non-dropping-particle" : "", "parse-names" : false, "suffix" : "" }, { "dropping-particle" : "", "family" : "Rieder", "given" : "Simon", "non-dropping-particle" : "", "parse-names" : false, "suffix" : "" }, { "dropping-particle" : "", "family" : "Born", "given" : "Diana", "non-dropping-particle" : "", "parse-names" : false, "suffix" : "" }, { "dropping-particle" : "", "family" : "Giese", "given" : "Nathalia A.", "non-dropping-particle" : "", "parse-names" : false, "suffix" : "" }, { "dropping-particle" : "", "family" : "Giese", "given" : "Thomas", "non-dropping-particle" : "", "parse-names" : false, "suffix" : "" }, { "dropping-particle" : "", "family" : "Rudofsky", "given" : "Gottfried", "non-dropping-particle" : "", "parse-names" : false, "suffix" : "" }, { "dropping-particle" : "", "family" : "Werner", "given" : "Jens", "non-dropping-particle" : "", "parse-names" : false, "suffix" : "" }, { "dropping-particle" : "", "family" : "B\u00fcchler", "given" : "Markus W", "non-dropping-particle" : "", "parse-names" : false, "suffix" : "" }, { "dropping-particle" : "", "family" : "Friess", "given" : "Helmut", "non-dropping-particle" : "", "parse-names" : false, "suffix" : "" }, { "dropping-particle" : "", "family" : "Esposito", "given" : "Irene", "non-dropping-particle" : "", "parse-names" : false, "suffix" : "" }, { "dropping-particle" : "", "family" : "Kleeff", "given" : "J\u00f6rg", "non-dropping-particle" : "", "parse-names" : false, "suffix" : "" } ], "container-title" : "Cancer Biology &amp; Therapy", "id" : "ITEM-1", "issue" : "16", "issued" : { "date-parts" : [ [ "2009", "8", "15" ] ] }, "note" : "From EMPW presentation\n        \n50.9 pg/mL \u00b13.0, range 24 \u2013 83 pg/mL (healthy volunteers, n = 24)\n      ", "page" : "1527-1533", "title" : "Glucagon/insulin ratio as a potential biomarker for pancreatic cancer in patients with new-onset diabetes mellitus", "type" : "article-journal", "volume" : "8" }, "uris" : [ "http://www.mendeley.com/documents/?uuid=4ad9e6cc-2ef0-45ea-a41a-62ad9c31224c" ] } ], "mendeley" : { "previouslyFormattedCitation" : "[1]" }, "properties" : { "noteIndex" : 0 }, "schema" : "https://github.com/citation-style-language/schema/raw/master/csl-citation.json" }</w:instrText>
      </w:r>
      <w:r w:rsidR="001B586C">
        <w:rPr>
          <w:rFonts w:ascii="Arial" w:hAnsi="Arial" w:cs="Arial"/>
        </w:rPr>
        <w:fldChar w:fldCharType="separate"/>
      </w:r>
      <w:r w:rsidR="00241343" w:rsidRPr="00241343">
        <w:rPr>
          <w:rFonts w:ascii="Arial" w:hAnsi="Arial" w:cs="Arial"/>
          <w:noProof/>
        </w:rPr>
        <w:t>[1]</w:t>
      </w:r>
      <w:r w:rsidR="001B586C">
        <w:rPr>
          <w:rFonts w:ascii="Arial" w:hAnsi="Arial" w:cs="Arial"/>
        </w:rPr>
        <w:fldChar w:fldCharType="end"/>
      </w:r>
      <w:r w:rsidR="001575B5">
        <w:rPr>
          <w:rFonts w:ascii="Arial" w:eastAsia="Times New Roman" w:hAnsi="Arial" w:cs="Times New Roman"/>
        </w:rPr>
        <w:t>. C</w:t>
      </w:r>
      <w:r w:rsidR="00AE0832">
        <w:rPr>
          <w:rFonts w:ascii="Arial" w:eastAsia="Times New Roman" w:hAnsi="Arial" w:cs="Times New Roman"/>
        </w:rPr>
        <w:t>hromatograms from samples</w:t>
      </w:r>
      <w:r w:rsidR="001575B5">
        <w:rPr>
          <w:rFonts w:ascii="Arial" w:eastAsia="Times New Roman" w:hAnsi="Arial" w:cs="Times New Roman"/>
        </w:rPr>
        <w:t xml:space="preserve"> which gave glucagon </w:t>
      </w:r>
      <w:r w:rsidR="00D80515">
        <w:rPr>
          <w:rFonts w:ascii="Arial" w:eastAsia="Times New Roman" w:hAnsi="Arial" w:cs="Times New Roman"/>
        </w:rPr>
        <w:t>concentrations</w:t>
      </w:r>
      <w:r w:rsidR="001575B5">
        <w:rPr>
          <w:rFonts w:ascii="Arial" w:eastAsia="Times New Roman" w:hAnsi="Arial" w:cs="Times New Roman"/>
        </w:rPr>
        <w:t xml:space="preserve"> above the </w:t>
      </w:r>
      <w:r w:rsidR="00AE0832">
        <w:rPr>
          <w:rFonts w:ascii="Arial" w:eastAsia="Times New Roman" w:hAnsi="Arial" w:cs="Times New Roman"/>
        </w:rPr>
        <w:t>LLOQ showed good signal to noise</w:t>
      </w:r>
      <w:r w:rsidR="006716F5">
        <w:rPr>
          <w:rFonts w:ascii="Arial" w:eastAsia="Times New Roman" w:hAnsi="Arial" w:cs="Times New Roman"/>
        </w:rPr>
        <w:t xml:space="preserve"> ratios</w:t>
      </w:r>
      <w:r w:rsidR="00794182">
        <w:rPr>
          <w:rFonts w:ascii="Arial" w:eastAsia="Times New Roman" w:hAnsi="Arial" w:cs="Times New Roman"/>
        </w:rPr>
        <w:t xml:space="preserve"> </w:t>
      </w:r>
      <w:r w:rsidR="0093085B">
        <w:rPr>
          <w:rFonts w:ascii="Arial" w:eastAsia="Times New Roman" w:hAnsi="Arial" w:cs="Times New Roman"/>
        </w:rPr>
        <w:t>(</w:t>
      </w:r>
      <w:r w:rsidR="00342B10">
        <w:fldChar w:fldCharType="begin"/>
      </w:r>
      <w:r w:rsidR="00342B10">
        <w:instrText xml:space="preserve"> REF _Ref360032762 \h  \* MERGEFORMAT </w:instrText>
      </w:r>
      <w:r w:rsidR="00342B10">
        <w:fldChar w:fldCharType="separate"/>
      </w:r>
      <w:r w:rsidR="0020538A" w:rsidRPr="0020538A">
        <w:rPr>
          <w:rFonts w:ascii="Arial" w:eastAsia="Times New Roman" w:hAnsi="Arial" w:cs="Times New Roman"/>
        </w:rPr>
        <w:t>Figure 4</w:t>
      </w:r>
      <w:r w:rsidR="00342B10">
        <w:fldChar w:fldCharType="end"/>
      </w:r>
      <w:r w:rsidR="0093085B">
        <w:rPr>
          <w:rFonts w:ascii="Arial" w:eastAsia="Times New Roman" w:hAnsi="Arial" w:cs="Times New Roman"/>
        </w:rPr>
        <w:t xml:space="preserve">). </w:t>
      </w:r>
      <w:r w:rsidR="004E6FFC">
        <w:rPr>
          <w:rFonts w:ascii="Arial" w:eastAsia="Times New Roman" w:hAnsi="Arial" w:cs="Times New Roman"/>
        </w:rPr>
        <w:t>Some samples</w:t>
      </w:r>
      <w:r w:rsidR="0093085B">
        <w:rPr>
          <w:rFonts w:ascii="Arial" w:eastAsia="Times New Roman" w:hAnsi="Arial" w:cs="Times New Roman"/>
        </w:rPr>
        <w:t xml:space="preserve"> which gave glucagon concentrations below</w:t>
      </w:r>
      <w:r w:rsidR="004E6FFC">
        <w:rPr>
          <w:rFonts w:ascii="Arial" w:eastAsia="Times New Roman" w:hAnsi="Arial" w:cs="Times New Roman"/>
        </w:rPr>
        <w:t xml:space="preserve"> the</w:t>
      </w:r>
      <w:r w:rsidR="0093085B">
        <w:rPr>
          <w:rFonts w:ascii="Arial" w:eastAsia="Times New Roman" w:hAnsi="Arial" w:cs="Times New Roman"/>
        </w:rPr>
        <w:t xml:space="preserve"> LLOQ showed </w:t>
      </w:r>
      <w:r w:rsidR="00A035DE">
        <w:rPr>
          <w:rFonts w:ascii="Arial" w:eastAsia="Times New Roman" w:hAnsi="Arial" w:cs="Times New Roman"/>
        </w:rPr>
        <w:t>integratable peaks</w:t>
      </w:r>
      <w:r w:rsidR="0093085B">
        <w:rPr>
          <w:rFonts w:ascii="Arial" w:eastAsia="Times New Roman" w:hAnsi="Arial" w:cs="Times New Roman"/>
        </w:rPr>
        <w:t xml:space="preserve"> (</w:t>
      </w:r>
      <w:r w:rsidR="00342B10">
        <w:fldChar w:fldCharType="begin"/>
      </w:r>
      <w:r w:rsidR="00342B10">
        <w:instrText xml:space="preserve"> REF _Ref360032762 \h  \* MERGEFORMAT </w:instrText>
      </w:r>
      <w:r w:rsidR="00342B10">
        <w:fldChar w:fldCharType="separate"/>
      </w:r>
      <w:r w:rsidR="0020538A" w:rsidRPr="0020538A">
        <w:rPr>
          <w:rFonts w:ascii="Arial" w:eastAsia="Times New Roman" w:hAnsi="Arial" w:cs="Times New Roman"/>
        </w:rPr>
        <w:t>Figure 4</w:t>
      </w:r>
      <w:r w:rsidR="00342B10">
        <w:fldChar w:fldCharType="end"/>
      </w:r>
      <w:r w:rsidR="0093085B">
        <w:rPr>
          <w:rFonts w:ascii="Arial" w:eastAsia="Times New Roman" w:hAnsi="Arial" w:cs="Times New Roman"/>
        </w:rPr>
        <w:t>)</w:t>
      </w:r>
      <w:r w:rsidR="004E6FFC">
        <w:rPr>
          <w:rFonts w:ascii="Arial" w:eastAsia="Times New Roman" w:hAnsi="Arial" w:cs="Times New Roman"/>
        </w:rPr>
        <w:t xml:space="preserve"> </w:t>
      </w:r>
      <w:r w:rsidR="0093085B">
        <w:rPr>
          <w:rFonts w:ascii="Arial" w:eastAsia="Times New Roman" w:hAnsi="Arial" w:cs="Times New Roman"/>
        </w:rPr>
        <w:t xml:space="preserve">and their approximate concentrations were determined by extrapolation </w:t>
      </w:r>
      <w:r w:rsidR="00C3689D">
        <w:rPr>
          <w:rFonts w:ascii="Arial" w:eastAsia="Times New Roman" w:hAnsi="Arial" w:cs="Times New Roman"/>
        </w:rPr>
        <w:t>(</w:t>
      </w:r>
      <w:r w:rsidR="00342B10">
        <w:fldChar w:fldCharType="begin"/>
      </w:r>
      <w:r w:rsidR="00342B10">
        <w:instrText xml:space="preserve"> REF _Ref360032751 \h  \* MERGEFORMAT </w:instrText>
      </w:r>
      <w:r w:rsidR="00342B10">
        <w:fldChar w:fldCharType="separate"/>
      </w:r>
      <w:r w:rsidR="0020538A" w:rsidRPr="0020538A">
        <w:rPr>
          <w:rFonts w:ascii="Arial" w:eastAsia="Times New Roman" w:hAnsi="Arial" w:cs="Times New Roman"/>
        </w:rPr>
        <w:t>Table 3</w:t>
      </w:r>
      <w:r w:rsidR="00342B10">
        <w:fldChar w:fldCharType="end"/>
      </w:r>
      <w:r w:rsidR="00C3689D">
        <w:t>)</w:t>
      </w:r>
    </w:p>
    <w:p w:rsidR="002E470A" w:rsidRPr="00A27DD3" w:rsidRDefault="002E470A" w:rsidP="002E470A">
      <w:pPr>
        <w:pStyle w:val="Caption"/>
        <w:jc w:val="center"/>
        <w:rPr>
          <w:b w:val="0"/>
          <w:sz w:val="20"/>
        </w:rPr>
      </w:pPr>
      <w:bookmarkStart w:id="9" w:name="_Ref360032751"/>
      <w:r w:rsidRPr="00A27DD3">
        <w:rPr>
          <w:b w:val="0"/>
          <w:sz w:val="20"/>
        </w:rPr>
        <w:t xml:space="preserve">Table </w:t>
      </w:r>
      <w:r w:rsidR="001B586C" w:rsidRPr="00A27DD3">
        <w:rPr>
          <w:b w:val="0"/>
          <w:sz w:val="20"/>
        </w:rPr>
        <w:fldChar w:fldCharType="begin"/>
      </w:r>
      <w:r w:rsidRPr="00A27DD3">
        <w:rPr>
          <w:b w:val="0"/>
          <w:sz w:val="20"/>
        </w:rPr>
        <w:instrText xml:space="preserve"> SEQ Table \* ARABIC </w:instrText>
      </w:r>
      <w:r w:rsidR="001B586C" w:rsidRPr="00A27DD3">
        <w:rPr>
          <w:b w:val="0"/>
          <w:sz w:val="20"/>
        </w:rPr>
        <w:fldChar w:fldCharType="separate"/>
      </w:r>
      <w:r w:rsidR="0020538A">
        <w:rPr>
          <w:b w:val="0"/>
          <w:noProof/>
          <w:sz w:val="20"/>
        </w:rPr>
        <w:t>3</w:t>
      </w:r>
      <w:r w:rsidR="001B586C" w:rsidRPr="00A27DD3">
        <w:rPr>
          <w:b w:val="0"/>
          <w:sz w:val="20"/>
        </w:rPr>
        <w:fldChar w:fldCharType="end"/>
      </w:r>
      <w:bookmarkEnd w:id="9"/>
      <w:r w:rsidRPr="00A27DD3">
        <w:rPr>
          <w:b w:val="0"/>
          <w:sz w:val="20"/>
        </w:rPr>
        <w:t>- Glucagon concent</w:t>
      </w:r>
      <w:r>
        <w:rPr>
          <w:b w:val="0"/>
          <w:sz w:val="20"/>
        </w:rPr>
        <w:t xml:space="preserve">rations from healthy volunteers. </w:t>
      </w:r>
    </w:p>
    <w:tbl>
      <w:tblPr>
        <w:tblStyle w:val="TableGrid"/>
        <w:tblW w:w="0" w:type="auto"/>
        <w:jc w:val="center"/>
        <w:tblLook w:val="04A0" w:firstRow="1" w:lastRow="0" w:firstColumn="1" w:lastColumn="0" w:noHBand="0" w:noVBand="1"/>
      </w:tblPr>
      <w:tblGrid>
        <w:gridCol w:w="1139"/>
        <w:gridCol w:w="1539"/>
        <w:gridCol w:w="1139"/>
        <w:gridCol w:w="1539"/>
      </w:tblGrid>
      <w:tr w:rsidR="00DA433F" w:rsidTr="00204B14">
        <w:trPr>
          <w:jc w:val="center"/>
        </w:trPr>
        <w:tc>
          <w:tcPr>
            <w:tcW w:w="0" w:type="auto"/>
          </w:tcPr>
          <w:p w:rsidR="00204B14" w:rsidRPr="00204B14" w:rsidRDefault="00DA433F" w:rsidP="00204B14">
            <w:pPr>
              <w:jc w:val="center"/>
              <w:rPr>
                <w:rFonts w:ascii="Arial" w:hAnsi="Arial" w:cs="Arial"/>
                <w:b/>
                <w:sz w:val="20"/>
                <w:szCs w:val="20"/>
              </w:rPr>
            </w:pPr>
            <w:r w:rsidRPr="00204B14">
              <w:rPr>
                <w:rFonts w:ascii="Arial" w:hAnsi="Arial" w:cs="Arial"/>
                <w:b/>
                <w:sz w:val="20"/>
                <w:szCs w:val="20"/>
              </w:rPr>
              <w:t>Male</w:t>
            </w:r>
          </w:p>
          <w:p w:rsidR="00204B14" w:rsidRPr="00204B14" w:rsidRDefault="00DA433F" w:rsidP="00204B14">
            <w:pPr>
              <w:jc w:val="center"/>
              <w:rPr>
                <w:rFonts w:ascii="Arial" w:hAnsi="Arial" w:cs="Arial"/>
                <w:b/>
                <w:sz w:val="20"/>
                <w:szCs w:val="20"/>
              </w:rPr>
            </w:pPr>
            <w:r w:rsidRPr="00204B14">
              <w:rPr>
                <w:rFonts w:ascii="Arial" w:hAnsi="Arial" w:cs="Arial"/>
                <w:b/>
                <w:sz w:val="20"/>
                <w:szCs w:val="20"/>
              </w:rPr>
              <w:t>Volunteer</w:t>
            </w:r>
          </w:p>
          <w:p w:rsidR="00DA433F" w:rsidRPr="00204B14" w:rsidRDefault="00DA433F" w:rsidP="00204B14">
            <w:pPr>
              <w:jc w:val="center"/>
              <w:rPr>
                <w:rFonts w:ascii="Arial" w:hAnsi="Arial" w:cs="Arial"/>
                <w:b/>
                <w:sz w:val="20"/>
                <w:szCs w:val="20"/>
              </w:rPr>
            </w:pPr>
            <w:r w:rsidRPr="00204B14">
              <w:rPr>
                <w:rFonts w:ascii="Arial" w:hAnsi="Arial" w:cs="Arial"/>
                <w:b/>
                <w:sz w:val="20"/>
                <w:szCs w:val="20"/>
              </w:rPr>
              <w:t>ID</w:t>
            </w:r>
          </w:p>
        </w:tc>
        <w:tc>
          <w:tcPr>
            <w:tcW w:w="0" w:type="auto"/>
          </w:tcPr>
          <w:p w:rsidR="00204B14" w:rsidRPr="00204B14" w:rsidRDefault="00DA433F" w:rsidP="00204B14">
            <w:pPr>
              <w:jc w:val="center"/>
              <w:rPr>
                <w:rFonts w:ascii="Arial" w:hAnsi="Arial" w:cs="Arial"/>
                <w:b/>
                <w:sz w:val="20"/>
                <w:szCs w:val="20"/>
              </w:rPr>
            </w:pPr>
            <w:r w:rsidRPr="00204B14">
              <w:rPr>
                <w:rFonts w:ascii="Arial" w:hAnsi="Arial" w:cs="Arial"/>
                <w:b/>
                <w:sz w:val="20"/>
                <w:szCs w:val="20"/>
              </w:rPr>
              <w:t>Measured</w:t>
            </w:r>
          </w:p>
          <w:p w:rsidR="00DA433F" w:rsidRPr="00204B14" w:rsidRDefault="00DA433F" w:rsidP="00204B14">
            <w:pPr>
              <w:jc w:val="center"/>
              <w:rPr>
                <w:rFonts w:ascii="Arial" w:hAnsi="Arial" w:cs="Arial"/>
                <w:b/>
                <w:sz w:val="20"/>
                <w:szCs w:val="20"/>
              </w:rPr>
            </w:pPr>
            <w:r w:rsidRPr="00204B14">
              <w:rPr>
                <w:rFonts w:ascii="Arial" w:hAnsi="Arial" w:cs="Arial"/>
                <w:b/>
                <w:sz w:val="20"/>
                <w:szCs w:val="20"/>
              </w:rPr>
              <w:t>glucagon</w:t>
            </w:r>
          </w:p>
          <w:p w:rsidR="00204B14" w:rsidRPr="00204B14" w:rsidRDefault="00DA433F" w:rsidP="00204B14">
            <w:pPr>
              <w:jc w:val="center"/>
              <w:rPr>
                <w:rFonts w:ascii="Arial" w:hAnsi="Arial" w:cs="Arial"/>
                <w:b/>
                <w:sz w:val="20"/>
                <w:szCs w:val="20"/>
              </w:rPr>
            </w:pPr>
            <w:r w:rsidRPr="00204B14">
              <w:rPr>
                <w:rFonts w:ascii="Arial" w:hAnsi="Arial" w:cs="Arial"/>
                <w:b/>
                <w:sz w:val="20"/>
                <w:szCs w:val="20"/>
              </w:rPr>
              <w:t>concentration</w:t>
            </w:r>
          </w:p>
          <w:p w:rsidR="00DA433F" w:rsidRPr="00204B14" w:rsidRDefault="00DA433F" w:rsidP="00204B14">
            <w:pPr>
              <w:jc w:val="center"/>
              <w:rPr>
                <w:rFonts w:ascii="Arial" w:hAnsi="Arial" w:cs="Arial"/>
                <w:b/>
                <w:sz w:val="20"/>
                <w:szCs w:val="20"/>
              </w:rPr>
            </w:pPr>
            <w:r w:rsidRPr="00204B14">
              <w:rPr>
                <w:rFonts w:ascii="Arial" w:hAnsi="Arial" w:cs="Arial"/>
                <w:b/>
                <w:sz w:val="20"/>
                <w:szCs w:val="20"/>
              </w:rPr>
              <w:t>(pg/mL)</w:t>
            </w:r>
          </w:p>
        </w:tc>
        <w:tc>
          <w:tcPr>
            <w:tcW w:w="0" w:type="auto"/>
          </w:tcPr>
          <w:p w:rsidR="00204B14" w:rsidRPr="00204B14" w:rsidRDefault="00DA433F" w:rsidP="00204B14">
            <w:pPr>
              <w:jc w:val="center"/>
              <w:rPr>
                <w:rFonts w:ascii="Arial" w:hAnsi="Arial" w:cs="Arial"/>
                <w:b/>
                <w:sz w:val="20"/>
                <w:szCs w:val="20"/>
              </w:rPr>
            </w:pPr>
            <w:r w:rsidRPr="00204B14">
              <w:rPr>
                <w:rFonts w:ascii="Arial" w:hAnsi="Arial" w:cs="Arial"/>
                <w:b/>
                <w:sz w:val="20"/>
                <w:szCs w:val="20"/>
              </w:rPr>
              <w:t>Female</w:t>
            </w:r>
          </w:p>
          <w:p w:rsidR="00204B14" w:rsidRPr="00204B14" w:rsidRDefault="00DA433F" w:rsidP="00204B14">
            <w:pPr>
              <w:jc w:val="center"/>
              <w:rPr>
                <w:rFonts w:ascii="Arial" w:hAnsi="Arial" w:cs="Arial"/>
                <w:b/>
                <w:sz w:val="20"/>
                <w:szCs w:val="20"/>
              </w:rPr>
            </w:pPr>
            <w:r w:rsidRPr="00204B14">
              <w:rPr>
                <w:rFonts w:ascii="Arial" w:hAnsi="Arial" w:cs="Arial"/>
                <w:b/>
                <w:sz w:val="20"/>
                <w:szCs w:val="20"/>
              </w:rPr>
              <w:t>Volunteer</w:t>
            </w:r>
          </w:p>
          <w:p w:rsidR="00DA433F" w:rsidRPr="00204B14" w:rsidRDefault="00DA433F" w:rsidP="00204B14">
            <w:pPr>
              <w:jc w:val="center"/>
              <w:rPr>
                <w:rFonts w:ascii="Arial" w:hAnsi="Arial" w:cs="Arial"/>
                <w:b/>
                <w:sz w:val="20"/>
                <w:szCs w:val="20"/>
              </w:rPr>
            </w:pPr>
            <w:r w:rsidRPr="00204B14">
              <w:rPr>
                <w:rFonts w:ascii="Arial" w:hAnsi="Arial" w:cs="Arial"/>
                <w:b/>
                <w:sz w:val="20"/>
                <w:szCs w:val="20"/>
              </w:rPr>
              <w:t>ID</w:t>
            </w:r>
          </w:p>
        </w:tc>
        <w:tc>
          <w:tcPr>
            <w:tcW w:w="0" w:type="auto"/>
          </w:tcPr>
          <w:p w:rsidR="00204B14" w:rsidRPr="00204B14" w:rsidRDefault="00DA433F" w:rsidP="00204B14">
            <w:pPr>
              <w:jc w:val="center"/>
              <w:rPr>
                <w:rFonts w:ascii="Arial" w:hAnsi="Arial" w:cs="Arial"/>
                <w:b/>
                <w:sz w:val="20"/>
                <w:szCs w:val="20"/>
              </w:rPr>
            </w:pPr>
            <w:r w:rsidRPr="00204B14">
              <w:rPr>
                <w:rFonts w:ascii="Arial" w:hAnsi="Arial" w:cs="Arial"/>
                <w:b/>
                <w:sz w:val="20"/>
                <w:szCs w:val="20"/>
              </w:rPr>
              <w:t>Measured</w:t>
            </w:r>
          </w:p>
          <w:p w:rsidR="00DA433F" w:rsidRPr="00204B14" w:rsidRDefault="00DA433F" w:rsidP="00204B14">
            <w:pPr>
              <w:jc w:val="center"/>
              <w:rPr>
                <w:rFonts w:ascii="Arial" w:hAnsi="Arial" w:cs="Arial"/>
                <w:b/>
                <w:sz w:val="20"/>
                <w:szCs w:val="20"/>
              </w:rPr>
            </w:pPr>
            <w:r w:rsidRPr="00204B14">
              <w:rPr>
                <w:rFonts w:ascii="Arial" w:hAnsi="Arial" w:cs="Arial"/>
                <w:b/>
                <w:sz w:val="20"/>
                <w:szCs w:val="20"/>
              </w:rPr>
              <w:t>glucagon</w:t>
            </w:r>
          </w:p>
          <w:p w:rsidR="00204B14" w:rsidRPr="00204B14" w:rsidRDefault="00DA433F" w:rsidP="00204B14">
            <w:pPr>
              <w:jc w:val="center"/>
              <w:rPr>
                <w:rFonts w:ascii="Arial" w:hAnsi="Arial" w:cs="Arial"/>
                <w:b/>
                <w:sz w:val="20"/>
                <w:szCs w:val="20"/>
              </w:rPr>
            </w:pPr>
            <w:r w:rsidRPr="00204B14">
              <w:rPr>
                <w:rFonts w:ascii="Arial" w:hAnsi="Arial" w:cs="Arial"/>
                <w:b/>
                <w:sz w:val="20"/>
                <w:szCs w:val="20"/>
              </w:rPr>
              <w:t>concentration</w:t>
            </w:r>
          </w:p>
          <w:p w:rsidR="00DA433F" w:rsidRPr="00204B14" w:rsidRDefault="00DA433F" w:rsidP="00204B14">
            <w:pPr>
              <w:jc w:val="center"/>
              <w:rPr>
                <w:rFonts w:ascii="Arial" w:hAnsi="Arial" w:cs="Arial"/>
                <w:b/>
                <w:sz w:val="20"/>
                <w:szCs w:val="20"/>
              </w:rPr>
            </w:pPr>
            <w:r w:rsidRPr="00204B14">
              <w:rPr>
                <w:rFonts w:ascii="Arial" w:hAnsi="Arial" w:cs="Arial"/>
                <w:b/>
                <w:sz w:val="20"/>
                <w:szCs w:val="20"/>
              </w:rPr>
              <w:t>(pg/mL)</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M1</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34.2</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F1</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BLQ</w:t>
            </w:r>
            <w:r w:rsidR="00AB6528">
              <w:rPr>
                <w:rFonts w:ascii="Arial" w:hAnsi="Arial" w:cs="Arial"/>
                <w:sz w:val="20"/>
                <w:szCs w:val="20"/>
              </w:rPr>
              <w:t xml:space="preserve"> (10.4)</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M2</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27.4</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F2</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BLQ</w:t>
            </w:r>
            <w:r w:rsidR="00AB6528">
              <w:rPr>
                <w:rFonts w:ascii="Arial" w:hAnsi="Arial" w:cs="Arial"/>
                <w:sz w:val="20"/>
                <w:szCs w:val="20"/>
              </w:rPr>
              <w:t xml:space="preserve"> (16.5)</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M3</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BLQ</w:t>
            </w:r>
            <w:r w:rsidR="00AB6528">
              <w:rPr>
                <w:rFonts w:ascii="Arial" w:hAnsi="Arial" w:cs="Arial"/>
                <w:sz w:val="20"/>
                <w:szCs w:val="20"/>
              </w:rPr>
              <w:t xml:space="preserve"> (16.0)</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F3</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BLQ</w:t>
            </w:r>
            <w:r w:rsidR="00AB6528">
              <w:rPr>
                <w:rFonts w:ascii="Arial" w:hAnsi="Arial" w:cs="Arial"/>
                <w:sz w:val="20"/>
                <w:szCs w:val="20"/>
              </w:rPr>
              <w:t xml:space="preserve"> (12.1)</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M4</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31.2</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F4</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41.6</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M5</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50.2</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F5</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BLQ</w:t>
            </w:r>
            <w:r w:rsidR="00AB6528">
              <w:rPr>
                <w:rFonts w:ascii="Arial" w:hAnsi="Arial" w:cs="Arial"/>
                <w:sz w:val="20"/>
                <w:szCs w:val="20"/>
              </w:rPr>
              <w:t xml:space="preserve"> (17.7)</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M6</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63.0</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F6</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44.4</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M7</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BLQ</w:t>
            </w:r>
            <w:r w:rsidR="00AB6528">
              <w:rPr>
                <w:rFonts w:ascii="Arial" w:hAnsi="Arial" w:cs="Arial"/>
                <w:sz w:val="20"/>
                <w:szCs w:val="20"/>
              </w:rPr>
              <w:t xml:space="preserve"> (21.3)</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F7</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29.6</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M8</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53.7</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F8</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59.5</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M9</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40.4</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F9</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31.7</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M10</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39.4</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F10</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BLQ</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M11</w:t>
            </w:r>
          </w:p>
        </w:tc>
        <w:tc>
          <w:tcPr>
            <w:tcW w:w="0" w:type="auto"/>
          </w:tcPr>
          <w:p w:rsidR="00DA433F" w:rsidRPr="00204B14" w:rsidRDefault="00204B14" w:rsidP="00204B14">
            <w:pPr>
              <w:jc w:val="center"/>
              <w:rPr>
                <w:rFonts w:ascii="Arial" w:hAnsi="Arial" w:cs="Arial"/>
                <w:sz w:val="20"/>
                <w:szCs w:val="20"/>
              </w:rPr>
            </w:pPr>
            <w:r w:rsidRPr="00204B14">
              <w:rPr>
                <w:rFonts w:ascii="Arial" w:hAnsi="Arial" w:cs="Arial"/>
                <w:sz w:val="20"/>
                <w:szCs w:val="20"/>
              </w:rPr>
              <w:t>BLQ</w:t>
            </w:r>
            <w:r w:rsidR="00AB6528">
              <w:rPr>
                <w:rFonts w:ascii="Arial" w:hAnsi="Arial" w:cs="Arial"/>
                <w:sz w:val="20"/>
                <w:szCs w:val="20"/>
              </w:rPr>
              <w:t xml:space="preserve"> (20.0)</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F11</w:t>
            </w:r>
          </w:p>
        </w:tc>
        <w:tc>
          <w:tcPr>
            <w:tcW w:w="0" w:type="auto"/>
          </w:tcPr>
          <w:p w:rsidR="00DA433F" w:rsidRPr="00F5092F" w:rsidRDefault="00DA433F" w:rsidP="00204B14">
            <w:pPr>
              <w:jc w:val="center"/>
              <w:rPr>
                <w:rFonts w:ascii="Arial" w:hAnsi="Arial" w:cs="Arial"/>
                <w:sz w:val="20"/>
                <w:szCs w:val="20"/>
              </w:rPr>
            </w:pPr>
            <w:r w:rsidRPr="00F5092F">
              <w:rPr>
                <w:rFonts w:ascii="Arial" w:hAnsi="Arial" w:cs="Arial"/>
                <w:sz w:val="20"/>
                <w:szCs w:val="20"/>
              </w:rPr>
              <w:t>BLQ</w:t>
            </w:r>
          </w:p>
        </w:tc>
      </w:tr>
      <w:tr w:rsidR="00DA433F" w:rsidTr="00204B14">
        <w:trPr>
          <w:jc w:val="center"/>
        </w:trPr>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M12</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153</w:t>
            </w:r>
          </w:p>
        </w:tc>
        <w:tc>
          <w:tcPr>
            <w:tcW w:w="0" w:type="auto"/>
          </w:tcPr>
          <w:p w:rsidR="00DA433F" w:rsidRPr="00204B14" w:rsidRDefault="00DA433F" w:rsidP="00204B14">
            <w:pPr>
              <w:jc w:val="center"/>
              <w:rPr>
                <w:rFonts w:ascii="Arial" w:hAnsi="Arial" w:cs="Arial"/>
                <w:b/>
                <w:sz w:val="20"/>
                <w:szCs w:val="20"/>
              </w:rPr>
            </w:pPr>
            <w:r w:rsidRPr="00204B14">
              <w:rPr>
                <w:rFonts w:ascii="Arial" w:hAnsi="Arial" w:cs="Arial"/>
                <w:b/>
                <w:sz w:val="20"/>
                <w:szCs w:val="20"/>
              </w:rPr>
              <w:t>F12</w:t>
            </w:r>
          </w:p>
        </w:tc>
        <w:tc>
          <w:tcPr>
            <w:tcW w:w="0" w:type="auto"/>
          </w:tcPr>
          <w:p w:rsidR="00DA433F" w:rsidRPr="00204B14" w:rsidRDefault="00DA433F" w:rsidP="00204B14">
            <w:pPr>
              <w:jc w:val="center"/>
              <w:rPr>
                <w:rFonts w:ascii="Arial" w:hAnsi="Arial" w:cs="Arial"/>
                <w:sz w:val="20"/>
                <w:szCs w:val="20"/>
              </w:rPr>
            </w:pPr>
            <w:r w:rsidRPr="00204B14">
              <w:rPr>
                <w:rFonts w:ascii="Arial" w:hAnsi="Arial" w:cs="Arial"/>
                <w:sz w:val="20"/>
                <w:szCs w:val="20"/>
              </w:rPr>
              <w:t>BLQ</w:t>
            </w:r>
          </w:p>
        </w:tc>
      </w:tr>
    </w:tbl>
    <w:p w:rsidR="00951E77" w:rsidRPr="00A27DD3" w:rsidRDefault="00951E77" w:rsidP="00D72173">
      <w:pPr>
        <w:spacing w:line="360" w:lineRule="auto"/>
        <w:jc w:val="center"/>
        <w:rPr>
          <w:rFonts w:ascii="Arial" w:eastAsia="Times New Roman" w:hAnsi="Arial" w:cs="Times New Roman"/>
          <w:sz w:val="16"/>
          <w:szCs w:val="16"/>
        </w:rPr>
      </w:pPr>
      <w:r w:rsidRPr="00A27DD3">
        <w:rPr>
          <w:rFonts w:ascii="Arial" w:eastAsia="Times New Roman" w:hAnsi="Arial" w:cs="Times New Roman"/>
          <w:sz w:val="16"/>
          <w:szCs w:val="16"/>
        </w:rPr>
        <w:t xml:space="preserve">BLQ – Below limit of quantitation (25 pg/mL). </w:t>
      </w:r>
      <w:r w:rsidRPr="009108D6">
        <w:rPr>
          <w:rFonts w:ascii="Arial" w:eastAsia="Times New Roman" w:hAnsi="Arial" w:cs="Times New Roman"/>
          <w:sz w:val="16"/>
          <w:szCs w:val="16"/>
        </w:rPr>
        <w:t>Extrapolated values</w:t>
      </w:r>
      <w:r w:rsidR="00AB6528">
        <w:rPr>
          <w:rFonts w:ascii="Arial" w:eastAsia="Times New Roman" w:hAnsi="Arial" w:cs="Times New Roman"/>
          <w:sz w:val="16"/>
          <w:szCs w:val="16"/>
        </w:rPr>
        <w:t xml:space="preserve"> are in </w:t>
      </w:r>
      <w:r w:rsidR="00AB6528" w:rsidRPr="00AB6528">
        <w:rPr>
          <w:rFonts w:ascii="Arial" w:eastAsia="Times New Roman" w:hAnsi="Arial" w:cs="Times New Roman"/>
          <w:sz w:val="16"/>
          <w:szCs w:val="16"/>
        </w:rPr>
        <w:t>parenthesis</w:t>
      </w:r>
      <w:r w:rsidR="00AB6528">
        <w:rPr>
          <w:rFonts w:ascii="Arial" w:eastAsia="Times New Roman" w:hAnsi="Arial" w:cs="Times New Roman"/>
          <w:sz w:val="16"/>
          <w:szCs w:val="16"/>
        </w:rPr>
        <w:t>.</w:t>
      </w:r>
      <w:r w:rsidR="00591934">
        <w:rPr>
          <w:rFonts w:ascii="Arial" w:eastAsia="Times New Roman" w:hAnsi="Arial" w:cs="Times New Roman"/>
          <w:sz w:val="16"/>
          <w:szCs w:val="16"/>
        </w:rPr>
        <w:t xml:space="preserve"> </w:t>
      </w:r>
      <w:r w:rsidR="00D72173">
        <w:rPr>
          <w:rFonts w:ascii="Arial" w:eastAsia="Times New Roman" w:hAnsi="Arial" w:cs="Times New Roman"/>
          <w:sz w:val="16"/>
          <w:szCs w:val="16"/>
        </w:rPr>
        <w:t>No integratable peaks were observed for F10, F11, F12</w:t>
      </w:r>
      <w:r w:rsidR="00AB6528">
        <w:rPr>
          <w:rFonts w:ascii="Arial" w:eastAsia="Times New Roman" w:hAnsi="Arial" w:cs="Times New Roman"/>
          <w:sz w:val="16"/>
          <w:szCs w:val="16"/>
        </w:rPr>
        <w:t>.</w:t>
      </w:r>
      <w:r w:rsidR="00591934">
        <w:rPr>
          <w:rFonts w:ascii="Arial" w:eastAsia="Times New Roman" w:hAnsi="Arial" w:cs="Times New Roman"/>
          <w:sz w:val="16"/>
          <w:szCs w:val="16"/>
        </w:rPr>
        <w:t xml:space="preserve"> </w:t>
      </w:r>
      <w:r w:rsidR="00F05639" w:rsidRPr="009108D6">
        <w:rPr>
          <w:rFonts w:ascii="Arial" w:eastAsia="Times New Roman" w:hAnsi="Arial" w:cs="Times New Roman"/>
          <w:sz w:val="16"/>
          <w:szCs w:val="16"/>
        </w:rPr>
        <w:t>No haemolysis was observed in the samples.</w:t>
      </w:r>
      <w:r w:rsidR="00F05639" w:rsidRPr="00A27DD3">
        <w:rPr>
          <w:rFonts w:ascii="Arial" w:eastAsia="Times New Roman" w:hAnsi="Arial" w:cs="Times New Roman"/>
          <w:sz w:val="16"/>
          <w:szCs w:val="16"/>
        </w:rPr>
        <w:t xml:space="preserve"> </w:t>
      </w:r>
    </w:p>
    <w:p w:rsidR="00D927F0" w:rsidRDefault="00342B10" w:rsidP="00AB6528">
      <w:pPr>
        <w:spacing w:line="360" w:lineRule="auto"/>
        <w:rPr>
          <w:noProof/>
        </w:rPr>
      </w:pPr>
      <w:r>
        <w:rPr>
          <w:noProof/>
        </w:rPr>
        <mc:AlternateContent>
          <mc:Choice Requires="wps">
            <w:drawing>
              <wp:anchor distT="0" distB="0" distL="114300" distR="114300" simplePos="0" relativeHeight="251662848" behindDoc="0" locked="0" layoutInCell="1" allowOverlap="1">
                <wp:simplePos x="0" y="0"/>
                <wp:positionH relativeFrom="column">
                  <wp:posOffset>189865</wp:posOffset>
                </wp:positionH>
                <wp:positionV relativeFrom="paragraph">
                  <wp:posOffset>1778635</wp:posOffset>
                </wp:positionV>
                <wp:extent cx="1104265" cy="563245"/>
                <wp:effectExtent l="8890" t="6985" r="1270" b="12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563245"/>
                        </a:xfrm>
                        <a:prstGeom prst="rect">
                          <a:avLst/>
                        </a:prstGeom>
                        <a:solidFill>
                          <a:srgbClr val="FFFFFF">
                            <a:alpha val="0"/>
                          </a:srgbClr>
                        </a:solidFill>
                        <a:ln>
                          <a:noFill/>
                        </a:ln>
                        <a:extLs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FB0E4A" w:rsidRPr="00C3689D" w:rsidRDefault="00FB0E4A" w:rsidP="00C3689D">
                            <w:pPr>
                              <w:pStyle w:val="ListParagraph"/>
                              <w:numPr>
                                <w:ilvl w:val="0"/>
                                <w:numId w:val="26"/>
                              </w:numPr>
                              <w:spacing w:line="360" w:lineRule="auto"/>
                              <w:jc w:val="center"/>
                              <w:rPr>
                                <w:rFonts w:ascii="Arial" w:eastAsia="Times New Roman" w:hAnsi="Arial" w:cs="Times New Roman"/>
                                <w:sz w:val="20"/>
                                <w:szCs w:val="20"/>
                              </w:rPr>
                            </w:pPr>
                            <w:r w:rsidRPr="004B3D54">
                              <w:rPr>
                                <w:rFonts w:ascii="Arial" w:eastAsia="Times New Roman" w:hAnsi="Arial" w:cs="Times New Roman"/>
                                <w:sz w:val="20"/>
                                <w:szCs w:val="20"/>
                              </w:rPr>
                              <w:t>M3 (BLQ)</w:t>
                            </w:r>
                          </w:p>
                          <w:p w:rsidR="00FB0E4A" w:rsidRDefault="00FB0E4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4.95pt;margin-top:140.05pt;width:86.95pt;height:44.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" stroked="f" strokecolor="white [3212]">
                <v:fill opacity="0"/>
                <v:textbox>
                  <w:txbxContent>
                    <w:p w:rsidR="00FB0E4A" w:rsidRPr="00C3689D" w:rsidRDefault="00FB0E4A" w:rsidP="00C3689D">
                      <w:pPr>
                        <w:pStyle w:val="ListParagraph"/>
                        <w:numPr>
                          <w:ilvl w:val="0"/>
                          <w:numId w:val="26"/>
                        </w:numPr>
                        <w:spacing w:line="360" w:lineRule="auto"/>
                        <w:jc w:val="center"/>
                        <w:rPr>
                          <w:rFonts w:ascii="Arial" w:eastAsia="Times New Roman" w:hAnsi="Arial" w:cs="Times New Roman"/>
                          <w:sz w:val="20"/>
                          <w:szCs w:val="20"/>
                        </w:rPr>
                      </w:pPr>
                      <w:r w:rsidRPr="004B3D54">
                        <w:rPr>
                          <w:rFonts w:ascii="Arial" w:eastAsia="Times New Roman" w:hAnsi="Arial" w:cs="Times New Roman"/>
                          <w:sz w:val="20"/>
                          <w:szCs w:val="20"/>
                        </w:rPr>
                        <w:t>M3 (BLQ)</w:t>
                      </w:r>
                    </w:p>
                    <w:p w:rsidR="00FB0E4A" w:rsidRDefault="00FB0E4A"/>
                  </w:txbxContent>
                </v:textbox>
              </v:shap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4474210</wp:posOffset>
                </wp:positionH>
                <wp:positionV relativeFrom="paragraph">
                  <wp:posOffset>2011045</wp:posOffset>
                </wp:positionV>
                <wp:extent cx="946785" cy="669290"/>
                <wp:effectExtent l="0" t="0" r="24765" b="1651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785" cy="669290"/>
                        </a:xfrm>
                        <a:prstGeom prst="rect">
                          <a:avLst/>
                        </a:prstGeom>
                        <a:solidFill>
                          <a:srgbClr val="FFFFFF"/>
                        </a:solidFill>
                        <a:ln w="9525">
                          <a:solidFill>
                            <a:schemeClr val="bg1">
                              <a:lumMod val="100000"/>
                              <a:lumOff val="0"/>
                            </a:schemeClr>
                          </a:solidFill>
                          <a:miter lim="800000"/>
                          <a:headEnd/>
                          <a:tailEnd/>
                        </a:ln>
                      </wps:spPr>
                      <wps:txbx>
                        <w:txbxContent>
                          <w:p w:rsidR="00FB0E4A" w:rsidRDefault="00FB0E4A" w:rsidP="00451463">
                            <w:pPr>
                              <w:spacing w:line="360" w:lineRule="auto"/>
                              <w:jc w:val="center"/>
                              <w:rPr>
                                <w:rFonts w:ascii="Arial" w:eastAsia="Times New Roman" w:hAnsi="Arial" w:cs="Times New Roman"/>
                                <w:sz w:val="20"/>
                                <w:szCs w:val="20"/>
                              </w:rPr>
                            </w:pPr>
                            <w:r>
                              <w:rPr>
                                <w:rFonts w:ascii="Arial" w:eastAsia="Times New Roman" w:hAnsi="Arial" w:cs="Times New Roman"/>
                                <w:sz w:val="20"/>
                                <w:szCs w:val="20"/>
                              </w:rPr>
                              <w:t xml:space="preserve">b) M8 </w:t>
                            </w:r>
                            <w:r>
                              <w:rPr>
                                <w:rFonts w:ascii="Arial" w:eastAsia="Times New Roman" w:hAnsi="Arial" w:cs="Times New Roman"/>
                                <w:sz w:val="20"/>
                                <w:szCs w:val="20"/>
                              </w:rPr>
                              <w:br/>
                              <w:t>(53.7 pg/mL)</w:t>
                            </w:r>
                          </w:p>
                          <w:p w:rsidR="00FB0E4A" w:rsidRDefault="00FB0E4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52.3pt;margin-top:158.35pt;width:74.55pt;height:5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" strokecolor="white [3212]">
                <v:textbox>
                  <w:txbxContent>
                    <w:p w:rsidR="00FB0E4A" w:rsidRDefault="00FB0E4A" w:rsidP="00451463">
                      <w:pPr>
                        <w:spacing w:line="360" w:lineRule="auto"/>
                        <w:jc w:val="center"/>
                        <w:rPr>
                          <w:rFonts w:ascii="Arial" w:eastAsia="Times New Roman" w:hAnsi="Arial" w:cs="Times New Roman"/>
                          <w:sz w:val="20"/>
                          <w:szCs w:val="20"/>
                        </w:rPr>
                      </w:pPr>
                      <w:r>
                        <w:rPr>
                          <w:rFonts w:ascii="Arial" w:eastAsia="Times New Roman" w:hAnsi="Arial" w:cs="Times New Roman"/>
                          <w:sz w:val="20"/>
                          <w:szCs w:val="20"/>
                        </w:rPr>
                        <w:t xml:space="preserve">b) M8 </w:t>
                      </w:r>
                      <w:r>
                        <w:rPr>
                          <w:rFonts w:ascii="Arial" w:eastAsia="Times New Roman" w:hAnsi="Arial" w:cs="Times New Roman"/>
                          <w:sz w:val="20"/>
                          <w:szCs w:val="20"/>
                        </w:rPr>
                        <w:br/>
                        <w:t>(53.7 pg/mL)</w:t>
                      </w:r>
                    </w:p>
                    <w:p w:rsidR="00FB0E4A" w:rsidRDefault="00FB0E4A"/>
                  </w:txbxContent>
                </v:textbox>
              </v:shape>
            </w:pict>
          </mc:Fallback>
        </mc:AlternateContent>
      </w:r>
      <w:r w:rsidR="00834F57">
        <w:rPr>
          <w:noProof/>
        </w:rPr>
        <w:t xml:space="preserve">      </w:t>
      </w:r>
      <w:r w:rsidR="0013208F">
        <w:rPr>
          <w:noProof/>
        </w:rPr>
        <w:drawing>
          <wp:inline distT="0" distB="0" distL="0" distR="0" wp14:anchorId="27697443" wp14:editId="139DEF02">
            <wp:extent cx="2877138" cy="17337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877138" cy="1733797"/>
                    </a:xfrm>
                    <a:prstGeom prst="rect">
                      <a:avLst/>
                    </a:prstGeom>
                  </pic:spPr>
                </pic:pic>
              </a:graphicData>
            </a:graphic>
          </wp:inline>
        </w:drawing>
      </w:r>
      <w:r w:rsidR="00AB6528">
        <w:rPr>
          <w:noProof/>
        </w:rPr>
        <w:drawing>
          <wp:inline distT="0" distB="0" distL="0" distR="0" wp14:anchorId="2CE6C9D6" wp14:editId="2CD9F3BB">
            <wp:extent cx="2700000" cy="1605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2700000" cy="1605600"/>
                    </a:xfrm>
                    <a:prstGeom prst="rect">
                      <a:avLst/>
                    </a:prstGeom>
                  </pic:spPr>
                </pic:pic>
              </a:graphicData>
            </a:graphic>
          </wp:inline>
        </w:drawing>
      </w:r>
    </w:p>
    <w:p w:rsidR="00AB6528" w:rsidRDefault="00342B10" w:rsidP="00AB6528">
      <w:pPr>
        <w:spacing w:line="360" w:lineRule="auto"/>
        <w:jc w:val="center"/>
        <w:rPr>
          <w:rFonts w:ascii="Arial" w:eastAsia="Times New Roman" w:hAnsi="Arial" w:cs="Times New Roman"/>
          <w:sz w:val="20"/>
          <w:szCs w:val="20"/>
        </w:rPr>
      </w:pPr>
      <w:r>
        <w:rPr>
          <w:rFonts w:ascii="Arial" w:eastAsia="Times New Roman" w:hAnsi="Arial" w:cs="Times New Roman"/>
          <w:noProof/>
        </w:rPr>
        <mc:AlternateContent>
          <mc:Choice Requires="wps">
            <w:drawing>
              <wp:anchor distT="0" distB="0" distL="114300" distR="114300" simplePos="0" relativeHeight="251676160" behindDoc="0" locked="0" layoutInCell="1" allowOverlap="1">
                <wp:simplePos x="0" y="0"/>
                <wp:positionH relativeFrom="column">
                  <wp:posOffset>558165</wp:posOffset>
                </wp:positionH>
                <wp:positionV relativeFrom="paragraph">
                  <wp:posOffset>58420</wp:posOffset>
                </wp:positionV>
                <wp:extent cx="831215" cy="669290"/>
                <wp:effectExtent l="0" t="0" r="26035" b="1651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669290"/>
                        </a:xfrm>
                        <a:prstGeom prst="rect">
                          <a:avLst/>
                        </a:prstGeom>
                        <a:solidFill>
                          <a:srgbClr val="FFFFFF"/>
                        </a:solidFill>
                        <a:ln w="9525">
                          <a:solidFill>
                            <a:schemeClr val="bg1">
                              <a:lumMod val="100000"/>
                              <a:lumOff val="0"/>
                            </a:schemeClr>
                          </a:solidFill>
                          <a:miter lim="800000"/>
                          <a:headEnd/>
                          <a:tailEnd/>
                        </a:ln>
                      </wps:spPr>
                      <wps:txbx>
                        <w:txbxContent>
                          <w:p w:rsidR="00FB0E4A" w:rsidRDefault="00FB0E4A" w:rsidP="001178A4">
                            <w:pPr>
                              <w:spacing w:line="360" w:lineRule="auto"/>
                              <w:jc w:val="center"/>
                              <w:rPr>
                                <w:rFonts w:ascii="Arial" w:eastAsia="Times New Roman" w:hAnsi="Arial" w:cs="Times New Roman"/>
                                <w:sz w:val="20"/>
                                <w:szCs w:val="20"/>
                              </w:rPr>
                            </w:pPr>
                            <w:r>
                              <w:rPr>
                                <w:rFonts w:ascii="Arial" w:eastAsia="Times New Roman" w:hAnsi="Arial" w:cs="Times New Roman"/>
                                <w:sz w:val="20"/>
                                <w:szCs w:val="20"/>
                              </w:rPr>
                              <w:t xml:space="preserve">c) F8 </w:t>
                            </w:r>
                            <w:r>
                              <w:rPr>
                                <w:rFonts w:ascii="Arial" w:eastAsia="Times New Roman" w:hAnsi="Arial" w:cs="Times New Roman"/>
                                <w:sz w:val="20"/>
                                <w:szCs w:val="20"/>
                              </w:rPr>
                              <w:br/>
                            </w:r>
                            <w:r w:rsidRPr="00160A1B">
                              <w:rPr>
                                <w:rFonts w:ascii="Arial" w:eastAsia="Times New Roman" w:hAnsi="Arial" w:cs="Times New Roman"/>
                                <w:sz w:val="20"/>
                                <w:szCs w:val="20"/>
                              </w:rPr>
                              <w:t>(</w:t>
                            </w:r>
                            <w:r>
                              <w:rPr>
                                <w:rFonts w:ascii="Arial" w:eastAsia="Times New Roman" w:hAnsi="Arial" w:cs="Times New Roman"/>
                                <w:sz w:val="20"/>
                                <w:szCs w:val="20"/>
                              </w:rPr>
                              <w:t>59.5</w:t>
                            </w:r>
                            <w:r w:rsidRPr="00160A1B">
                              <w:rPr>
                                <w:rFonts w:ascii="Arial" w:eastAsia="Times New Roman" w:hAnsi="Arial" w:cs="Times New Roman"/>
                                <w:sz w:val="20"/>
                                <w:szCs w:val="20"/>
                              </w:rPr>
                              <w:t xml:space="preserve"> pg/mL)</w:t>
                            </w:r>
                          </w:p>
                          <w:p w:rsidR="00FB0E4A" w:rsidRDefault="00FB0E4A" w:rsidP="001178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0" o:spid="_x0000_s1034" type="#_x0000_t202" style="position:absolute;left:0;text-align:left;margin-left:43.95pt;margin-top:4.6pt;width:65.45pt;height:52.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" strokecolor="white [3212]">
                <v:textbox>
                  <w:txbxContent>
                    <w:p w:rsidR="00FB0E4A" w:rsidRDefault="00FB0E4A" w:rsidP="001178A4">
                      <w:pPr>
                        <w:spacing w:line="360" w:lineRule="auto"/>
                        <w:jc w:val="center"/>
                        <w:rPr>
                          <w:rFonts w:ascii="Arial" w:eastAsia="Times New Roman" w:hAnsi="Arial" w:cs="Times New Roman"/>
                          <w:sz w:val="20"/>
                          <w:szCs w:val="20"/>
                        </w:rPr>
                      </w:pPr>
                      <w:r>
                        <w:rPr>
                          <w:rFonts w:ascii="Arial" w:eastAsia="Times New Roman" w:hAnsi="Arial" w:cs="Times New Roman"/>
                          <w:sz w:val="20"/>
                          <w:szCs w:val="20"/>
                        </w:rPr>
                        <w:t xml:space="preserve">c) F8 </w:t>
                      </w:r>
                      <w:r>
                        <w:rPr>
                          <w:rFonts w:ascii="Arial" w:eastAsia="Times New Roman" w:hAnsi="Arial" w:cs="Times New Roman"/>
                          <w:sz w:val="20"/>
                          <w:szCs w:val="20"/>
                        </w:rPr>
                        <w:br/>
                      </w:r>
                      <w:r w:rsidRPr="00160A1B">
                        <w:rPr>
                          <w:rFonts w:ascii="Arial" w:eastAsia="Times New Roman" w:hAnsi="Arial" w:cs="Times New Roman"/>
                          <w:sz w:val="20"/>
                          <w:szCs w:val="20"/>
                        </w:rPr>
                        <w:t>(</w:t>
                      </w:r>
                      <w:r>
                        <w:rPr>
                          <w:rFonts w:ascii="Arial" w:eastAsia="Times New Roman" w:hAnsi="Arial" w:cs="Times New Roman"/>
                          <w:sz w:val="20"/>
                          <w:szCs w:val="20"/>
                        </w:rPr>
                        <w:t>59.5</w:t>
                      </w:r>
                      <w:r w:rsidRPr="00160A1B">
                        <w:rPr>
                          <w:rFonts w:ascii="Arial" w:eastAsia="Times New Roman" w:hAnsi="Arial" w:cs="Times New Roman"/>
                          <w:sz w:val="20"/>
                          <w:szCs w:val="20"/>
                        </w:rPr>
                        <w:t xml:space="preserve"> pg/mL)</w:t>
                      </w:r>
                    </w:p>
                    <w:p w:rsidR="00FB0E4A" w:rsidRDefault="00FB0E4A" w:rsidP="001178A4"/>
                  </w:txbxContent>
                </v:textbox>
              </v:shape>
            </w:pict>
          </mc:Fallback>
        </mc:AlternateContent>
      </w:r>
      <w:r>
        <w:rPr>
          <w:rFonts w:ascii="Arial" w:eastAsia="Times New Roman" w:hAnsi="Arial" w:cs="Times New Roman"/>
          <w:noProof/>
          <w:sz w:val="20"/>
          <w:szCs w:val="20"/>
        </w:rPr>
        <mc:AlternateContent>
          <mc:Choice Requires="wps">
            <w:drawing>
              <wp:anchor distT="0" distB="0" distL="114300" distR="114300" simplePos="0" relativeHeight="251665920" behindDoc="0" locked="0" layoutInCell="1" allowOverlap="1">
                <wp:simplePos x="0" y="0"/>
                <wp:positionH relativeFrom="column">
                  <wp:posOffset>4301490</wp:posOffset>
                </wp:positionH>
                <wp:positionV relativeFrom="paragraph">
                  <wp:posOffset>130175</wp:posOffset>
                </wp:positionV>
                <wp:extent cx="932180" cy="669290"/>
                <wp:effectExtent l="0" t="0" r="20320" b="1651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669290"/>
                        </a:xfrm>
                        <a:prstGeom prst="rect">
                          <a:avLst/>
                        </a:prstGeom>
                        <a:solidFill>
                          <a:srgbClr val="FFFFFF"/>
                        </a:solidFill>
                        <a:ln w="9525">
                          <a:solidFill>
                            <a:schemeClr val="bg1">
                              <a:lumMod val="100000"/>
                              <a:lumOff val="0"/>
                            </a:schemeClr>
                          </a:solidFill>
                          <a:miter lim="800000"/>
                          <a:headEnd/>
                          <a:tailEnd/>
                        </a:ln>
                      </wps:spPr>
                      <wps:txbx>
                        <w:txbxContent>
                          <w:p w:rsidR="00FB0E4A" w:rsidRDefault="00FB0E4A" w:rsidP="00BC6233">
                            <w:pPr>
                              <w:spacing w:line="360" w:lineRule="auto"/>
                              <w:jc w:val="center"/>
                              <w:rPr>
                                <w:rFonts w:ascii="Arial" w:eastAsia="Times New Roman" w:hAnsi="Arial" w:cs="Times New Roman"/>
                                <w:sz w:val="20"/>
                                <w:szCs w:val="20"/>
                              </w:rPr>
                            </w:pPr>
                            <w:r>
                              <w:rPr>
                                <w:rFonts w:ascii="Arial" w:eastAsia="Times New Roman" w:hAnsi="Arial" w:cs="Times New Roman"/>
                                <w:sz w:val="20"/>
                                <w:szCs w:val="20"/>
                              </w:rPr>
                              <w:t xml:space="preserve">d) F9 </w:t>
                            </w:r>
                            <w:r>
                              <w:rPr>
                                <w:rFonts w:ascii="Arial" w:eastAsia="Times New Roman" w:hAnsi="Arial" w:cs="Times New Roman"/>
                                <w:sz w:val="20"/>
                                <w:szCs w:val="20"/>
                              </w:rPr>
                              <w:br/>
                            </w:r>
                            <w:r w:rsidRPr="00160A1B">
                              <w:rPr>
                                <w:rFonts w:ascii="Arial" w:eastAsia="Times New Roman" w:hAnsi="Arial" w:cs="Times New Roman"/>
                                <w:sz w:val="20"/>
                                <w:szCs w:val="20"/>
                              </w:rPr>
                              <w:t>(31.7 pg/mL)</w:t>
                            </w:r>
                          </w:p>
                          <w:p w:rsidR="00FB0E4A" w:rsidRDefault="00FB0E4A" w:rsidP="00BC62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5" type="#_x0000_t202" style="position:absolute;left:0;text-align:left;margin-left:338.7pt;margin-top:10.25pt;width:73.4pt;height:52.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" strokecolor="white [3212]">
                <v:textbox>
                  <w:txbxContent>
                    <w:p w:rsidR="00FB0E4A" w:rsidRDefault="00FB0E4A" w:rsidP="00BC6233">
                      <w:pPr>
                        <w:spacing w:line="360" w:lineRule="auto"/>
                        <w:jc w:val="center"/>
                        <w:rPr>
                          <w:rFonts w:ascii="Arial" w:eastAsia="Times New Roman" w:hAnsi="Arial" w:cs="Times New Roman"/>
                          <w:sz w:val="20"/>
                          <w:szCs w:val="20"/>
                        </w:rPr>
                      </w:pPr>
                      <w:r>
                        <w:rPr>
                          <w:rFonts w:ascii="Arial" w:eastAsia="Times New Roman" w:hAnsi="Arial" w:cs="Times New Roman"/>
                          <w:sz w:val="20"/>
                          <w:szCs w:val="20"/>
                        </w:rPr>
                        <w:t xml:space="preserve">d) F9 </w:t>
                      </w:r>
                      <w:r>
                        <w:rPr>
                          <w:rFonts w:ascii="Arial" w:eastAsia="Times New Roman" w:hAnsi="Arial" w:cs="Times New Roman"/>
                          <w:sz w:val="20"/>
                          <w:szCs w:val="20"/>
                        </w:rPr>
                        <w:br/>
                      </w:r>
                      <w:r w:rsidRPr="00160A1B">
                        <w:rPr>
                          <w:rFonts w:ascii="Arial" w:eastAsia="Times New Roman" w:hAnsi="Arial" w:cs="Times New Roman"/>
                          <w:sz w:val="20"/>
                          <w:szCs w:val="20"/>
                        </w:rPr>
                        <w:t>(31.7 pg/mL)</w:t>
                      </w:r>
                    </w:p>
                    <w:p w:rsidR="00FB0E4A" w:rsidRDefault="00FB0E4A" w:rsidP="00BC6233"/>
                  </w:txbxContent>
                </v:textbox>
              </v:shape>
            </w:pict>
          </mc:Fallback>
        </mc:AlternateContent>
      </w:r>
      <w:r w:rsidR="001178A4">
        <w:rPr>
          <w:noProof/>
        </w:rPr>
        <w:drawing>
          <wp:inline distT="0" distB="0" distL="0" distR="0" wp14:anchorId="4068105F" wp14:editId="7348D244">
            <wp:extent cx="2700000" cy="1616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2700000" cy="1616400"/>
                    </a:xfrm>
                    <a:prstGeom prst="rect">
                      <a:avLst/>
                    </a:prstGeom>
                  </pic:spPr>
                </pic:pic>
              </a:graphicData>
            </a:graphic>
          </wp:inline>
        </w:drawing>
      </w:r>
      <w:r w:rsidR="00AB6528">
        <w:rPr>
          <w:noProof/>
        </w:rPr>
        <w:drawing>
          <wp:inline distT="0" distB="0" distL="0" distR="0" wp14:anchorId="4BB77F07" wp14:editId="599100D7">
            <wp:extent cx="2671638" cy="162088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2671638" cy="1620889"/>
                    </a:xfrm>
                    <a:prstGeom prst="rect">
                      <a:avLst/>
                    </a:prstGeom>
                  </pic:spPr>
                </pic:pic>
              </a:graphicData>
            </a:graphic>
          </wp:inline>
        </w:drawing>
      </w:r>
    </w:p>
    <w:p w:rsidR="00B81932" w:rsidRDefault="00AE0832" w:rsidP="00B81932">
      <w:pPr>
        <w:pStyle w:val="TemplateText"/>
        <w:spacing w:line="360" w:lineRule="auto"/>
        <w:jc w:val="center"/>
        <w:rPr>
          <w:rFonts w:cs="Arial"/>
          <w:sz w:val="20"/>
          <w:szCs w:val="20"/>
        </w:rPr>
      </w:pPr>
      <w:bookmarkStart w:id="10" w:name="_Ref360032762"/>
      <w:r w:rsidRPr="00E842DE">
        <w:rPr>
          <w:rFonts w:cs="Arial"/>
          <w:sz w:val="20"/>
          <w:szCs w:val="20"/>
        </w:rPr>
        <w:t xml:space="preserve">Figure </w:t>
      </w:r>
      <w:r w:rsidR="001B586C" w:rsidRPr="00E842DE">
        <w:rPr>
          <w:rFonts w:cs="Arial"/>
          <w:sz w:val="20"/>
          <w:szCs w:val="20"/>
        </w:rPr>
        <w:fldChar w:fldCharType="begin"/>
      </w:r>
      <w:r w:rsidRPr="00E842DE">
        <w:rPr>
          <w:rFonts w:cs="Arial"/>
          <w:sz w:val="20"/>
          <w:szCs w:val="20"/>
        </w:rPr>
        <w:instrText xml:space="preserve"> SEQ Figure \* ARABIC </w:instrText>
      </w:r>
      <w:r w:rsidR="001B586C" w:rsidRPr="00E842DE">
        <w:rPr>
          <w:rFonts w:cs="Arial"/>
          <w:sz w:val="20"/>
          <w:szCs w:val="20"/>
        </w:rPr>
        <w:fldChar w:fldCharType="separate"/>
      </w:r>
      <w:r w:rsidR="0020538A">
        <w:rPr>
          <w:rFonts w:cs="Arial"/>
          <w:noProof/>
          <w:sz w:val="20"/>
          <w:szCs w:val="20"/>
        </w:rPr>
        <w:t>4</w:t>
      </w:r>
      <w:r w:rsidR="001B586C" w:rsidRPr="00E842DE">
        <w:rPr>
          <w:rFonts w:cs="Arial"/>
          <w:sz w:val="20"/>
          <w:szCs w:val="20"/>
        </w:rPr>
        <w:fldChar w:fldCharType="end"/>
      </w:r>
      <w:bookmarkEnd w:id="10"/>
      <w:r>
        <w:rPr>
          <w:rFonts w:cs="Arial"/>
          <w:sz w:val="20"/>
          <w:szCs w:val="20"/>
        </w:rPr>
        <w:t xml:space="preserve"> Chromatograms showing endogenous levels of glucagon in </w:t>
      </w:r>
      <w:r w:rsidR="00893994">
        <w:rPr>
          <w:rFonts w:cs="Arial"/>
          <w:sz w:val="20"/>
          <w:szCs w:val="20"/>
        </w:rPr>
        <w:t xml:space="preserve">plasma </w:t>
      </w:r>
      <w:r>
        <w:rPr>
          <w:rFonts w:cs="Arial"/>
          <w:sz w:val="20"/>
          <w:szCs w:val="20"/>
        </w:rPr>
        <w:t>samples from healthy volunteers</w:t>
      </w:r>
      <w:r w:rsidR="00010BAE">
        <w:rPr>
          <w:rFonts w:cs="Arial"/>
          <w:sz w:val="20"/>
          <w:szCs w:val="20"/>
        </w:rPr>
        <w:t>.</w:t>
      </w:r>
      <w:r w:rsidR="00C3689D">
        <w:rPr>
          <w:rFonts w:cs="Arial"/>
          <w:sz w:val="20"/>
          <w:szCs w:val="20"/>
        </w:rPr>
        <w:t>M3 (a),M8 (b), F8 (c), and F9 (d)</w:t>
      </w:r>
      <w:r w:rsidR="00010BAE">
        <w:rPr>
          <w:rFonts w:cs="Arial"/>
          <w:sz w:val="20"/>
          <w:szCs w:val="20"/>
        </w:rPr>
        <w:t xml:space="preserve"> </w:t>
      </w:r>
    </w:p>
    <w:p w:rsidR="00B81932" w:rsidRPr="00B81932" w:rsidRDefault="00B81932" w:rsidP="00B81932">
      <w:pPr>
        <w:pStyle w:val="TemplateText"/>
        <w:spacing w:line="360" w:lineRule="auto"/>
        <w:jc w:val="center"/>
        <w:rPr>
          <w:sz w:val="20"/>
          <w:szCs w:val="20"/>
        </w:rPr>
      </w:pPr>
    </w:p>
    <w:p w:rsidR="00637A59" w:rsidRDefault="004737A4" w:rsidP="00B81932">
      <w:pPr>
        <w:spacing w:line="360" w:lineRule="auto"/>
        <w:jc w:val="both"/>
        <w:rPr>
          <w:rFonts w:ascii="Arial" w:eastAsia="Times New Roman" w:hAnsi="Arial" w:cs="Times New Roman"/>
        </w:rPr>
      </w:pPr>
      <w:r>
        <w:rPr>
          <w:rFonts w:ascii="Arial" w:eastAsia="Times New Roman" w:hAnsi="Arial" w:cs="Times New Roman"/>
        </w:rPr>
        <w:t>The majority of samples (58%) gave glucagon concentrations above the</w:t>
      </w:r>
      <w:r w:rsidR="00637A59">
        <w:rPr>
          <w:rFonts w:ascii="Arial" w:eastAsia="Times New Roman" w:hAnsi="Arial" w:cs="Times New Roman"/>
        </w:rPr>
        <w:t xml:space="preserve"> 25 pg/mL</w:t>
      </w:r>
      <w:r>
        <w:rPr>
          <w:rFonts w:ascii="Arial" w:eastAsia="Times New Roman" w:hAnsi="Arial" w:cs="Times New Roman"/>
        </w:rPr>
        <w:t xml:space="preserve"> qualified LLOQ</w:t>
      </w:r>
      <w:r w:rsidR="00637A59">
        <w:rPr>
          <w:rFonts w:ascii="Arial" w:eastAsia="Times New Roman" w:hAnsi="Arial" w:cs="Times New Roman"/>
        </w:rPr>
        <w:t xml:space="preserve">, </w:t>
      </w:r>
      <w:r>
        <w:rPr>
          <w:rFonts w:ascii="Arial" w:eastAsia="Times New Roman" w:hAnsi="Arial" w:cs="Times New Roman"/>
        </w:rPr>
        <w:t xml:space="preserve">demonstrating </w:t>
      </w:r>
      <w:r w:rsidR="00637A59">
        <w:rPr>
          <w:rFonts w:ascii="Arial" w:eastAsia="Times New Roman" w:hAnsi="Arial" w:cs="Times New Roman"/>
        </w:rPr>
        <w:t xml:space="preserve">the </w:t>
      </w:r>
      <w:r>
        <w:rPr>
          <w:rFonts w:ascii="Arial" w:eastAsia="Times New Roman" w:hAnsi="Arial" w:cs="Times New Roman"/>
        </w:rPr>
        <w:t>assay’s utility for endogenous level analysis. However as</w:t>
      </w:r>
      <w:r w:rsidR="007B0382">
        <w:rPr>
          <w:rFonts w:ascii="Arial" w:eastAsia="Times New Roman" w:hAnsi="Arial" w:cs="Times New Roman"/>
        </w:rPr>
        <w:t xml:space="preserve"> </w:t>
      </w:r>
      <w:r w:rsidR="002F2AAF" w:rsidRPr="00A90684">
        <w:rPr>
          <w:rFonts w:ascii="Arial" w:eastAsia="Times New Roman" w:hAnsi="Arial" w:cs="Times New Roman"/>
        </w:rPr>
        <w:t>glucagon</w:t>
      </w:r>
      <w:r w:rsidR="007B0382">
        <w:rPr>
          <w:rFonts w:ascii="Arial" w:eastAsia="Times New Roman" w:hAnsi="Arial" w:cs="Times New Roman"/>
        </w:rPr>
        <w:t xml:space="preserve"> concentrations</w:t>
      </w:r>
      <w:r w:rsidR="002F2AAF" w:rsidRPr="00A90684">
        <w:rPr>
          <w:rFonts w:ascii="Arial" w:eastAsia="Times New Roman" w:hAnsi="Arial" w:cs="Times New Roman"/>
        </w:rPr>
        <w:t xml:space="preserve"> in</w:t>
      </w:r>
      <w:r w:rsidR="007B0382">
        <w:rPr>
          <w:rFonts w:ascii="Arial" w:eastAsia="Times New Roman" w:hAnsi="Arial" w:cs="Times New Roman"/>
        </w:rPr>
        <w:t xml:space="preserve"> some</w:t>
      </w:r>
      <w:r w:rsidR="002F2AAF" w:rsidRPr="00A90684">
        <w:rPr>
          <w:rFonts w:ascii="Arial" w:eastAsia="Times New Roman" w:hAnsi="Arial" w:cs="Times New Roman"/>
        </w:rPr>
        <w:t xml:space="preserve"> individual </w:t>
      </w:r>
      <w:r w:rsidR="00B81932" w:rsidRPr="00A90684">
        <w:rPr>
          <w:rFonts w:ascii="Arial" w:eastAsia="Times New Roman" w:hAnsi="Arial" w:cs="Times New Roman"/>
        </w:rPr>
        <w:t>plasma</w:t>
      </w:r>
      <w:r w:rsidR="00B81932">
        <w:rPr>
          <w:rFonts w:ascii="Arial" w:eastAsia="Times New Roman" w:hAnsi="Arial" w:cs="Times New Roman"/>
        </w:rPr>
        <w:t>s</w:t>
      </w:r>
      <w:r w:rsidR="002F2AAF" w:rsidRPr="00A90684">
        <w:rPr>
          <w:rFonts w:ascii="Arial" w:eastAsia="Times New Roman" w:hAnsi="Arial" w:cs="Times New Roman"/>
        </w:rPr>
        <w:t xml:space="preserve"> were very close to</w:t>
      </w:r>
      <w:r w:rsidR="00FC0B70">
        <w:rPr>
          <w:rFonts w:ascii="Arial" w:eastAsia="Times New Roman" w:hAnsi="Arial" w:cs="Times New Roman"/>
        </w:rPr>
        <w:t xml:space="preserve">, </w:t>
      </w:r>
      <w:r w:rsidR="00920AB1">
        <w:rPr>
          <w:rFonts w:ascii="Arial" w:eastAsia="Times New Roman" w:hAnsi="Arial" w:cs="Times New Roman"/>
        </w:rPr>
        <w:t>or below</w:t>
      </w:r>
      <w:r w:rsidR="00FC0B70">
        <w:rPr>
          <w:rFonts w:ascii="Arial" w:eastAsia="Times New Roman" w:hAnsi="Arial" w:cs="Times New Roman"/>
        </w:rPr>
        <w:t>,</w:t>
      </w:r>
      <w:r w:rsidR="00637A59">
        <w:rPr>
          <w:rFonts w:ascii="Arial" w:eastAsia="Times New Roman" w:hAnsi="Arial" w:cs="Times New Roman"/>
        </w:rPr>
        <w:t xml:space="preserve"> this</w:t>
      </w:r>
      <w:r w:rsidR="00984F8A">
        <w:rPr>
          <w:rFonts w:ascii="Arial" w:eastAsia="Times New Roman" w:hAnsi="Arial" w:cs="Times New Roman"/>
        </w:rPr>
        <w:t xml:space="preserve"> </w:t>
      </w:r>
      <w:r w:rsidR="00CA3D62">
        <w:rPr>
          <w:rFonts w:ascii="Arial" w:eastAsia="Times New Roman" w:hAnsi="Arial" w:cs="Times New Roman"/>
        </w:rPr>
        <w:t>level</w:t>
      </w:r>
      <w:r w:rsidR="00637A59">
        <w:rPr>
          <w:rFonts w:ascii="Arial" w:eastAsia="Times New Roman" w:hAnsi="Arial" w:cs="Times New Roman"/>
        </w:rPr>
        <w:t xml:space="preserve"> </w:t>
      </w:r>
      <w:r w:rsidR="00CE20E4">
        <w:rPr>
          <w:rFonts w:ascii="Arial" w:eastAsia="Times New Roman" w:hAnsi="Arial" w:cs="Times New Roman"/>
        </w:rPr>
        <w:t xml:space="preserve">, for subsequent analysis </w:t>
      </w:r>
      <w:r w:rsidR="007B0382">
        <w:rPr>
          <w:rFonts w:ascii="Arial" w:eastAsia="Times New Roman" w:hAnsi="Arial" w:cs="Times New Roman"/>
        </w:rPr>
        <w:t xml:space="preserve">we decided to </w:t>
      </w:r>
      <w:r w:rsidR="007B0382" w:rsidRPr="00A90684">
        <w:rPr>
          <w:rFonts w:ascii="Arial" w:eastAsia="Times New Roman" w:hAnsi="Arial" w:cs="Times New Roman"/>
        </w:rPr>
        <w:t>inclu</w:t>
      </w:r>
      <w:r w:rsidR="007B0382">
        <w:rPr>
          <w:rFonts w:ascii="Arial" w:eastAsia="Times New Roman" w:hAnsi="Arial" w:cs="Times New Roman"/>
        </w:rPr>
        <w:t>de additional standards and QC</w:t>
      </w:r>
      <w:r w:rsidR="007B0382" w:rsidRPr="00A90684">
        <w:rPr>
          <w:rFonts w:ascii="Arial" w:eastAsia="Times New Roman" w:hAnsi="Arial" w:cs="Times New Roman"/>
        </w:rPr>
        <w:t xml:space="preserve">s </w:t>
      </w:r>
      <w:r w:rsidR="007B0382">
        <w:rPr>
          <w:rFonts w:ascii="Arial" w:eastAsia="Times New Roman" w:hAnsi="Arial" w:cs="Times New Roman"/>
        </w:rPr>
        <w:t xml:space="preserve">at the 10 and 15 pg/mL </w:t>
      </w:r>
      <w:r w:rsidR="00CA3D62">
        <w:rPr>
          <w:rFonts w:ascii="Arial" w:eastAsia="Times New Roman" w:hAnsi="Arial" w:cs="Times New Roman"/>
        </w:rPr>
        <w:t>concentrations</w:t>
      </w:r>
      <w:r w:rsidR="00637A59">
        <w:rPr>
          <w:rFonts w:ascii="Arial" w:eastAsia="Times New Roman" w:hAnsi="Arial" w:cs="Times New Roman"/>
        </w:rPr>
        <w:t>.</w:t>
      </w:r>
      <w:r w:rsidR="007979F6">
        <w:rPr>
          <w:rFonts w:ascii="Arial" w:eastAsia="Times New Roman" w:hAnsi="Arial" w:cs="Times New Roman"/>
        </w:rPr>
        <w:t xml:space="preserve"> </w:t>
      </w:r>
      <w:r w:rsidR="00B81932">
        <w:rPr>
          <w:rFonts w:ascii="Arial" w:eastAsia="Times New Roman" w:hAnsi="Arial" w:cs="Times New Roman"/>
        </w:rPr>
        <w:t>These allow</w:t>
      </w:r>
      <w:r w:rsidR="00CE20E4">
        <w:rPr>
          <w:rFonts w:ascii="Arial" w:eastAsia="Times New Roman" w:hAnsi="Arial" w:cs="Times New Roman"/>
        </w:rPr>
        <w:t>ed</w:t>
      </w:r>
      <w:r w:rsidR="00B81932">
        <w:rPr>
          <w:rFonts w:ascii="Arial" w:eastAsia="Times New Roman" w:hAnsi="Arial" w:cs="Times New Roman"/>
        </w:rPr>
        <w:t xml:space="preserve"> assessment of whether</w:t>
      </w:r>
      <w:r w:rsidR="00CE20E4">
        <w:rPr>
          <w:rFonts w:ascii="Arial" w:eastAsia="Times New Roman" w:hAnsi="Arial" w:cs="Times New Roman"/>
        </w:rPr>
        <w:t xml:space="preserve"> a</w:t>
      </w:r>
      <w:r w:rsidR="007B0382" w:rsidRPr="00A90684">
        <w:rPr>
          <w:rFonts w:ascii="Arial" w:eastAsia="Times New Roman" w:hAnsi="Arial" w:cs="Times New Roman"/>
        </w:rPr>
        <w:t xml:space="preserve"> lower LLOQ c</w:t>
      </w:r>
      <w:r w:rsidR="00CE20E4">
        <w:rPr>
          <w:rFonts w:ascii="Arial" w:eastAsia="Times New Roman" w:hAnsi="Arial" w:cs="Times New Roman"/>
        </w:rPr>
        <w:t>ould</w:t>
      </w:r>
      <w:r w:rsidR="007B0382" w:rsidRPr="00A90684">
        <w:rPr>
          <w:rFonts w:ascii="Arial" w:eastAsia="Times New Roman" w:hAnsi="Arial" w:cs="Times New Roman"/>
        </w:rPr>
        <w:t xml:space="preserve"> be achieved on a batch to batch basis</w:t>
      </w:r>
      <w:r w:rsidR="00CA3D62">
        <w:rPr>
          <w:rFonts w:ascii="Arial" w:eastAsia="Times New Roman" w:hAnsi="Arial" w:cs="Times New Roman"/>
        </w:rPr>
        <w:t>.</w:t>
      </w:r>
      <w:r w:rsidR="007B0382">
        <w:rPr>
          <w:rFonts w:ascii="Arial" w:eastAsia="Times New Roman" w:hAnsi="Arial" w:cs="Times New Roman"/>
        </w:rPr>
        <w:t xml:space="preserve"> </w:t>
      </w:r>
    </w:p>
    <w:p w:rsidR="00370B33" w:rsidRDefault="00637A59" w:rsidP="00B81932">
      <w:pPr>
        <w:spacing w:line="360" w:lineRule="auto"/>
        <w:jc w:val="both"/>
        <w:rPr>
          <w:rFonts w:ascii="Arial" w:eastAsia="Times New Roman" w:hAnsi="Arial" w:cs="Times New Roman"/>
          <w:bCs/>
          <w:sz w:val="20"/>
          <w:szCs w:val="20"/>
        </w:rPr>
      </w:pPr>
      <w:r>
        <w:rPr>
          <w:rFonts w:ascii="Arial" w:eastAsia="Times New Roman" w:hAnsi="Arial" w:cs="Times New Roman"/>
        </w:rPr>
        <w:t xml:space="preserve">To assess whether quantitation was reproducible at the </w:t>
      </w:r>
      <w:r w:rsidR="00621EC4">
        <w:rPr>
          <w:rFonts w:ascii="Arial" w:eastAsia="Times New Roman" w:hAnsi="Arial" w:cs="Times New Roman"/>
        </w:rPr>
        <w:t>endogenous level</w:t>
      </w:r>
      <w:r>
        <w:rPr>
          <w:rFonts w:ascii="Arial" w:eastAsia="Times New Roman" w:hAnsi="Arial" w:cs="Times New Roman"/>
        </w:rPr>
        <w:t>, s</w:t>
      </w:r>
      <w:r w:rsidR="0057678B">
        <w:rPr>
          <w:rFonts w:ascii="Arial" w:eastAsia="Times New Roman" w:hAnsi="Arial" w:cs="Times New Roman"/>
        </w:rPr>
        <w:t xml:space="preserve">amples containing endogenous </w:t>
      </w:r>
      <w:r w:rsidR="001575B5">
        <w:rPr>
          <w:rFonts w:ascii="Arial" w:eastAsia="Times New Roman" w:hAnsi="Arial" w:cs="Times New Roman"/>
        </w:rPr>
        <w:t>glucagon</w:t>
      </w:r>
      <w:r w:rsidR="0057678B">
        <w:rPr>
          <w:rFonts w:ascii="Arial" w:eastAsia="Times New Roman" w:hAnsi="Arial" w:cs="Times New Roman"/>
        </w:rPr>
        <w:t xml:space="preserve"> were pooled together, and </w:t>
      </w:r>
      <w:r w:rsidR="00D80515">
        <w:rPr>
          <w:rFonts w:ascii="Arial" w:eastAsia="Times New Roman" w:hAnsi="Arial" w:cs="Times New Roman"/>
        </w:rPr>
        <w:t>analysed multiple</w:t>
      </w:r>
      <w:r w:rsidR="004C19AD">
        <w:rPr>
          <w:rFonts w:ascii="Arial" w:eastAsia="Times New Roman" w:hAnsi="Arial" w:cs="Times New Roman"/>
        </w:rPr>
        <w:t xml:space="preserve"> times in</w:t>
      </w:r>
      <w:r w:rsidR="007214C1">
        <w:rPr>
          <w:rFonts w:ascii="Arial" w:eastAsia="Times New Roman" w:hAnsi="Arial" w:cs="Times New Roman"/>
        </w:rPr>
        <w:t xml:space="preserve"> </w:t>
      </w:r>
      <w:r w:rsidR="009749D8">
        <w:rPr>
          <w:rFonts w:ascii="Arial" w:eastAsia="Times New Roman" w:hAnsi="Arial" w:cs="Times New Roman"/>
        </w:rPr>
        <w:t>3</w:t>
      </w:r>
      <w:r w:rsidR="007214C1">
        <w:rPr>
          <w:rFonts w:ascii="Arial" w:eastAsia="Times New Roman" w:hAnsi="Arial" w:cs="Times New Roman"/>
        </w:rPr>
        <w:t xml:space="preserve"> different batches</w:t>
      </w:r>
      <w:r w:rsidR="007B0382">
        <w:rPr>
          <w:rFonts w:ascii="Arial" w:eastAsia="Times New Roman" w:hAnsi="Arial" w:cs="Times New Roman"/>
        </w:rPr>
        <w:t xml:space="preserve"> </w:t>
      </w:r>
      <w:r w:rsidR="009749D8">
        <w:rPr>
          <w:rFonts w:ascii="Arial" w:eastAsia="Times New Roman" w:hAnsi="Arial" w:cs="Times New Roman"/>
        </w:rPr>
        <w:t>(n=6 replicates in each batch)</w:t>
      </w:r>
      <w:r w:rsidR="00CE20E4">
        <w:rPr>
          <w:rFonts w:ascii="Arial" w:eastAsia="Times New Roman" w:hAnsi="Arial" w:cs="Times New Roman"/>
        </w:rPr>
        <w:t xml:space="preserve"> using </w:t>
      </w:r>
      <w:r w:rsidR="00621EC4">
        <w:rPr>
          <w:rFonts w:ascii="Arial" w:eastAsia="Times New Roman" w:hAnsi="Arial" w:cs="Times New Roman"/>
        </w:rPr>
        <w:t>the</w:t>
      </w:r>
      <w:r w:rsidR="00CE20E4">
        <w:rPr>
          <w:rFonts w:ascii="Arial" w:eastAsia="Times New Roman" w:hAnsi="Arial" w:cs="Times New Roman"/>
        </w:rPr>
        <w:t xml:space="preserve"> approach</w:t>
      </w:r>
      <w:r w:rsidR="00621EC4">
        <w:rPr>
          <w:rFonts w:ascii="Arial" w:eastAsia="Times New Roman" w:hAnsi="Arial" w:cs="Times New Roman"/>
        </w:rPr>
        <w:t xml:space="preserve"> above.</w:t>
      </w:r>
      <w:r w:rsidR="002F2AAF">
        <w:rPr>
          <w:rFonts w:ascii="Arial" w:eastAsia="Times New Roman" w:hAnsi="Arial" w:cs="Times New Roman"/>
        </w:rPr>
        <w:t xml:space="preserve"> </w:t>
      </w:r>
      <w:r w:rsidR="007214C1">
        <w:rPr>
          <w:rFonts w:ascii="Arial" w:eastAsia="Times New Roman" w:hAnsi="Arial" w:cs="Times New Roman"/>
        </w:rPr>
        <w:t xml:space="preserve">An overall mean of </w:t>
      </w:r>
      <w:r w:rsidR="00A10459" w:rsidRPr="00A10459">
        <w:rPr>
          <w:rFonts w:ascii="Arial" w:eastAsia="Times New Roman" w:hAnsi="Arial" w:cs="Times New Roman"/>
        </w:rPr>
        <w:t>26.5</w:t>
      </w:r>
      <w:r w:rsidR="007214C1" w:rsidRPr="00A10459">
        <w:rPr>
          <w:rFonts w:ascii="Arial" w:eastAsia="Times New Roman" w:hAnsi="Arial" w:cs="Times New Roman"/>
        </w:rPr>
        <w:t xml:space="preserve"> pg/mL</w:t>
      </w:r>
      <w:r w:rsidR="007214C1">
        <w:rPr>
          <w:rFonts w:ascii="Arial" w:eastAsia="Times New Roman" w:hAnsi="Arial" w:cs="Times New Roman"/>
        </w:rPr>
        <w:t xml:space="preserve"> was obs</w:t>
      </w:r>
      <w:r w:rsidR="009749D8">
        <w:rPr>
          <w:rFonts w:ascii="Arial" w:eastAsia="Times New Roman" w:hAnsi="Arial" w:cs="Times New Roman"/>
        </w:rPr>
        <w:t>erved</w:t>
      </w:r>
      <w:r w:rsidR="007214C1">
        <w:rPr>
          <w:rFonts w:ascii="Arial" w:eastAsia="Times New Roman" w:hAnsi="Arial" w:cs="Times New Roman"/>
        </w:rPr>
        <w:t xml:space="preserve"> with an overall C</w:t>
      </w:r>
      <w:r w:rsidR="009749D8">
        <w:rPr>
          <w:rFonts w:ascii="Arial" w:eastAsia="Times New Roman" w:hAnsi="Arial" w:cs="Times New Roman"/>
        </w:rPr>
        <w:t xml:space="preserve">V of </w:t>
      </w:r>
      <w:r w:rsidR="00A10459" w:rsidRPr="00A10459">
        <w:rPr>
          <w:rFonts w:ascii="Arial" w:eastAsia="Times New Roman" w:hAnsi="Arial" w:cs="Times New Roman"/>
        </w:rPr>
        <w:t>19.8</w:t>
      </w:r>
      <w:r w:rsidR="009749D8" w:rsidRPr="00A10459">
        <w:rPr>
          <w:rFonts w:ascii="Arial" w:eastAsia="Times New Roman" w:hAnsi="Arial" w:cs="Times New Roman"/>
        </w:rPr>
        <w:t>%,</w:t>
      </w:r>
      <w:r w:rsidR="009749D8">
        <w:rPr>
          <w:rFonts w:ascii="Arial" w:eastAsia="Times New Roman" w:hAnsi="Arial" w:cs="Times New Roman"/>
        </w:rPr>
        <w:t xml:space="preserve"> </w:t>
      </w:r>
      <w:r w:rsidR="00B81932">
        <w:rPr>
          <w:rFonts w:ascii="Arial" w:eastAsia="Times New Roman" w:hAnsi="Arial" w:cs="Times New Roman"/>
        </w:rPr>
        <w:t xml:space="preserve">demonstrating </w:t>
      </w:r>
      <w:r w:rsidR="00300652">
        <w:rPr>
          <w:rFonts w:ascii="Arial" w:eastAsia="Times New Roman" w:hAnsi="Arial" w:cs="Times New Roman"/>
        </w:rPr>
        <w:t xml:space="preserve">reproducible </w:t>
      </w:r>
      <w:r w:rsidR="00B81932">
        <w:rPr>
          <w:rFonts w:ascii="Arial" w:eastAsia="Times New Roman" w:hAnsi="Arial" w:cs="Times New Roman"/>
        </w:rPr>
        <w:t>quantification at the endogenous level</w:t>
      </w:r>
      <w:r w:rsidR="00621EC4">
        <w:rPr>
          <w:rFonts w:ascii="Arial" w:eastAsia="Times New Roman" w:hAnsi="Arial" w:cs="Times New Roman"/>
        </w:rPr>
        <w:t xml:space="preserve"> (</w:t>
      </w:r>
      <w:r w:rsidR="001B586C">
        <w:fldChar w:fldCharType="begin"/>
      </w:r>
      <w:r w:rsidR="00621EC4">
        <w:instrText xml:space="preserve"> REF _Ref382762309 \h  \* MERGEFORMAT </w:instrText>
      </w:r>
      <w:r w:rsidR="001B586C">
        <w:fldChar w:fldCharType="separate"/>
      </w:r>
      <w:r w:rsidR="00621EC4" w:rsidRPr="0020538A">
        <w:rPr>
          <w:rFonts w:ascii="Arial" w:eastAsia="Times New Roman" w:hAnsi="Arial" w:cs="Times New Roman"/>
        </w:rPr>
        <w:t>Table 4</w:t>
      </w:r>
      <w:r w:rsidR="001B586C">
        <w:fldChar w:fldCharType="end"/>
      </w:r>
      <w:r w:rsidR="00621EC4">
        <w:t>)</w:t>
      </w:r>
      <w:r w:rsidR="00B81932">
        <w:rPr>
          <w:rFonts w:ascii="Arial" w:eastAsia="Times New Roman" w:hAnsi="Arial" w:cs="Times New Roman"/>
        </w:rPr>
        <w:t xml:space="preserve">. </w:t>
      </w:r>
      <w:bookmarkStart w:id="11" w:name="_Ref373676013"/>
      <w:r w:rsidR="00FE5600">
        <w:rPr>
          <w:rFonts w:ascii="Arial" w:eastAsia="Times New Roman" w:hAnsi="Arial" w:cs="Times New Roman"/>
        </w:rPr>
        <w:t xml:space="preserve"> QCs (n=6 replicates) consistently performed within 15% (RE and CV) at the 15 pg/m </w:t>
      </w:r>
      <w:r w:rsidR="00780A88">
        <w:rPr>
          <w:rFonts w:ascii="Arial" w:eastAsia="Times New Roman" w:hAnsi="Arial" w:cs="Times New Roman"/>
        </w:rPr>
        <w:t xml:space="preserve">level in each </w:t>
      </w:r>
      <w:r w:rsidR="006567A2">
        <w:rPr>
          <w:rFonts w:ascii="Arial" w:eastAsia="Times New Roman" w:hAnsi="Arial" w:cs="Times New Roman"/>
        </w:rPr>
        <w:t>of the</w:t>
      </w:r>
      <w:r w:rsidR="00FE5600">
        <w:rPr>
          <w:rFonts w:ascii="Arial" w:eastAsia="Times New Roman" w:hAnsi="Arial" w:cs="Times New Roman"/>
        </w:rPr>
        <w:t xml:space="preserve"> 3 batches, and were within 15% (RE and CV) at the 10 pg/mL</w:t>
      </w:r>
      <w:r w:rsidR="001D7655">
        <w:rPr>
          <w:rFonts w:ascii="Arial" w:eastAsia="Times New Roman" w:hAnsi="Arial" w:cs="Times New Roman"/>
        </w:rPr>
        <w:t xml:space="preserve"> level</w:t>
      </w:r>
      <w:r w:rsidR="00FE5600">
        <w:rPr>
          <w:rFonts w:ascii="Arial" w:eastAsia="Times New Roman" w:hAnsi="Arial" w:cs="Times New Roman"/>
        </w:rPr>
        <w:t xml:space="preserve"> </w:t>
      </w:r>
      <w:r w:rsidR="00780A88">
        <w:rPr>
          <w:rFonts w:ascii="Arial" w:eastAsia="Times New Roman" w:hAnsi="Arial" w:cs="Times New Roman"/>
        </w:rPr>
        <w:t>in</w:t>
      </w:r>
      <w:r w:rsidR="00FE5600">
        <w:rPr>
          <w:rFonts w:ascii="Arial" w:eastAsia="Times New Roman" w:hAnsi="Arial" w:cs="Times New Roman"/>
        </w:rPr>
        <w:t xml:space="preserve"> 2 out of the</w:t>
      </w:r>
      <w:r w:rsidR="00780A88">
        <w:rPr>
          <w:rFonts w:ascii="Arial" w:eastAsia="Times New Roman" w:hAnsi="Arial" w:cs="Times New Roman"/>
        </w:rPr>
        <w:t xml:space="preserve"> 3</w:t>
      </w:r>
      <w:r w:rsidR="00FE5600">
        <w:rPr>
          <w:rFonts w:ascii="Arial" w:eastAsia="Times New Roman" w:hAnsi="Arial" w:cs="Times New Roman"/>
        </w:rPr>
        <w:t xml:space="preserve"> batches</w:t>
      </w:r>
      <w:r w:rsidR="00621EC4">
        <w:rPr>
          <w:rFonts w:ascii="Arial" w:eastAsia="Times New Roman" w:hAnsi="Arial" w:cs="Times New Roman"/>
        </w:rPr>
        <w:t xml:space="preserve"> (Supplemental Table 8)</w:t>
      </w:r>
      <w:r w:rsidR="00CA3D62">
        <w:rPr>
          <w:rFonts w:ascii="Arial" w:eastAsia="Times New Roman" w:hAnsi="Arial" w:cs="Times New Roman"/>
        </w:rPr>
        <w:t>. This allowed the LLOQ to be reduced</w:t>
      </w:r>
      <w:r w:rsidR="001D7655">
        <w:rPr>
          <w:rFonts w:ascii="Arial" w:eastAsia="Times New Roman" w:hAnsi="Arial" w:cs="Times New Roman"/>
        </w:rPr>
        <w:t xml:space="preserve"> from the 25 pg/mL level in the qualified assay</w:t>
      </w:r>
      <w:r w:rsidR="00CA3D62">
        <w:rPr>
          <w:rFonts w:ascii="Arial" w:eastAsia="Times New Roman" w:hAnsi="Arial" w:cs="Times New Roman"/>
        </w:rPr>
        <w:t xml:space="preserve">, </w:t>
      </w:r>
      <w:r w:rsidR="006567A2">
        <w:rPr>
          <w:rFonts w:ascii="Arial" w:eastAsia="Times New Roman" w:hAnsi="Arial" w:cs="Times New Roman"/>
        </w:rPr>
        <w:t xml:space="preserve">to increase the proportional of quantifiable concentrations.  </w:t>
      </w:r>
    </w:p>
    <w:p w:rsidR="005E5C46" w:rsidRPr="000972E9" w:rsidRDefault="005E5C46" w:rsidP="0044630D">
      <w:pPr>
        <w:pStyle w:val="Caption"/>
        <w:jc w:val="center"/>
        <w:rPr>
          <w:rFonts w:ascii="Calibri" w:hAnsi="Calibri" w:cs="Calibri"/>
          <w:b w:val="0"/>
          <w:color w:val="000000"/>
          <w:sz w:val="20"/>
        </w:rPr>
      </w:pPr>
      <w:bookmarkStart w:id="12" w:name="_Ref382762309"/>
      <w:r w:rsidRPr="000972E9">
        <w:rPr>
          <w:b w:val="0"/>
          <w:sz w:val="20"/>
        </w:rPr>
        <w:t xml:space="preserve">Table </w:t>
      </w:r>
      <w:r w:rsidR="001B586C" w:rsidRPr="000972E9">
        <w:rPr>
          <w:b w:val="0"/>
          <w:sz w:val="20"/>
        </w:rPr>
        <w:fldChar w:fldCharType="begin"/>
      </w:r>
      <w:r w:rsidRPr="000972E9">
        <w:rPr>
          <w:b w:val="0"/>
          <w:sz w:val="20"/>
        </w:rPr>
        <w:instrText xml:space="preserve"> SEQ Table \* ARABIC </w:instrText>
      </w:r>
      <w:r w:rsidR="001B586C" w:rsidRPr="000972E9">
        <w:rPr>
          <w:b w:val="0"/>
          <w:sz w:val="20"/>
        </w:rPr>
        <w:fldChar w:fldCharType="separate"/>
      </w:r>
      <w:r w:rsidR="0020538A">
        <w:rPr>
          <w:b w:val="0"/>
          <w:noProof/>
          <w:sz w:val="20"/>
        </w:rPr>
        <w:t>4</w:t>
      </w:r>
      <w:r w:rsidR="001B586C" w:rsidRPr="000972E9">
        <w:rPr>
          <w:b w:val="0"/>
          <w:sz w:val="20"/>
        </w:rPr>
        <w:fldChar w:fldCharType="end"/>
      </w:r>
      <w:bookmarkEnd w:id="11"/>
      <w:bookmarkEnd w:id="12"/>
      <w:r w:rsidRPr="000972E9">
        <w:rPr>
          <w:b w:val="0"/>
          <w:sz w:val="20"/>
        </w:rPr>
        <w:t xml:space="preserve">- </w:t>
      </w:r>
      <w:r>
        <w:rPr>
          <w:b w:val="0"/>
          <w:sz w:val="20"/>
        </w:rPr>
        <w:t>Repeat analysis of a pooled sample at the endogenous glucagon level.</w:t>
      </w:r>
    </w:p>
    <w:tbl>
      <w:tblPr>
        <w:tblW w:w="0" w:type="auto"/>
        <w:jc w:val="center"/>
        <w:tblLook w:val="04A0" w:firstRow="1" w:lastRow="0" w:firstColumn="1" w:lastColumn="0" w:noHBand="0" w:noVBand="1"/>
      </w:tblPr>
      <w:tblGrid>
        <w:gridCol w:w="1106"/>
        <w:gridCol w:w="1432"/>
        <w:gridCol w:w="1432"/>
        <w:gridCol w:w="1432"/>
      </w:tblGrid>
      <w:tr w:rsidR="001178A4" w:rsidRPr="008152A3" w:rsidTr="001178A4">
        <w:trPr>
          <w:trHeight w:val="349"/>
          <w:jc w:val="center"/>
        </w:trPr>
        <w:tc>
          <w:tcPr>
            <w:tcW w:w="0" w:type="auto"/>
            <w:vMerge w:val="restart"/>
            <w:tcBorders>
              <w:top w:val="single" w:sz="4" w:space="0" w:color="auto"/>
              <w:left w:val="single" w:sz="4" w:space="0" w:color="auto"/>
              <w:right w:val="single" w:sz="4" w:space="0" w:color="auto"/>
            </w:tcBorders>
            <w:shd w:val="clear" w:color="auto" w:fill="auto"/>
            <w:noWrap/>
          </w:tcPr>
          <w:p w:rsidR="001178A4" w:rsidRPr="008152A3" w:rsidRDefault="001178A4"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Replicate</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1178A4" w:rsidRPr="001178A4" w:rsidRDefault="001178A4" w:rsidP="001178A4">
            <w:pPr>
              <w:jc w:val="center"/>
              <w:rPr>
                <w:rFonts w:ascii="Arial" w:hAnsi="Arial" w:cs="Arial"/>
                <w:b/>
                <w:sz w:val="20"/>
                <w:szCs w:val="20"/>
              </w:rPr>
            </w:pPr>
            <w:r w:rsidRPr="00204B14">
              <w:rPr>
                <w:rFonts w:ascii="Arial" w:hAnsi="Arial" w:cs="Arial"/>
                <w:b/>
                <w:sz w:val="20"/>
                <w:szCs w:val="20"/>
              </w:rPr>
              <w:t>Measured</w:t>
            </w:r>
            <w:r>
              <w:rPr>
                <w:rFonts w:ascii="Arial" w:hAnsi="Arial" w:cs="Arial"/>
                <w:b/>
                <w:sz w:val="20"/>
                <w:szCs w:val="20"/>
              </w:rPr>
              <w:t xml:space="preserve"> Glucagon </w:t>
            </w:r>
            <w:r w:rsidRPr="00204B14">
              <w:rPr>
                <w:rFonts w:ascii="Arial" w:hAnsi="Arial" w:cs="Arial"/>
                <w:b/>
                <w:sz w:val="20"/>
                <w:szCs w:val="20"/>
              </w:rPr>
              <w:t>concentration</w:t>
            </w:r>
            <w:r>
              <w:rPr>
                <w:rFonts w:ascii="Arial" w:hAnsi="Arial" w:cs="Arial"/>
                <w:b/>
                <w:sz w:val="20"/>
                <w:szCs w:val="20"/>
              </w:rPr>
              <w:t xml:space="preserve"> </w:t>
            </w:r>
            <w:r w:rsidRPr="00204B14">
              <w:rPr>
                <w:rFonts w:ascii="Arial" w:hAnsi="Arial" w:cs="Arial"/>
                <w:b/>
                <w:sz w:val="20"/>
                <w:szCs w:val="20"/>
              </w:rPr>
              <w:t>(pg/mL)</w:t>
            </w:r>
          </w:p>
        </w:tc>
      </w:tr>
      <w:tr w:rsidR="001178A4" w:rsidRPr="008152A3" w:rsidTr="001178A4">
        <w:trPr>
          <w:trHeight w:val="300"/>
          <w:jc w:val="center"/>
        </w:trPr>
        <w:tc>
          <w:tcPr>
            <w:tcW w:w="0" w:type="auto"/>
            <w:vMerge/>
            <w:tcBorders>
              <w:left w:val="single" w:sz="4" w:space="0" w:color="auto"/>
              <w:bottom w:val="single" w:sz="4" w:space="0" w:color="auto"/>
              <w:right w:val="single" w:sz="4" w:space="0" w:color="auto"/>
            </w:tcBorders>
            <w:shd w:val="clear" w:color="auto" w:fill="auto"/>
            <w:noWrap/>
            <w:vAlign w:val="bottom"/>
            <w:hideMark/>
          </w:tcPr>
          <w:p w:rsidR="001178A4" w:rsidRPr="008152A3" w:rsidRDefault="001178A4" w:rsidP="008152A3">
            <w:pPr>
              <w:spacing w:after="0" w:line="240" w:lineRule="auto"/>
              <w:jc w:val="center"/>
              <w:rPr>
                <w:rFonts w:ascii="Arial" w:eastAsia="Times New Roman" w:hAnsi="Arial" w:cs="Arial"/>
                <w:b/>
                <w:color w:val="000000"/>
                <w:sz w:val="20"/>
                <w:szCs w:val="20"/>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1178A4" w:rsidRPr="008152A3" w:rsidRDefault="001178A4"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Batch 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1178A4" w:rsidRPr="008152A3" w:rsidRDefault="001178A4"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Batch 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1178A4" w:rsidRPr="008152A3" w:rsidRDefault="001178A4"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Batch 3</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1</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19.9</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30.2</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23.6</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2</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24.7</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24.8</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31.4</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19.9</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19.6</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34.8</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22.3</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26.6</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33.9</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23.7</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25.8</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36.1</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6</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26.0</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22.8</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31.5</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Mean</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22.8</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25.0</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31.9</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SD</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2.5</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3.6</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4.5</w:t>
            </w:r>
          </w:p>
        </w:tc>
      </w:tr>
      <w:tr w:rsidR="00A10459" w:rsidRPr="008152A3" w:rsidTr="001178A4">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%CV</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11.1</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14.4</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14.1</w:t>
            </w:r>
          </w:p>
        </w:tc>
      </w:tr>
      <w:tr w:rsidR="00A10459" w:rsidRPr="008152A3" w:rsidTr="001178A4">
        <w:trPr>
          <w:trHeight w:val="300"/>
          <w:jc w:val="center"/>
        </w:trPr>
        <w:tc>
          <w:tcPr>
            <w:tcW w:w="0" w:type="auto"/>
            <w:tcBorders>
              <w:top w:val="nil"/>
              <w:left w:val="nil"/>
              <w:bottom w:val="nil"/>
              <w:right w:val="nil"/>
            </w:tcBorders>
            <w:shd w:val="clear" w:color="auto" w:fill="auto"/>
            <w:noWrap/>
            <w:vAlign w:val="bottom"/>
            <w:hideMark/>
          </w:tcPr>
          <w:p w:rsidR="00A10459" w:rsidRPr="008152A3" w:rsidRDefault="00A10459" w:rsidP="00A10459">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rsidR="00A10459" w:rsidRPr="008152A3" w:rsidRDefault="00A10459" w:rsidP="00A10459">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rsidR="00A10459" w:rsidRPr="008152A3" w:rsidRDefault="00A10459" w:rsidP="00A10459">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rsidR="00A10459" w:rsidRPr="008152A3" w:rsidRDefault="00A10459" w:rsidP="00A10459">
            <w:pPr>
              <w:spacing w:after="0" w:line="240" w:lineRule="auto"/>
              <w:rPr>
                <w:rFonts w:ascii="Arial" w:eastAsia="Times New Roman" w:hAnsi="Arial" w:cs="Arial"/>
                <w:color w:val="000000"/>
                <w:sz w:val="20"/>
                <w:szCs w:val="20"/>
              </w:rPr>
            </w:pPr>
          </w:p>
        </w:tc>
      </w:tr>
      <w:tr w:rsidR="00A10459" w:rsidRPr="008152A3" w:rsidTr="001178A4">
        <w:trPr>
          <w:trHeight w:val="227"/>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Inter-batch mean</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26.5</w:t>
            </w:r>
          </w:p>
        </w:tc>
        <w:tc>
          <w:tcPr>
            <w:tcW w:w="0" w:type="auto"/>
            <w:tcBorders>
              <w:top w:val="nil"/>
              <w:left w:val="nil"/>
              <w:bottom w:val="nil"/>
              <w:right w:val="nil"/>
            </w:tcBorders>
            <w:shd w:val="clear" w:color="auto" w:fill="auto"/>
            <w:noWrap/>
            <w:vAlign w:val="bottom"/>
            <w:hideMark/>
          </w:tcPr>
          <w:p w:rsidR="00A10459" w:rsidRPr="008152A3" w:rsidRDefault="00A10459" w:rsidP="00A10459">
            <w:pPr>
              <w:spacing w:after="0" w:line="240" w:lineRule="auto"/>
              <w:rPr>
                <w:rFonts w:ascii="Arial" w:eastAsia="Times New Roman" w:hAnsi="Arial" w:cs="Arial"/>
                <w:color w:val="000000"/>
                <w:sz w:val="20"/>
                <w:szCs w:val="20"/>
              </w:rPr>
            </w:pPr>
          </w:p>
        </w:tc>
      </w:tr>
      <w:tr w:rsidR="00A10459" w:rsidRPr="008152A3" w:rsidTr="001178A4">
        <w:trPr>
          <w:trHeight w:val="227"/>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Inter-batch SD</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5.3</w:t>
            </w:r>
          </w:p>
        </w:tc>
        <w:tc>
          <w:tcPr>
            <w:tcW w:w="0" w:type="auto"/>
            <w:tcBorders>
              <w:top w:val="nil"/>
              <w:left w:val="nil"/>
              <w:bottom w:val="nil"/>
              <w:right w:val="nil"/>
            </w:tcBorders>
            <w:shd w:val="clear" w:color="auto" w:fill="auto"/>
            <w:noWrap/>
            <w:vAlign w:val="bottom"/>
            <w:hideMark/>
          </w:tcPr>
          <w:p w:rsidR="00A10459" w:rsidRPr="008152A3" w:rsidRDefault="00A10459" w:rsidP="00A10459">
            <w:pPr>
              <w:spacing w:after="0" w:line="240" w:lineRule="auto"/>
              <w:rPr>
                <w:rFonts w:ascii="Arial" w:eastAsia="Times New Roman" w:hAnsi="Arial" w:cs="Arial"/>
                <w:color w:val="000000"/>
                <w:sz w:val="20"/>
                <w:szCs w:val="20"/>
              </w:rPr>
            </w:pPr>
          </w:p>
        </w:tc>
      </w:tr>
      <w:tr w:rsidR="00A10459" w:rsidRPr="008152A3" w:rsidTr="001178A4">
        <w:trPr>
          <w:trHeight w:val="227"/>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b/>
                <w:color w:val="000000"/>
                <w:sz w:val="20"/>
                <w:szCs w:val="20"/>
              </w:rPr>
            </w:pPr>
            <w:r w:rsidRPr="008152A3">
              <w:rPr>
                <w:rFonts w:ascii="Arial" w:eastAsia="Times New Roman" w:hAnsi="Arial" w:cs="Arial"/>
                <w:b/>
                <w:color w:val="000000"/>
                <w:sz w:val="20"/>
                <w:szCs w:val="20"/>
              </w:rPr>
              <w:t>Inter-batch CV</w:t>
            </w:r>
          </w:p>
        </w:tc>
        <w:tc>
          <w:tcPr>
            <w:tcW w:w="0" w:type="auto"/>
            <w:tcBorders>
              <w:top w:val="nil"/>
              <w:left w:val="nil"/>
              <w:bottom w:val="single" w:sz="4" w:space="0" w:color="auto"/>
              <w:right w:val="single" w:sz="4" w:space="0" w:color="auto"/>
            </w:tcBorders>
            <w:shd w:val="clear" w:color="auto" w:fill="auto"/>
            <w:noWrap/>
            <w:vAlign w:val="bottom"/>
            <w:hideMark/>
          </w:tcPr>
          <w:p w:rsidR="00A10459" w:rsidRPr="008152A3" w:rsidRDefault="00A10459" w:rsidP="008152A3">
            <w:pPr>
              <w:spacing w:after="0" w:line="240" w:lineRule="auto"/>
              <w:jc w:val="center"/>
              <w:rPr>
                <w:rFonts w:ascii="Arial" w:eastAsia="Times New Roman" w:hAnsi="Arial" w:cs="Arial"/>
                <w:color w:val="000000"/>
                <w:sz w:val="20"/>
                <w:szCs w:val="20"/>
              </w:rPr>
            </w:pPr>
            <w:r w:rsidRPr="008152A3">
              <w:rPr>
                <w:rFonts w:ascii="Arial" w:eastAsia="Times New Roman" w:hAnsi="Arial" w:cs="Arial"/>
                <w:color w:val="000000"/>
                <w:sz w:val="20"/>
                <w:szCs w:val="20"/>
              </w:rPr>
              <w:t>19.8</w:t>
            </w:r>
          </w:p>
        </w:tc>
        <w:tc>
          <w:tcPr>
            <w:tcW w:w="0" w:type="auto"/>
            <w:tcBorders>
              <w:top w:val="nil"/>
              <w:left w:val="nil"/>
              <w:bottom w:val="nil"/>
              <w:right w:val="nil"/>
            </w:tcBorders>
            <w:shd w:val="clear" w:color="auto" w:fill="auto"/>
            <w:noWrap/>
            <w:vAlign w:val="bottom"/>
            <w:hideMark/>
          </w:tcPr>
          <w:p w:rsidR="00A10459" w:rsidRPr="008152A3" w:rsidRDefault="00A10459" w:rsidP="00A10459">
            <w:pPr>
              <w:spacing w:after="0" w:line="240" w:lineRule="auto"/>
              <w:rPr>
                <w:rFonts w:ascii="Arial" w:eastAsia="Times New Roman" w:hAnsi="Arial" w:cs="Arial"/>
                <w:color w:val="000000"/>
                <w:sz w:val="20"/>
                <w:szCs w:val="20"/>
              </w:rPr>
            </w:pPr>
          </w:p>
        </w:tc>
      </w:tr>
    </w:tbl>
    <w:p w:rsidR="008152A3" w:rsidRDefault="008152A3" w:rsidP="008152A3">
      <w:pPr>
        <w:pStyle w:val="BodyText"/>
        <w:tabs>
          <w:tab w:val="left" w:pos="1276"/>
        </w:tabs>
        <w:ind w:right="-1"/>
        <w:jc w:val="center"/>
        <w:rPr>
          <w:sz w:val="16"/>
          <w:szCs w:val="16"/>
        </w:rPr>
      </w:pPr>
    </w:p>
    <w:p w:rsidR="005E5C46" w:rsidRDefault="005E5C46" w:rsidP="008152A3">
      <w:pPr>
        <w:pStyle w:val="BodyText"/>
        <w:tabs>
          <w:tab w:val="left" w:pos="1276"/>
        </w:tabs>
        <w:ind w:right="-1"/>
        <w:jc w:val="center"/>
        <w:rPr>
          <w:sz w:val="16"/>
          <w:szCs w:val="16"/>
        </w:rPr>
      </w:pPr>
      <w:r>
        <w:rPr>
          <w:sz w:val="16"/>
          <w:szCs w:val="16"/>
        </w:rPr>
        <w:t>SD</w:t>
      </w:r>
      <w:r>
        <w:rPr>
          <w:sz w:val="16"/>
          <w:szCs w:val="16"/>
        </w:rPr>
        <w:tab/>
        <w:t>Standard deviation</w:t>
      </w:r>
      <w:r w:rsidR="008152A3">
        <w:rPr>
          <w:sz w:val="16"/>
          <w:szCs w:val="16"/>
        </w:rPr>
        <w:tab/>
      </w:r>
      <w:r w:rsidR="008152A3">
        <w:rPr>
          <w:sz w:val="16"/>
          <w:szCs w:val="16"/>
        </w:rPr>
        <w:tab/>
      </w:r>
      <w:r>
        <w:rPr>
          <w:sz w:val="16"/>
          <w:szCs w:val="16"/>
        </w:rPr>
        <w:t>CV</w:t>
      </w:r>
      <w:r>
        <w:rPr>
          <w:sz w:val="16"/>
          <w:szCs w:val="16"/>
        </w:rPr>
        <w:tab/>
        <w:t>Coefficient of variation</w:t>
      </w:r>
    </w:p>
    <w:p w:rsidR="00AA1F6A" w:rsidRPr="008152A3" w:rsidRDefault="00AA1F6A">
      <w:pPr>
        <w:rPr>
          <w:rFonts w:ascii="Arial" w:eastAsia="Times New Roman" w:hAnsi="Arial" w:cs="Times New Roman"/>
          <w:i/>
          <w:sz w:val="20"/>
          <w:szCs w:val="20"/>
          <w:u w:val="single"/>
        </w:rPr>
      </w:pPr>
      <w:r w:rsidRPr="008152A3">
        <w:rPr>
          <w:rFonts w:ascii="Arial" w:eastAsia="Times New Roman" w:hAnsi="Arial" w:cs="Times New Roman"/>
          <w:i/>
          <w:sz w:val="20"/>
          <w:szCs w:val="20"/>
          <w:u w:val="single"/>
        </w:rPr>
        <w:br w:type="page"/>
      </w:r>
    </w:p>
    <w:p w:rsidR="007214C1" w:rsidRPr="005D677F" w:rsidRDefault="00BD5C49" w:rsidP="00550C28">
      <w:pPr>
        <w:spacing w:line="360" w:lineRule="auto"/>
        <w:jc w:val="both"/>
        <w:rPr>
          <w:rFonts w:ascii="Arial" w:eastAsia="Times New Roman" w:hAnsi="Arial" w:cs="Times New Roman"/>
          <w:i/>
          <w:u w:val="single"/>
        </w:rPr>
      </w:pPr>
      <w:r w:rsidRPr="00815ADE">
        <w:rPr>
          <w:rFonts w:ascii="Arial" w:eastAsia="Times New Roman" w:hAnsi="Arial" w:cs="Times New Roman"/>
          <w:i/>
          <w:u w:val="single"/>
        </w:rPr>
        <w:t xml:space="preserve">LC-MS/MS </w:t>
      </w:r>
      <w:r w:rsidR="002E0909" w:rsidRPr="00815ADE">
        <w:rPr>
          <w:rFonts w:ascii="Arial" w:eastAsia="Times New Roman" w:hAnsi="Arial" w:cs="Times New Roman"/>
          <w:i/>
          <w:u w:val="single"/>
        </w:rPr>
        <w:t>vs.</w:t>
      </w:r>
      <w:r w:rsidRPr="00815ADE">
        <w:rPr>
          <w:rFonts w:ascii="Arial" w:eastAsia="Times New Roman" w:hAnsi="Arial" w:cs="Times New Roman"/>
          <w:i/>
          <w:u w:val="single"/>
        </w:rPr>
        <w:t xml:space="preserve"> RIA </w:t>
      </w:r>
      <w:r w:rsidRPr="00287BA0">
        <w:rPr>
          <w:rFonts w:ascii="Arial" w:eastAsia="Times New Roman" w:hAnsi="Arial" w:cs="Times New Roman"/>
          <w:i/>
          <w:u w:val="single"/>
        </w:rPr>
        <w:t xml:space="preserve">assays for </w:t>
      </w:r>
      <w:r w:rsidR="00287BA0" w:rsidRPr="00287BA0">
        <w:rPr>
          <w:rFonts w:ascii="Arial" w:eastAsia="Times New Roman" w:hAnsi="Arial" w:cs="Times New Roman"/>
          <w:i/>
          <w:u w:val="single"/>
        </w:rPr>
        <w:t>physiological study</w:t>
      </w:r>
      <w:r w:rsidR="00287BA0">
        <w:rPr>
          <w:rFonts w:ascii="Arial" w:eastAsia="Times New Roman" w:hAnsi="Arial" w:cs="Times New Roman"/>
          <w:i/>
          <w:u w:val="single"/>
        </w:rPr>
        <w:t xml:space="preserve"> samples</w:t>
      </w:r>
    </w:p>
    <w:p w:rsidR="00AA1F6A" w:rsidRDefault="00DF56C5" w:rsidP="00815ADE">
      <w:pPr>
        <w:spacing w:before="240" w:line="360" w:lineRule="auto"/>
        <w:jc w:val="both"/>
        <w:rPr>
          <w:rFonts w:ascii="Arial" w:hAnsi="Arial" w:cs="Arial"/>
        </w:rPr>
      </w:pPr>
      <w:r w:rsidRPr="00815ADE">
        <w:rPr>
          <w:rFonts w:ascii="Arial" w:hAnsi="Arial" w:cs="Arial"/>
        </w:rPr>
        <w:t>Plasma s</w:t>
      </w:r>
      <w:r w:rsidR="00C100CC" w:rsidRPr="00815ADE">
        <w:rPr>
          <w:rFonts w:ascii="Arial" w:hAnsi="Arial" w:cs="Arial"/>
        </w:rPr>
        <w:t>amples</w:t>
      </w:r>
      <w:r w:rsidR="00AA1F6A" w:rsidRPr="00815ADE">
        <w:rPr>
          <w:rFonts w:ascii="Arial" w:hAnsi="Arial" w:cs="Arial"/>
        </w:rPr>
        <w:t xml:space="preserve"> (n= 117)</w:t>
      </w:r>
      <w:r w:rsidR="00C100CC" w:rsidRPr="00815ADE">
        <w:rPr>
          <w:rFonts w:ascii="Arial" w:hAnsi="Arial" w:cs="Arial"/>
        </w:rPr>
        <w:t xml:space="preserve"> </w:t>
      </w:r>
      <w:r w:rsidR="00AA1F6A" w:rsidRPr="00815ADE">
        <w:rPr>
          <w:rFonts w:ascii="Arial" w:hAnsi="Arial" w:cs="Arial"/>
        </w:rPr>
        <w:t xml:space="preserve">were collected from a </w:t>
      </w:r>
      <w:r w:rsidR="00287BA0">
        <w:rPr>
          <w:rFonts w:ascii="Arial" w:eastAsia="Times New Roman" w:hAnsi="Arial" w:cs="Times New Roman"/>
        </w:rPr>
        <w:t xml:space="preserve">physiological study </w:t>
      </w:r>
      <w:r w:rsidR="00B048CB" w:rsidRPr="00815ADE">
        <w:rPr>
          <w:rFonts w:ascii="Arial" w:hAnsi="Arial" w:cs="Arial"/>
        </w:rPr>
        <w:t>involving</w:t>
      </w:r>
      <w:r w:rsidR="00AA1F6A" w:rsidRPr="00815ADE">
        <w:rPr>
          <w:rFonts w:ascii="Arial" w:hAnsi="Arial" w:cs="Arial"/>
        </w:rPr>
        <w:t xml:space="preserve"> </w:t>
      </w:r>
      <w:r w:rsidR="00B048CB" w:rsidRPr="00815ADE">
        <w:rPr>
          <w:rFonts w:ascii="Arial" w:hAnsi="Arial" w:cs="Arial"/>
        </w:rPr>
        <w:t>the</w:t>
      </w:r>
      <w:r w:rsidR="00AA1F6A" w:rsidRPr="00815ADE">
        <w:rPr>
          <w:rFonts w:ascii="Arial" w:hAnsi="Arial" w:cs="Arial"/>
        </w:rPr>
        <w:t xml:space="preserve"> infusion of glucagon</w:t>
      </w:r>
      <w:r w:rsidR="00AA1F6A">
        <w:rPr>
          <w:rFonts w:ascii="Arial" w:hAnsi="Arial" w:cs="Arial"/>
        </w:rPr>
        <w:t xml:space="preserve">. </w:t>
      </w:r>
      <w:r w:rsidR="00724573">
        <w:rPr>
          <w:rFonts w:ascii="Arial" w:hAnsi="Arial" w:cs="Arial"/>
        </w:rPr>
        <w:t xml:space="preserve">100 </w:t>
      </w:r>
      <w:r w:rsidR="00AA1F6A">
        <w:rPr>
          <w:rFonts w:ascii="Arial" w:hAnsi="Arial" w:cs="Arial"/>
        </w:rPr>
        <w:t xml:space="preserve">of these samples were analysed using our LC-MS/MS assay and 105 samples using the established RIA assay. </w:t>
      </w:r>
      <w:r w:rsidR="00B048CB">
        <w:rPr>
          <w:rFonts w:ascii="Arial" w:hAnsi="Arial" w:cs="Arial"/>
        </w:rPr>
        <w:t>Both assays contained QC samples, which performed within their established acceptance criteria.</w:t>
      </w:r>
      <w:r w:rsidR="00724573">
        <w:rPr>
          <w:rFonts w:ascii="Arial" w:hAnsi="Arial" w:cs="Arial"/>
        </w:rPr>
        <w:t xml:space="preserve"> </w:t>
      </w:r>
    </w:p>
    <w:p w:rsidR="005741A9" w:rsidRDefault="00A813AC" w:rsidP="00C5472F">
      <w:pPr>
        <w:spacing w:before="240" w:line="360" w:lineRule="auto"/>
        <w:jc w:val="both"/>
        <w:rPr>
          <w:rFonts w:ascii="Arial" w:hAnsi="Arial" w:cs="Arial"/>
        </w:rPr>
      </w:pPr>
      <w:r>
        <w:rPr>
          <w:rFonts w:ascii="Arial" w:hAnsi="Arial" w:cs="Arial"/>
        </w:rPr>
        <w:t>Bland-Altman analysis</w:t>
      </w:r>
      <w:r w:rsidR="0032691F">
        <w:rPr>
          <w:rFonts w:ascii="Arial" w:hAnsi="Arial" w:cs="Arial"/>
        </w:rPr>
        <w:t xml:space="preserve"> of the 88 common samples</w:t>
      </w:r>
      <w:r>
        <w:rPr>
          <w:rFonts w:ascii="Arial" w:hAnsi="Arial" w:cs="Arial"/>
        </w:rPr>
        <w:t xml:space="preserve"> shows that the mean bias of the LC/MS-MS assay versus the RIA is +45.06 pg/ml with 95% bias confidence intervals of -358.5 to 448.6 pg/ml. Inspection of the plot </w:t>
      </w:r>
      <w:r w:rsidR="00884B14">
        <w:rPr>
          <w:rFonts w:ascii="Arial" w:hAnsi="Arial" w:cs="Arial"/>
        </w:rPr>
        <w:t>(</w:t>
      </w:r>
      <w:r w:rsidR="00E745A4">
        <w:rPr>
          <w:rFonts w:ascii="Arial" w:hAnsi="Arial" w:cs="Arial"/>
        </w:rPr>
        <w:t xml:space="preserve">Figure 6) </w:t>
      </w:r>
      <w:r>
        <w:rPr>
          <w:rFonts w:ascii="Arial" w:hAnsi="Arial" w:cs="Arial"/>
        </w:rPr>
        <w:t xml:space="preserve">shows that there </w:t>
      </w:r>
      <w:r w:rsidR="0060039E">
        <w:rPr>
          <w:rFonts w:ascii="Arial" w:hAnsi="Arial" w:cs="Arial"/>
        </w:rPr>
        <w:t>is</w:t>
      </w:r>
      <w:r>
        <w:rPr>
          <w:rFonts w:ascii="Arial" w:hAnsi="Arial" w:cs="Arial"/>
        </w:rPr>
        <w:t xml:space="preserve"> a concentration-dependent positive bias</w:t>
      </w:r>
      <w:r w:rsidR="00DB52F3">
        <w:rPr>
          <w:rFonts w:ascii="Arial" w:hAnsi="Arial" w:cs="Arial"/>
        </w:rPr>
        <w:t>, particularly at values above 600 pg/ml</w:t>
      </w:r>
      <w:r w:rsidR="00CB7900">
        <w:rPr>
          <w:rFonts w:ascii="Arial" w:hAnsi="Arial" w:cs="Arial"/>
        </w:rPr>
        <w:t xml:space="preserve">. </w:t>
      </w:r>
      <w:r w:rsidR="00910EB4">
        <w:rPr>
          <w:rFonts w:ascii="Arial" w:hAnsi="Arial" w:cs="Arial"/>
        </w:rPr>
        <w:t xml:space="preserve">This would be expected if the RIA assay was suffering from </w:t>
      </w:r>
      <w:r w:rsidR="000820DD">
        <w:rPr>
          <w:rFonts w:ascii="Arial" w:hAnsi="Arial" w:cs="Arial"/>
        </w:rPr>
        <w:t>the hook effect at higher concentrations</w:t>
      </w:r>
      <w:r w:rsidR="00592B0B">
        <w:rPr>
          <w:rFonts w:ascii="Arial" w:hAnsi="Arial" w:cs="Arial"/>
        </w:rPr>
        <w:t>, which has</w:t>
      </w:r>
      <w:r w:rsidR="000820DD">
        <w:rPr>
          <w:rFonts w:ascii="Arial" w:hAnsi="Arial" w:cs="Arial"/>
        </w:rPr>
        <w:t xml:space="preserve"> been reported for other biomarkers such as calcitonin </w:t>
      </w:r>
      <w:r w:rsidR="001B586C">
        <w:rPr>
          <w:rFonts w:ascii="Arial" w:hAnsi="Arial" w:cs="Arial"/>
        </w:rPr>
        <w:fldChar w:fldCharType="begin" w:fldLock="1"/>
      </w:r>
      <w:r w:rsidR="00261C24">
        <w:rPr>
          <w:rFonts w:ascii="Arial" w:hAnsi="Arial" w:cs="Arial"/>
        </w:rPr>
        <w:instrText>ADDIN CSL_CITATION { "citationItems" : [ { "id" : "ITEM-1", "itemData" : { "DOI" : "10.1210/jc.2005-1429", "ISSN" : "0021-972X", "PMID" : "16278263", "abstract" : "CONTEXT: Calcitonin is a well-established tumor marker for medullary thyroid carcinoma (MTC). Because surgery is the only effective treatment for patients with MTC, the postoperative level of serum calcitonin will dictate whether residual disease was left behind and whether reintervention is necessary.\n\nRESULTS: We describe here the case of a 41-yr-old man with metastatic MTC. Despite extensive disease in the neck as well as metastatic lesions in the liver, his serum calcitonin, measured with a commercial one-step immunoradiometric assay, was only minimally elevated (244 ng/liter). After serial dilutions, a nonlinear relationship became evident, suggesting the presence of a \"hook effect.\" Treatment of the serum with heterophilic blocking reagent revealed no change. Calcitonin was then measured with a different immunoradiometric assay and revealed a much higher level. Similar discrepancies were found in different samples from various patients when analyzed with different calcitonin immunoassays.\n\nCONCLUSION: To our knowledge, this is the first reported case of a phenomenon such as the hook effect in a calcitonin immunoradiometric assay in patients with MTC. Being aware of this phenomenon is important, because a low calcitonin result could give false reassurance to both the patient and the clinician and could dramatically change the prognosis of the patient.", "author" : [ { "dropping-particle" : "", "family" : "Leboeuf", "given" : "R\u00e9becca", "non-dropping-particle" : "", "parse-names" : false, "suffix" : "" }, { "dropping-particle" : "", "family" : "Langlois", "given" : "Marie-France", "non-dropping-particle" : "", "parse-names" : false, "suffix" : "" }, { "dropping-particle" : "", "family" : "Martin", "given" : "Marc", "non-dropping-particle" : "", "parse-names" : false, "suffix" : "" }, { "dropping-particle" : "", "family" : "Ahnadi", "given" : "Charaf E", "non-dropping-particle" : "", "parse-names" : false, "suffix" : "" }, { "dropping-particle" : "", "family" : "Fink", "given" : "Guy D", "non-dropping-particle" : "", "parse-names" : false, "suffix" : "" } ], "container-title" : "The Journal of clinical endocrinology and metabolism", "id" : "ITEM-1", "issue" : "2", "issued" : { "date-parts" : [ [ "2006", "2" ] ] }, "page" : "361-4", "title" : "\"Hook effect\" in calcitonin immunoradiometric assay in patients with metastatic medullary thyroid carcinoma: case report and review of the literature.", "type" : "article-journal", "volume" : "91" }, "uris" : [ "http://www.mendeley.com/documents/?uuid=c1db140a-7540-4939-b584-7494fe1f303c" ] } ], "mendeley" : { "previouslyFormattedCitation" : "[37]" }, "properties" : { "noteIndex" : 0 }, "schema" : "https://github.com/citation-style-language/schema/raw/master/csl-citation.json" }</w:instrText>
      </w:r>
      <w:r w:rsidR="001B586C">
        <w:rPr>
          <w:rFonts w:ascii="Arial" w:hAnsi="Arial" w:cs="Arial"/>
        </w:rPr>
        <w:fldChar w:fldCharType="separate"/>
      </w:r>
      <w:r w:rsidR="00261C24" w:rsidRPr="00261C24">
        <w:rPr>
          <w:rFonts w:ascii="Arial" w:hAnsi="Arial" w:cs="Arial"/>
          <w:noProof/>
        </w:rPr>
        <w:t>[37]</w:t>
      </w:r>
      <w:r w:rsidR="001B586C">
        <w:rPr>
          <w:rFonts w:ascii="Arial" w:hAnsi="Arial" w:cs="Arial"/>
        </w:rPr>
        <w:fldChar w:fldCharType="end"/>
      </w:r>
      <w:r w:rsidR="000820DD">
        <w:rPr>
          <w:rFonts w:ascii="Arial" w:hAnsi="Arial" w:cs="Arial"/>
        </w:rPr>
        <w:t>.</w:t>
      </w:r>
    </w:p>
    <w:p w:rsidR="005741A9" w:rsidRDefault="005741A9" w:rsidP="006A4B9F">
      <w:pPr>
        <w:spacing w:before="240" w:line="360" w:lineRule="auto"/>
        <w:jc w:val="center"/>
        <w:rPr>
          <w:rFonts w:ascii="Arial" w:hAnsi="Arial" w:cs="Arial"/>
        </w:rPr>
      </w:pPr>
      <w:r w:rsidRPr="00815ADE">
        <w:rPr>
          <w:rFonts w:ascii="Arial" w:hAnsi="Arial" w:cs="Arial"/>
          <w:noProof/>
        </w:rPr>
        <w:drawing>
          <wp:inline distT="0" distB="0" distL="0" distR="0" wp14:anchorId="12ECE53A" wp14:editId="25229DB7">
            <wp:extent cx="4958080" cy="30378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8080" cy="3037840"/>
                    </a:xfrm>
                    <a:prstGeom prst="rect">
                      <a:avLst/>
                    </a:prstGeom>
                    <a:noFill/>
                    <a:ln>
                      <a:noFill/>
                    </a:ln>
                  </pic:spPr>
                </pic:pic>
              </a:graphicData>
            </a:graphic>
          </wp:inline>
        </w:drawing>
      </w:r>
    </w:p>
    <w:p w:rsidR="00983132" w:rsidRPr="00A770D6" w:rsidRDefault="00983132" w:rsidP="00A770D6">
      <w:pPr>
        <w:pStyle w:val="TemplateText"/>
        <w:spacing w:line="360" w:lineRule="auto"/>
        <w:jc w:val="center"/>
        <w:rPr>
          <w:rFonts w:cs="Arial"/>
          <w:sz w:val="20"/>
          <w:szCs w:val="20"/>
        </w:rPr>
      </w:pPr>
      <w:r w:rsidRPr="00A770D6">
        <w:rPr>
          <w:rFonts w:cs="Arial"/>
          <w:sz w:val="20"/>
          <w:szCs w:val="20"/>
        </w:rPr>
        <w:t xml:space="preserve">Figure </w:t>
      </w:r>
      <w:r w:rsidR="001B586C" w:rsidRPr="00A770D6">
        <w:rPr>
          <w:rFonts w:cs="Arial"/>
          <w:sz w:val="20"/>
          <w:szCs w:val="20"/>
        </w:rPr>
        <w:fldChar w:fldCharType="begin"/>
      </w:r>
      <w:r w:rsidRPr="00A770D6">
        <w:rPr>
          <w:rFonts w:cs="Arial"/>
          <w:sz w:val="20"/>
          <w:szCs w:val="20"/>
        </w:rPr>
        <w:instrText xml:space="preserve"> SEQ Figure \* ARABIC </w:instrText>
      </w:r>
      <w:r w:rsidR="001B586C" w:rsidRPr="00A770D6">
        <w:rPr>
          <w:rFonts w:cs="Arial"/>
          <w:sz w:val="20"/>
          <w:szCs w:val="20"/>
        </w:rPr>
        <w:fldChar w:fldCharType="separate"/>
      </w:r>
      <w:r w:rsidR="0020538A">
        <w:rPr>
          <w:rFonts w:cs="Arial"/>
          <w:noProof/>
          <w:sz w:val="20"/>
          <w:szCs w:val="20"/>
        </w:rPr>
        <w:t>5</w:t>
      </w:r>
      <w:r w:rsidR="001B586C" w:rsidRPr="00A770D6">
        <w:rPr>
          <w:rFonts w:cs="Arial"/>
          <w:sz w:val="20"/>
          <w:szCs w:val="20"/>
        </w:rPr>
        <w:fldChar w:fldCharType="end"/>
      </w:r>
      <w:r w:rsidRPr="00A770D6">
        <w:rPr>
          <w:rFonts w:cs="Arial"/>
          <w:sz w:val="20"/>
          <w:szCs w:val="20"/>
        </w:rPr>
        <w:t xml:space="preserve"> – </w:t>
      </w:r>
      <w:r w:rsidR="00DB52F3" w:rsidRPr="00A770D6">
        <w:rPr>
          <w:rFonts w:cs="Arial"/>
          <w:sz w:val="20"/>
          <w:szCs w:val="20"/>
        </w:rPr>
        <w:t>Bland-Altman p</w:t>
      </w:r>
      <w:r w:rsidR="002642FB">
        <w:rPr>
          <w:rFonts w:cs="Arial"/>
          <w:sz w:val="20"/>
          <w:szCs w:val="20"/>
        </w:rPr>
        <w:t>lot comparing performance of LC-MS/</w:t>
      </w:r>
      <w:r w:rsidR="00DB52F3" w:rsidRPr="00A770D6">
        <w:rPr>
          <w:rFonts w:cs="Arial"/>
          <w:sz w:val="20"/>
          <w:szCs w:val="20"/>
        </w:rPr>
        <w:t>MS</w:t>
      </w:r>
      <w:r w:rsidR="002642FB">
        <w:rPr>
          <w:rFonts w:cs="Arial"/>
          <w:sz w:val="20"/>
          <w:szCs w:val="20"/>
        </w:rPr>
        <w:t xml:space="preserve"> </w:t>
      </w:r>
      <w:r w:rsidR="00DB52F3" w:rsidRPr="00A770D6">
        <w:rPr>
          <w:rFonts w:cs="Arial"/>
          <w:sz w:val="20"/>
          <w:szCs w:val="20"/>
        </w:rPr>
        <w:t>and RIA</w:t>
      </w:r>
      <w:r w:rsidR="002642FB">
        <w:rPr>
          <w:rFonts w:cs="Arial"/>
          <w:sz w:val="20"/>
          <w:szCs w:val="20"/>
        </w:rPr>
        <w:t xml:space="preserve"> methods </w:t>
      </w:r>
      <w:r w:rsidR="00DB52F3" w:rsidRPr="00A770D6">
        <w:rPr>
          <w:rFonts w:cs="Arial"/>
          <w:sz w:val="20"/>
          <w:szCs w:val="20"/>
        </w:rPr>
        <w:t>for glucagon.</w:t>
      </w:r>
    </w:p>
    <w:p w:rsidR="002855E2" w:rsidRDefault="002855E2" w:rsidP="00EE2C98">
      <w:pPr>
        <w:spacing w:line="360" w:lineRule="auto"/>
        <w:rPr>
          <w:rFonts w:ascii="Arial" w:hAnsi="Arial" w:cs="Arial"/>
        </w:rPr>
      </w:pPr>
    </w:p>
    <w:p w:rsidR="00A770D6" w:rsidRDefault="00A770D6" w:rsidP="002855E2">
      <w:pPr>
        <w:spacing w:line="360" w:lineRule="auto"/>
        <w:jc w:val="both"/>
        <w:rPr>
          <w:rFonts w:ascii="Arial" w:hAnsi="Arial" w:cs="Arial"/>
        </w:rPr>
      </w:pPr>
      <w:r>
        <w:rPr>
          <w:rFonts w:ascii="Arial" w:hAnsi="Arial" w:cs="Arial"/>
        </w:rPr>
        <w:t xml:space="preserve">RIA and LC-MS/MS </w:t>
      </w:r>
      <w:r w:rsidR="00951501">
        <w:rPr>
          <w:rFonts w:ascii="Arial" w:hAnsi="Arial" w:cs="Arial"/>
        </w:rPr>
        <w:t>assays</w:t>
      </w:r>
      <w:r>
        <w:rPr>
          <w:rFonts w:ascii="Arial" w:hAnsi="Arial" w:cs="Arial"/>
        </w:rPr>
        <w:t xml:space="preserve"> produced pharmacokinetic (PK) profiles of similar shapes, which fit</w:t>
      </w:r>
      <w:r w:rsidR="00951501">
        <w:rPr>
          <w:rFonts w:ascii="Arial" w:hAnsi="Arial" w:cs="Arial"/>
        </w:rPr>
        <w:t>ted</w:t>
      </w:r>
      <w:r>
        <w:rPr>
          <w:rFonts w:ascii="Arial" w:hAnsi="Arial" w:cs="Arial"/>
        </w:rPr>
        <w:t xml:space="preserve"> with expectations from the nature of the study (</w:t>
      </w:r>
      <w:r w:rsidR="00342B10">
        <w:fldChar w:fldCharType="begin"/>
      </w:r>
      <w:r w:rsidR="00342B10">
        <w:instrText xml:space="preserve"> REF _Ref370064740 \h  \* MERGEFORMAT </w:instrText>
      </w:r>
      <w:r w:rsidR="00342B10">
        <w:fldChar w:fldCharType="separate"/>
      </w:r>
      <w:r w:rsidR="0020538A" w:rsidRPr="0020538A">
        <w:rPr>
          <w:rFonts w:ascii="Arial" w:hAnsi="Arial" w:cs="Arial"/>
        </w:rPr>
        <w:t>Figure 6</w:t>
      </w:r>
      <w:r w:rsidR="00342B10">
        <w:fldChar w:fldCharType="end"/>
      </w:r>
      <w:r>
        <w:rPr>
          <w:rFonts w:ascii="Arial" w:hAnsi="Arial" w:cs="Arial"/>
        </w:rPr>
        <w:t>). It is therefore not possible to determine which assay gives the “right” answer, and the approaches should be regarded as complementary</w:t>
      </w:r>
      <w:r w:rsidR="00794182">
        <w:rPr>
          <w:rFonts w:ascii="Arial" w:hAnsi="Arial" w:cs="Arial"/>
        </w:rPr>
        <w:t>.</w:t>
      </w:r>
    </w:p>
    <w:p w:rsidR="00A770D6" w:rsidRDefault="00A770D6" w:rsidP="00A770D6">
      <w:pPr>
        <w:spacing w:line="360" w:lineRule="auto"/>
        <w:jc w:val="center"/>
        <w:rPr>
          <w:rFonts w:ascii="Arial" w:hAnsi="Arial" w:cs="Arial"/>
        </w:rPr>
      </w:pPr>
      <w:r w:rsidRPr="0075360C">
        <w:rPr>
          <w:rFonts w:cs="Arial"/>
          <w:noProof/>
          <w:sz w:val="20"/>
          <w:szCs w:val="20"/>
        </w:rPr>
        <w:drawing>
          <wp:inline distT="0" distB="0" distL="0" distR="0" wp14:anchorId="3C093F6F" wp14:editId="49D369E1">
            <wp:extent cx="2865863" cy="1828800"/>
            <wp:effectExtent l="0" t="0" r="0" b="0"/>
            <wp:docPr id="2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75360C">
        <w:rPr>
          <w:rFonts w:cs="Arial"/>
          <w:noProof/>
          <w:sz w:val="20"/>
          <w:szCs w:val="20"/>
        </w:rPr>
        <w:drawing>
          <wp:inline distT="0" distB="0" distL="0" distR="0" wp14:anchorId="4E91AD6F" wp14:editId="45B76D37">
            <wp:extent cx="2732049" cy="1828800"/>
            <wp:effectExtent l="0" t="0" r="0" b="0"/>
            <wp:docPr id="2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75360C">
        <w:rPr>
          <w:rFonts w:cs="Arial"/>
          <w:noProof/>
          <w:sz w:val="20"/>
          <w:szCs w:val="20"/>
        </w:rPr>
        <w:drawing>
          <wp:inline distT="0" distB="0" distL="0" distR="0" wp14:anchorId="28E5B46B" wp14:editId="0F4733C2">
            <wp:extent cx="2843561" cy="1784195"/>
            <wp:effectExtent l="0" t="0" r="0" b="6985"/>
            <wp:docPr id="3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75360C">
        <w:rPr>
          <w:rFonts w:cs="Arial"/>
          <w:noProof/>
          <w:sz w:val="20"/>
          <w:szCs w:val="20"/>
        </w:rPr>
        <w:drawing>
          <wp:inline distT="0" distB="0" distL="0" distR="0" wp14:anchorId="39994682" wp14:editId="4832C96F">
            <wp:extent cx="2733675" cy="1790700"/>
            <wp:effectExtent l="0" t="0" r="0" b="0"/>
            <wp:docPr id="2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770D6" w:rsidRDefault="00A770D6" w:rsidP="00A770D6">
      <w:pPr>
        <w:pStyle w:val="TemplateText"/>
        <w:spacing w:line="360" w:lineRule="auto"/>
        <w:jc w:val="center"/>
        <w:rPr>
          <w:rFonts w:cs="Arial"/>
          <w:sz w:val="20"/>
          <w:szCs w:val="20"/>
        </w:rPr>
      </w:pPr>
      <w:bookmarkStart w:id="13" w:name="_Ref370064740"/>
      <w:r w:rsidRPr="00A770D6">
        <w:rPr>
          <w:rFonts w:cs="Arial"/>
          <w:sz w:val="20"/>
          <w:szCs w:val="20"/>
        </w:rPr>
        <w:t xml:space="preserve">Figure </w:t>
      </w:r>
      <w:r w:rsidR="001B586C" w:rsidRPr="00A770D6">
        <w:rPr>
          <w:rFonts w:cs="Arial"/>
          <w:sz w:val="20"/>
          <w:szCs w:val="20"/>
        </w:rPr>
        <w:fldChar w:fldCharType="begin"/>
      </w:r>
      <w:r w:rsidRPr="00A770D6">
        <w:rPr>
          <w:rFonts w:cs="Arial"/>
          <w:sz w:val="20"/>
          <w:szCs w:val="20"/>
        </w:rPr>
        <w:instrText xml:space="preserve"> SEQ Figure \* ARABIC </w:instrText>
      </w:r>
      <w:r w:rsidR="001B586C" w:rsidRPr="00A770D6">
        <w:rPr>
          <w:rFonts w:cs="Arial"/>
          <w:sz w:val="20"/>
          <w:szCs w:val="20"/>
        </w:rPr>
        <w:fldChar w:fldCharType="separate"/>
      </w:r>
      <w:r w:rsidR="0020538A">
        <w:rPr>
          <w:rFonts w:cs="Arial"/>
          <w:noProof/>
          <w:sz w:val="20"/>
          <w:szCs w:val="20"/>
        </w:rPr>
        <w:t>6</w:t>
      </w:r>
      <w:r w:rsidR="001B586C" w:rsidRPr="00A770D6">
        <w:rPr>
          <w:rFonts w:cs="Arial"/>
          <w:sz w:val="20"/>
          <w:szCs w:val="20"/>
        </w:rPr>
        <w:fldChar w:fldCharType="end"/>
      </w:r>
      <w:bookmarkEnd w:id="13"/>
      <w:r w:rsidRPr="00A770D6">
        <w:rPr>
          <w:rFonts w:cs="Arial"/>
          <w:sz w:val="20"/>
          <w:szCs w:val="20"/>
        </w:rPr>
        <w:t xml:space="preserve">- </w:t>
      </w:r>
      <w:r>
        <w:rPr>
          <w:rFonts w:cs="Arial"/>
          <w:sz w:val="20"/>
          <w:szCs w:val="20"/>
        </w:rPr>
        <w:t xml:space="preserve">A selection of </w:t>
      </w:r>
      <w:r w:rsidRPr="00A770D6">
        <w:rPr>
          <w:rFonts w:cs="Arial"/>
          <w:sz w:val="20"/>
          <w:szCs w:val="20"/>
        </w:rPr>
        <w:t>PK profiles from RIA assay concentrations (red squares) and LC-MS/MS meth</w:t>
      </w:r>
      <w:r w:rsidR="00951501">
        <w:rPr>
          <w:rFonts w:cs="Arial"/>
          <w:sz w:val="20"/>
          <w:szCs w:val="20"/>
        </w:rPr>
        <w:t>od concentrations (blue diamond</w:t>
      </w:r>
      <w:r w:rsidRPr="00A770D6">
        <w:rPr>
          <w:rFonts w:cs="Arial"/>
          <w:sz w:val="20"/>
          <w:szCs w:val="20"/>
        </w:rPr>
        <w:t>s).Y axis units are pg/mL</w:t>
      </w:r>
      <w:r>
        <w:rPr>
          <w:rFonts w:cs="Arial"/>
          <w:sz w:val="20"/>
          <w:szCs w:val="20"/>
        </w:rPr>
        <w:t xml:space="preserve">. </w:t>
      </w:r>
      <w:r w:rsidRPr="002855E2">
        <w:rPr>
          <w:rFonts w:cs="Arial"/>
          <w:sz w:val="20"/>
          <w:szCs w:val="20"/>
        </w:rPr>
        <w:t xml:space="preserve">See supplemental information Figure </w:t>
      </w:r>
      <w:r w:rsidR="00202E19">
        <w:rPr>
          <w:rFonts w:cs="Arial"/>
          <w:sz w:val="20"/>
          <w:szCs w:val="20"/>
        </w:rPr>
        <w:t>6</w:t>
      </w:r>
      <w:r w:rsidR="00202E19" w:rsidRPr="002855E2">
        <w:rPr>
          <w:rFonts w:cs="Arial"/>
          <w:sz w:val="20"/>
          <w:szCs w:val="20"/>
        </w:rPr>
        <w:t xml:space="preserve"> </w:t>
      </w:r>
      <w:r w:rsidRPr="002855E2">
        <w:rPr>
          <w:rFonts w:cs="Arial"/>
          <w:sz w:val="20"/>
          <w:szCs w:val="20"/>
        </w:rPr>
        <w:t>for the complete set of 9 profiles</w:t>
      </w:r>
      <w:r>
        <w:rPr>
          <w:rFonts w:cs="Arial"/>
          <w:sz w:val="20"/>
          <w:szCs w:val="20"/>
        </w:rPr>
        <w:t xml:space="preserve"> </w:t>
      </w:r>
    </w:p>
    <w:p w:rsidR="00A770D6" w:rsidRPr="00A770D6" w:rsidRDefault="00A770D6" w:rsidP="00A770D6">
      <w:pPr>
        <w:pStyle w:val="TemplateText"/>
        <w:spacing w:line="360" w:lineRule="auto"/>
        <w:jc w:val="center"/>
        <w:rPr>
          <w:rFonts w:cs="Arial"/>
          <w:sz w:val="20"/>
          <w:szCs w:val="20"/>
        </w:rPr>
      </w:pPr>
    </w:p>
    <w:p w:rsidR="00513DE4" w:rsidRDefault="00513DE4" w:rsidP="00EE2C98">
      <w:pPr>
        <w:spacing w:line="360" w:lineRule="auto"/>
        <w:rPr>
          <w:rFonts w:cs="Arial"/>
          <w:sz w:val="20"/>
          <w:szCs w:val="20"/>
        </w:rPr>
        <w:sectPr w:rsidR="00513DE4" w:rsidSect="001D1BC4">
          <w:pgSz w:w="11906" w:h="16838"/>
          <w:pgMar w:top="1440" w:right="1440" w:bottom="1440" w:left="1440" w:header="709" w:footer="709" w:gutter="0"/>
          <w:lnNumType w:countBy="1" w:restart="continuous"/>
          <w:cols w:space="708"/>
          <w:titlePg/>
          <w:docGrid w:linePitch="360"/>
        </w:sectPr>
      </w:pPr>
    </w:p>
    <w:p w:rsidR="002278A3" w:rsidRPr="005D677F" w:rsidRDefault="002278A3" w:rsidP="001575B5">
      <w:pPr>
        <w:rPr>
          <w:rFonts w:ascii="Arial" w:eastAsia="Times New Roman" w:hAnsi="Arial" w:cs="Times New Roman"/>
          <w:b/>
          <w:sz w:val="24"/>
          <w:szCs w:val="24"/>
          <w:u w:val="single"/>
        </w:rPr>
      </w:pPr>
      <w:r w:rsidRPr="005D677F">
        <w:rPr>
          <w:rFonts w:ascii="Arial" w:eastAsia="Times New Roman" w:hAnsi="Arial" w:cs="Times New Roman"/>
          <w:b/>
          <w:sz w:val="24"/>
          <w:szCs w:val="24"/>
          <w:u w:val="single"/>
        </w:rPr>
        <w:t>Conclusion</w:t>
      </w:r>
    </w:p>
    <w:p w:rsidR="003A52AF" w:rsidRDefault="00020C85" w:rsidP="002278A3">
      <w:pPr>
        <w:spacing w:line="360" w:lineRule="auto"/>
        <w:jc w:val="both"/>
        <w:rPr>
          <w:rFonts w:ascii="Arial" w:eastAsia="Times New Roman" w:hAnsi="Arial" w:cs="Times New Roman"/>
        </w:rPr>
      </w:pPr>
      <w:r>
        <w:rPr>
          <w:rFonts w:ascii="Arial" w:eastAsia="Times New Roman" w:hAnsi="Arial" w:cs="Times New Roman"/>
        </w:rPr>
        <w:t xml:space="preserve">The developed </w:t>
      </w:r>
      <w:r w:rsidR="002E470A">
        <w:rPr>
          <w:rFonts w:ascii="Arial" w:eastAsia="Times New Roman" w:hAnsi="Arial" w:cs="Times New Roman"/>
        </w:rPr>
        <w:t>procedure</w:t>
      </w:r>
      <w:r>
        <w:rPr>
          <w:rFonts w:ascii="Arial" w:eastAsia="Times New Roman" w:hAnsi="Arial" w:cs="Times New Roman"/>
        </w:rPr>
        <w:t xml:space="preserve"> is the first</w:t>
      </w:r>
      <w:r w:rsidR="00D7595D">
        <w:rPr>
          <w:rFonts w:ascii="Arial" w:eastAsia="Times New Roman" w:hAnsi="Arial" w:cs="Times New Roman"/>
        </w:rPr>
        <w:t xml:space="preserve"> peer reviewed</w:t>
      </w:r>
      <w:r>
        <w:rPr>
          <w:rFonts w:ascii="Arial" w:eastAsia="Times New Roman" w:hAnsi="Arial" w:cs="Times New Roman"/>
        </w:rPr>
        <w:t xml:space="preserve"> LC-MS/MS method capable of quantifying</w:t>
      </w:r>
      <w:r w:rsidR="003A52AF">
        <w:rPr>
          <w:rFonts w:ascii="Arial" w:eastAsia="Times New Roman" w:hAnsi="Arial" w:cs="Times New Roman"/>
        </w:rPr>
        <w:t xml:space="preserve"> endogenous levels of glucagon in human plasma.</w:t>
      </w:r>
      <w:r w:rsidR="00591934">
        <w:rPr>
          <w:rFonts w:ascii="Arial" w:eastAsia="Times New Roman" w:hAnsi="Arial" w:cs="Times New Roman"/>
        </w:rPr>
        <w:t xml:space="preserve"> </w:t>
      </w:r>
      <w:r w:rsidR="003A52AF">
        <w:rPr>
          <w:rFonts w:ascii="Arial" w:eastAsia="Times New Roman" w:hAnsi="Arial" w:cs="Times New Roman"/>
        </w:rPr>
        <w:t xml:space="preserve">Glucagon levels from healthy volunteers </w:t>
      </w:r>
      <w:r w:rsidR="00772837">
        <w:rPr>
          <w:rFonts w:ascii="Arial" w:eastAsia="Times New Roman" w:hAnsi="Arial" w:cs="Times New Roman"/>
        </w:rPr>
        <w:t>agreed well with</w:t>
      </w:r>
      <w:r w:rsidR="00357C9C">
        <w:rPr>
          <w:rFonts w:ascii="Arial" w:eastAsia="Times New Roman" w:hAnsi="Arial" w:cs="Times New Roman"/>
        </w:rPr>
        <w:t xml:space="preserve"> the range expected from RIA assays. Our method avoids the radioactiv</w:t>
      </w:r>
      <w:r w:rsidR="002E470A">
        <w:rPr>
          <w:rFonts w:ascii="Arial" w:eastAsia="Times New Roman" w:hAnsi="Arial" w:cs="Times New Roman"/>
        </w:rPr>
        <w:t>ity (and precautions this requires</w:t>
      </w:r>
      <w:r w:rsidR="00357C9C">
        <w:rPr>
          <w:rFonts w:ascii="Arial" w:eastAsia="Times New Roman" w:hAnsi="Arial" w:cs="Times New Roman"/>
        </w:rPr>
        <w:t>) associated with RIA assays, has a shorter extraction time</w:t>
      </w:r>
      <w:r w:rsidR="005651E2">
        <w:rPr>
          <w:rFonts w:ascii="Arial" w:eastAsia="Times New Roman" w:hAnsi="Arial" w:cs="Times New Roman"/>
        </w:rPr>
        <w:t xml:space="preserve"> and</w:t>
      </w:r>
      <w:r w:rsidR="00F9297A">
        <w:rPr>
          <w:rFonts w:ascii="Arial" w:eastAsia="Times New Roman" w:hAnsi="Arial" w:cs="Times New Roman"/>
        </w:rPr>
        <w:t xml:space="preserve"> good precision and accuracy. </w:t>
      </w:r>
    </w:p>
    <w:p w:rsidR="002E470A" w:rsidRDefault="003A52AF" w:rsidP="002278A3">
      <w:pPr>
        <w:spacing w:line="360" w:lineRule="auto"/>
        <w:jc w:val="both"/>
        <w:rPr>
          <w:rFonts w:ascii="Arial" w:hAnsi="Arial" w:cs="Arial"/>
        </w:rPr>
      </w:pPr>
      <w:r>
        <w:rPr>
          <w:rFonts w:ascii="Arial" w:eastAsia="Times New Roman" w:hAnsi="Arial" w:cs="Times New Roman"/>
        </w:rPr>
        <w:t xml:space="preserve">The 25 pg/mL LLOQ </w:t>
      </w:r>
      <w:r w:rsidR="000148EC">
        <w:rPr>
          <w:rFonts w:ascii="Arial" w:eastAsia="Times New Roman" w:hAnsi="Arial" w:cs="Times New Roman"/>
        </w:rPr>
        <w:t xml:space="preserve">in </w:t>
      </w:r>
      <w:r w:rsidR="002F0445">
        <w:rPr>
          <w:rFonts w:ascii="Arial" w:eastAsia="Times New Roman" w:hAnsi="Arial" w:cs="Times New Roman"/>
        </w:rPr>
        <w:t>our</w:t>
      </w:r>
      <w:r w:rsidR="000148EC">
        <w:rPr>
          <w:rFonts w:ascii="Arial" w:eastAsia="Times New Roman" w:hAnsi="Arial" w:cs="Times New Roman"/>
        </w:rPr>
        <w:t xml:space="preserve"> qualified assay </w:t>
      </w:r>
      <w:r>
        <w:rPr>
          <w:rFonts w:ascii="Arial" w:eastAsia="Times New Roman" w:hAnsi="Arial" w:cs="Times New Roman"/>
        </w:rPr>
        <w:t>is a considerable improvement over the</w:t>
      </w:r>
      <w:r w:rsidR="00CD2B55">
        <w:rPr>
          <w:rFonts w:ascii="Arial" w:eastAsia="Times New Roman" w:hAnsi="Arial" w:cs="Times New Roman"/>
        </w:rPr>
        <w:t xml:space="preserve"> </w:t>
      </w:r>
      <w:r w:rsidR="002F0445">
        <w:rPr>
          <w:rFonts w:ascii="Arial" w:eastAsia="Times New Roman" w:hAnsi="Arial" w:cs="Times New Roman"/>
        </w:rPr>
        <w:t>lowest</w:t>
      </w:r>
      <w:r w:rsidR="00F9297A">
        <w:rPr>
          <w:rFonts w:ascii="Arial" w:eastAsia="Times New Roman" w:hAnsi="Arial" w:cs="Times New Roman"/>
        </w:rPr>
        <w:t xml:space="preserve"> </w:t>
      </w:r>
      <w:r w:rsidR="00E82CD4">
        <w:rPr>
          <w:rFonts w:ascii="Arial" w:eastAsia="Times New Roman" w:hAnsi="Arial" w:cs="Times New Roman"/>
        </w:rPr>
        <w:t xml:space="preserve">LC-MS/MS </w:t>
      </w:r>
      <w:r w:rsidR="00F9297A">
        <w:rPr>
          <w:rFonts w:ascii="Arial" w:eastAsia="Times New Roman" w:hAnsi="Arial" w:cs="Times New Roman"/>
        </w:rPr>
        <w:t>LLOQ previously reported</w:t>
      </w:r>
      <w:r w:rsidR="00591934">
        <w:rPr>
          <w:rFonts w:ascii="Arial" w:eastAsia="Times New Roman" w:hAnsi="Arial" w:cs="Times New Roman"/>
        </w:rPr>
        <w:t xml:space="preserve"> </w:t>
      </w:r>
      <w:r w:rsidR="00F9297A">
        <w:rPr>
          <w:rFonts w:ascii="Arial" w:eastAsia="Times New Roman" w:hAnsi="Arial" w:cs="Times New Roman"/>
        </w:rPr>
        <w:t>(</w:t>
      </w:r>
      <w:r>
        <w:rPr>
          <w:rFonts w:ascii="Arial" w:eastAsia="Times New Roman" w:hAnsi="Arial" w:cs="Times New Roman"/>
        </w:rPr>
        <w:t>250 pg/mL</w:t>
      </w:r>
      <w:r w:rsidR="00F9297A">
        <w:rPr>
          <w:rFonts w:ascii="Arial" w:eastAsia="Times New Roman" w:hAnsi="Arial" w:cs="Times New Roman"/>
        </w:rPr>
        <w:t>)</w:t>
      </w:r>
      <w:r w:rsidR="00AA4E73">
        <w:rPr>
          <w:rFonts w:ascii="Arial" w:eastAsia="Times New Roman" w:hAnsi="Arial" w:cs="Times New Roman"/>
        </w:rPr>
        <w:t xml:space="preserve"> in the peer reviewed literature</w:t>
      </w:r>
      <w:r>
        <w:rPr>
          <w:rFonts w:ascii="Arial" w:eastAsia="Times New Roman" w:hAnsi="Arial" w:cs="Times New Roman"/>
        </w:rPr>
        <w:t xml:space="preserve"> </w:t>
      </w:r>
      <w:r w:rsidR="001B586C">
        <w:rPr>
          <w:rFonts w:ascii="Arial" w:hAnsi="Arial" w:cs="Arial"/>
        </w:rPr>
        <w:fldChar w:fldCharType="begin" w:fldLock="1"/>
      </w:r>
      <w:r w:rsidR="00261C24">
        <w:rPr>
          <w:rFonts w:ascii="Arial" w:hAnsi="Arial" w:cs="Arial"/>
        </w:rPr>
        <w:instrText>ADDIN CSL_CITATION { "citationItems" : [ { "id" : "ITEM-1", "itemData" : { "abstract" : "BACKGROUND: Bioanalysis of large molecules can be challenging on LC-MS/MS due to multiply charged and endogenous interferences. While high sensitivity triple quadrupole systems (QqQ) have been commercialized recently, high-resolution MS (HRMS) systems are also available. HRMS provides alternative analysis methods, but more costly and with sensitivity lower than MRM on QqQ. RESULTS: QqQ is generally operated at unit resolution; however, newer systems are able to practically tune to 'high resolution'. Therefore, the advantages of both higher sensitivity of MRM on QqQ and better specificity on HRMS can possibly be combined on a QqQ to meet bioanalysis needs. Glucagon and salmon calcitonin were successfully quantified in high-resolution with fast cycle time on AB Sciex TripleQuad\u2122 5500. LLOQ (S/N) was increased and interferences reduced. CONCLUSION: For large molecules, the bioanalysis methods developed using high resolution on the QqQ are validated and used in preclinical and clinical studies.", "author" : [ { "dropping-particle" : "", "family" : "Li YX, Hackman M", "given" : "Wang CY.", "non-dropping-particle" : "", "parse-names" : false, "suffix" : "" } ], "container-title" : "Bioanalysis", "id" : "ITEM-1", "issue" : "6", "issued" : { "date-parts" : [ [ "2012" ] ] }, "note" : "Read and annotated 8 May 2012.\n        \nUsed triple quad in high res mode. Allowed reduction in interferences and lowering of background noise and therefore lower LLOQ to be achieved than unit res.\n        \nCompromise betwee sensitivity in triple quad, and selectivity in high res MRM e.g offerered on 5600, Qtof.\n        \nGlucagon range, 0.25- 200 ng/mL. 5500 used.\n        \nPure ACN crash.\n        \nHPLC, 3\u00b5m, 5cm, with 1% FA in MeOH/ H20, and 15-95%B in 8 minute gradient. Elutes at 6min.", "page" : "685-691", "title" : "Quantitation of polypeptides (glucagon and salmon calcitonin) in plasma samples by 'high resolution' on a triple quadrupole mass spectrometer.", "type" : "article-journal", "volume" : "4" }, "uris" : [ "http://www.mendeley.com/documents/?uuid=e61b666a-1f8d-4701-8570-6ed1e7e1b5fa" ] } ], "mendeley" : { "previouslyFormattedCitation" : "[10]"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[10]</w:t>
      </w:r>
      <w:r w:rsidR="001B586C">
        <w:rPr>
          <w:rFonts w:ascii="Arial" w:hAnsi="Arial" w:cs="Arial"/>
        </w:rPr>
        <w:fldChar w:fldCharType="end"/>
      </w:r>
      <w:r w:rsidR="004C288B">
        <w:rPr>
          <w:rFonts w:ascii="Arial" w:hAnsi="Arial" w:cs="Arial"/>
        </w:rPr>
        <w:t>.</w:t>
      </w:r>
      <w:r w:rsidR="00D7595D">
        <w:rPr>
          <w:rFonts w:ascii="Arial" w:hAnsi="Arial" w:cs="Arial"/>
        </w:rPr>
        <w:t xml:space="preserve"> </w:t>
      </w:r>
      <w:r w:rsidR="00AD4C7D">
        <w:rPr>
          <w:rFonts w:ascii="Arial" w:hAnsi="Arial" w:cs="Arial"/>
        </w:rPr>
        <w:t>A</w:t>
      </w:r>
      <w:r w:rsidR="00D7595D">
        <w:rPr>
          <w:rFonts w:ascii="Arial" w:hAnsi="Arial" w:cs="Arial"/>
        </w:rPr>
        <w:t xml:space="preserve"> 10 pg/mL LLOQ has been reported </w:t>
      </w:r>
      <w:r w:rsidR="00AD4C7D">
        <w:rPr>
          <w:rFonts w:ascii="Arial" w:hAnsi="Arial" w:cs="Arial"/>
        </w:rPr>
        <w:t>in</w:t>
      </w:r>
      <w:r w:rsidR="00D7595D">
        <w:rPr>
          <w:rFonts w:ascii="Arial" w:hAnsi="Arial" w:cs="Arial"/>
        </w:rPr>
        <w:t xml:space="preserve"> a conference</w:t>
      </w:r>
      <w:r w:rsidR="00AD4C7D">
        <w:rPr>
          <w:rFonts w:ascii="Arial" w:hAnsi="Arial" w:cs="Arial"/>
        </w:rPr>
        <w:t xml:space="preserve"> presentation</w:t>
      </w:r>
      <w:r w:rsidR="00D7595D">
        <w:rPr>
          <w:rFonts w:ascii="Arial" w:hAnsi="Arial" w:cs="Arial"/>
        </w:rPr>
        <w:t xml:space="preserve"> </w:t>
      </w:r>
      <w:r w:rsidR="001B586C">
        <w:rPr>
          <w:rFonts w:ascii="Arial" w:hAnsi="Arial" w:cs="Arial"/>
        </w:rPr>
        <w:fldChar w:fldCharType="begin" w:fldLock="1"/>
      </w:r>
      <w:r w:rsidR="00261C24">
        <w:rPr>
          <w:rFonts w:ascii="Arial" w:hAnsi="Arial" w:cs="Arial"/>
        </w:rPr>
        <w:instrText>ADDIN CSL_CITATION { "citationItems" : [ { "id" : "ITEM-1", "itemData" : { "author" : [ { "dropping-particle" : "", "family" : "F. Garofolo, J. N. Mess, L. P. Morin, M. Aiello, X. Misonne, G. Impey, J. Cardenas", "given" : "J. Michon", "non-dropping-particle" : "", "parse-names" : false, "suffix" : "" } ], "container-title" : "2013 American Association of Pharmaceutical Scientists National Biotechnology Conference", "id" : "ITEM-1", "issued" : { "date-parts" : [ [ "0" ] ] }, "publisher-place" : "San Diego, CA, 20-22 May 2013", "title" : "Glucagon bioanalysis by LC\u2013MS: unprecedented level of sensitivity (10 pg/ml) for a novel formulation. Presented at:", "type" : "paper-conference" }, "uris" : [ "http://www.mendeley.com/documents/?uuid=ac50f8a6-6e8b-4cb7-bf49-0004f7b48574" ] } ], "mendeley" : { "previouslyFormattedCitation" : "[13]" }, "properties" : { "noteIndex" : 0 }, "schema" : "https://github.com/citation-style-language/schema/raw/master/csl-citation.json" }</w:instrText>
      </w:r>
      <w:r w:rsidR="001B586C">
        <w:rPr>
          <w:rFonts w:ascii="Arial" w:hAnsi="Arial" w:cs="Arial"/>
        </w:rPr>
        <w:fldChar w:fldCharType="separate"/>
      </w:r>
      <w:r w:rsidR="00EC3CF8" w:rsidRPr="00EC3CF8">
        <w:rPr>
          <w:rFonts w:ascii="Arial" w:hAnsi="Arial" w:cs="Arial"/>
          <w:noProof/>
        </w:rPr>
        <w:t>[13]</w:t>
      </w:r>
      <w:r w:rsidR="001B586C">
        <w:rPr>
          <w:rFonts w:ascii="Arial" w:hAnsi="Arial" w:cs="Arial"/>
        </w:rPr>
        <w:fldChar w:fldCharType="end"/>
      </w:r>
      <w:r w:rsidR="00D7595D">
        <w:rPr>
          <w:rFonts w:ascii="Arial" w:hAnsi="Arial" w:cs="Arial"/>
        </w:rPr>
        <w:t xml:space="preserve">, </w:t>
      </w:r>
      <w:r w:rsidR="002F0445">
        <w:rPr>
          <w:rFonts w:ascii="Arial" w:hAnsi="Arial" w:cs="Arial"/>
        </w:rPr>
        <w:t>using</w:t>
      </w:r>
      <w:r w:rsidR="00AD4C7D">
        <w:rPr>
          <w:rFonts w:ascii="Arial" w:hAnsi="Arial" w:cs="Arial"/>
        </w:rPr>
        <w:t xml:space="preserve"> a</w:t>
      </w:r>
      <w:r w:rsidR="00D7595D">
        <w:rPr>
          <w:rFonts w:ascii="Arial" w:hAnsi="Arial" w:cs="Arial"/>
        </w:rPr>
        <w:t xml:space="preserve"> highly sensitive </w:t>
      </w:r>
      <w:r w:rsidR="00AD4C7D">
        <w:rPr>
          <w:rFonts w:ascii="Arial" w:hAnsi="Arial" w:cs="Arial"/>
        </w:rPr>
        <w:t>QTRAP</w:t>
      </w:r>
      <w:r w:rsidR="00687BC0">
        <w:rPr>
          <w:rFonts w:ascii="Arial" w:hAnsi="Arial" w:cs="Arial"/>
        </w:rPr>
        <w:t xml:space="preserve"> mass spectrometer</w:t>
      </w:r>
      <w:r w:rsidR="000148EC">
        <w:rPr>
          <w:rFonts w:ascii="Arial" w:hAnsi="Arial" w:cs="Arial"/>
        </w:rPr>
        <w:t xml:space="preserve">. We were on occasion able to see </w:t>
      </w:r>
      <w:r w:rsidR="00A52B76">
        <w:rPr>
          <w:rFonts w:ascii="Arial" w:hAnsi="Arial" w:cs="Arial"/>
        </w:rPr>
        <w:t>such</w:t>
      </w:r>
      <w:r w:rsidR="000148EC">
        <w:rPr>
          <w:rFonts w:ascii="Arial" w:hAnsi="Arial" w:cs="Arial"/>
        </w:rPr>
        <w:t xml:space="preserve"> levels using </w:t>
      </w:r>
      <w:r w:rsidR="00A52B76">
        <w:rPr>
          <w:rFonts w:ascii="Arial" w:hAnsi="Arial" w:cs="Arial"/>
        </w:rPr>
        <w:t xml:space="preserve">our </w:t>
      </w:r>
      <w:r w:rsidR="000148EC">
        <w:rPr>
          <w:rFonts w:ascii="Arial" w:hAnsi="Arial" w:cs="Arial"/>
        </w:rPr>
        <w:t xml:space="preserve">instrument, although we </w:t>
      </w:r>
      <w:r w:rsidR="00CF1A83">
        <w:rPr>
          <w:rFonts w:ascii="Arial" w:hAnsi="Arial" w:cs="Arial"/>
        </w:rPr>
        <w:t xml:space="preserve">performed the qualification using a </w:t>
      </w:r>
      <w:r w:rsidR="000148EC">
        <w:rPr>
          <w:rFonts w:ascii="Arial" w:hAnsi="Arial" w:cs="Arial"/>
        </w:rPr>
        <w:t>a 25 pg/mL LLOQ to improve</w:t>
      </w:r>
      <w:r w:rsidR="00CF1A83">
        <w:rPr>
          <w:rFonts w:ascii="Arial" w:hAnsi="Arial" w:cs="Arial"/>
        </w:rPr>
        <w:t xml:space="preserve"> assay</w:t>
      </w:r>
      <w:r w:rsidR="000148EC">
        <w:rPr>
          <w:rFonts w:ascii="Arial" w:hAnsi="Arial" w:cs="Arial"/>
        </w:rPr>
        <w:t xml:space="preserve"> robustness</w:t>
      </w:r>
      <w:r w:rsidR="000E4E42">
        <w:rPr>
          <w:rFonts w:ascii="Arial" w:hAnsi="Arial" w:cs="Arial"/>
        </w:rPr>
        <w:t>. T</w:t>
      </w:r>
      <w:r w:rsidR="000E4E42" w:rsidRPr="000E4E42">
        <w:rPr>
          <w:rFonts w:ascii="Arial" w:hAnsi="Arial" w:cs="Arial"/>
        </w:rPr>
        <w:t xml:space="preserve">ransferring this assay on to a more modern instrument </w:t>
      </w:r>
      <w:r w:rsidR="008E5C87">
        <w:rPr>
          <w:rFonts w:ascii="Arial" w:hAnsi="Arial" w:cs="Arial"/>
        </w:rPr>
        <w:t>may</w:t>
      </w:r>
      <w:r w:rsidR="008E5C87" w:rsidRPr="000E4E42">
        <w:rPr>
          <w:rFonts w:ascii="Arial" w:hAnsi="Arial" w:cs="Arial"/>
        </w:rPr>
        <w:t xml:space="preserve"> </w:t>
      </w:r>
      <w:r w:rsidR="000E4E42" w:rsidRPr="000E4E42">
        <w:rPr>
          <w:rFonts w:ascii="Arial" w:hAnsi="Arial" w:cs="Arial"/>
        </w:rPr>
        <w:t>enable the LLOQ of 10 pg/mL to be achieved</w:t>
      </w:r>
      <w:r w:rsidR="005B6CE2">
        <w:rPr>
          <w:rFonts w:ascii="Arial" w:hAnsi="Arial" w:cs="Arial"/>
        </w:rPr>
        <w:t xml:space="preserve"> routinely. </w:t>
      </w:r>
      <w:r w:rsidR="00F9297A">
        <w:rPr>
          <w:rFonts w:ascii="Arial" w:hAnsi="Arial" w:cs="Arial"/>
        </w:rPr>
        <w:t xml:space="preserve">Our </w:t>
      </w:r>
      <w:r>
        <w:rPr>
          <w:rFonts w:ascii="Arial" w:hAnsi="Arial" w:cs="Arial"/>
        </w:rPr>
        <w:t>2D extraction procedure was key to achieving</w:t>
      </w:r>
      <w:r w:rsidR="00F9297A">
        <w:rPr>
          <w:rFonts w:ascii="Arial" w:hAnsi="Arial" w:cs="Arial"/>
        </w:rPr>
        <w:t xml:space="preserve"> such sensitivity, </w:t>
      </w:r>
      <w:r>
        <w:rPr>
          <w:rFonts w:ascii="Arial" w:hAnsi="Arial" w:cs="Arial"/>
        </w:rPr>
        <w:t xml:space="preserve">by reducing matrix suppression, background noise, and interferences. </w:t>
      </w:r>
      <w:r w:rsidR="002E470A">
        <w:rPr>
          <w:rFonts w:ascii="Arial" w:hAnsi="Arial" w:cs="Arial"/>
        </w:rPr>
        <w:t>To our knowledge this is the first time protein precipitation and size exclusion SPE have been combined for such a purpose for high throughput peptide analysis</w:t>
      </w:r>
      <w:r w:rsidR="00355189">
        <w:rPr>
          <w:rFonts w:ascii="Arial" w:hAnsi="Arial" w:cs="Arial"/>
        </w:rPr>
        <w:t xml:space="preserve">. </w:t>
      </w:r>
      <w:r w:rsidR="002E470A">
        <w:rPr>
          <w:rFonts w:ascii="Arial" w:hAnsi="Arial" w:cs="Arial"/>
        </w:rPr>
        <w:t>Our surrogate matrix approac</w:t>
      </w:r>
      <w:r w:rsidR="00355189">
        <w:rPr>
          <w:rFonts w:ascii="Arial" w:hAnsi="Arial" w:cs="Arial"/>
        </w:rPr>
        <w:t xml:space="preserve">h, using a mixture of non-extracted surrogate matrix </w:t>
      </w:r>
      <w:r w:rsidR="009F5602">
        <w:rPr>
          <w:rFonts w:ascii="Arial" w:hAnsi="Arial" w:cs="Arial"/>
        </w:rPr>
        <w:t xml:space="preserve">STDs and </w:t>
      </w:r>
      <w:r w:rsidR="00355189">
        <w:rPr>
          <w:rFonts w:ascii="Arial" w:hAnsi="Arial" w:cs="Arial"/>
        </w:rPr>
        <w:t xml:space="preserve">QCs and </w:t>
      </w:r>
      <w:r w:rsidR="009F5602">
        <w:rPr>
          <w:rFonts w:ascii="Arial" w:hAnsi="Arial" w:cs="Arial"/>
        </w:rPr>
        <w:t xml:space="preserve">extracted authentic matrix QCs, </w:t>
      </w:r>
      <w:r w:rsidR="00355189">
        <w:rPr>
          <w:rFonts w:ascii="Arial" w:hAnsi="Arial" w:cs="Arial"/>
        </w:rPr>
        <w:t>is also a novel strategy</w:t>
      </w:r>
      <w:r w:rsidR="009F5602">
        <w:rPr>
          <w:rFonts w:ascii="Arial" w:hAnsi="Arial" w:cs="Arial"/>
        </w:rPr>
        <w:t xml:space="preserve"> for endogenous peptide analysis</w:t>
      </w:r>
      <w:r w:rsidR="00355189">
        <w:rPr>
          <w:rFonts w:ascii="Arial" w:hAnsi="Arial" w:cs="Arial"/>
        </w:rPr>
        <w:t xml:space="preserve">. </w:t>
      </w:r>
    </w:p>
    <w:p w:rsidR="004C288B" w:rsidRDefault="00951501" w:rsidP="002278A3">
      <w:pPr>
        <w:spacing w:line="360" w:lineRule="auto"/>
        <w:jc w:val="both"/>
        <w:rPr>
          <w:rFonts w:ascii="Arial" w:hAnsi="Arial" w:cs="Arial"/>
        </w:rPr>
      </w:pPr>
      <w:r>
        <w:rPr>
          <w:rFonts w:ascii="Arial" w:hAnsi="Arial" w:cs="Arial"/>
        </w:rPr>
        <w:t>Bland-Altman analysis shows a mean positive bias of the LC/</w:t>
      </w:r>
      <w:r w:rsidR="00032432">
        <w:rPr>
          <w:rFonts w:ascii="Arial" w:hAnsi="Arial" w:cs="Arial"/>
        </w:rPr>
        <w:t xml:space="preserve">MS-MS </w:t>
      </w:r>
      <w:r w:rsidR="002E0909">
        <w:rPr>
          <w:rFonts w:ascii="Arial" w:hAnsi="Arial" w:cs="Arial"/>
        </w:rPr>
        <w:t>method</w:t>
      </w:r>
      <w:r w:rsidR="00032432">
        <w:rPr>
          <w:rFonts w:ascii="Arial" w:hAnsi="Arial" w:cs="Arial"/>
        </w:rPr>
        <w:t xml:space="preserve"> versus the RIA that </w:t>
      </w:r>
      <w:r>
        <w:rPr>
          <w:rFonts w:ascii="Arial" w:hAnsi="Arial" w:cs="Arial"/>
        </w:rPr>
        <w:t>appears to be a concentration-dependent, as would be expected if the</w:t>
      </w:r>
      <w:r w:rsidR="00C15CDD">
        <w:rPr>
          <w:rFonts w:ascii="Arial" w:hAnsi="Arial" w:cs="Arial"/>
        </w:rPr>
        <w:t xml:space="preserve"> RIA </w:t>
      </w:r>
      <w:r>
        <w:rPr>
          <w:rFonts w:ascii="Arial" w:hAnsi="Arial" w:cs="Arial"/>
        </w:rPr>
        <w:t>was suffering from the hook effect at higher concentrations. The</w:t>
      </w:r>
      <w:r w:rsidR="004C288B" w:rsidRPr="005E25B6">
        <w:rPr>
          <w:rFonts w:ascii="Arial" w:hAnsi="Arial" w:cs="Arial"/>
        </w:rPr>
        <w:t xml:space="preserve"> PK profiles</w:t>
      </w:r>
      <w:r>
        <w:rPr>
          <w:rFonts w:ascii="Arial" w:hAnsi="Arial" w:cs="Arial"/>
        </w:rPr>
        <w:t xml:space="preserve"> from both assays </w:t>
      </w:r>
      <w:r w:rsidR="004C288B" w:rsidRPr="005E25B6">
        <w:rPr>
          <w:rFonts w:ascii="Arial" w:hAnsi="Arial" w:cs="Arial"/>
        </w:rPr>
        <w:t>were similar shapes</w:t>
      </w:r>
      <w:r w:rsidR="00604337" w:rsidRPr="005E25B6">
        <w:rPr>
          <w:rFonts w:ascii="Arial" w:hAnsi="Arial" w:cs="Arial"/>
        </w:rPr>
        <w:t xml:space="preserve">, and </w:t>
      </w:r>
      <w:r w:rsidR="00C5472F" w:rsidRPr="005E25B6">
        <w:rPr>
          <w:rFonts w:ascii="Arial" w:hAnsi="Arial" w:cs="Arial"/>
        </w:rPr>
        <w:t>both</w:t>
      </w:r>
      <w:r w:rsidR="00604337" w:rsidRPr="005E25B6">
        <w:rPr>
          <w:rFonts w:ascii="Arial" w:hAnsi="Arial" w:cs="Arial"/>
        </w:rPr>
        <w:t xml:space="preserve"> profile</w:t>
      </w:r>
      <w:r w:rsidR="00C5472F" w:rsidRPr="005E25B6">
        <w:rPr>
          <w:rFonts w:ascii="Arial" w:hAnsi="Arial" w:cs="Arial"/>
        </w:rPr>
        <w:t>s</w:t>
      </w:r>
      <w:r w:rsidR="00604337" w:rsidRPr="005E25B6">
        <w:rPr>
          <w:rFonts w:ascii="Arial" w:hAnsi="Arial" w:cs="Arial"/>
        </w:rPr>
        <w:t xml:space="preserve"> fitted with the nature of the </w:t>
      </w:r>
      <w:r w:rsidR="00287BA0">
        <w:rPr>
          <w:rFonts w:ascii="Arial" w:eastAsia="Times New Roman" w:hAnsi="Arial" w:cs="Times New Roman"/>
        </w:rPr>
        <w:t xml:space="preserve">physiological study </w:t>
      </w:r>
      <w:r w:rsidR="00C5472F" w:rsidRPr="005E25B6">
        <w:rPr>
          <w:rFonts w:ascii="Arial" w:hAnsi="Arial" w:cs="Arial"/>
        </w:rPr>
        <w:t xml:space="preserve">suggesting </w:t>
      </w:r>
      <w:r w:rsidR="00EF248F" w:rsidRPr="005E25B6">
        <w:rPr>
          <w:rFonts w:ascii="Arial" w:hAnsi="Arial" w:cs="Arial"/>
        </w:rPr>
        <w:t>the methods are complementary.</w:t>
      </w:r>
    </w:p>
    <w:p w:rsidR="00067273" w:rsidRDefault="00067273" w:rsidP="00067273">
      <w:pPr>
        <w:pStyle w:val="TemplateText"/>
        <w:spacing w:line="360" w:lineRule="auto"/>
        <w:rPr>
          <w:rFonts w:cs="Arial"/>
        </w:rPr>
      </w:pPr>
      <w:r>
        <w:rPr>
          <w:rFonts w:cs="Arial"/>
        </w:rPr>
        <w:t xml:space="preserve">The assay‘s performance has been </w:t>
      </w:r>
      <w:r w:rsidR="00B81B35">
        <w:rPr>
          <w:rFonts w:cs="Arial"/>
        </w:rPr>
        <w:t>qualified</w:t>
      </w:r>
      <w:r w:rsidR="00591934">
        <w:rPr>
          <w:rFonts w:cs="Arial"/>
        </w:rPr>
        <w:t xml:space="preserve"> </w:t>
      </w:r>
      <w:r>
        <w:rPr>
          <w:rFonts w:cs="Arial"/>
        </w:rPr>
        <w:t xml:space="preserve">using experiments described in the latest EMA </w:t>
      </w:r>
      <w:r w:rsidR="001B586C" w:rsidRPr="00E777CA">
        <w:rPr>
          <w:rFonts w:cs="Arial"/>
        </w:rPr>
        <w:fldChar w:fldCharType="begin" w:fldLock="1"/>
      </w:r>
      <w:r w:rsidR="00261C24">
        <w:rPr>
          <w:rFonts w:cs="Arial"/>
        </w:rPr>
        <w:instrText>ADDIN CSL_CITATION { "citationItems" : [ { "id" : "ITEM-1", "itemData" : { "id" : "ITEM-1", "issued" : { "date-parts" : [ [ "2012" ] ] }, "title" : "Guideline on bioanalytical method validation, EMA", "type" : "article-journal" }, "uris" : [ "http://www.mendeley.com/documents/?uuid=62ca7abe-b29a-4685-966f-7b286a090e82" ] } ], "mendeley" : { "previouslyFormattedCitation" : "[17]" }, "properties" : { "noteIndex" : 0 }, "schema" : "https://github.com/citation-style-language/schema/raw/master/csl-citation.json" }</w:instrText>
      </w:r>
      <w:r w:rsidR="001B586C" w:rsidRPr="00E777CA">
        <w:rPr>
          <w:rFonts w:cs="Arial"/>
        </w:rPr>
        <w:fldChar w:fldCharType="separate"/>
      </w:r>
      <w:r w:rsidR="00EC3CF8" w:rsidRPr="00EC3CF8">
        <w:rPr>
          <w:rFonts w:cs="Arial"/>
          <w:noProof/>
        </w:rPr>
        <w:t>[17]</w:t>
      </w:r>
      <w:r w:rsidR="001B586C" w:rsidRPr="00E777CA">
        <w:rPr>
          <w:rFonts w:cs="Arial"/>
        </w:rPr>
        <w:fldChar w:fldCharType="end"/>
      </w:r>
      <w:r w:rsidR="009901C1">
        <w:rPr>
          <w:rFonts w:cs="Arial"/>
        </w:rPr>
        <w:t xml:space="preserve">  and FDA </w:t>
      </w:r>
      <w:r w:rsidR="001B586C" w:rsidRPr="00E777CA">
        <w:rPr>
          <w:rFonts w:cs="Arial"/>
        </w:rPr>
        <w:fldChar w:fldCharType="begin" w:fldLock="1"/>
      </w:r>
      <w:r w:rsidR="00261C24">
        <w:rPr>
          <w:rFonts w:cs="Arial"/>
        </w:rPr>
        <w:instrText>ADDIN CSL_CITATION { "citationItems" : [ { "id" : "ITEM-1", "itemData" : { "id" : "ITEM-1", "issued" : { "date-parts" : [ [ "2001" ] ] }, "publisher" : "U.S. Department of Health and Human Services, Food and Drug Administration, Center for Drug Evaluation and Research (CDER), Center for Veterinary Medicine (CVM), May 2001", "title" : "Guidance for industry: Bioanalytical method validation", "type" : "book" }, "uris" : [ "http://www.mendeley.com/documents/?uuid=bf5e78ab-9663-4318-9b1a-5c5edb08dd59" ] } ], "mendeley" : { "previouslyFormattedCitation" : "[16]" }, "properties" : { "noteIndex" : 0 }, "schema" : "https://github.com/citation-style-language/schema/raw/master/csl-citation.json" }</w:instrText>
      </w:r>
      <w:r w:rsidR="001B586C" w:rsidRPr="00E777CA">
        <w:rPr>
          <w:rFonts w:cs="Arial"/>
        </w:rPr>
        <w:fldChar w:fldCharType="separate"/>
      </w:r>
      <w:r w:rsidR="00EC3CF8" w:rsidRPr="00EC3CF8">
        <w:rPr>
          <w:rFonts w:cs="Arial"/>
          <w:noProof/>
        </w:rPr>
        <w:t>[16]</w:t>
      </w:r>
      <w:r w:rsidR="001B586C" w:rsidRPr="00E777CA">
        <w:rPr>
          <w:rFonts w:cs="Arial"/>
        </w:rPr>
        <w:fldChar w:fldCharType="end"/>
      </w:r>
      <w:r w:rsidR="009901C1">
        <w:rPr>
          <w:rFonts w:cs="Arial"/>
        </w:rPr>
        <w:t xml:space="preserve"> </w:t>
      </w:r>
      <w:r>
        <w:rPr>
          <w:rFonts w:cs="Arial"/>
        </w:rPr>
        <w:t xml:space="preserve">guidance and in accordance to the principles of GCP </w:t>
      </w:r>
      <w:r w:rsidR="001B586C" w:rsidRPr="005F04FB">
        <w:rPr>
          <w:rFonts w:cs="Arial"/>
        </w:rPr>
        <w:fldChar w:fldCharType="begin" w:fldLock="1"/>
      </w:r>
      <w:r w:rsidR="00261C24">
        <w:rPr>
          <w:rFonts w:cs="Arial"/>
        </w:rPr>
        <w:instrText>ADDIN CSL_CITATION { "citationItems" : [ { "id" : "ITEM-1", "itemData" : { "id" : "ITEM-1", "issued" : { "date-parts" : [ [ "1996" ] ] }, "publisher" : "European Medicines Agency", "title" : "International committee on harmonisation (ICH) guideline E6: Triparite guidelines for GCP, EMEA", "type" : "article-journal" }, "uris" : [ "http://www.mendeley.com/documents/?uuid=baa1f701-54db-4721-b4b8-7c0d2b72f182" ] } ], "mendeley" : { "previouslyFormattedCitation" : "[22]" }, "properties" : { "noteIndex" : 0 }, "schema" : "https://github.com/citation-style-language/schema/raw/master/csl-citation.json" }</w:instrText>
      </w:r>
      <w:r w:rsidR="001B586C" w:rsidRPr="005F04FB">
        <w:rPr>
          <w:rFonts w:cs="Arial"/>
        </w:rPr>
        <w:fldChar w:fldCharType="separate"/>
      </w:r>
      <w:r w:rsidR="00EC3CF8" w:rsidRPr="00EC3CF8">
        <w:rPr>
          <w:rFonts w:cs="Arial"/>
          <w:noProof/>
        </w:rPr>
        <w:t>[22]</w:t>
      </w:r>
      <w:r w:rsidR="001B586C" w:rsidRPr="005F04FB">
        <w:rPr>
          <w:rFonts w:cs="Arial"/>
        </w:rPr>
        <w:fldChar w:fldCharType="end"/>
      </w:r>
      <w:r>
        <w:rPr>
          <w:rFonts w:cs="Arial"/>
        </w:rPr>
        <w:t xml:space="preserve">. </w:t>
      </w:r>
    </w:p>
    <w:p w:rsidR="00EA4F71" w:rsidRDefault="00EA4F71" w:rsidP="00067273">
      <w:pPr>
        <w:pStyle w:val="TemplateText"/>
        <w:spacing w:line="360" w:lineRule="auto"/>
        <w:rPr>
          <w:rFonts w:cs="Arial"/>
        </w:rPr>
      </w:pPr>
    </w:p>
    <w:p w:rsidR="00EA4F71" w:rsidRDefault="00EA4F71">
      <w:pPr>
        <w:rPr>
          <w:rFonts w:ascii="Arial" w:hAnsi="Arial" w:cs="Arial"/>
          <w:b/>
          <w:sz w:val="24"/>
          <w:szCs w:val="24"/>
          <w:u w:val="single"/>
        </w:rPr>
      </w:pPr>
      <w:r>
        <w:rPr>
          <w:rFonts w:ascii="Arial" w:hAnsi="Arial" w:cs="Arial"/>
          <w:b/>
          <w:sz w:val="24"/>
          <w:szCs w:val="24"/>
          <w:u w:val="single"/>
        </w:rPr>
        <w:br w:type="page"/>
      </w:r>
    </w:p>
    <w:p w:rsidR="00EA4F71" w:rsidRDefault="00EA4F71" w:rsidP="00EA4F71">
      <w:pPr>
        <w:spacing w:line="360" w:lineRule="auto"/>
        <w:rPr>
          <w:rFonts w:ascii="Arial" w:hAnsi="Arial" w:cs="Arial"/>
          <w:b/>
          <w:sz w:val="24"/>
          <w:szCs w:val="24"/>
          <w:u w:val="single"/>
        </w:rPr>
      </w:pPr>
      <w:r>
        <w:rPr>
          <w:rFonts w:ascii="Arial" w:hAnsi="Arial" w:cs="Arial"/>
          <w:b/>
          <w:sz w:val="24"/>
          <w:szCs w:val="24"/>
          <w:u w:val="single"/>
        </w:rPr>
        <w:t>Executive Summary</w:t>
      </w:r>
    </w:p>
    <w:p w:rsidR="00EA4F71" w:rsidRPr="00644160" w:rsidRDefault="00EA4F71" w:rsidP="00EA4F71">
      <w:pPr>
        <w:spacing w:line="360" w:lineRule="auto"/>
        <w:rPr>
          <w:rFonts w:ascii="Arial" w:hAnsi="Arial" w:cs="Arial"/>
          <w:b/>
          <w:u w:val="single"/>
        </w:rPr>
      </w:pPr>
      <w:r w:rsidRPr="00644160">
        <w:rPr>
          <w:rFonts w:ascii="Arial" w:hAnsi="Arial" w:cs="Arial"/>
          <w:b/>
          <w:u w:val="single"/>
        </w:rPr>
        <w:t>Introduction</w:t>
      </w:r>
    </w:p>
    <w:p w:rsidR="00EA4F71" w:rsidRDefault="00EA4F71" w:rsidP="00484FBA">
      <w:pPr>
        <w:pStyle w:val="ListParagraph"/>
        <w:numPr>
          <w:ilvl w:val="0"/>
          <w:numId w:val="29"/>
        </w:numPr>
        <w:spacing w:line="360" w:lineRule="auto"/>
        <w:jc w:val="both"/>
        <w:rPr>
          <w:rFonts w:ascii="Arial" w:hAnsi="Arial" w:cs="Arial"/>
        </w:rPr>
      </w:pPr>
      <w:r>
        <w:rPr>
          <w:rFonts w:ascii="Arial" w:hAnsi="Arial" w:cs="Arial"/>
        </w:rPr>
        <w:t>P</w:t>
      </w:r>
      <w:r w:rsidRPr="00215097">
        <w:rPr>
          <w:rFonts w:ascii="Arial" w:hAnsi="Arial" w:cs="Arial"/>
        </w:rPr>
        <w:t>ublished LC-MS/MS methods are not sensitive enough to quantify endogenous levels of glucagon</w:t>
      </w:r>
      <w:r>
        <w:rPr>
          <w:rFonts w:ascii="Arial" w:hAnsi="Arial" w:cs="Arial"/>
        </w:rPr>
        <w:t>.</w:t>
      </w:r>
    </w:p>
    <w:p w:rsidR="00EA4F71" w:rsidRDefault="00EA4F71" w:rsidP="00484FBA">
      <w:pPr>
        <w:pStyle w:val="ListParagraph"/>
        <w:numPr>
          <w:ilvl w:val="0"/>
          <w:numId w:val="29"/>
        </w:numPr>
        <w:spacing w:line="360" w:lineRule="auto"/>
        <w:jc w:val="both"/>
        <w:rPr>
          <w:rFonts w:ascii="Arial" w:hAnsi="Arial" w:cs="Arial"/>
        </w:rPr>
      </w:pPr>
      <w:r w:rsidRPr="00EA4F71">
        <w:rPr>
          <w:rFonts w:ascii="Arial" w:hAnsi="Arial" w:cs="Arial"/>
        </w:rPr>
        <w:t>Endogenous compounds, such as glucagon, can be quantified using</w:t>
      </w:r>
      <w:r>
        <w:rPr>
          <w:rFonts w:ascii="Arial" w:hAnsi="Arial" w:cs="Arial"/>
        </w:rPr>
        <w:t xml:space="preserve"> either</w:t>
      </w:r>
      <w:r w:rsidRPr="00EA4F71">
        <w:rPr>
          <w:rFonts w:ascii="Arial" w:hAnsi="Arial" w:cs="Arial"/>
        </w:rPr>
        <w:t xml:space="preserve"> a standard addition, surrogate analyte, or a surrogate matrix approach</w:t>
      </w:r>
      <w:r w:rsidR="00B428A6">
        <w:rPr>
          <w:rFonts w:ascii="Arial" w:hAnsi="Arial" w:cs="Arial"/>
        </w:rPr>
        <w:t>.</w:t>
      </w:r>
    </w:p>
    <w:p w:rsidR="00EA4F71" w:rsidRDefault="00644160" w:rsidP="00484FBA">
      <w:pPr>
        <w:pStyle w:val="ListParagraph"/>
        <w:numPr>
          <w:ilvl w:val="0"/>
          <w:numId w:val="29"/>
        </w:numPr>
        <w:spacing w:line="360" w:lineRule="auto"/>
        <w:jc w:val="both"/>
        <w:rPr>
          <w:rFonts w:ascii="Arial" w:hAnsi="Arial" w:cs="Arial"/>
        </w:rPr>
      </w:pPr>
      <w:r>
        <w:rPr>
          <w:rFonts w:ascii="Arial" w:hAnsi="Arial" w:cs="Arial"/>
        </w:rPr>
        <w:t>We favoured the</w:t>
      </w:r>
      <w:r w:rsidR="00EA4F71">
        <w:rPr>
          <w:rFonts w:ascii="Arial" w:hAnsi="Arial" w:cs="Arial"/>
        </w:rPr>
        <w:t xml:space="preserve"> surrogate matrix approach as it avoids extrapolation and is </w:t>
      </w:r>
      <w:r w:rsidR="0032369E">
        <w:rPr>
          <w:rFonts w:ascii="Arial" w:hAnsi="Arial" w:cs="Arial"/>
        </w:rPr>
        <w:t xml:space="preserve">described </w:t>
      </w:r>
      <w:r w:rsidR="00EA4F71">
        <w:rPr>
          <w:rFonts w:ascii="Arial" w:hAnsi="Arial" w:cs="Arial"/>
        </w:rPr>
        <w:t xml:space="preserve">in the </w:t>
      </w:r>
      <w:r w:rsidR="00EA4F71" w:rsidRPr="00E777CA">
        <w:rPr>
          <w:rFonts w:ascii="Arial" w:hAnsi="Arial" w:cs="Arial"/>
        </w:rPr>
        <w:t>EMA Guideline on bioanalytical method validation</w:t>
      </w:r>
      <w:r w:rsidR="00EA4F71">
        <w:rPr>
          <w:rFonts w:ascii="Arial" w:hAnsi="Arial" w:cs="Arial"/>
        </w:rPr>
        <w:t>.</w:t>
      </w:r>
    </w:p>
    <w:p w:rsidR="00EA4F71" w:rsidRPr="00644160" w:rsidRDefault="00EA4F71" w:rsidP="00EA4F71">
      <w:pPr>
        <w:spacing w:line="360" w:lineRule="auto"/>
        <w:rPr>
          <w:rFonts w:ascii="Arial" w:hAnsi="Arial" w:cs="Arial"/>
          <w:b/>
          <w:u w:val="single"/>
        </w:rPr>
      </w:pPr>
      <w:r w:rsidRPr="00644160">
        <w:rPr>
          <w:rFonts w:ascii="Arial" w:hAnsi="Arial" w:cs="Arial"/>
          <w:b/>
          <w:u w:val="single"/>
        </w:rPr>
        <w:t>Results and Discussion</w:t>
      </w:r>
    </w:p>
    <w:p w:rsidR="00EA4F71" w:rsidRPr="00B428A6" w:rsidRDefault="00EA4F71" w:rsidP="00EA4F71">
      <w:pPr>
        <w:spacing w:line="360" w:lineRule="auto"/>
        <w:rPr>
          <w:rFonts w:ascii="Arial" w:hAnsi="Arial" w:cs="Arial"/>
          <w:i/>
          <w:u w:val="single"/>
        </w:rPr>
      </w:pPr>
      <w:r w:rsidRPr="00B428A6">
        <w:rPr>
          <w:rFonts w:ascii="Arial" w:hAnsi="Arial" w:cs="Arial"/>
          <w:i/>
          <w:u w:val="single"/>
        </w:rPr>
        <w:t>Method development</w:t>
      </w:r>
    </w:p>
    <w:p w:rsidR="00063F26" w:rsidRPr="00063F26" w:rsidRDefault="00455E6A" w:rsidP="00484FBA">
      <w:pPr>
        <w:pStyle w:val="ListParagraph"/>
        <w:numPr>
          <w:ilvl w:val="0"/>
          <w:numId w:val="31"/>
        </w:numPr>
        <w:spacing w:line="360" w:lineRule="auto"/>
        <w:jc w:val="both"/>
        <w:rPr>
          <w:rFonts w:ascii="Arial" w:hAnsi="Arial" w:cs="Arial"/>
          <w:b/>
          <w:sz w:val="24"/>
          <w:szCs w:val="24"/>
          <w:u w:val="single"/>
        </w:rPr>
      </w:pPr>
      <w:r w:rsidRPr="0020538A">
        <w:rPr>
          <w:rFonts w:ascii="Arial" w:hAnsi="Arial" w:cs="Arial"/>
        </w:rPr>
        <w:t>Extensive o</w:t>
      </w:r>
      <w:r w:rsidR="00063F26" w:rsidRPr="0020538A">
        <w:rPr>
          <w:rFonts w:ascii="Arial" w:hAnsi="Arial" w:cs="Arial"/>
        </w:rPr>
        <w:t xml:space="preserve">ptimisation </w:t>
      </w:r>
      <w:r w:rsidR="00AA5445">
        <w:rPr>
          <w:rFonts w:ascii="Arial" w:hAnsi="Arial" w:cs="Arial"/>
        </w:rPr>
        <w:t xml:space="preserve">has generated </w:t>
      </w:r>
      <w:r>
        <w:rPr>
          <w:rFonts w:ascii="Arial" w:hAnsi="Arial" w:cs="Arial"/>
        </w:rPr>
        <w:t xml:space="preserve">the most </w:t>
      </w:r>
      <w:r w:rsidR="00063F26">
        <w:rPr>
          <w:rFonts w:ascii="Arial" w:hAnsi="Arial" w:cs="Arial"/>
        </w:rPr>
        <w:t>sensitive</w:t>
      </w:r>
      <w:r w:rsidR="00B54AAC">
        <w:rPr>
          <w:rFonts w:ascii="Arial" w:hAnsi="Arial" w:cs="Arial"/>
        </w:rPr>
        <w:t xml:space="preserve"> LC-MS/MS</w:t>
      </w:r>
      <w:r w:rsidR="00063F26">
        <w:rPr>
          <w:rFonts w:ascii="Arial" w:hAnsi="Arial" w:cs="Arial"/>
        </w:rPr>
        <w:t xml:space="preserve"> method</w:t>
      </w:r>
      <w:r>
        <w:rPr>
          <w:rFonts w:ascii="Arial" w:hAnsi="Arial" w:cs="Arial"/>
        </w:rPr>
        <w:t xml:space="preserve"> for glucagon quantitation in the peer reviewed literature</w:t>
      </w:r>
      <w:r w:rsidR="00644160">
        <w:rPr>
          <w:rFonts w:ascii="Arial" w:hAnsi="Arial" w:cs="Arial"/>
        </w:rPr>
        <w:t>.</w:t>
      </w:r>
    </w:p>
    <w:p w:rsidR="00063F26" w:rsidRPr="00063F26" w:rsidRDefault="00EA4F71" w:rsidP="00484FBA">
      <w:pPr>
        <w:pStyle w:val="ListParagraph"/>
        <w:numPr>
          <w:ilvl w:val="0"/>
          <w:numId w:val="31"/>
        </w:numPr>
        <w:spacing w:line="360" w:lineRule="auto"/>
        <w:jc w:val="both"/>
        <w:rPr>
          <w:rFonts w:ascii="Arial" w:hAnsi="Arial" w:cs="Arial"/>
          <w:b/>
          <w:u w:val="single"/>
        </w:rPr>
      </w:pPr>
      <w:r w:rsidRPr="00063F26">
        <w:rPr>
          <w:rFonts w:ascii="Arial" w:hAnsi="Arial" w:cs="Arial"/>
        </w:rPr>
        <w:t>A novel 2D extraction technique, combining</w:t>
      </w:r>
      <w:r w:rsidR="00063F26" w:rsidRPr="00063F26">
        <w:rPr>
          <w:rFonts w:ascii="Arial" w:hAnsi="Arial" w:cs="Arial"/>
        </w:rPr>
        <w:t xml:space="preserve"> protein precipitation with size exclusion hydrophobic (SEH) SPE, </w:t>
      </w:r>
      <w:r w:rsidR="00063F26">
        <w:rPr>
          <w:rFonts w:ascii="Arial" w:hAnsi="Arial" w:cs="Arial"/>
        </w:rPr>
        <w:t>was key to achieving such sensitivity, by reducing matrix suppression, background noise, and interferences</w:t>
      </w:r>
      <w:r w:rsidR="00644160">
        <w:rPr>
          <w:rFonts w:ascii="Arial" w:hAnsi="Arial" w:cs="Arial"/>
        </w:rPr>
        <w:t>.</w:t>
      </w:r>
    </w:p>
    <w:p w:rsidR="002E49E7" w:rsidRPr="002E49E7" w:rsidRDefault="00B428A6" w:rsidP="00484FBA">
      <w:pPr>
        <w:pStyle w:val="ListParagraph"/>
        <w:numPr>
          <w:ilvl w:val="0"/>
          <w:numId w:val="31"/>
        </w:numPr>
        <w:spacing w:line="360" w:lineRule="auto"/>
        <w:jc w:val="both"/>
        <w:rPr>
          <w:rFonts w:ascii="Arial" w:hAnsi="Arial" w:cs="Arial"/>
          <w:b/>
          <w:u w:val="single"/>
        </w:rPr>
      </w:pPr>
      <w:r>
        <w:rPr>
          <w:rFonts w:ascii="Arial" w:hAnsi="Arial" w:cs="Arial"/>
        </w:rPr>
        <w:t>Quantitation use</w:t>
      </w:r>
      <w:r w:rsidR="00426EDC">
        <w:rPr>
          <w:rFonts w:ascii="Arial" w:hAnsi="Arial" w:cs="Arial"/>
        </w:rPr>
        <w:t>d</w:t>
      </w:r>
      <w:r w:rsidR="00063F26">
        <w:rPr>
          <w:rFonts w:ascii="Arial" w:hAnsi="Arial" w:cs="Arial"/>
        </w:rPr>
        <w:t xml:space="preserve"> a mixture of non-extracted surrogate matrix STDs and QCs and </w:t>
      </w:r>
      <w:r w:rsidR="00455E6A">
        <w:rPr>
          <w:rFonts w:ascii="Arial" w:hAnsi="Arial" w:cs="Arial"/>
        </w:rPr>
        <w:t xml:space="preserve">extracted authentic matrix QCs. Such approach </w:t>
      </w:r>
      <w:r w:rsidR="00063F26">
        <w:rPr>
          <w:rFonts w:ascii="Arial" w:hAnsi="Arial" w:cs="Arial"/>
        </w:rPr>
        <w:t>is a novel strategy for endogenous peptide analysis.</w:t>
      </w:r>
    </w:p>
    <w:p w:rsidR="002E49E7" w:rsidRPr="002E49E7" w:rsidRDefault="002E49E7" w:rsidP="002E49E7">
      <w:pPr>
        <w:pStyle w:val="ListParagraph"/>
        <w:spacing w:line="360" w:lineRule="auto"/>
        <w:rPr>
          <w:rFonts w:ascii="Arial" w:hAnsi="Arial" w:cs="Arial"/>
          <w:b/>
          <w:u w:val="single"/>
        </w:rPr>
      </w:pPr>
    </w:p>
    <w:p w:rsidR="002E49E7" w:rsidRPr="00B428A6" w:rsidRDefault="002E49E7" w:rsidP="00361B63">
      <w:pPr>
        <w:spacing w:line="360" w:lineRule="auto"/>
        <w:rPr>
          <w:rFonts w:ascii="Arial" w:hAnsi="Arial" w:cs="Arial"/>
          <w:i/>
          <w:u w:val="single"/>
        </w:rPr>
      </w:pPr>
      <w:r w:rsidRPr="00B428A6">
        <w:rPr>
          <w:rFonts w:ascii="Arial" w:hAnsi="Arial" w:cs="Arial"/>
          <w:i/>
          <w:u w:val="single"/>
        </w:rPr>
        <w:t>Validation</w:t>
      </w:r>
    </w:p>
    <w:p w:rsidR="002E49E7" w:rsidRDefault="002E49E7" w:rsidP="00484FBA">
      <w:pPr>
        <w:pStyle w:val="ListParagraph"/>
        <w:numPr>
          <w:ilvl w:val="0"/>
          <w:numId w:val="31"/>
        </w:numPr>
        <w:spacing w:line="360" w:lineRule="auto"/>
        <w:jc w:val="both"/>
        <w:rPr>
          <w:rFonts w:ascii="Arial" w:hAnsi="Arial" w:cs="Arial"/>
        </w:rPr>
      </w:pPr>
      <w:r w:rsidRPr="00455E6A">
        <w:rPr>
          <w:rFonts w:ascii="Arial" w:hAnsi="Arial" w:cs="Arial"/>
        </w:rPr>
        <w:t>Validation experiments</w:t>
      </w:r>
      <w:r w:rsidR="0020538A">
        <w:rPr>
          <w:rFonts w:ascii="Arial" w:hAnsi="Arial" w:cs="Arial"/>
        </w:rPr>
        <w:t xml:space="preserve"> performed</w:t>
      </w:r>
      <w:r w:rsidRPr="00455E6A">
        <w:rPr>
          <w:rFonts w:ascii="Arial" w:hAnsi="Arial" w:cs="Arial"/>
        </w:rPr>
        <w:t xml:space="preserve"> were based on those described in the latest EMA and FDA guidelines.</w:t>
      </w:r>
    </w:p>
    <w:p w:rsidR="00644160" w:rsidRDefault="00644160" w:rsidP="00484FBA">
      <w:pPr>
        <w:pStyle w:val="ListParagraph"/>
        <w:numPr>
          <w:ilvl w:val="0"/>
          <w:numId w:val="31"/>
        </w:numPr>
        <w:spacing w:line="360" w:lineRule="auto"/>
        <w:jc w:val="both"/>
        <w:rPr>
          <w:rFonts w:ascii="Arial" w:hAnsi="Arial" w:cs="Arial"/>
        </w:rPr>
      </w:pPr>
      <w:r>
        <w:rPr>
          <w:rFonts w:ascii="Arial" w:hAnsi="Arial" w:cs="Arial"/>
        </w:rPr>
        <w:t>Most experiments, including t</w:t>
      </w:r>
      <w:r w:rsidR="00455E6A">
        <w:rPr>
          <w:rFonts w:ascii="Arial" w:hAnsi="Arial" w:cs="Arial"/>
        </w:rPr>
        <w:t xml:space="preserve">he precision and accuracy of the method, </w:t>
      </w:r>
      <w:r>
        <w:rPr>
          <w:rFonts w:ascii="Arial" w:hAnsi="Arial" w:cs="Arial"/>
        </w:rPr>
        <w:t>were within the prospectively defined acceptance criteria.</w:t>
      </w:r>
    </w:p>
    <w:p w:rsidR="00426EDC" w:rsidRDefault="00644160" w:rsidP="00484FBA">
      <w:pPr>
        <w:pStyle w:val="ListParagraph"/>
        <w:numPr>
          <w:ilvl w:val="0"/>
          <w:numId w:val="31"/>
        </w:numPr>
        <w:spacing w:line="360" w:lineRule="auto"/>
        <w:jc w:val="both"/>
        <w:rPr>
          <w:rFonts w:ascii="Arial" w:hAnsi="Arial" w:cs="Arial"/>
        </w:rPr>
      </w:pPr>
      <w:r>
        <w:rPr>
          <w:rFonts w:ascii="Arial" w:hAnsi="Arial" w:cs="Arial"/>
        </w:rPr>
        <w:t>However, a degree of plasma sample instability was apparent, and</w:t>
      </w:r>
      <w:r w:rsidR="00426EDC">
        <w:rPr>
          <w:rFonts w:ascii="Arial" w:hAnsi="Arial" w:cs="Arial"/>
        </w:rPr>
        <w:t xml:space="preserve"> it</w:t>
      </w:r>
      <w:r>
        <w:rPr>
          <w:rFonts w:ascii="Arial" w:hAnsi="Arial" w:cs="Arial"/>
        </w:rPr>
        <w:t xml:space="preserve"> fell outside of our prospectively defined acceptance criteria. </w:t>
      </w:r>
    </w:p>
    <w:p w:rsidR="00644160" w:rsidRPr="00361B63" w:rsidRDefault="00644160" w:rsidP="00484FBA">
      <w:pPr>
        <w:pStyle w:val="ListParagraph"/>
        <w:numPr>
          <w:ilvl w:val="0"/>
          <w:numId w:val="31"/>
        </w:numPr>
        <w:spacing w:line="360" w:lineRule="auto"/>
        <w:jc w:val="both"/>
        <w:rPr>
          <w:rFonts w:ascii="Arial" w:hAnsi="Arial" w:cs="Arial"/>
        </w:rPr>
      </w:pPr>
      <w:r>
        <w:rPr>
          <w:rFonts w:ascii="Arial" w:hAnsi="Arial" w:cs="Arial"/>
        </w:rPr>
        <w:t>The assay is therefore described as qualified</w:t>
      </w:r>
      <w:r w:rsidR="00361B63">
        <w:rPr>
          <w:rFonts w:ascii="Arial" w:hAnsi="Arial" w:cs="Arial"/>
        </w:rPr>
        <w:t>, over the range 25 – 1000 pg/mL, rather</w:t>
      </w:r>
      <w:r w:rsidR="00D468D6">
        <w:rPr>
          <w:rFonts w:ascii="Arial" w:hAnsi="Arial" w:cs="Arial"/>
        </w:rPr>
        <w:t xml:space="preserve"> than validated</w:t>
      </w:r>
      <w:r w:rsidR="00484FBA">
        <w:rPr>
          <w:rFonts w:ascii="Arial" w:hAnsi="Arial" w:cs="Arial"/>
        </w:rPr>
        <w:t xml:space="preserve">. The assay will however </w:t>
      </w:r>
      <w:r w:rsidR="00D468D6">
        <w:rPr>
          <w:rFonts w:ascii="Arial" w:hAnsi="Arial" w:cs="Arial"/>
        </w:rPr>
        <w:t>be fit-for-purpose for many applications.</w:t>
      </w:r>
    </w:p>
    <w:p w:rsidR="00361B63" w:rsidRDefault="00361B63" w:rsidP="00361B63">
      <w:pPr>
        <w:spacing w:line="360" w:lineRule="auto"/>
        <w:rPr>
          <w:rFonts w:ascii="Arial" w:hAnsi="Arial" w:cs="Arial"/>
          <w:b/>
          <w:u w:val="single"/>
        </w:rPr>
      </w:pPr>
    </w:p>
    <w:p w:rsidR="00361B63" w:rsidRDefault="00361B63">
      <w:pPr>
        <w:rPr>
          <w:rFonts w:ascii="Arial" w:hAnsi="Arial" w:cs="Arial"/>
          <w:b/>
          <w:u w:val="single"/>
        </w:rPr>
      </w:pPr>
      <w:r>
        <w:rPr>
          <w:rFonts w:ascii="Arial" w:hAnsi="Arial" w:cs="Arial"/>
          <w:b/>
          <w:u w:val="single"/>
        </w:rPr>
        <w:br w:type="page"/>
      </w:r>
    </w:p>
    <w:p w:rsidR="00644160" w:rsidRPr="00B428A6" w:rsidRDefault="00644160" w:rsidP="00361B63">
      <w:pPr>
        <w:spacing w:line="360" w:lineRule="auto"/>
        <w:rPr>
          <w:rFonts w:ascii="Arial" w:hAnsi="Arial" w:cs="Arial"/>
          <w:i/>
          <w:u w:val="single"/>
        </w:rPr>
      </w:pPr>
      <w:r w:rsidRPr="00B428A6">
        <w:rPr>
          <w:rFonts w:ascii="Arial" w:hAnsi="Arial" w:cs="Arial"/>
          <w:i/>
          <w:u w:val="single"/>
        </w:rPr>
        <w:t>Using the qualified LC-MS/MS method to assess endogenous glucagon concentrations from volunteers</w:t>
      </w:r>
    </w:p>
    <w:p w:rsidR="00361B63" w:rsidRDefault="00361B63" w:rsidP="00484FBA">
      <w:pPr>
        <w:pStyle w:val="ListParagraph"/>
        <w:numPr>
          <w:ilvl w:val="0"/>
          <w:numId w:val="31"/>
        </w:numPr>
        <w:spacing w:line="360" w:lineRule="auto"/>
        <w:jc w:val="both"/>
        <w:rPr>
          <w:rFonts w:ascii="Arial" w:hAnsi="Arial" w:cs="Arial"/>
        </w:rPr>
      </w:pPr>
      <w:r>
        <w:rPr>
          <w:rFonts w:ascii="Arial" w:hAnsi="Arial" w:cs="Arial"/>
        </w:rPr>
        <w:t>Glucagon levels in healthy volunteers measured by LC-MS/MS showed good agreement with literature values determined by RIA.</w:t>
      </w:r>
    </w:p>
    <w:p w:rsidR="00361B63" w:rsidRDefault="00361B63" w:rsidP="00484FBA">
      <w:pPr>
        <w:pStyle w:val="ListParagraph"/>
        <w:numPr>
          <w:ilvl w:val="0"/>
          <w:numId w:val="31"/>
        </w:numPr>
        <w:spacing w:line="360" w:lineRule="auto"/>
        <w:jc w:val="both"/>
        <w:rPr>
          <w:rFonts w:ascii="Arial" w:hAnsi="Arial" w:cs="Arial"/>
        </w:rPr>
      </w:pPr>
      <w:r>
        <w:rPr>
          <w:rFonts w:ascii="Arial" w:hAnsi="Arial" w:cs="Arial"/>
        </w:rPr>
        <w:t xml:space="preserve">Assessment of assay performance at the </w:t>
      </w:r>
      <w:r>
        <w:rPr>
          <w:rFonts w:ascii="Arial" w:eastAsia="Times New Roman" w:hAnsi="Arial" w:cs="Times New Roman"/>
        </w:rPr>
        <w:t>10 and 15 pg/mL levels allowed the assay LLOQ to be lowered</w:t>
      </w:r>
      <w:r w:rsidR="00B428A6">
        <w:rPr>
          <w:rFonts w:ascii="Arial" w:eastAsia="Times New Roman" w:hAnsi="Arial" w:cs="Times New Roman"/>
        </w:rPr>
        <w:t xml:space="preserve"> from 25 pg/mL</w:t>
      </w:r>
      <w:r>
        <w:rPr>
          <w:rFonts w:ascii="Arial" w:eastAsia="Times New Roman" w:hAnsi="Arial" w:cs="Times New Roman"/>
        </w:rPr>
        <w:t xml:space="preserve"> on a batch to batch basis.</w:t>
      </w:r>
    </w:p>
    <w:p w:rsidR="00644160" w:rsidRDefault="00361B63" w:rsidP="00484FBA">
      <w:pPr>
        <w:pStyle w:val="ListParagraph"/>
        <w:numPr>
          <w:ilvl w:val="0"/>
          <w:numId w:val="31"/>
        </w:numPr>
        <w:spacing w:line="360" w:lineRule="auto"/>
        <w:jc w:val="both"/>
        <w:rPr>
          <w:rFonts w:ascii="Arial" w:hAnsi="Arial" w:cs="Arial"/>
        </w:rPr>
      </w:pPr>
      <w:r>
        <w:rPr>
          <w:rFonts w:ascii="Arial" w:hAnsi="Arial" w:cs="Arial"/>
        </w:rPr>
        <w:t>Reproducible quantitation at the endogenous glucagon level was demonstrated.</w:t>
      </w:r>
    </w:p>
    <w:p w:rsidR="00361B63" w:rsidRDefault="00361B63" w:rsidP="00361B63">
      <w:pPr>
        <w:pStyle w:val="ListParagraph"/>
        <w:spacing w:line="360" w:lineRule="auto"/>
        <w:rPr>
          <w:rFonts w:ascii="Arial" w:hAnsi="Arial" w:cs="Arial"/>
        </w:rPr>
      </w:pPr>
    </w:p>
    <w:p w:rsidR="00361B63" w:rsidRPr="00B428A6" w:rsidRDefault="00361B63" w:rsidP="00B428A6">
      <w:pPr>
        <w:spacing w:line="360" w:lineRule="auto"/>
        <w:rPr>
          <w:rFonts w:ascii="Arial" w:hAnsi="Arial" w:cs="Arial"/>
          <w:i/>
          <w:u w:val="single"/>
        </w:rPr>
      </w:pPr>
      <w:r w:rsidRPr="00B428A6">
        <w:rPr>
          <w:rFonts w:ascii="Arial" w:hAnsi="Arial" w:cs="Arial"/>
          <w:i/>
          <w:u w:val="single"/>
        </w:rPr>
        <w:t>LC-MS/MS vs. RIA assays for physiological study samples</w:t>
      </w:r>
    </w:p>
    <w:p w:rsidR="00644160" w:rsidRPr="00B428A6" w:rsidRDefault="00B428A6" w:rsidP="00484FBA">
      <w:pPr>
        <w:pStyle w:val="ListParagraph"/>
        <w:numPr>
          <w:ilvl w:val="0"/>
          <w:numId w:val="32"/>
        </w:numPr>
        <w:spacing w:line="360" w:lineRule="auto"/>
        <w:jc w:val="both"/>
        <w:rPr>
          <w:rFonts w:ascii="Arial" w:hAnsi="Arial" w:cs="Arial"/>
        </w:rPr>
      </w:pPr>
      <w:r w:rsidRPr="00B428A6">
        <w:rPr>
          <w:rFonts w:ascii="Arial" w:hAnsi="Arial" w:cs="Arial"/>
        </w:rPr>
        <w:t>Bland-Altman analysis shows a concentration-dependent positive bias of the LC/MS-MS assay versus an RIA, with a mean bias of +45.06 pg/mL</w:t>
      </w:r>
    </w:p>
    <w:p w:rsidR="00B428A6" w:rsidRPr="00B428A6" w:rsidRDefault="00B428A6" w:rsidP="00AA5445">
      <w:pPr>
        <w:pStyle w:val="ListParagraph"/>
        <w:numPr>
          <w:ilvl w:val="0"/>
          <w:numId w:val="32"/>
        </w:numPr>
        <w:spacing w:line="360" w:lineRule="auto"/>
        <w:jc w:val="both"/>
        <w:rPr>
          <w:rFonts w:ascii="Arial" w:hAnsi="Arial" w:cs="Arial"/>
        </w:rPr>
      </w:pPr>
      <w:r w:rsidRPr="00B428A6">
        <w:rPr>
          <w:rFonts w:ascii="Arial" w:hAnsi="Arial" w:cs="Arial"/>
        </w:rPr>
        <w:t>Both assays produced similar PK profiles, both of which were feasible cons</w:t>
      </w:r>
      <w:r>
        <w:rPr>
          <w:rFonts w:ascii="Arial" w:hAnsi="Arial" w:cs="Arial"/>
        </w:rPr>
        <w:t xml:space="preserve">idering the nature of the study, and the methods </w:t>
      </w:r>
      <w:r w:rsidR="00484FBA">
        <w:rPr>
          <w:rFonts w:ascii="Arial" w:hAnsi="Arial" w:cs="Arial"/>
        </w:rPr>
        <w:t>should be</w:t>
      </w:r>
      <w:r>
        <w:rPr>
          <w:rFonts w:ascii="Arial" w:hAnsi="Arial" w:cs="Arial"/>
        </w:rPr>
        <w:t xml:space="preserve"> regarded as complementary.</w:t>
      </w:r>
    </w:p>
    <w:p w:rsidR="002E49E7" w:rsidRPr="00644160" w:rsidRDefault="002E49E7" w:rsidP="00644160">
      <w:pPr>
        <w:spacing w:line="360" w:lineRule="auto"/>
        <w:ind w:left="360"/>
        <w:rPr>
          <w:rFonts w:ascii="Arial" w:hAnsi="Arial" w:cs="Arial"/>
          <w:b/>
          <w:sz w:val="24"/>
          <w:szCs w:val="24"/>
          <w:u w:val="single"/>
        </w:rPr>
      </w:pPr>
    </w:p>
    <w:p w:rsidR="00EA4F71" w:rsidRDefault="00EA4F71" w:rsidP="00067273">
      <w:pPr>
        <w:pStyle w:val="TemplateText"/>
        <w:spacing w:line="360" w:lineRule="auto"/>
        <w:rPr>
          <w:rFonts w:eastAsiaTheme="minorHAnsi" w:cs="Arial"/>
        </w:rPr>
      </w:pPr>
    </w:p>
    <w:p w:rsidR="00067273" w:rsidRDefault="00067273" w:rsidP="00067273">
      <w:pPr>
        <w:pStyle w:val="TemplateText"/>
        <w:spacing w:line="360" w:lineRule="auto"/>
        <w:rPr>
          <w:rFonts w:eastAsiaTheme="minorHAnsi" w:cs="Arial"/>
        </w:rPr>
      </w:pPr>
    </w:p>
    <w:p w:rsidR="002278A3" w:rsidRPr="005D677F" w:rsidRDefault="005D677F" w:rsidP="00550C28">
      <w:pPr>
        <w:spacing w:line="360" w:lineRule="auto"/>
        <w:jc w:val="both"/>
        <w:rPr>
          <w:rFonts w:ascii="Arial" w:eastAsia="Times New Roman" w:hAnsi="Arial" w:cs="Times New Roman"/>
          <w:b/>
          <w:sz w:val="24"/>
          <w:szCs w:val="24"/>
          <w:u w:val="single"/>
        </w:rPr>
      </w:pPr>
      <w:r>
        <w:rPr>
          <w:rFonts w:ascii="Arial" w:eastAsia="Times New Roman" w:hAnsi="Arial" w:cs="Times New Roman"/>
          <w:b/>
          <w:sz w:val="24"/>
          <w:szCs w:val="24"/>
          <w:u w:val="single"/>
        </w:rPr>
        <w:t>Future P</w:t>
      </w:r>
      <w:r w:rsidR="005651E2" w:rsidRPr="005D677F">
        <w:rPr>
          <w:rFonts w:ascii="Arial" w:eastAsia="Times New Roman" w:hAnsi="Arial" w:cs="Times New Roman"/>
          <w:b/>
          <w:sz w:val="24"/>
          <w:szCs w:val="24"/>
          <w:u w:val="single"/>
        </w:rPr>
        <w:t>erspectives</w:t>
      </w:r>
    </w:p>
    <w:p w:rsidR="00852E5E" w:rsidRPr="00687BC0" w:rsidRDefault="005651E2" w:rsidP="00687BC0">
      <w:pPr>
        <w:spacing w:line="360" w:lineRule="auto"/>
        <w:jc w:val="both"/>
        <w:rPr>
          <w:rFonts w:ascii="Arial" w:eastAsia="Times New Roman" w:hAnsi="Arial" w:cs="Times New Roman"/>
        </w:rPr>
      </w:pPr>
      <w:r>
        <w:rPr>
          <w:rFonts w:ascii="Arial" w:eastAsia="Times New Roman" w:hAnsi="Arial" w:cs="Times New Roman"/>
        </w:rPr>
        <w:t>We believe that experimentally demanding or troublesome immunoassays, such as the glucagon RIA assay, will</w:t>
      </w:r>
      <w:r w:rsidR="00915EDA">
        <w:rPr>
          <w:rFonts w:ascii="Arial" w:eastAsia="Times New Roman" w:hAnsi="Arial" w:cs="Times New Roman"/>
        </w:rPr>
        <w:t xml:space="preserve"> increasingly </w:t>
      </w:r>
      <w:r w:rsidR="00D80515">
        <w:rPr>
          <w:rFonts w:ascii="Arial" w:eastAsia="Times New Roman" w:hAnsi="Arial" w:cs="Times New Roman"/>
        </w:rPr>
        <w:t>become</w:t>
      </w:r>
      <w:r w:rsidR="00E51734">
        <w:rPr>
          <w:rFonts w:ascii="Arial" w:eastAsia="Times New Roman" w:hAnsi="Arial" w:cs="Times New Roman"/>
        </w:rPr>
        <w:t xml:space="preserve"> </w:t>
      </w:r>
      <w:r>
        <w:rPr>
          <w:rFonts w:ascii="Arial" w:eastAsia="Times New Roman" w:hAnsi="Arial" w:cs="Times New Roman"/>
        </w:rPr>
        <w:t xml:space="preserve">replaced with LC-MS/MS based </w:t>
      </w:r>
      <w:r w:rsidR="00977B3E">
        <w:rPr>
          <w:rFonts w:ascii="Arial" w:eastAsia="Times New Roman" w:hAnsi="Arial" w:cs="Times New Roman"/>
        </w:rPr>
        <w:t>methodologies</w:t>
      </w:r>
      <w:r>
        <w:rPr>
          <w:rFonts w:ascii="Arial" w:eastAsia="Times New Roman" w:hAnsi="Arial" w:cs="Times New Roman"/>
        </w:rPr>
        <w:t xml:space="preserve"> to </w:t>
      </w:r>
      <w:r w:rsidRPr="00983C7A">
        <w:rPr>
          <w:rFonts w:ascii="Arial" w:eastAsia="Times New Roman" w:hAnsi="Arial" w:cs="Arial"/>
        </w:rPr>
        <w:t>circumvent</w:t>
      </w:r>
      <w:r w:rsidR="00C3689D" w:rsidRPr="00983C7A">
        <w:rPr>
          <w:rFonts w:ascii="Arial" w:eastAsia="Times New Roman" w:hAnsi="Arial" w:cs="Arial"/>
        </w:rPr>
        <w:t xml:space="preserve"> issues with </w:t>
      </w:r>
      <w:r w:rsidR="00C3689D" w:rsidRPr="00983C7A">
        <w:rPr>
          <w:rFonts w:ascii="Arial" w:hAnsi="Arial" w:cs="Arial"/>
        </w:rPr>
        <w:t>cross reactivity</w:t>
      </w:r>
      <w:r w:rsidR="0035364F" w:rsidRPr="00983C7A">
        <w:rPr>
          <w:rFonts w:ascii="Arial" w:hAnsi="Arial" w:cs="Arial"/>
        </w:rPr>
        <w:t>,</w:t>
      </w:r>
      <w:r w:rsidR="00FA6496" w:rsidRPr="00983C7A">
        <w:rPr>
          <w:rFonts w:ascii="Arial" w:hAnsi="Arial" w:cs="Arial"/>
        </w:rPr>
        <w:t xml:space="preserve"> </w:t>
      </w:r>
      <w:r w:rsidR="00C3689D" w:rsidRPr="00983C7A">
        <w:rPr>
          <w:rFonts w:ascii="Arial" w:hAnsi="Arial" w:cs="Arial"/>
        </w:rPr>
        <w:t>increase sample throughout and avoid the use of radioactivity</w:t>
      </w:r>
      <w:r w:rsidR="00C22861">
        <w:rPr>
          <w:rFonts w:ascii="Arial" w:hAnsi="Arial" w:cs="Arial"/>
        </w:rPr>
        <w:t>.</w:t>
      </w:r>
      <w:r w:rsidR="00FA6496" w:rsidRPr="00983C7A">
        <w:rPr>
          <w:rFonts w:ascii="Arial" w:hAnsi="Arial" w:cs="Arial"/>
        </w:rPr>
        <w:t xml:space="preserve"> </w:t>
      </w:r>
      <w:r w:rsidR="00005FD1" w:rsidRPr="00983C7A">
        <w:rPr>
          <w:rFonts w:ascii="Arial" w:eastAsia="Times New Roman" w:hAnsi="Arial" w:cs="Arial"/>
        </w:rPr>
        <w:t xml:space="preserve">To achieve the low LLOQs often required we </w:t>
      </w:r>
      <w:r w:rsidR="00915EDA" w:rsidRPr="00983C7A">
        <w:rPr>
          <w:rFonts w:ascii="Arial" w:eastAsia="Times New Roman" w:hAnsi="Arial" w:cs="Arial"/>
        </w:rPr>
        <w:t xml:space="preserve">also </w:t>
      </w:r>
      <w:r w:rsidR="00005FD1" w:rsidRPr="00995FCF">
        <w:rPr>
          <w:rFonts w:ascii="Arial" w:eastAsia="Times New Roman" w:hAnsi="Arial" w:cs="Arial"/>
        </w:rPr>
        <w:t xml:space="preserve">believe that approaches such </w:t>
      </w:r>
      <w:r w:rsidR="00F60A14">
        <w:rPr>
          <w:rFonts w:ascii="Arial" w:eastAsia="Times New Roman" w:hAnsi="Arial" w:cs="Arial"/>
        </w:rPr>
        <w:t xml:space="preserve">as </w:t>
      </w:r>
      <w:r w:rsidR="00E51734" w:rsidRPr="00995FCF">
        <w:rPr>
          <w:rFonts w:ascii="Arial" w:eastAsia="Times New Roman" w:hAnsi="Arial" w:cs="Arial"/>
        </w:rPr>
        <w:t>2D</w:t>
      </w:r>
      <w:r w:rsidR="00E51734">
        <w:rPr>
          <w:rFonts w:ascii="Arial" w:eastAsia="Times New Roman" w:hAnsi="Arial" w:cs="Times New Roman"/>
        </w:rPr>
        <w:t xml:space="preserve"> extraction</w:t>
      </w:r>
      <w:r>
        <w:rPr>
          <w:rFonts w:ascii="Arial" w:eastAsia="Times New Roman" w:hAnsi="Arial" w:cs="Times New Roman"/>
        </w:rPr>
        <w:t xml:space="preserve"> </w:t>
      </w:r>
      <w:r w:rsidR="00005FD1">
        <w:rPr>
          <w:rFonts w:ascii="Arial" w:eastAsia="Times New Roman" w:hAnsi="Arial" w:cs="Times New Roman"/>
        </w:rPr>
        <w:t>will</w:t>
      </w:r>
      <w:r>
        <w:rPr>
          <w:rFonts w:ascii="Arial" w:eastAsia="Times New Roman" w:hAnsi="Arial" w:cs="Times New Roman"/>
        </w:rPr>
        <w:t xml:space="preserve"> be</w:t>
      </w:r>
      <w:r w:rsidR="006B47C2">
        <w:rPr>
          <w:rFonts w:ascii="Arial" w:eastAsia="Times New Roman" w:hAnsi="Arial" w:cs="Times New Roman"/>
        </w:rPr>
        <w:t>come more commonly used</w:t>
      </w:r>
      <w:r w:rsidR="00005FD1">
        <w:rPr>
          <w:rFonts w:ascii="Arial" w:eastAsia="Times New Roman" w:hAnsi="Arial" w:cs="Times New Roman"/>
        </w:rPr>
        <w:t xml:space="preserve">. </w:t>
      </w:r>
      <w:r w:rsidR="00D80515">
        <w:rPr>
          <w:rFonts w:ascii="Arial" w:eastAsia="Times New Roman" w:hAnsi="Arial" w:cs="Times New Roman"/>
        </w:rPr>
        <w:t>For regulated</w:t>
      </w:r>
      <w:r w:rsidR="00590335">
        <w:rPr>
          <w:rFonts w:ascii="Arial" w:eastAsia="Times New Roman" w:hAnsi="Arial" w:cs="Times New Roman"/>
        </w:rPr>
        <w:t xml:space="preserve"> bioanalytical </w:t>
      </w:r>
      <w:r w:rsidR="00D80515">
        <w:rPr>
          <w:rFonts w:ascii="Arial" w:eastAsia="Times New Roman" w:hAnsi="Arial" w:cs="Times New Roman"/>
        </w:rPr>
        <w:t>studies</w:t>
      </w:r>
      <w:r w:rsidR="00590335">
        <w:rPr>
          <w:rFonts w:ascii="Arial" w:eastAsia="Times New Roman" w:hAnsi="Arial" w:cs="Times New Roman"/>
        </w:rPr>
        <w:t xml:space="preserve"> of endogenous compounds,</w:t>
      </w:r>
      <w:r w:rsidR="00B77726">
        <w:rPr>
          <w:rFonts w:ascii="Arial" w:eastAsia="Times New Roman" w:hAnsi="Arial" w:cs="Times New Roman"/>
        </w:rPr>
        <w:t xml:space="preserve"> strategies such</w:t>
      </w:r>
      <w:r w:rsidR="001C161D">
        <w:rPr>
          <w:rFonts w:ascii="Arial" w:eastAsia="Times New Roman" w:hAnsi="Arial" w:cs="Times New Roman"/>
        </w:rPr>
        <w:t xml:space="preserve"> as surrogate matrix quantitation, which avoids the need to extrapolate the calibration curve, will</w:t>
      </w:r>
      <w:r w:rsidR="00590335">
        <w:rPr>
          <w:rFonts w:ascii="Arial" w:eastAsia="Times New Roman" w:hAnsi="Arial" w:cs="Times New Roman"/>
        </w:rPr>
        <w:t xml:space="preserve"> b</w:t>
      </w:r>
      <w:r w:rsidR="001C161D">
        <w:rPr>
          <w:rFonts w:ascii="Arial" w:eastAsia="Times New Roman" w:hAnsi="Arial" w:cs="Times New Roman"/>
        </w:rPr>
        <w:t xml:space="preserve">ecome </w:t>
      </w:r>
      <w:r w:rsidR="00482881">
        <w:rPr>
          <w:rFonts w:ascii="Arial" w:eastAsia="Times New Roman" w:hAnsi="Arial" w:cs="Times New Roman"/>
        </w:rPr>
        <w:t>the favoured approach.</w:t>
      </w:r>
      <w:r w:rsidR="00852E5E">
        <w:rPr>
          <w:rFonts w:ascii="Arial" w:eastAsia="Times New Roman" w:hAnsi="Arial" w:cs="Times New Roman"/>
          <w:b/>
          <w:sz w:val="24"/>
          <w:szCs w:val="24"/>
          <w:u w:val="single"/>
        </w:rPr>
        <w:br w:type="page"/>
      </w:r>
    </w:p>
    <w:p w:rsidR="00852E5E" w:rsidRPr="00852E5E" w:rsidRDefault="00852E5E" w:rsidP="00852E5E">
      <w:pPr>
        <w:spacing w:line="360" w:lineRule="auto"/>
        <w:jc w:val="both"/>
        <w:rPr>
          <w:rFonts w:ascii="Arial" w:eastAsia="Times New Roman" w:hAnsi="Arial" w:cs="Times New Roman"/>
          <w:b/>
          <w:sz w:val="24"/>
          <w:szCs w:val="24"/>
          <w:u w:val="single"/>
        </w:rPr>
      </w:pPr>
      <w:r w:rsidRPr="00852E5E">
        <w:rPr>
          <w:rFonts w:ascii="Arial" w:eastAsia="Times New Roman" w:hAnsi="Arial" w:cs="Times New Roman"/>
          <w:b/>
          <w:sz w:val="24"/>
          <w:szCs w:val="24"/>
          <w:u w:val="single"/>
        </w:rPr>
        <w:t xml:space="preserve">Financial &amp; competing </w:t>
      </w:r>
      <w:r w:rsidR="007D5492">
        <w:rPr>
          <w:rFonts w:ascii="Arial" w:eastAsia="Times New Roman" w:hAnsi="Arial" w:cs="Times New Roman"/>
          <w:b/>
          <w:sz w:val="24"/>
          <w:szCs w:val="24"/>
          <w:u w:val="single"/>
        </w:rPr>
        <w:t>interest</w:t>
      </w:r>
      <w:r w:rsidR="007D5492" w:rsidRPr="00852E5E">
        <w:rPr>
          <w:rFonts w:ascii="Arial" w:eastAsia="Times New Roman" w:hAnsi="Arial" w:cs="Times New Roman"/>
          <w:b/>
          <w:sz w:val="24"/>
          <w:szCs w:val="24"/>
          <w:u w:val="single"/>
        </w:rPr>
        <w:t>s</w:t>
      </w:r>
      <w:r w:rsidRPr="00852E5E">
        <w:rPr>
          <w:rFonts w:ascii="Arial" w:eastAsia="Times New Roman" w:hAnsi="Arial" w:cs="Times New Roman"/>
          <w:b/>
          <w:sz w:val="24"/>
          <w:szCs w:val="24"/>
          <w:u w:val="single"/>
        </w:rPr>
        <w:t xml:space="preserve"> disclosure </w:t>
      </w:r>
    </w:p>
    <w:p w:rsidR="00852E5E" w:rsidRPr="00852E5E" w:rsidRDefault="00852E5E" w:rsidP="00852E5E">
      <w:pPr>
        <w:autoSpaceDE w:val="0"/>
        <w:autoSpaceDN w:val="0"/>
        <w:adjustRightInd w:val="0"/>
        <w:spacing w:after="0" w:line="360" w:lineRule="auto"/>
        <w:jc w:val="both"/>
        <w:rPr>
          <w:rFonts w:ascii="Arial" w:eastAsia="Times New Roman" w:hAnsi="Arial" w:cs="Times New Roman"/>
        </w:rPr>
      </w:pPr>
      <w:r w:rsidRPr="00852E5E">
        <w:rPr>
          <w:rFonts w:ascii="Arial" w:eastAsia="Times New Roman" w:hAnsi="Arial" w:cs="Times New Roman"/>
        </w:rPr>
        <w:t>The authors have no relevant affiliations or financial involvement with any orga</w:t>
      </w:r>
      <w:r>
        <w:rPr>
          <w:rFonts w:ascii="Arial" w:eastAsia="Times New Roman" w:hAnsi="Arial" w:cs="Times New Roman"/>
        </w:rPr>
        <w:t>nization or entity with a finan</w:t>
      </w:r>
      <w:r w:rsidRPr="00852E5E">
        <w:rPr>
          <w:rFonts w:ascii="Arial" w:eastAsia="Times New Roman" w:hAnsi="Arial" w:cs="Times New Roman"/>
        </w:rPr>
        <w:t xml:space="preserve">cial interest in or financial conflict with the subject matter or materials discussed in the manuscript. This includes employment, consultancies, honoraria, stock ownership or options, expert testimony, grants or patents received or pending, or royalties. </w:t>
      </w:r>
    </w:p>
    <w:p w:rsidR="00852E5E" w:rsidRDefault="00852E5E" w:rsidP="00852E5E">
      <w:pPr>
        <w:autoSpaceDE w:val="0"/>
        <w:autoSpaceDN w:val="0"/>
        <w:adjustRightInd w:val="0"/>
        <w:spacing w:after="0" w:line="360" w:lineRule="auto"/>
        <w:jc w:val="both"/>
        <w:rPr>
          <w:rFonts w:ascii="Arial" w:eastAsia="Times New Roman" w:hAnsi="Arial" w:cs="Times New Roman"/>
        </w:rPr>
      </w:pPr>
      <w:r w:rsidRPr="00852E5E">
        <w:rPr>
          <w:rFonts w:ascii="Arial" w:eastAsia="Times New Roman" w:hAnsi="Arial" w:cs="Times New Roman"/>
        </w:rPr>
        <w:t xml:space="preserve">No writing assistance was utilized in the production of this manuscript. </w:t>
      </w:r>
    </w:p>
    <w:p w:rsidR="00852E5E" w:rsidRPr="00852E5E" w:rsidRDefault="00852E5E" w:rsidP="00852E5E">
      <w:pPr>
        <w:autoSpaceDE w:val="0"/>
        <w:autoSpaceDN w:val="0"/>
        <w:adjustRightInd w:val="0"/>
        <w:spacing w:after="0" w:line="171" w:lineRule="atLeast"/>
        <w:jc w:val="both"/>
        <w:rPr>
          <w:rFonts w:ascii="Arial" w:eastAsia="Times New Roman" w:hAnsi="Arial" w:cs="Times New Roman"/>
        </w:rPr>
      </w:pPr>
    </w:p>
    <w:p w:rsidR="00852E5E" w:rsidRPr="00852E5E" w:rsidRDefault="00852E5E" w:rsidP="00852E5E">
      <w:pPr>
        <w:spacing w:line="360" w:lineRule="auto"/>
        <w:jc w:val="both"/>
        <w:rPr>
          <w:rFonts w:ascii="Arial" w:eastAsia="Times New Roman" w:hAnsi="Arial" w:cs="Times New Roman"/>
          <w:b/>
          <w:sz w:val="24"/>
          <w:szCs w:val="24"/>
          <w:u w:val="single"/>
        </w:rPr>
      </w:pPr>
      <w:r w:rsidRPr="00852E5E">
        <w:rPr>
          <w:rFonts w:ascii="Arial" w:eastAsia="Times New Roman" w:hAnsi="Arial" w:cs="Times New Roman"/>
          <w:b/>
          <w:sz w:val="24"/>
          <w:szCs w:val="24"/>
          <w:u w:val="single"/>
        </w:rPr>
        <w:t xml:space="preserve">Ethical conduct of research </w:t>
      </w:r>
    </w:p>
    <w:p w:rsidR="001956FE" w:rsidRPr="001956FE" w:rsidRDefault="00852E5E" w:rsidP="00550C28">
      <w:pPr>
        <w:spacing w:line="360" w:lineRule="auto"/>
        <w:jc w:val="both"/>
        <w:rPr>
          <w:rFonts w:ascii="Arial" w:eastAsia="Times New Roman" w:hAnsi="Arial" w:cs="Times New Roman"/>
        </w:rPr>
      </w:pPr>
      <w:r w:rsidRPr="00852E5E">
        <w:rPr>
          <w:rFonts w:ascii="Arial" w:eastAsia="Times New Roman" w:hAnsi="Arial" w:cs="Times New Roman"/>
        </w:rPr>
        <w:t xml:space="preserve">The authors state that they have obtained appropriate institutional review board approval </w:t>
      </w:r>
      <w:r w:rsidR="00F60A14">
        <w:rPr>
          <w:rFonts w:ascii="Arial" w:eastAsia="Times New Roman" w:hAnsi="Arial" w:cs="Times New Roman"/>
        </w:rPr>
        <w:t xml:space="preserve">(West London Research Ethics Committee: 11/LO/1782) and </w:t>
      </w:r>
      <w:r w:rsidRPr="00852E5E">
        <w:rPr>
          <w:rFonts w:ascii="Arial" w:eastAsia="Times New Roman" w:hAnsi="Arial" w:cs="Times New Roman"/>
        </w:rPr>
        <w:t>have followed the principles outlined in the Declaration of Helsinki for all human experimental investigations.</w:t>
      </w:r>
    </w:p>
    <w:p w:rsidR="002278A3" w:rsidRPr="00687BC0" w:rsidRDefault="00165AC8" w:rsidP="00EE2C98">
      <w:pPr>
        <w:spacing w:line="360" w:lineRule="auto"/>
        <w:jc w:val="both"/>
        <w:rPr>
          <w:rStyle w:val="Heading3Char"/>
          <w:rFonts w:eastAsiaTheme="majorEastAsia"/>
          <w:sz w:val="24"/>
          <w:szCs w:val="24"/>
          <w:u w:val="single"/>
        </w:rPr>
      </w:pPr>
      <w:bookmarkStart w:id="14" w:name="_Toc360188273"/>
      <w:r w:rsidRPr="00687BC0">
        <w:rPr>
          <w:rStyle w:val="Heading3Char"/>
          <w:rFonts w:eastAsiaTheme="majorEastAsia"/>
          <w:sz w:val="24"/>
          <w:szCs w:val="24"/>
          <w:u w:val="single"/>
        </w:rPr>
        <w:t>References</w:t>
      </w:r>
      <w:bookmarkEnd w:id="14"/>
      <w:r w:rsidRPr="00687BC0">
        <w:rPr>
          <w:rStyle w:val="Heading3Char"/>
          <w:rFonts w:eastAsiaTheme="majorEastAsia"/>
          <w:sz w:val="24"/>
          <w:szCs w:val="24"/>
          <w:u w:val="single"/>
        </w:rPr>
        <w:t xml:space="preserve"> </w:t>
      </w:r>
    </w:p>
    <w:p w:rsidR="00261C24" w:rsidRPr="00261C24" w:rsidRDefault="001B586C">
      <w:pPr>
        <w:pStyle w:val="NormalWeb"/>
        <w:ind w:left="640" w:hanging="640"/>
        <w:divId w:val="1890799708"/>
        <w:rPr>
          <w:rFonts w:ascii="Arial" w:hAnsi="Arial" w:cs="Arial"/>
          <w:noProof/>
          <w:sz w:val="22"/>
        </w:rPr>
      </w:pPr>
      <w:r>
        <w:rPr>
          <w:rFonts w:ascii="Arial" w:hAnsi="Arial" w:cs="Arial"/>
        </w:rPr>
        <w:fldChar w:fldCharType="begin" w:fldLock="1"/>
      </w:r>
      <w:r w:rsidR="00AD1840">
        <w:rPr>
          <w:rFonts w:ascii="Arial" w:hAnsi="Arial" w:cs="Arial"/>
        </w:rPr>
        <w:instrText xml:space="preserve">ADDIN Mendeley Bibliography CSL_BIBLIOGRAPHY </w:instrText>
      </w:r>
      <w:r>
        <w:rPr>
          <w:rFonts w:ascii="Arial" w:hAnsi="Arial" w:cs="Arial"/>
        </w:rPr>
        <w:fldChar w:fldCharType="separate"/>
      </w:r>
      <w:r w:rsidR="00261C24" w:rsidRPr="00261C24">
        <w:rPr>
          <w:rFonts w:ascii="Arial" w:hAnsi="Arial" w:cs="Arial"/>
          <w:noProof/>
          <w:sz w:val="22"/>
        </w:rPr>
        <w:t xml:space="preserve">1. </w:t>
      </w:r>
      <w:r w:rsidR="00261C24" w:rsidRPr="00261C24">
        <w:rPr>
          <w:rFonts w:ascii="Arial" w:hAnsi="Arial" w:cs="Arial"/>
          <w:noProof/>
          <w:sz w:val="22"/>
        </w:rPr>
        <w:tab/>
        <w:t xml:space="preserve">Kolb A, Rieder S, Born D, </w:t>
      </w:r>
      <w:r w:rsidR="00261C24" w:rsidRPr="00261C24">
        <w:rPr>
          <w:rFonts w:ascii="Arial" w:hAnsi="Arial" w:cs="Arial"/>
          <w:i/>
          <w:iCs/>
          <w:noProof/>
          <w:sz w:val="22"/>
        </w:rPr>
        <w:t>et al.</w:t>
      </w:r>
      <w:r w:rsidR="00261C24" w:rsidRPr="00261C24">
        <w:rPr>
          <w:rFonts w:ascii="Arial" w:hAnsi="Arial" w:cs="Arial"/>
          <w:noProof/>
          <w:sz w:val="22"/>
        </w:rPr>
        <w:t xml:space="preserve"> Glucagon/insulin ratio as a potential biomarker for pancreatic cancer in patients with new-onset diabetes mellitus. </w:t>
      </w:r>
      <w:r w:rsidR="00261C24" w:rsidRPr="00261C24">
        <w:rPr>
          <w:rFonts w:ascii="Arial" w:hAnsi="Arial" w:cs="Arial"/>
          <w:i/>
          <w:iCs/>
          <w:noProof/>
          <w:sz w:val="22"/>
        </w:rPr>
        <w:t>Cancer Biol. Ther.</w:t>
      </w:r>
      <w:r w:rsidR="00261C24" w:rsidRPr="00261C24">
        <w:rPr>
          <w:rFonts w:ascii="Arial" w:hAnsi="Arial" w:cs="Arial"/>
          <w:noProof/>
          <w:sz w:val="22"/>
        </w:rPr>
        <w:t xml:space="preserve"> 8(16), 1527–1533 (2009).</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 </w:t>
      </w:r>
      <w:r w:rsidRPr="00261C24">
        <w:rPr>
          <w:rFonts w:ascii="Arial" w:hAnsi="Arial" w:cs="Arial"/>
          <w:noProof/>
          <w:sz w:val="22"/>
        </w:rPr>
        <w:tab/>
        <w:t xml:space="preserve">Hinke SA, Pospisilik JA, Demuth HU, </w:t>
      </w:r>
      <w:r w:rsidRPr="00261C24">
        <w:rPr>
          <w:rFonts w:ascii="Arial" w:hAnsi="Arial" w:cs="Arial"/>
          <w:i/>
          <w:iCs/>
          <w:noProof/>
          <w:sz w:val="22"/>
        </w:rPr>
        <w:t>et al.</w:t>
      </w:r>
      <w:r w:rsidRPr="00261C24">
        <w:rPr>
          <w:rFonts w:ascii="Arial" w:hAnsi="Arial" w:cs="Arial"/>
          <w:noProof/>
          <w:sz w:val="22"/>
        </w:rPr>
        <w:t xml:space="preserve"> Dipeptidyl peptidase IV (DPIV/CD26) degradation of glucagon. Characterization of glucagon degradation products and DPIV-resistant analogs. </w:t>
      </w:r>
      <w:r w:rsidRPr="00261C24">
        <w:rPr>
          <w:rFonts w:ascii="Arial" w:hAnsi="Arial" w:cs="Arial"/>
          <w:i/>
          <w:iCs/>
          <w:noProof/>
          <w:sz w:val="22"/>
        </w:rPr>
        <w:t>J. Biol. Chem.</w:t>
      </w:r>
      <w:r w:rsidRPr="00261C24">
        <w:rPr>
          <w:rFonts w:ascii="Arial" w:hAnsi="Arial" w:cs="Arial"/>
          <w:noProof/>
          <w:sz w:val="22"/>
        </w:rPr>
        <w:t xml:space="preserve"> 275(6), 3827–34 (2000).</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 </w:t>
      </w:r>
      <w:r w:rsidRPr="00261C24">
        <w:rPr>
          <w:rFonts w:ascii="Arial" w:hAnsi="Arial" w:cs="Arial"/>
          <w:noProof/>
          <w:sz w:val="22"/>
        </w:rPr>
        <w:tab/>
        <w:t xml:space="preserve">Zhu L, Tamvakopoulos C, Xie D, </w:t>
      </w:r>
      <w:r w:rsidRPr="00261C24">
        <w:rPr>
          <w:rFonts w:ascii="Arial" w:hAnsi="Arial" w:cs="Arial"/>
          <w:i/>
          <w:iCs/>
          <w:noProof/>
          <w:sz w:val="22"/>
        </w:rPr>
        <w:t>et al.</w:t>
      </w:r>
      <w:r w:rsidRPr="00261C24">
        <w:rPr>
          <w:rFonts w:ascii="Arial" w:hAnsi="Arial" w:cs="Arial"/>
          <w:noProof/>
          <w:sz w:val="22"/>
        </w:rPr>
        <w:t xml:space="preserve"> The role of dipeptidyl peptidase IV in the cleavage of glucagon family peptides: in vivo metabolism of pituitary adenylate cyclase activating polypeptide-(1-38). </w:t>
      </w:r>
      <w:r w:rsidRPr="00261C24">
        <w:rPr>
          <w:rFonts w:ascii="Arial" w:hAnsi="Arial" w:cs="Arial"/>
          <w:i/>
          <w:iCs/>
          <w:noProof/>
          <w:sz w:val="22"/>
        </w:rPr>
        <w:t>J. Biol. Chem.</w:t>
      </w:r>
      <w:r w:rsidRPr="00261C24">
        <w:rPr>
          <w:rFonts w:ascii="Arial" w:hAnsi="Arial" w:cs="Arial"/>
          <w:noProof/>
          <w:sz w:val="22"/>
        </w:rPr>
        <w:t xml:space="preserve"> 278(25), 22418–23 (2003).</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4. </w:t>
      </w:r>
      <w:r w:rsidRPr="00261C24">
        <w:rPr>
          <w:rFonts w:ascii="Arial" w:hAnsi="Arial" w:cs="Arial"/>
          <w:noProof/>
          <w:sz w:val="22"/>
        </w:rPr>
        <w:tab/>
        <w:t xml:space="preserve">Taieb J, Mathian B, Millot F, </w:t>
      </w:r>
      <w:r w:rsidRPr="00261C24">
        <w:rPr>
          <w:rFonts w:ascii="Arial" w:hAnsi="Arial" w:cs="Arial"/>
          <w:i/>
          <w:iCs/>
          <w:noProof/>
          <w:sz w:val="22"/>
        </w:rPr>
        <w:t>et al.</w:t>
      </w:r>
      <w:r w:rsidRPr="00261C24">
        <w:rPr>
          <w:rFonts w:ascii="Arial" w:hAnsi="Arial" w:cs="Arial"/>
          <w:noProof/>
          <w:sz w:val="22"/>
        </w:rPr>
        <w:t xml:space="preserve"> Testosterone measured by 10 immunoassays and by isotope-dilution gas chromatography-mass spectrometry in sera from 116 men, women, and children. </w:t>
      </w:r>
      <w:r w:rsidRPr="00261C24">
        <w:rPr>
          <w:rFonts w:ascii="Arial" w:hAnsi="Arial" w:cs="Arial"/>
          <w:i/>
          <w:iCs/>
          <w:noProof/>
          <w:sz w:val="22"/>
        </w:rPr>
        <w:t>Clin. Chem.</w:t>
      </w:r>
      <w:r w:rsidRPr="00261C24">
        <w:rPr>
          <w:rFonts w:ascii="Arial" w:hAnsi="Arial" w:cs="Arial"/>
          <w:noProof/>
          <w:sz w:val="22"/>
        </w:rPr>
        <w:t xml:space="preserve"> 49(8), 1381–1395 (2003).</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5. </w:t>
      </w:r>
      <w:r w:rsidRPr="00261C24">
        <w:rPr>
          <w:rFonts w:ascii="Arial" w:hAnsi="Arial" w:cs="Arial"/>
          <w:noProof/>
          <w:sz w:val="22"/>
        </w:rPr>
        <w:tab/>
        <w:t xml:space="preserve">FP Alford, SR Bloom J, Nabarro. Glucagon levels in normal and diabetic subjects: Use of a specific immunoabsorbent for glucagon radioimmunoassay. </w:t>
      </w:r>
      <w:r w:rsidRPr="00261C24">
        <w:rPr>
          <w:rFonts w:ascii="Arial" w:hAnsi="Arial" w:cs="Arial"/>
          <w:i/>
          <w:iCs/>
          <w:noProof/>
          <w:sz w:val="22"/>
        </w:rPr>
        <w:t>Diabetologia</w:t>
      </w:r>
      <w:r w:rsidRPr="00261C24">
        <w:rPr>
          <w:rFonts w:ascii="Arial" w:hAnsi="Arial" w:cs="Arial"/>
          <w:noProof/>
          <w:sz w:val="22"/>
        </w:rPr>
        <w:t>. 13(1), 1–6 (1977).</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6. </w:t>
      </w:r>
      <w:r w:rsidRPr="00261C24">
        <w:rPr>
          <w:rFonts w:ascii="Arial" w:hAnsi="Arial" w:cs="Arial"/>
          <w:noProof/>
          <w:sz w:val="22"/>
        </w:rPr>
        <w:tab/>
        <w:t xml:space="preserve">MJ B, Albrechtsen N, Pedersen J, </w:t>
      </w:r>
      <w:r w:rsidRPr="00261C24">
        <w:rPr>
          <w:rFonts w:ascii="Arial" w:hAnsi="Arial" w:cs="Arial"/>
          <w:i/>
          <w:iCs/>
          <w:noProof/>
          <w:sz w:val="22"/>
        </w:rPr>
        <w:t>et al.</w:t>
      </w:r>
      <w:r w:rsidRPr="00261C24">
        <w:rPr>
          <w:rFonts w:ascii="Arial" w:hAnsi="Arial" w:cs="Arial"/>
          <w:noProof/>
          <w:sz w:val="22"/>
        </w:rPr>
        <w:t xml:space="preserve"> Specificity and sensitivity of commercially available assays for glucagon and oxyntomodulin measurement in humans. </w:t>
      </w:r>
      <w:r w:rsidRPr="00261C24">
        <w:rPr>
          <w:rFonts w:ascii="Arial" w:hAnsi="Arial" w:cs="Arial"/>
          <w:i/>
          <w:iCs/>
          <w:noProof/>
          <w:sz w:val="22"/>
        </w:rPr>
        <w:t>Eur J Endocrino</w:t>
      </w:r>
      <w:r w:rsidRPr="00261C24">
        <w:rPr>
          <w:rFonts w:ascii="Arial" w:hAnsi="Arial" w:cs="Arial"/>
          <w:noProof/>
          <w:sz w:val="22"/>
        </w:rPr>
        <w:t>. 170(4), 529–38 (2014).</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7. </w:t>
      </w:r>
      <w:r w:rsidRPr="00261C24">
        <w:rPr>
          <w:rFonts w:ascii="Arial" w:hAnsi="Arial" w:cs="Arial"/>
          <w:noProof/>
          <w:sz w:val="22"/>
        </w:rPr>
        <w:tab/>
        <w:t>Sloan JH, Siegel RW, Ivanova-Cox YT, Watson DE, Deeg M a, Konrad RJ. A novel high-sensitivity electrochemiluminescence (ECL) sandwich immunoassay for the specific quantitative measurement of plasma glucagon. Clin. Biochem. 45(18), 1640–4 (2012).</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8. </w:t>
      </w:r>
      <w:r w:rsidRPr="00261C24">
        <w:rPr>
          <w:rFonts w:ascii="Arial" w:hAnsi="Arial" w:cs="Arial"/>
          <w:noProof/>
          <w:sz w:val="22"/>
        </w:rPr>
        <w:tab/>
        <w:t xml:space="preserve">Hoofnagle AN, Wener MH. The Fundamental Flaws of Immunoassays and Potential Solutions Using Tandem Mass Spectrometry. </w:t>
      </w:r>
      <w:r w:rsidRPr="00261C24">
        <w:rPr>
          <w:rFonts w:ascii="Arial" w:hAnsi="Arial" w:cs="Arial"/>
          <w:i/>
          <w:iCs/>
          <w:noProof/>
          <w:sz w:val="22"/>
        </w:rPr>
        <w:t>J Immunol Methods.</w:t>
      </w:r>
      <w:r w:rsidRPr="00261C24">
        <w:rPr>
          <w:rFonts w:ascii="Arial" w:hAnsi="Arial" w:cs="Arial"/>
          <w:noProof/>
          <w:sz w:val="22"/>
        </w:rPr>
        <w:t xml:space="preserve"> 347((1-2)), 3–11 (2009).</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9. </w:t>
      </w:r>
      <w:r w:rsidRPr="00261C24">
        <w:rPr>
          <w:rFonts w:ascii="Arial" w:hAnsi="Arial" w:cs="Arial"/>
          <w:noProof/>
          <w:sz w:val="22"/>
        </w:rPr>
        <w:tab/>
        <w:t xml:space="preserve">Delinsky DC, Hill KT, White CA, Bartlett MG. Quantitation of the large polypeptide glucagon by protein precipitation and LC/MS. </w:t>
      </w:r>
      <w:r w:rsidRPr="00261C24">
        <w:rPr>
          <w:rFonts w:ascii="Arial" w:hAnsi="Arial" w:cs="Arial"/>
          <w:i/>
          <w:iCs/>
          <w:noProof/>
          <w:sz w:val="22"/>
        </w:rPr>
        <w:t>Biomed. Chromatogr.</w:t>
      </w:r>
      <w:r w:rsidRPr="00261C24">
        <w:rPr>
          <w:rFonts w:ascii="Arial" w:hAnsi="Arial" w:cs="Arial"/>
          <w:noProof/>
          <w:sz w:val="22"/>
        </w:rPr>
        <w:t xml:space="preserve"> 18(9), 700–5 (2004).</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10. </w:t>
      </w:r>
      <w:r w:rsidRPr="00261C24">
        <w:rPr>
          <w:rFonts w:ascii="Arial" w:hAnsi="Arial" w:cs="Arial"/>
          <w:noProof/>
          <w:sz w:val="22"/>
        </w:rPr>
        <w:tab/>
        <w:t xml:space="preserve">Li YX, Hackman M WC. Quantitation of polypeptides (glucagon and salmon calcitonin) in plasma samples by “high resolution” on a triple quadrupole mass spectrometer. </w:t>
      </w:r>
      <w:r w:rsidRPr="00261C24">
        <w:rPr>
          <w:rFonts w:ascii="Arial" w:hAnsi="Arial" w:cs="Arial"/>
          <w:i/>
          <w:iCs/>
          <w:noProof/>
          <w:sz w:val="22"/>
        </w:rPr>
        <w:t>Bioanalysis</w:t>
      </w:r>
      <w:r w:rsidRPr="00261C24">
        <w:rPr>
          <w:rFonts w:ascii="Arial" w:hAnsi="Arial" w:cs="Arial"/>
          <w:noProof/>
          <w:sz w:val="22"/>
        </w:rPr>
        <w:t>. 4(6), 685–691 (2012).</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11. </w:t>
      </w:r>
      <w:r w:rsidRPr="00261C24">
        <w:rPr>
          <w:rFonts w:ascii="Arial" w:hAnsi="Arial" w:cs="Arial"/>
          <w:noProof/>
          <w:sz w:val="22"/>
        </w:rPr>
        <w:tab/>
        <w:t xml:space="preserve">Veniamin N Lapko​‌, Patrick S Miller​‌, G Paul Brown​‌, Rafiqul Islam​‌, Sarah K Peters​‌, Richard L Sukovaty​‌ PFR&amp; CJK. Sensitive glucagon quantification by immunochemical and LC – MS / MS methods. </w:t>
      </w:r>
      <w:r w:rsidRPr="00261C24">
        <w:rPr>
          <w:rFonts w:ascii="Arial" w:hAnsi="Arial" w:cs="Arial"/>
          <w:i/>
          <w:iCs/>
          <w:noProof/>
          <w:sz w:val="22"/>
        </w:rPr>
        <w:t>Bioanalysis</w:t>
      </w:r>
      <w:r w:rsidRPr="00261C24">
        <w:rPr>
          <w:rFonts w:ascii="Arial" w:hAnsi="Arial" w:cs="Arial"/>
          <w:noProof/>
          <w:sz w:val="22"/>
        </w:rPr>
        <w:t>. 5(23), 2957–2972 (2013).</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12. </w:t>
      </w:r>
      <w:r w:rsidRPr="00261C24">
        <w:rPr>
          <w:rFonts w:ascii="Arial" w:hAnsi="Arial" w:cs="Arial"/>
          <w:noProof/>
          <w:sz w:val="22"/>
        </w:rPr>
        <w:tab/>
        <w:t xml:space="preserve">V. Lapko, P. Brown, R. Nachi, C. Kafonek, A. Dzerk, B. Retke CO, Davis CS and I. Exploring quantification of peptides: measurement of glucagon in human plasma by LC–MS/MS. Presented at: In: </w:t>
      </w:r>
      <w:r w:rsidRPr="00261C24">
        <w:rPr>
          <w:rFonts w:ascii="Arial" w:hAnsi="Arial" w:cs="Arial"/>
          <w:i/>
          <w:iCs/>
          <w:noProof/>
          <w:sz w:val="22"/>
        </w:rPr>
        <w:t>EBF 3rd Annual Open Symposium: From Challenges to Solutions</w:t>
      </w:r>
      <w:r w:rsidRPr="00261C24">
        <w:rPr>
          <w:rFonts w:ascii="Arial" w:hAnsi="Arial" w:cs="Arial"/>
          <w:noProof/>
          <w:sz w:val="22"/>
        </w:rPr>
        <w:t>. Barcelona, Spain, 1 - 3 December 2010.</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13. </w:t>
      </w:r>
      <w:r w:rsidRPr="00261C24">
        <w:rPr>
          <w:rFonts w:ascii="Arial" w:hAnsi="Arial" w:cs="Arial"/>
          <w:noProof/>
          <w:sz w:val="22"/>
        </w:rPr>
        <w:tab/>
        <w:t xml:space="preserve">F. Garofolo, J. N. Mess, L. P. Morin, M. Aiello, X. Misonne, G. Impey, J. Cardenas JM. Glucagon bioanalysis by LC–MS: unprecedented level of sensitivity (10 pg/ml) for a novel formulation. Presented at: In: </w:t>
      </w:r>
      <w:r w:rsidRPr="00261C24">
        <w:rPr>
          <w:rFonts w:ascii="Arial" w:hAnsi="Arial" w:cs="Arial"/>
          <w:i/>
          <w:iCs/>
          <w:noProof/>
          <w:sz w:val="22"/>
        </w:rPr>
        <w:t>2013 American Association of Pharmaceutical Scientists National Biotechnology Conference</w:t>
      </w:r>
      <w:r w:rsidRPr="00261C24">
        <w:rPr>
          <w:rFonts w:ascii="Arial" w:hAnsi="Arial" w:cs="Arial"/>
          <w:noProof/>
          <w:sz w:val="22"/>
        </w:rPr>
        <w:t>. San Diego, CA, 20-22 May 2013.</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14. </w:t>
      </w:r>
      <w:r w:rsidRPr="00261C24">
        <w:rPr>
          <w:rFonts w:ascii="Arial" w:hAnsi="Arial" w:cs="Arial"/>
          <w:noProof/>
          <w:sz w:val="22"/>
        </w:rPr>
        <w:tab/>
        <w:t xml:space="preserve">Jones BR, Schultz G a, Eckstein J a, Ackermann BL. Surrogate matrix and surrogate analyte approaches for definitive quantitation of endogenous biomolecules. </w:t>
      </w:r>
      <w:r w:rsidRPr="00261C24">
        <w:rPr>
          <w:rFonts w:ascii="Arial" w:hAnsi="Arial" w:cs="Arial"/>
          <w:i/>
          <w:iCs/>
          <w:noProof/>
          <w:sz w:val="22"/>
        </w:rPr>
        <w:t>Bioanalysis</w:t>
      </w:r>
      <w:r w:rsidRPr="00261C24">
        <w:rPr>
          <w:rFonts w:ascii="Arial" w:hAnsi="Arial" w:cs="Arial"/>
          <w:noProof/>
          <w:sz w:val="22"/>
        </w:rPr>
        <w:t>. 4(19), 2343–56 (2012).</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15. </w:t>
      </w:r>
      <w:r w:rsidRPr="00261C24">
        <w:rPr>
          <w:rFonts w:ascii="Arial" w:hAnsi="Arial" w:cs="Arial"/>
          <w:noProof/>
          <w:sz w:val="22"/>
        </w:rPr>
        <w:tab/>
        <w:t xml:space="preserve">Bansal SS, Abbate V, Bomford A, </w:t>
      </w:r>
      <w:r w:rsidRPr="00261C24">
        <w:rPr>
          <w:rFonts w:ascii="Arial" w:hAnsi="Arial" w:cs="Arial"/>
          <w:i/>
          <w:iCs/>
          <w:noProof/>
          <w:sz w:val="22"/>
        </w:rPr>
        <w:t>et al.</w:t>
      </w:r>
      <w:r w:rsidRPr="00261C24">
        <w:rPr>
          <w:rFonts w:ascii="Arial" w:hAnsi="Arial" w:cs="Arial"/>
          <w:noProof/>
          <w:sz w:val="22"/>
        </w:rPr>
        <w:t xml:space="preserve"> Quantitation of hepcidin in serum using ultra-high-pressure liquid chromatography and a linear ion trap mass spectrometer. </w:t>
      </w:r>
      <w:r w:rsidRPr="00261C24">
        <w:rPr>
          <w:rFonts w:ascii="Arial" w:hAnsi="Arial" w:cs="Arial"/>
          <w:i/>
          <w:iCs/>
          <w:noProof/>
          <w:sz w:val="22"/>
        </w:rPr>
        <w:t>Rapid Commun. Mass Spectrom.</w:t>
      </w:r>
      <w:r w:rsidRPr="00261C24">
        <w:rPr>
          <w:rFonts w:ascii="Arial" w:hAnsi="Arial" w:cs="Arial"/>
          <w:noProof/>
          <w:sz w:val="22"/>
        </w:rPr>
        <w:t xml:space="preserve"> 24(9), 1251–9 (2010).</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16. </w:t>
      </w:r>
      <w:r w:rsidRPr="00261C24">
        <w:rPr>
          <w:rFonts w:ascii="Arial" w:hAnsi="Arial" w:cs="Arial"/>
          <w:noProof/>
          <w:sz w:val="22"/>
        </w:rPr>
        <w:tab/>
        <w:t>Guidance for industry: Bioanalytical method validation. U.S. Department of Health and Human Services, Food and Drug Administration, Center for Drug Evaluation and Research (CDER), Center for Veterinary Medicine (CVM), May 2001.</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17. </w:t>
      </w:r>
      <w:r w:rsidRPr="00261C24">
        <w:rPr>
          <w:rFonts w:ascii="Arial" w:hAnsi="Arial" w:cs="Arial"/>
          <w:noProof/>
          <w:sz w:val="22"/>
        </w:rPr>
        <w:tab/>
        <w:t>Guideline on bioanalytical method validation, EMA. (2012).</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18. </w:t>
      </w:r>
      <w:r w:rsidRPr="00261C24">
        <w:rPr>
          <w:rFonts w:ascii="Arial" w:hAnsi="Arial" w:cs="Arial"/>
          <w:noProof/>
          <w:sz w:val="22"/>
        </w:rPr>
        <w:tab/>
        <w:t xml:space="preserve">Lee JW. Method validation and application of protein biomarkers: basic similarities and differences from biotherapeutics. </w:t>
      </w:r>
      <w:r w:rsidRPr="00261C24">
        <w:rPr>
          <w:rFonts w:ascii="Arial" w:hAnsi="Arial" w:cs="Arial"/>
          <w:i/>
          <w:iCs/>
          <w:noProof/>
          <w:sz w:val="22"/>
        </w:rPr>
        <w:t>Bioanalysis</w:t>
      </w:r>
      <w:r w:rsidRPr="00261C24">
        <w:rPr>
          <w:rFonts w:ascii="Arial" w:hAnsi="Arial" w:cs="Arial"/>
          <w:noProof/>
          <w:sz w:val="22"/>
        </w:rPr>
        <w:t>. 1(8), 1461–74 (2009).</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19. </w:t>
      </w:r>
      <w:r w:rsidRPr="00261C24">
        <w:rPr>
          <w:rFonts w:ascii="Arial" w:hAnsi="Arial" w:cs="Arial"/>
          <w:noProof/>
          <w:sz w:val="22"/>
        </w:rPr>
        <w:tab/>
        <w:t xml:space="preserve">Lee JW. Method validation and application of protein biomarkers: basic similarities and differences from biotherapeutics. </w:t>
      </w:r>
      <w:r w:rsidRPr="00261C24">
        <w:rPr>
          <w:rFonts w:ascii="Arial" w:hAnsi="Arial" w:cs="Arial"/>
          <w:i/>
          <w:iCs/>
          <w:noProof/>
          <w:sz w:val="22"/>
        </w:rPr>
        <w:t>Bioanalysis</w:t>
      </w:r>
      <w:r w:rsidRPr="00261C24">
        <w:rPr>
          <w:rFonts w:ascii="Arial" w:hAnsi="Arial" w:cs="Arial"/>
          <w:noProof/>
          <w:sz w:val="22"/>
        </w:rPr>
        <w:t>. 1(8), 1461–74 (2009).</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20. </w:t>
      </w:r>
      <w:r w:rsidRPr="00261C24">
        <w:rPr>
          <w:rFonts w:ascii="Arial" w:hAnsi="Arial" w:cs="Arial"/>
          <w:noProof/>
          <w:sz w:val="22"/>
        </w:rPr>
        <w:tab/>
        <w:t xml:space="preserve">Polaskova V, Kapur A, Khan A, Molloy MP, Baker MS. High-abundance protein depletion: comparison of methods for human plasma biomarker discovery. </w:t>
      </w:r>
      <w:r w:rsidRPr="00261C24">
        <w:rPr>
          <w:rFonts w:ascii="Arial" w:hAnsi="Arial" w:cs="Arial"/>
          <w:i/>
          <w:iCs/>
          <w:noProof/>
          <w:sz w:val="22"/>
        </w:rPr>
        <w:t>Electrophoresis</w:t>
      </w:r>
      <w:r w:rsidRPr="00261C24">
        <w:rPr>
          <w:rFonts w:ascii="Arial" w:hAnsi="Arial" w:cs="Arial"/>
          <w:noProof/>
          <w:sz w:val="22"/>
        </w:rPr>
        <w:t>. 31(3), 471–82 (2010).</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21. </w:t>
      </w:r>
      <w:r w:rsidRPr="00261C24">
        <w:rPr>
          <w:rFonts w:ascii="Arial" w:hAnsi="Arial" w:cs="Arial"/>
          <w:noProof/>
          <w:sz w:val="22"/>
        </w:rPr>
        <w:tab/>
        <w:t xml:space="preserve">Howard JW, Kay RG, Pleasance S, Creaser CS. UHPLC for the separation of proteins and peptides. </w:t>
      </w:r>
      <w:r w:rsidRPr="00261C24">
        <w:rPr>
          <w:rFonts w:ascii="Arial" w:hAnsi="Arial" w:cs="Arial"/>
          <w:i/>
          <w:iCs/>
          <w:noProof/>
          <w:sz w:val="22"/>
        </w:rPr>
        <w:t>Bioanalysis</w:t>
      </w:r>
      <w:r w:rsidRPr="00261C24">
        <w:rPr>
          <w:rFonts w:ascii="Arial" w:hAnsi="Arial" w:cs="Arial"/>
          <w:noProof/>
          <w:sz w:val="22"/>
        </w:rPr>
        <w:t>. 4(24), 2971–88 (2012).</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22. </w:t>
      </w:r>
      <w:r w:rsidRPr="00261C24">
        <w:rPr>
          <w:rFonts w:ascii="Arial" w:hAnsi="Arial" w:cs="Arial"/>
          <w:noProof/>
          <w:sz w:val="22"/>
        </w:rPr>
        <w:tab/>
        <w:t>International committee on harmonisation (ICH) guideline E6: Triparite guidelines for GCP, EMEA. (1996).</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23. </w:t>
      </w:r>
      <w:r w:rsidRPr="00261C24">
        <w:rPr>
          <w:rFonts w:ascii="Arial" w:hAnsi="Arial" w:cs="Arial"/>
          <w:noProof/>
          <w:sz w:val="22"/>
        </w:rPr>
        <w:tab/>
        <w:t xml:space="preserve">Kreymann B, Williams G, Ghatei MA BS. Glucagon-like peptide-1 7-36: a physiological incretin in man. </w:t>
      </w:r>
      <w:r w:rsidRPr="00261C24">
        <w:rPr>
          <w:rFonts w:ascii="Arial" w:hAnsi="Arial" w:cs="Arial"/>
          <w:i/>
          <w:iCs/>
          <w:noProof/>
          <w:sz w:val="22"/>
        </w:rPr>
        <w:t>Lancet</w:t>
      </w:r>
      <w:r w:rsidRPr="00261C24">
        <w:rPr>
          <w:rFonts w:ascii="Arial" w:hAnsi="Arial" w:cs="Arial"/>
          <w:noProof/>
          <w:sz w:val="22"/>
        </w:rPr>
        <w:t>. 2(8571), 1300–1304 (1987).</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24. </w:t>
      </w:r>
      <w:r w:rsidRPr="00261C24">
        <w:rPr>
          <w:rFonts w:ascii="Arial" w:hAnsi="Arial" w:cs="Arial"/>
          <w:noProof/>
          <w:sz w:val="22"/>
        </w:rPr>
        <w:tab/>
        <w:t xml:space="preserve">Ghatei MA, Uttenthal LO, Bryant MG, Christofides ND, Moody AJ BS. Molecular Forms of Glucagon-Like Immunoreactivity in Porcine Intestine and Pancreas. </w:t>
      </w:r>
      <w:r w:rsidRPr="00261C24">
        <w:rPr>
          <w:rFonts w:ascii="Arial" w:hAnsi="Arial" w:cs="Arial"/>
          <w:i/>
          <w:iCs/>
          <w:noProof/>
          <w:sz w:val="22"/>
        </w:rPr>
        <w:t>Endocrinology</w:t>
      </w:r>
      <w:r w:rsidRPr="00261C24">
        <w:rPr>
          <w:rFonts w:ascii="Arial" w:hAnsi="Arial" w:cs="Arial"/>
          <w:noProof/>
          <w:sz w:val="22"/>
        </w:rPr>
        <w:t>. (112), 917–923. (1983).</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25. </w:t>
      </w:r>
      <w:r w:rsidRPr="00261C24">
        <w:rPr>
          <w:rFonts w:ascii="Arial" w:hAnsi="Arial" w:cs="Arial"/>
          <w:noProof/>
          <w:sz w:val="22"/>
        </w:rPr>
        <w:tab/>
        <w:t xml:space="preserve">Fekete S, Ganzler K, Fekete J. Facts and myths about columns packed with sub-3 microm and sub-2 microm particles. </w:t>
      </w:r>
      <w:r w:rsidRPr="00261C24">
        <w:rPr>
          <w:rFonts w:ascii="Arial" w:hAnsi="Arial" w:cs="Arial"/>
          <w:i/>
          <w:iCs/>
          <w:noProof/>
          <w:sz w:val="22"/>
        </w:rPr>
        <w:t>J. Pharm. Biomed. Anal.</w:t>
      </w:r>
      <w:r w:rsidRPr="00261C24">
        <w:rPr>
          <w:rFonts w:ascii="Arial" w:hAnsi="Arial" w:cs="Arial"/>
          <w:noProof/>
          <w:sz w:val="22"/>
        </w:rPr>
        <w:t xml:space="preserve"> 51(1), 56–64 (2010).</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26. </w:t>
      </w:r>
      <w:r w:rsidRPr="00261C24">
        <w:rPr>
          <w:rFonts w:ascii="Arial" w:hAnsi="Arial" w:cs="Arial"/>
          <w:noProof/>
          <w:sz w:val="22"/>
        </w:rPr>
        <w:tab/>
        <w:t xml:space="preserve">Ruta J, Guillarme D, Rudaz S, Veuthey J-L. Comparison of columns packed with porous sub-2 microm particles and superficially porous sub-3 microm particles for peptide analysis at ambient and high temperature. </w:t>
      </w:r>
      <w:r w:rsidRPr="00261C24">
        <w:rPr>
          <w:rFonts w:ascii="Arial" w:hAnsi="Arial" w:cs="Arial"/>
          <w:i/>
          <w:iCs/>
          <w:noProof/>
          <w:sz w:val="22"/>
        </w:rPr>
        <w:t>J. Sep. Sci.</w:t>
      </w:r>
      <w:r w:rsidRPr="00261C24">
        <w:rPr>
          <w:rFonts w:ascii="Arial" w:hAnsi="Arial" w:cs="Arial"/>
          <w:noProof/>
          <w:sz w:val="22"/>
        </w:rPr>
        <w:t xml:space="preserve"> 33(16), 2465–2477 (2010).</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27. </w:t>
      </w:r>
      <w:r w:rsidRPr="00261C24">
        <w:rPr>
          <w:rFonts w:ascii="Arial" w:hAnsi="Arial" w:cs="Arial"/>
          <w:noProof/>
          <w:sz w:val="22"/>
        </w:rPr>
        <w:tab/>
        <w:t xml:space="preserve">Ismaiel OA, Zhang T, Jenkins R, Karnes HT. Determination of octreotide and assessment of matrix effects in human plasma using ultra high performance liquid chromatography-tandem mass spectrometry. </w:t>
      </w:r>
      <w:r w:rsidRPr="00261C24">
        <w:rPr>
          <w:rFonts w:ascii="Arial" w:hAnsi="Arial" w:cs="Arial"/>
          <w:i/>
          <w:iCs/>
          <w:noProof/>
          <w:sz w:val="22"/>
        </w:rPr>
        <w:t>J. Chromatogr. B. Analyt. Technol. Biomed. Life Sci.</w:t>
      </w:r>
      <w:r w:rsidRPr="00261C24">
        <w:rPr>
          <w:rFonts w:ascii="Arial" w:hAnsi="Arial" w:cs="Arial"/>
          <w:noProof/>
          <w:sz w:val="22"/>
        </w:rPr>
        <w:t xml:space="preserve"> 879(22), 2081–2088 (2011).</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28. </w:t>
      </w:r>
      <w:r w:rsidRPr="00261C24">
        <w:rPr>
          <w:rFonts w:ascii="Arial" w:hAnsi="Arial" w:cs="Arial"/>
          <w:noProof/>
          <w:sz w:val="22"/>
        </w:rPr>
        <w:tab/>
        <w:t xml:space="preserve">Holčapek M, Jirásko R, Lísa M. Recent developments in liquid chromatography-mass spectrometry and related techniques. </w:t>
      </w:r>
      <w:r w:rsidRPr="00261C24">
        <w:rPr>
          <w:rFonts w:ascii="Arial" w:hAnsi="Arial" w:cs="Arial"/>
          <w:i/>
          <w:iCs/>
          <w:noProof/>
          <w:sz w:val="22"/>
        </w:rPr>
        <w:t>J. Chromatogr. A</w:t>
      </w:r>
      <w:r w:rsidRPr="00261C24">
        <w:rPr>
          <w:rFonts w:ascii="Arial" w:hAnsi="Arial" w:cs="Arial"/>
          <w:noProof/>
          <w:sz w:val="22"/>
        </w:rPr>
        <w:t>. 1259, 3–15 (2012).</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29. </w:t>
      </w:r>
      <w:r w:rsidRPr="00261C24">
        <w:rPr>
          <w:rFonts w:ascii="Arial" w:hAnsi="Arial" w:cs="Arial"/>
          <w:noProof/>
          <w:sz w:val="22"/>
        </w:rPr>
        <w:tab/>
        <w:t xml:space="preserve">Kay R, Barton C, Ratcliffe L, </w:t>
      </w:r>
      <w:r w:rsidRPr="00261C24">
        <w:rPr>
          <w:rFonts w:ascii="Arial" w:hAnsi="Arial" w:cs="Arial"/>
          <w:i/>
          <w:iCs/>
          <w:noProof/>
          <w:sz w:val="22"/>
        </w:rPr>
        <w:t>et al.</w:t>
      </w:r>
      <w:r w:rsidRPr="00261C24">
        <w:rPr>
          <w:rFonts w:ascii="Arial" w:hAnsi="Arial" w:cs="Arial"/>
          <w:noProof/>
          <w:sz w:val="22"/>
        </w:rPr>
        <w:t xml:space="preserve"> Enrichment of low molecular weight serum proteins using acetonitrile precipitation for mass spectrometry based proteomic analysis. </w:t>
      </w:r>
      <w:r w:rsidRPr="00261C24">
        <w:rPr>
          <w:rFonts w:ascii="Arial" w:hAnsi="Arial" w:cs="Arial"/>
          <w:i/>
          <w:iCs/>
          <w:noProof/>
          <w:sz w:val="22"/>
        </w:rPr>
        <w:t>Rapid Commun. Mass Spectrom.</w:t>
      </w:r>
      <w:r w:rsidRPr="00261C24">
        <w:rPr>
          <w:rFonts w:ascii="Arial" w:hAnsi="Arial" w:cs="Arial"/>
          <w:noProof/>
          <w:sz w:val="22"/>
        </w:rPr>
        <w:t xml:space="preserve"> 22(20), 3255–60 (2008).</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30. </w:t>
      </w:r>
      <w:r w:rsidRPr="00261C24">
        <w:rPr>
          <w:rFonts w:ascii="Arial" w:hAnsi="Arial" w:cs="Arial"/>
          <w:noProof/>
          <w:sz w:val="22"/>
        </w:rPr>
        <w:tab/>
        <w:t xml:space="preserve">Halquist MS, Karnes HT. Quantification of Alefacept, an immunosuppressive fusion protein in human plasma using a protein analogue internal standard, trypsin cleaved signature peptides and liquid chromatography tandem mass spectrometry. </w:t>
      </w:r>
      <w:r w:rsidRPr="00261C24">
        <w:rPr>
          <w:rFonts w:ascii="Arial" w:hAnsi="Arial" w:cs="Arial"/>
          <w:i/>
          <w:iCs/>
          <w:noProof/>
          <w:sz w:val="22"/>
        </w:rPr>
        <w:t>J. Chromatogr. B. Analyt. Technol. Biomed. Life Sci.</w:t>
      </w:r>
      <w:r w:rsidRPr="00261C24">
        <w:rPr>
          <w:rFonts w:ascii="Arial" w:hAnsi="Arial" w:cs="Arial"/>
          <w:noProof/>
          <w:sz w:val="22"/>
        </w:rPr>
        <w:t xml:space="preserve"> 879(11-12), 789–98 (2011).</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31. </w:t>
      </w:r>
      <w:r w:rsidRPr="00261C24">
        <w:rPr>
          <w:rFonts w:ascii="Arial" w:hAnsi="Arial" w:cs="Arial"/>
          <w:noProof/>
          <w:sz w:val="22"/>
        </w:rPr>
        <w:tab/>
        <w:t xml:space="preserve">Wang Y, Qu Y, Bellows CL, Ahn J, Burkey JL, Taylor SW. Simultaneous quantification of davalintide, a novel amylin-mimetic peptide, and its active metabolite in beagle and rat plasma by online SPE and LC–MS/MS. </w:t>
      </w:r>
      <w:r w:rsidRPr="00261C24">
        <w:rPr>
          <w:rFonts w:ascii="Arial" w:hAnsi="Arial" w:cs="Arial"/>
          <w:i/>
          <w:iCs/>
          <w:noProof/>
          <w:sz w:val="22"/>
        </w:rPr>
        <w:t>Bioanalysis</w:t>
      </w:r>
      <w:r w:rsidRPr="00261C24">
        <w:rPr>
          <w:rFonts w:ascii="Arial" w:hAnsi="Arial" w:cs="Arial"/>
          <w:noProof/>
          <w:sz w:val="22"/>
        </w:rPr>
        <w:t>. 4, 2141–2152 (2012).</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32. </w:t>
      </w:r>
      <w:r w:rsidRPr="00261C24">
        <w:rPr>
          <w:rFonts w:ascii="Arial" w:hAnsi="Arial" w:cs="Arial"/>
          <w:noProof/>
          <w:sz w:val="22"/>
        </w:rPr>
        <w:tab/>
        <w:t xml:space="preserve">Chappell D, Lee A, Castro-Perez J, </w:t>
      </w:r>
      <w:r w:rsidRPr="00261C24">
        <w:rPr>
          <w:rFonts w:ascii="Arial" w:hAnsi="Arial" w:cs="Arial"/>
          <w:i/>
          <w:iCs/>
          <w:noProof/>
          <w:sz w:val="22"/>
        </w:rPr>
        <w:t>et al.</w:t>
      </w:r>
      <w:r w:rsidRPr="00261C24">
        <w:rPr>
          <w:rFonts w:ascii="Arial" w:hAnsi="Arial" w:cs="Arial"/>
          <w:noProof/>
          <w:sz w:val="22"/>
        </w:rPr>
        <w:t xml:space="preserve"> An ultrasensitive method for the quantitation of active and inactive GLP-1 in human plasma via immunoaffinity LC-MS/MS. </w:t>
      </w:r>
      <w:r w:rsidRPr="00261C24">
        <w:rPr>
          <w:rFonts w:ascii="Arial" w:hAnsi="Arial" w:cs="Arial"/>
          <w:i/>
          <w:iCs/>
          <w:noProof/>
          <w:sz w:val="22"/>
        </w:rPr>
        <w:t>Bioanalysis.</w:t>
      </w:r>
      <w:r w:rsidRPr="00261C24">
        <w:rPr>
          <w:rFonts w:ascii="Arial" w:hAnsi="Arial" w:cs="Arial"/>
          <w:noProof/>
          <w:sz w:val="22"/>
        </w:rPr>
        <w:t xml:space="preserve"> 6(1), 33–42 (2014).</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33. </w:t>
      </w:r>
      <w:r w:rsidRPr="00261C24">
        <w:rPr>
          <w:rFonts w:ascii="Arial" w:hAnsi="Arial" w:cs="Arial"/>
          <w:noProof/>
          <w:sz w:val="22"/>
        </w:rPr>
        <w:tab/>
        <w:t xml:space="preserve">Omenn GS. THE HUPO Human Plasma Proteome Project. </w:t>
      </w:r>
      <w:r w:rsidRPr="00261C24">
        <w:rPr>
          <w:rFonts w:ascii="Arial" w:hAnsi="Arial" w:cs="Arial"/>
          <w:i/>
          <w:iCs/>
          <w:noProof/>
          <w:sz w:val="22"/>
        </w:rPr>
        <w:t>PROTEOMICS – Clin. Appl.</w:t>
      </w:r>
      <w:r w:rsidRPr="00261C24">
        <w:rPr>
          <w:rFonts w:ascii="Arial" w:hAnsi="Arial" w:cs="Arial"/>
          <w:noProof/>
          <w:sz w:val="22"/>
        </w:rPr>
        <w:t xml:space="preserve"> 1(8), 769–779 (2007).</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34. </w:t>
      </w:r>
      <w:r w:rsidRPr="00261C24">
        <w:rPr>
          <w:rFonts w:ascii="Arial" w:hAnsi="Arial" w:cs="Arial"/>
          <w:noProof/>
          <w:sz w:val="22"/>
        </w:rPr>
        <w:tab/>
        <w:t xml:space="preserve">Houghton R, Horro Pita C, Ward I, Macarthur R. Generic approach to validation of small-molecule LC-MS/MS biomarker assays. </w:t>
      </w:r>
      <w:r w:rsidRPr="00261C24">
        <w:rPr>
          <w:rFonts w:ascii="Arial" w:hAnsi="Arial" w:cs="Arial"/>
          <w:i/>
          <w:iCs/>
          <w:noProof/>
          <w:sz w:val="22"/>
        </w:rPr>
        <w:t>Bioanalysis</w:t>
      </w:r>
      <w:r w:rsidRPr="00261C24">
        <w:rPr>
          <w:rFonts w:ascii="Arial" w:hAnsi="Arial" w:cs="Arial"/>
          <w:noProof/>
          <w:sz w:val="22"/>
        </w:rPr>
        <w:t>. 1(8), 1365–74 (2009).</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35. </w:t>
      </w:r>
      <w:r w:rsidRPr="00261C24">
        <w:rPr>
          <w:rFonts w:ascii="Arial" w:hAnsi="Arial" w:cs="Arial"/>
          <w:noProof/>
          <w:sz w:val="22"/>
        </w:rPr>
        <w:tab/>
        <w:t xml:space="preserve">Rai AJ, Gelfand CA, Haywood BC, </w:t>
      </w:r>
      <w:r w:rsidRPr="00261C24">
        <w:rPr>
          <w:rFonts w:ascii="Arial" w:hAnsi="Arial" w:cs="Arial"/>
          <w:i/>
          <w:iCs/>
          <w:noProof/>
          <w:sz w:val="22"/>
        </w:rPr>
        <w:t>et al.</w:t>
      </w:r>
      <w:r w:rsidRPr="00261C24">
        <w:rPr>
          <w:rFonts w:ascii="Arial" w:hAnsi="Arial" w:cs="Arial"/>
          <w:noProof/>
          <w:sz w:val="22"/>
        </w:rPr>
        <w:t xml:space="preserve"> HUPO Plasma Proteome Project specimen collection and handling: towards the standardization of parameters for plasma proteome samples. </w:t>
      </w:r>
      <w:r w:rsidRPr="00261C24">
        <w:rPr>
          <w:rFonts w:ascii="Arial" w:hAnsi="Arial" w:cs="Arial"/>
          <w:i/>
          <w:iCs/>
          <w:noProof/>
          <w:sz w:val="22"/>
        </w:rPr>
        <w:t>Proteomics</w:t>
      </w:r>
      <w:r w:rsidRPr="00261C24">
        <w:rPr>
          <w:rFonts w:ascii="Arial" w:hAnsi="Arial" w:cs="Arial"/>
          <w:noProof/>
          <w:sz w:val="22"/>
        </w:rPr>
        <w:t>. 5(13), 3262–77 (2005).</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36. </w:t>
      </w:r>
      <w:r w:rsidRPr="00261C24">
        <w:rPr>
          <w:rFonts w:ascii="Arial" w:hAnsi="Arial" w:cs="Arial"/>
          <w:noProof/>
          <w:sz w:val="22"/>
        </w:rPr>
        <w:tab/>
        <w:t xml:space="preserve">Green BD, Flatt PR, Bailey CJ. Dipeptidyl peptidase IV (DPP IV) inhibitors: A newly emerging drug class for the treatment of type 2 diabetes. </w:t>
      </w:r>
      <w:r w:rsidRPr="00261C24">
        <w:rPr>
          <w:rFonts w:ascii="Arial" w:hAnsi="Arial" w:cs="Arial"/>
          <w:i/>
          <w:iCs/>
          <w:noProof/>
          <w:sz w:val="22"/>
        </w:rPr>
        <w:t>Diab. Vasc. Dis. Res.</w:t>
      </w:r>
      <w:r w:rsidRPr="00261C24">
        <w:rPr>
          <w:rFonts w:ascii="Arial" w:hAnsi="Arial" w:cs="Arial"/>
          <w:noProof/>
          <w:sz w:val="22"/>
        </w:rPr>
        <w:t xml:space="preserve"> 3(3), 159–65 (2006).</w:t>
      </w:r>
    </w:p>
    <w:p w:rsidR="00261C24" w:rsidRPr="00261C24" w:rsidRDefault="00261C24">
      <w:pPr>
        <w:pStyle w:val="NormalWeb"/>
        <w:ind w:left="640" w:hanging="640"/>
        <w:divId w:val="1890799708"/>
        <w:rPr>
          <w:rFonts w:ascii="Arial" w:hAnsi="Arial" w:cs="Arial"/>
          <w:noProof/>
          <w:sz w:val="22"/>
        </w:rPr>
      </w:pPr>
      <w:r w:rsidRPr="00261C24">
        <w:rPr>
          <w:rFonts w:ascii="Arial" w:hAnsi="Arial" w:cs="Arial"/>
          <w:noProof/>
          <w:sz w:val="22"/>
        </w:rPr>
        <w:t xml:space="preserve">37. </w:t>
      </w:r>
      <w:r w:rsidRPr="00261C24">
        <w:rPr>
          <w:rFonts w:ascii="Arial" w:hAnsi="Arial" w:cs="Arial"/>
          <w:noProof/>
          <w:sz w:val="22"/>
        </w:rPr>
        <w:tab/>
        <w:t xml:space="preserve">Leboeuf R, Langlois M-F, Martin M, Ahnadi CE, Fink GD. “Hook effect” in calcitonin immunoradiometric assay in patients with metastatic medullary thyroid carcinoma: case report and review of the literature. </w:t>
      </w:r>
      <w:r w:rsidRPr="00261C24">
        <w:rPr>
          <w:rFonts w:ascii="Arial" w:hAnsi="Arial" w:cs="Arial"/>
          <w:i/>
          <w:iCs/>
          <w:noProof/>
          <w:sz w:val="22"/>
        </w:rPr>
        <w:t>J. Clin. Endocrinol. Metab.</w:t>
      </w:r>
      <w:r w:rsidRPr="00261C24">
        <w:rPr>
          <w:rFonts w:ascii="Arial" w:hAnsi="Arial" w:cs="Arial"/>
          <w:noProof/>
          <w:sz w:val="22"/>
        </w:rPr>
        <w:t xml:space="preserve"> 91(2), 361–4 (2006). </w:t>
      </w:r>
    </w:p>
    <w:p w:rsidR="002E0909" w:rsidRDefault="001B586C" w:rsidP="00261C24">
      <w:pPr>
        <w:pStyle w:val="NormalWeb"/>
        <w:ind w:left="640" w:hanging="640"/>
        <w:divId w:val="1709597757"/>
        <w:rPr>
          <w:rFonts w:ascii="Arial" w:hAnsi="Arial" w:cs="Arial"/>
        </w:rPr>
      </w:pPr>
      <w:r>
        <w:rPr>
          <w:rFonts w:ascii="Arial" w:hAnsi="Arial" w:cs="Arial"/>
        </w:rPr>
        <w:fldChar w:fldCharType="end"/>
      </w:r>
    </w:p>
    <w:p w:rsidR="00AD1840" w:rsidRDefault="00AD1840" w:rsidP="00DF06CE">
      <w:pPr>
        <w:pStyle w:val="NormalWeb"/>
        <w:ind w:left="640" w:hanging="640"/>
        <w:divId w:val="713698056"/>
        <w:rPr>
          <w:rFonts w:ascii="Arial" w:hAnsi="Arial" w:cs="Arial"/>
        </w:rPr>
      </w:pPr>
    </w:p>
    <w:sectPr w:rsidR="00AD1840" w:rsidSect="001D1BC4">
      <w:type w:val="continuous"/>
      <w:pgSz w:w="11906" w:h="16838"/>
      <w:pgMar w:top="1440" w:right="1440" w:bottom="1440" w:left="1440" w:header="709" w:footer="709" w:gutter="0"/>
      <w:lnNumType w:countBy="1" w:restart="continuou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08F" w:rsidRDefault="0013208F" w:rsidP="00A4622C">
      <w:pPr>
        <w:spacing w:after="0" w:line="240" w:lineRule="auto"/>
      </w:pPr>
      <w:r>
        <w:separator/>
      </w:r>
    </w:p>
  </w:endnote>
  <w:endnote w:type="continuationSeparator" w:id="0">
    <w:p w:rsidR="0013208F" w:rsidRDefault="0013208F" w:rsidP="00A46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w:altName w:val="Adobe Garamond"/>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E4A" w:rsidRDefault="00FB0E4A" w:rsidP="00A4622C">
    <w:pPr>
      <w:pStyle w:val="Footer"/>
      <w:jc w:val="center"/>
    </w:pPr>
    <w:r w:rsidRPr="00730B7D">
      <w:t>Page</w:t>
    </w:r>
    <w:r>
      <w:t xml:space="preserve"> </w:t>
    </w:r>
    <w:r w:rsidR="001B586C">
      <w:fldChar w:fldCharType="begin"/>
    </w:r>
    <w:r>
      <w:instrText xml:space="preserve"> PAGE </w:instrText>
    </w:r>
    <w:r w:rsidR="001B586C">
      <w:fldChar w:fldCharType="separate"/>
    </w:r>
    <w:r w:rsidR="00342B10">
      <w:rPr>
        <w:noProof/>
      </w:rPr>
      <w:t>27</w:t>
    </w:r>
    <w:r w:rsidR="001B586C">
      <w:rPr>
        <w:noProof/>
      </w:rPr>
      <w:fldChar w:fldCharType="end"/>
    </w:r>
    <w:r>
      <w:t xml:space="preserve"> of </w:t>
    </w:r>
    <w:r w:rsidR="00342B10">
      <w:fldChar w:fldCharType="begin"/>
    </w:r>
    <w:r w:rsidR="00342B10">
      <w:instrText xml:space="preserve"> NUMPAGES </w:instrText>
    </w:r>
    <w:r w:rsidR="00342B10">
      <w:fldChar w:fldCharType="separate"/>
    </w:r>
    <w:r w:rsidR="00342B10">
      <w:rPr>
        <w:noProof/>
      </w:rPr>
      <w:t>28</w:t>
    </w:r>
    <w:r w:rsidR="00342B10">
      <w:rPr>
        <w:noProof/>
      </w:rPr>
      <w:fldChar w:fldCharType="end"/>
    </w:r>
  </w:p>
  <w:p w:rsidR="00FB0E4A" w:rsidRDefault="00FB0E4A" w:rsidP="00A4622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08F" w:rsidRDefault="0013208F" w:rsidP="00A4622C">
      <w:pPr>
        <w:spacing w:after="0" w:line="240" w:lineRule="auto"/>
      </w:pPr>
      <w:r>
        <w:separator/>
      </w:r>
    </w:p>
  </w:footnote>
  <w:footnote w:type="continuationSeparator" w:id="0">
    <w:p w:rsidR="0013208F" w:rsidRDefault="0013208F" w:rsidP="00A462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6089"/>
    <w:multiLevelType w:val="multilevel"/>
    <w:tmpl w:val="B186D11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7660FFC"/>
    <w:multiLevelType w:val="hybridMultilevel"/>
    <w:tmpl w:val="E0C6B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517357"/>
    <w:multiLevelType w:val="multilevel"/>
    <w:tmpl w:val="B7E68E12"/>
    <w:lvl w:ilvl="0">
      <w:start w:val="1"/>
      <w:numFmt w:val="decimal"/>
      <w:pStyle w:val="TemplateHeading1"/>
      <w:lvlText w:val="%1"/>
      <w:lvlJc w:val="left"/>
      <w:pPr>
        <w:tabs>
          <w:tab w:val="num" w:pos="432"/>
        </w:tabs>
        <w:ind w:left="432" w:hanging="432"/>
      </w:pPr>
      <w:rPr>
        <w:rFonts w:hint="default"/>
        <w:b w:val="0"/>
      </w:rPr>
    </w:lvl>
    <w:lvl w:ilvl="1">
      <w:start w:val="1"/>
      <w:numFmt w:val="decimal"/>
      <w:pStyle w:val="Template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Template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nsid w:val="17F548AA"/>
    <w:multiLevelType w:val="hybridMultilevel"/>
    <w:tmpl w:val="D7DE0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877EE7"/>
    <w:multiLevelType w:val="hybridMultilevel"/>
    <w:tmpl w:val="8974C8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5016AA"/>
    <w:multiLevelType w:val="multilevel"/>
    <w:tmpl w:val="A85C79E2"/>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E69529C"/>
    <w:multiLevelType w:val="multilevel"/>
    <w:tmpl w:val="9D0AF456"/>
    <w:lvl w:ilvl="0">
      <w:start w:val="1"/>
      <w:numFmt w:val="decimal"/>
      <w:lvlText w:val="%1."/>
      <w:lvlJc w:val="left"/>
      <w:pPr>
        <w:ind w:left="0" w:firstLine="0"/>
      </w:pPr>
      <w:rPr>
        <w:b/>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nsid w:val="2C4F020C"/>
    <w:multiLevelType w:val="hybridMultilevel"/>
    <w:tmpl w:val="7FBE2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E356384"/>
    <w:multiLevelType w:val="hybridMultilevel"/>
    <w:tmpl w:val="00BA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864532"/>
    <w:multiLevelType w:val="hybridMultilevel"/>
    <w:tmpl w:val="B1EC5C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377B3C"/>
    <w:multiLevelType w:val="hybridMultilevel"/>
    <w:tmpl w:val="70A62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6FC5B13"/>
    <w:multiLevelType w:val="hybridMultilevel"/>
    <w:tmpl w:val="42F4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87E2AE6"/>
    <w:multiLevelType w:val="hybridMultilevel"/>
    <w:tmpl w:val="E77AC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5E0A731E"/>
    <w:multiLevelType w:val="multilevel"/>
    <w:tmpl w:val="9D0AF456"/>
    <w:lvl w:ilvl="0">
      <w:start w:val="1"/>
      <w:numFmt w:val="decimal"/>
      <w:lvlText w:val="%1."/>
      <w:lvlJc w:val="left"/>
      <w:pPr>
        <w:ind w:left="0" w:firstLine="0"/>
      </w:pPr>
      <w:rPr>
        <w:b/>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5F713C7C"/>
    <w:multiLevelType w:val="hybridMultilevel"/>
    <w:tmpl w:val="5B425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26E7452"/>
    <w:multiLevelType w:val="hybridMultilevel"/>
    <w:tmpl w:val="508ED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4684737"/>
    <w:multiLevelType w:val="hybridMultilevel"/>
    <w:tmpl w:val="61AA475A"/>
    <w:lvl w:ilvl="0" w:tplc="FBCC56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6FB77EA"/>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68B368C5"/>
    <w:multiLevelType w:val="hybridMultilevel"/>
    <w:tmpl w:val="4E72F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4F65670"/>
    <w:multiLevelType w:val="hybridMultilevel"/>
    <w:tmpl w:val="8BB41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A8B77E4"/>
    <w:multiLevelType w:val="multilevel"/>
    <w:tmpl w:val="9D0AF456"/>
    <w:lvl w:ilvl="0">
      <w:start w:val="1"/>
      <w:numFmt w:val="decimal"/>
      <w:lvlText w:val="%1."/>
      <w:lvlJc w:val="left"/>
      <w:pPr>
        <w:ind w:left="0" w:firstLine="0"/>
      </w:pPr>
      <w:rPr>
        <w:b/>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
  </w:num>
  <w:num w:numId="2">
    <w:abstractNumId w:val="10"/>
  </w:num>
  <w:num w:numId="3">
    <w:abstractNumId w:val="2"/>
  </w:num>
  <w:num w:numId="4">
    <w:abstractNumId w:val="8"/>
  </w:num>
  <w:num w:numId="5">
    <w:abstractNumId w:val="12"/>
  </w:num>
  <w:num w:numId="6">
    <w:abstractNumId w:val="18"/>
  </w:num>
  <w:num w:numId="7">
    <w:abstractNumId w:val="9"/>
  </w:num>
  <w:num w:numId="8">
    <w:abstractNumId w:val="5"/>
  </w:num>
  <w:num w:numId="9">
    <w:abstractNumId w:val="17"/>
  </w:num>
  <w:num w:numId="10">
    <w:abstractNumId w:val="6"/>
  </w:num>
  <w:num w:numId="11">
    <w:abstractNumId w:val="2"/>
  </w:num>
  <w:num w:numId="12">
    <w:abstractNumId w:val="13"/>
  </w:num>
  <w:num w:numId="13">
    <w:abstractNumId w:val="20"/>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0"/>
  </w:num>
  <w:num w:numId="23">
    <w:abstractNumId w:val="2"/>
  </w:num>
  <w:num w:numId="24">
    <w:abstractNumId w:val="2"/>
  </w:num>
  <w:num w:numId="25">
    <w:abstractNumId w:val="16"/>
  </w:num>
  <w:num w:numId="26">
    <w:abstractNumId w:val="4"/>
  </w:num>
  <w:num w:numId="27">
    <w:abstractNumId w:val="19"/>
  </w:num>
  <w:num w:numId="28">
    <w:abstractNumId w:val="11"/>
  </w:num>
  <w:num w:numId="29">
    <w:abstractNumId w:val="3"/>
  </w:num>
  <w:num w:numId="30">
    <w:abstractNumId w:val="14"/>
  </w:num>
  <w:num w:numId="31">
    <w:abstractNumId w:val="15"/>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trackRevision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FF9"/>
    <w:rsid w:val="00000ADF"/>
    <w:rsid w:val="000015A6"/>
    <w:rsid w:val="00003FA1"/>
    <w:rsid w:val="00005FD1"/>
    <w:rsid w:val="0000720F"/>
    <w:rsid w:val="00010BAE"/>
    <w:rsid w:val="00012E43"/>
    <w:rsid w:val="000146A9"/>
    <w:rsid w:val="000148EC"/>
    <w:rsid w:val="00015718"/>
    <w:rsid w:val="00015D9F"/>
    <w:rsid w:val="00016B38"/>
    <w:rsid w:val="000208D1"/>
    <w:rsid w:val="00020B67"/>
    <w:rsid w:val="00020C85"/>
    <w:rsid w:val="00022905"/>
    <w:rsid w:val="00023659"/>
    <w:rsid w:val="00025308"/>
    <w:rsid w:val="000261A4"/>
    <w:rsid w:val="00027278"/>
    <w:rsid w:val="00030BD7"/>
    <w:rsid w:val="00031A70"/>
    <w:rsid w:val="00032432"/>
    <w:rsid w:val="00032482"/>
    <w:rsid w:val="00033A24"/>
    <w:rsid w:val="000343F1"/>
    <w:rsid w:val="00037A48"/>
    <w:rsid w:val="000430E4"/>
    <w:rsid w:val="000446D5"/>
    <w:rsid w:val="00046178"/>
    <w:rsid w:val="00051BA1"/>
    <w:rsid w:val="00054F8A"/>
    <w:rsid w:val="00055194"/>
    <w:rsid w:val="00063B63"/>
    <w:rsid w:val="00063F26"/>
    <w:rsid w:val="00065E75"/>
    <w:rsid w:val="00067273"/>
    <w:rsid w:val="000711C8"/>
    <w:rsid w:val="0007496D"/>
    <w:rsid w:val="00077239"/>
    <w:rsid w:val="000820DD"/>
    <w:rsid w:val="00085469"/>
    <w:rsid w:val="00085478"/>
    <w:rsid w:val="00087689"/>
    <w:rsid w:val="00092C83"/>
    <w:rsid w:val="00095409"/>
    <w:rsid w:val="00096A12"/>
    <w:rsid w:val="000972E9"/>
    <w:rsid w:val="000A0CEE"/>
    <w:rsid w:val="000A203D"/>
    <w:rsid w:val="000A3395"/>
    <w:rsid w:val="000B0A2E"/>
    <w:rsid w:val="000B0A6C"/>
    <w:rsid w:val="000B3CAC"/>
    <w:rsid w:val="000C1E57"/>
    <w:rsid w:val="000C3C28"/>
    <w:rsid w:val="000C3F4C"/>
    <w:rsid w:val="000C4906"/>
    <w:rsid w:val="000C6E61"/>
    <w:rsid w:val="000D0CD6"/>
    <w:rsid w:val="000D3209"/>
    <w:rsid w:val="000D7E26"/>
    <w:rsid w:val="000E0D7A"/>
    <w:rsid w:val="000E4E42"/>
    <w:rsid w:val="000E6EA8"/>
    <w:rsid w:val="000E7B4D"/>
    <w:rsid w:val="000F0FAD"/>
    <w:rsid w:val="000F1500"/>
    <w:rsid w:val="000F35B1"/>
    <w:rsid w:val="000F7FC3"/>
    <w:rsid w:val="00105DA2"/>
    <w:rsid w:val="001069DC"/>
    <w:rsid w:val="00106FA3"/>
    <w:rsid w:val="001070C5"/>
    <w:rsid w:val="00115C9C"/>
    <w:rsid w:val="00116C0E"/>
    <w:rsid w:val="00117771"/>
    <w:rsid w:val="001178A4"/>
    <w:rsid w:val="001203D5"/>
    <w:rsid w:val="00121B06"/>
    <w:rsid w:val="001245AB"/>
    <w:rsid w:val="00124CFF"/>
    <w:rsid w:val="00124DB1"/>
    <w:rsid w:val="0013208F"/>
    <w:rsid w:val="001342FF"/>
    <w:rsid w:val="0013792D"/>
    <w:rsid w:val="001443E8"/>
    <w:rsid w:val="001510ED"/>
    <w:rsid w:val="00152DAB"/>
    <w:rsid w:val="00153CA9"/>
    <w:rsid w:val="001575B5"/>
    <w:rsid w:val="001579FD"/>
    <w:rsid w:val="00160A1B"/>
    <w:rsid w:val="00164464"/>
    <w:rsid w:val="00165AC8"/>
    <w:rsid w:val="001742DB"/>
    <w:rsid w:val="0017716C"/>
    <w:rsid w:val="001816C9"/>
    <w:rsid w:val="00184B40"/>
    <w:rsid w:val="00186F1A"/>
    <w:rsid w:val="001921A6"/>
    <w:rsid w:val="001940E6"/>
    <w:rsid w:val="00194CBE"/>
    <w:rsid w:val="001956FE"/>
    <w:rsid w:val="00197299"/>
    <w:rsid w:val="001A1370"/>
    <w:rsid w:val="001A5BC8"/>
    <w:rsid w:val="001A7386"/>
    <w:rsid w:val="001B0E30"/>
    <w:rsid w:val="001B4B71"/>
    <w:rsid w:val="001B586C"/>
    <w:rsid w:val="001B5BFF"/>
    <w:rsid w:val="001B7400"/>
    <w:rsid w:val="001C161D"/>
    <w:rsid w:val="001C6BAB"/>
    <w:rsid w:val="001C7DD6"/>
    <w:rsid w:val="001D0885"/>
    <w:rsid w:val="001D1BC4"/>
    <w:rsid w:val="001D7655"/>
    <w:rsid w:val="001E10DC"/>
    <w:rsid w:val="001E1416"/>
    <w:rsid w:val="001E7F0D"/>
    <w:rsid w:val="001F374E"/>
    <w:rsid w:val="001F3CFC"/>
    <w:rsid w:val="001F482C"/>
    <w:rsid w:val="00202E19"/>
    <w:rsid w:val="002030C9"/>
    <w:rsid w:val="002035D2"/>
    <w:rsid w:val="002047CD"/>
    <w:rsid w:val="00204B14"/>
    <w:rsid w:val="0020533C"/>
    <w:rsid w:val="0020538A"/>
    <w:rsid w:val="00210841"/>
    <w:rsid w:val="00211600"/>
    <w:rsid w:val="00211609"/>
    <w:rsid w:val="0021392D"/>
    <w:rsid w:val="002139D0"/>
    <w:rsid w:val="00215097"/>
    <w:rsid w:val="00223D70"/>
    <w:rsid w:val="002278A3"/>
    <w:rsid w:val="002328CD"/>
    <w:rsid w:val="00232BBE"/>
    <w:rsid w:val="00233F1F"/>
    <w:rsid w:val="00236CCA"/>
    <w:rsid w:val="00237E4F"/>
    <w:rsid w:val="00241343"/>
    <w:rsid w:val="0024443F"/>
    <w:rsid w:val="0024450F"/>
    <w:rsid w:val="00244BAE"/>
    <w:rsid w:val="00245F27"/>
    <w:rsid w:val="00247606"/>
    <w:rsid w:val="002525AF"/>
    <w:rsid w:val="00253EC2"/>
    <w:rsid w:val="002550F2"/>
    <w:rsid w:val="002555E5"/>
    <w:rsid w:val="0025777D"/>
    <w:rsid w:val="00261436"/>
    <w:rsid w:val="00261C24"/>
    <w:rsid w:val="00262C7E"/>
    <w:rsid w:val="00263650"/>
    <w:rsid w:val="002642FB"/>
    <w:rsid w:val="0026492D"/>
    <w:rsid w:val="00265837"/>
    <w:rsid w:val="00267B55"/>
    <w:rsid w:val="00271195"/>
    <w:rsid w:val="002726F3"/>
    <w:rsid w:val="00272F82"/>
    <w:rsid w:val="00275610"/>
    <w:rsid w:val="00275C87"/>
    <w:rsid w:val="0027715F"/>
    <w:rsid w:val="00277C3D"/>
    <w:rsid w:val="00281651"/>
    <w:rsid w:val="0028323A"/>
    <w:rsid w:val="002855E2"/>
    <w:rsid w:val="00287BA0"/>
    <w:rsid w:val="00291FB2"/>
    <w:rsid w:val="0029527A"/>
    <w:rsid w:val="00297033"/>
    <w:rsid w:val="002A171F"/>
    <w:rsid w:val="002A50A1"/>
    <w:rsid w:val="002C7C57"/>
    <w:rsid w:val="002E0909"/>
    <w:rsid w:val="002E470A"/>
    <w:rsid w:val="002E49E7"/>
    <w:rsid w:val="002E5AB7"/>
    <w:rsid w:val="002E5D22"/>
    <w:rsid w:val="002E7E9C"/>
    <w:rsid w:val="002F0445"/>
    <w:rsid w:val="002F2AAF"/>
    <w:rsid w:val="002F310E"/>
    <w:rsid w:val="002F4201"/>
    <w:rsid w:val="002F4EBC"/>
    <w:rsid w:val="002F5186"/>
    <w:rsid w:val="002F6603"/>
    <w:rsid w:val="002F782F"/>
    <w:rsid w:val="002F78EF"/>
    <w:rsid w:val="00300652"/>
    <w:rsid w:val="00302644"/>
    <w:rsid w:val="00303BA2"/>
    <w:rsid w:val="00313235"/>
    <w:rsid w:val="00314A65"/>
    <w:rsid w:val="0031739A"/>
    <w:rsid w:val="00321405"/>
    <w:rsid w:val="00323516"/>
    <w:rsid w:val="00323697"/>
    <w:rsid w:val="0032369E"/>
    <w:rsid w:val="0032691F"/>
    <w:rsid w:val="00332254"/>
    <w:rsid w:val="003323C0"/>
    <w:rsid w:val="00335AE0"/>
    <w:rsid w:val="00336014"/>
    <w:rsid w:val="0033699C"/>
    <w:rsid w:val="00342B10"/>
    <w:rsid w:val="003444CF"/>
    <w:rsid w:val="003463D5"/>
    <w:rsid w:val="0034738F"/>
    <w:rsid w:val="00350225"/>
    <w:rsid w:val="0035364F"/>
    <w:rsid w:val="003536B5"/>
    <w:rsid w:val="003548B3"/>
    <w:rsid w:val="00354EFA"/>
    <w:rsid w:val="00355189"/>
    <w:rsid w:val="00357C9C"/>
    <w:rsid w:val="00361B63"/>
    <w:rsid w:val="00361E81"/>
    <w:rsid w:val="00363769"/>
    <w:rsid w:val="00370AD1"/>
    <w:rsid w:val="00370B33"/>
    <w:rsid w:val="00372174"/>
    <w:rsid w:val="00374C19"/>
    <w:rsid w:val="00375E2A"/>
    <w:rsid w:val="00376012"/>
    <w:rsid w:val="00391035"/>
    <w:rsid w:val="003915E5"/>
    <w:rsid w:val="0039190E"/>
    <w:rsid w:val="00394AB5"/>
    <w:rsid w:val="00395081"/>
    <w:rsid w:val="003A52AF"/>
    <w:rsid w:val="003A5DA9"/>
    <w:rsid w:val="003B1A28"/>
    <w:rsid w:val="003B6E4C"/>
    <w:rsid w:val="003B7A95"/>
    <w:rsid w:val="003C0C63"/>
    <w:rsid w:val="003C7113"/>
    <w:rsid w:val="003D157E"/>
    <w:rsid w:val="003D2565"/>
    <w:rsid w:val="003D2732"/>
    <w:rsid w:val="003D2A38"/>
    <w:rsid w:val="003D2B2F"/>
    <w:rsid w:val="003D2CB2"/>
    <w:rsid w:val="003D51C5"/>
    <w:rsid w:val="003D765E"/>
    <w:rsid w:val="003E1F36"/>
    <w:rsid w:val="003E2510"/>
    <w:rsid w:val="003E6A39"/>
    <w:rsid w:val="003E7AEF"/>
    <w:rsid w:val="003E7FAB"/>
    <w:rsid w:val="003F14B7"/>
    <w:rsid w:val="003F3F36"/>
    <w:rsid w:val="003F497F"/>
    <w:rsid w:val="004000F2"/>
    <w:rsid w:val="00401385"/>
    <w:rsid w:val="004055D0"/>
    <w:rsid w:val="00412DF3"/>
    <w:rsid w:val="00412FF9"/>
    <w:rsid w:val="00413EA1"/>
    <w:rsid w:val="00426EDC"/>
    <w:rsid w:val="00427AF9"/>
    <w:rsid w:val="00432C45"/>
    <w:rsid w:val="00434C4E"/>
    <w:rsid w:val="00436831"/>
    <w:rsid w:val="00437546"/>
    <w:rsid w:val="00442121"/>
    <w:rsid w:val="0044264E"/>
    <w:rsid w:val="0044630D"/>
    <w:rsid w:val="004507FC"/>
    <w:rsid w:val="00451463"/>
    <w:rsid w:val="00451B9C"/>
    <w:rsid w:val="00455514"/>
    <w:rsid w:val="0045581F"/>
    <w:rsid w:val="00455E6A"/>
    <w:rsid w:val="004567C6"/>
    <w:rsid w:val="00460D1D"/>
    <w:rsid w:val="00463EAE"/>
    <w:rsid w:val="0047196E"/>
    <w:rsid w:val="004737A4"/>
    <w:rsid w:val="00474496"/>
    <w:rsid w:val="00480D00"/>
    <w:rsid w:val="0048123B"/>
    <w:rsid w:val="00482881"/>
    <w:rsid w:val="0048354E"/>
    <w:rsid w:val="00484A13"/>
    <w:rsid w:val="00484FBA"/>
    <w:rsid w:val="00485667"/>
    <w:rsid w:val="00490064"/>
    <w:rsid w:val="00494ED6"/>
    <w:rsid w:val="0049585F"/>
    <w:rsid w:val="004A05A8"/>
    <w:rsid w:val="004A1A20"/>
    <w:rsid w:val="004A56CF"/>
    <w:rsid w:val="004B10B9"/>
    <w:rsid w:val="004B1121"/>
    <w:rsid w:val="004B38AD"/>
    <w:rsid w:val="004B3D54"/>
    <w:rsid w:val="004C098D"/>
    <w:rsid w:val="004C113C"/>
    <w:rsid w:val="004C11CB"/>
    <w:rsid w:val="004C19AD"/>
    <w:rsid w:val="004C2053"/>
    <w:rsid w:val="004C288B"/>
    <w:rsid w:val="004C41FA"/>
    <w:rsid w:val="004C5302"/>
    <w:rsid w:val="004C7CE9"/>
    <w:rsid w:val="004D431B"/>
    <w:rsid w:val="004D48B7"/>
    <w:rsid w:val="004D4A23"/>
    <w:rsid w:val="004D4F11"/>
    <w:rsid w:val="004E0831"/>
    <w:rsid w:val="004E2869"/>
    <w:rsid w:val="004E6FFC"/>
    <w:rsid w:val="004E77CE"/>
    <w:rsid w:val="004F1912"/>
    <w:rsid w:val="004F2559"/>
    <w:rsid w:val="004F3756"/>
    <w:rsid w:val="004F649F"/>
    <w:rsid w:val="00503FF3"/>
    <w:rsid w:val="0050450C"/>
    <w:rsid w:val="00512216"/>
    <w:rsid w:val="00513DE4"/>
    <w:rsid w:val="00514C0F"/>
    <w:rsid w:val="005152F5"/>
    <w:rsid w:val="00516204"/>
    <w:rsid w:val="00516EC6"/>
    <w:rsid w:val="00523060"/>
    <w:rsid w:val="00524245"/>
    <w:rsid w:val="00525910"/>
    <w:rsid w:val="00530720"/>
    <w:rsid w:val="005315D9"/>
    <w:rsid w:val="00535B5E"/>
    <w:rsid w:val="00535D48"/>
    <w:rsid w:val="00537EA1"/>
    <w:rsid w:val="00545AD2"/>
    <w:rsid w:val="00546893"/>
    <w:rsid w:val="00550C28"/>
    <w:rsid w:val="00551355"/>
    <w:rsid w:val="00553847"/>
    <w:rsid w:val="00553DCC"/>
    <w:rsid w:val="005553CD"/>
    <w:rsid w:val="005566A9"/>
    <w:rsid w:val="005570D8"/>
    <w:rsid w:val="005624EB"/>
    <w:rsid w:val="00563DD8"/>
    <w:rsid w:val="005651E2"/>
    <w:rsid w:val="00565353"/>
    <w:rsid w:val="00565F85"/>
    <w:rsid w:val="0056690F"/>
    <w:rsid w:val="005741A9"/>
    <w:rsid w:val="00575F98"/>
    <w:rsid w:val="00576120"/>
    <w:rsid w:val="0057678B"/>
    <w:rsid w:val="00584853"/>
    <w:rsid w:val="00584AF1"/>
    <w:rsid w:val="00585CC0"/>
    <w:rsid w:val="00587777"/>
    <w:rsid w:val="00587D38"/>
    <w:rsid w:val="00590335"/>
    <w:rsid w:val="005913EF"/>
    <w:rsid w:val="00591934"/>
    <w:rsid w:val="00592B0B"/>
    <w:rsid w:val="00595E21"/>
    <w:rsid w:val="00596711"/>
    <w:rsid w:val="005A030A"/>
    <w:rsid w:val="005A1BEA"/>
    <w:rsid w:val="005A1DAD"/>
    <w:rsid w:val="005B267C"/>
    <w:rsid w:val="005B4238"/>
    <w:rsid w:val="005B6CE2"/>
    <w:rsid w:val="005B704A"/>
    <w:rsid w:val="005B7EC0"/>
    <w:rsid w:val="005C17DC"/>
    <w:rsid w:val="005C61AC"/>
    <w:rsid w:val="005D0A21"/>
    <w:rsid w:val="005D1B23"/>
    <w:rsid w:val="005D2DFA"/>
    <w:rsid w:val="005D497F"/>
    <w:rsid w:val="005D4E20"/>
    <w:rsid w:val="005D4E5B"/>
    <w:rsid w:val="005D677F"/>
    <w:rsid w:val="005E25B6"/>
    <w:rsid w:val="005E2FAB"/>
    <w:rsid w:val="005E374F"/>
    <w:rsid w:val="005E5792"/>
    <w:rsid w:val="005E5C46"/>
    <w:rsid w:val="005E687C"/>
    <w:rsid w:val="005F04FB"/>
    <w:rsid w:val="005F1D76"/>
    <w:rsid w:val="005F2027"/>
    <w:rsid w:val="005F27B0"/>
    <w:rsid w:val="005F2B6B"/>
    <w:rsid w:val="005F2D4F"/>
    <w:rsid w:val="005F7B5A"/>
    <w:rsid w:val="006002CE"/>
    <w:rsid w:val="0060039E"/>
    <w:rsid w:val="0060353E"/>
    <w:rsid w:val="00604337"/>
    <w:rsid w:val="00604DFF"/>
    <w:rsid w:val="006105F6"/>
    <w:rsid w:val="00612A1F"/>
    <w:rsid w:val="00613B00"/>
    <w:rsid w:val="006176B3"/>
    <w:rsid w:val="00621569"/>
    <w:rsid w:val="00621EC4"/>
    <w:rsid w:val="006243BE"/>
    <w:rsid w:val="0062476F"/>
    <w:rsid w:val="0062646D"/>
    <w:rsid w:val="00627B43"/>
    <w:rsid w:val="006323F8"/>
    <w:rsid w:val="00637A59"/>
    <w:rsid w:val="00640851"/>
    <w:rsid w:val="00642479"/>
    <w:rsid w:val="00644160"/>
    <w:rsid w:val="00644412"/>
    <w:rsid w:val="00645310"/>
    <w:rsid w:val="00650706"/>
    <w:rsid w:val="00656315"/>
    <w:rsid w:val="006567A2"/>
    <w:rsid w:val="00660720"/>
    <w:rsid w:val="006624D8"/>
    <w:rsid w:val="006632E4"/>
    <w:rsid w:val="00664D22"/>
    <w:rsid w:val="00666EEC"/>
    <w:rsid w:val="006716F5"/>
    <w:rsid w:val="00672D64"/>
    <w:rsid w:val="00673FA0"/>
    <w:rsid w:val="006764C8"/>
    <w:rsid w:val="0067714F"/>
    <w:rsid w:val="0068446D"/>
    <w:rsid w:val="00685C12"/>
    <w:rsid w:val="00687BC0"/>
    <w:rsid w:val="006908E9"/>
    <w:rsid w:val="00696168"/>
    <w:rsid w:val="00696DA1"/>
    <w:rsid w:val="006A059E"/>
    <w:rsid w:val="006A2D78"/>
    <w:rsid w:val="006A4B9F"/>
    <w:rsid w:val="006A683D"/>
    <w:rsid w:val="006A7F09"/>
    <w:rsid w:val="006B0BB9"/>
    <w:rsid w:val="006B1978"/>
    <w:rsid w:val="006B47C2"/>
    <w:rsid w:val="006B68D1"/>
    <w:rsid w:val="006B76B4"/>
    <w:rsid w:val="006B7DDE"/>
    <w:rsid w:val="006C0C7B"/>
    <w:rsid w:val="006C14BE"/>
    <w:rsid w:val="006C1D15"/>
    <w:rsid w:val="006C302E"/>
    <w:rsid w:val="006C622F"/>
    <w:rsid w:val="006D3F7D"/>
    <w:rsid w:val="006D74B6"/>
    <w:rsid w:val="006E0C4A"/>
    <w:rsid w:val="006E0CD1"/>
    <w:rsid w:val="006E15C5"/>
    <w:rsid w:val="006E3632"/>
    <w:rsid w:val="006E45A4"/>
    <w:rsid w:val="006F2D24"/>
    <w:rsid w:val="006F68D4"/>
    <w:rsid w:val="006F708B"/>
    <w:rsid w:val="006F7F74"/>
    <w:rsid w:val="0070101B"/>
    <w:rsid w:val="007010AA"/>
    <w:rsid w:val="0070575C"/>
    <w:rsid w:val="00711AFF"/>
    <w:rsid w:val="0071347B"/>
    <w:rsid w:val="00715922"/>
    <w:rsid w:val="00715A09"/>
    <w:rsid w:val="00716142"/>
    <w:rsid w:val="00717214"/>
    <w:rsid w:val="007214C1"/>
    <w:rsid w:val="00724573"/>
    <w:rsid w:val="00730B7D"/>
    <w:rsid w:val="00731D11"/>
    <w:rsid w:val="007329DD"/>
    <w:rsid w:val="007330E8"/>
    <w:rsid w:val="0073740D"/>
    <w:rsid w:val="0074262E"/>
    <w:rsid w:val="00744002"/>
    <w:rsid w:val="007450F9"/>
    <w:rsid w:val="00745220"/>
    <w:rsid w:val="007507CC"/>
    <w:rsid w:val="00751884"/>
    <w:rsid w:val="0075360C"/>
    <w:rsid w:val="00753CBA"/>
    <w:rsid w:val="007545D4"/>
    <w:rsid w:val="00756758"/>
    <w:rsid w:val="00761088"/>
    <w:rsid w:val="00763B46"/>
    <w:rsid w:val="00772837"/>
    <w:rsid w:val="007734AB"/>
    <w:rsid w:val="00776A35"/>
    <w:rsid w:val="00780A88"/>
    <w:rsid w:val="0078326E"/>
    <w:rsid w:val="007839FE"/>
    <w:rsid w:val="00786B04"/>
    <w:rsid w:val="00787E5E"/>
    <w:rsid w:val="007906E7"/>
    <w:rsid w:val="007934B3"/>
    <w:rsid w:val="00794182"/>
    <w:rsid w:val="007979F6"/>
    <w:rsid w:val="007A2891"/>
    <w:rsid w:val="007A3ECD"/>
    <w:rsid w:val="007A3F31"/>
    <w:rsid w:val="007A48B7"/>
    <w:rsid w:val="007A4D10"/>
    <w:rsid w:val="007B0382"/>
    <w:rsid w:val="007D1EC0"/>
    <w:rsid w:val="007D5492"/>
    <w:rsid w:val="007D6123"/>
    <w:rsid w:val="007E2370"/>
    <w:rsid w:val="007E3660"/>
    <w:rsid w:val="007E6187"/>
    <w:rsid w:val="007F0243"/>
    <w:rsid w:val="007F1301"/>
    <w:rsid w:val="007F3F47"/>
    <w:rsid w:val="00802089"/>
    <w:rsid w:val="008036F5"/>
    <w:rsid w:val="00803EFD"/>
    <w:rsid w:val="008048A3"/>
    <w:rsid w:val="0081494E"/>
    <w:rsid w:val="008152A3"/>
    <w:rsid w:val="00815ADE"/>
    <w:rsid w:val="0081700A"/>
    <w:rsid w:val="00820F60"/>
    <w:rsid w:val="00830250"/>
    <w:rsid w:val="00832A8F"/>
    <w:rsid w:val="00833B77"/>
    <w:rsid w:val="00834F57"/>
    <w:rsid w:val="0083549C"/>
    <w:rsid w:val="00835A0F"/>
    <w:rsid w:val="00835F28"/>
    <w:rsid w:val="008401B6"/>
    <w:rsid w:val="00840223"/>
    <w:rsid w:val="008425FC"/>
    <w:rsid w:val="0084698B"/>
    <w:rsid w:val="00847B02"/>
    <w:rsid w:val="00852E5E"/>
    <w:rsid w:val="00855DCF"/>
    <w:rsid w:val="00857FDA"/>
    <w:rsid w:val="008619C0"/>
    <w:rsid w:val="008677C4"/>
    <w:rsid w:val="00867A3A"/>
    <w:rsid w:val="008700A9"/>
    <w:rsid w:val="008774EC"/>
    <w:rsid w:val="00877A41"/>
    <w:rsid w:val="00884766"/>
    <w:rsid w:val="00884B14"/>
    <w:rsid w:val="00884D7D"/>
    <w:rsid w:val="008850F0"/>
    <w:rsid w:val="008855D1"/>
    <w:rsid w:val="00886FDA"/>
    <w:rsid w:val="00893994"/>
    <w:rsid w:val="0089528D"/>
    <w:rsid w:val="0089796E"/>
    <w:rsid w:val="008A06DD"/>
    <w:rsid w:val="008A1F70"/>
    <w:rsid w:val="008A35F2"/>
    <w:rsid w:val="008A4385"/>
    <w:rsid w:val="008A4CED"/>
    <w:rsid w:val="008B172F"/>
    <w:rsid w:val="008B3F06"/>
    <w:rsid w:val="008B554F"/>
    <w:rsid w:val="008B6CD1"/>
    <w:rsid w:val="008C1335"/>
    <w:rsid w:val="008C34DD"/>
    <w:rsid w:val="008C50E9"/>
    <w:rsid w:val="008C6983"/>
    <w:rsid w:val="008C7FF8"/>
    <w:rsid w:val="008D1F4E"/>
    <w:rsid w:val="008D1F61"/>
    <w:rsid w:val="008D2B89"/>
    <w:rsid w:val="008D3540"/>
    <w:rsid w:val="008D6EF9"/>
    <w:rsid w:val="008E28C2"/>
    <w:rsid w:val="008E5C87"/>
    <w:rsid w:val="008E6BAA"/>
    <w:rsid w:val="008F320F"/>
    <w:rsid w:val="008F745F"/>
    <w:rsid w:val="008F7653"/>
    <w:rsid w:val="00900301"/>
    <w:rsid w:val="0090240E"/>
    <w:rsid w:val="00902961"/>
    <w:rsid w:val="009108D6"/>
    <w:rsid w:val="00910EB4"/>
    <w:rsid w:val="00913F7A"/>
    <w:rsid w:val="00915EDA"/>
    <w:rsid w:val="00915F60"/>
    <w:rsid w:val="00917D3A"/>
    <w:rsid w:val="00920AB1"/>
    <w:rsid w:val="00920B2B"/>
    <w:rsid w:val="0093085B"/>
    <w:rsid w:val="0093297D"/>
    <w:rsid w:val="009356DB"/>
    <w:rsid w:val="00935990"/>
    <w:rsid w:val="00935E68"/>
    <w:rsid w:val="00937662"/>
    <w:rsid w:val="00937D85"/>
    <w:rsid w:val="00942FCD"/>
    <w:rsid w:val="00951501"/>
    <w:rsid w:val="00951E77"/>
    <w:rsid w:val="00952B1E"/>
    <w:rsid w:val="00954543"/>
    <w:rsid w:val="00954645"/>
    <w:rsid w:val="00954718"/>
    <w:rsid w:val="009560F2"/>
    <w:rsid w:val="00957300"/>
    <w:rsid w:val="009612F0"/>
    <w:rsid w:val="00962250"/>
    <w:rsid w:val="00964C1F"/>
    <w:rsid w:val="009749D8"/>
    <w:rsid w:val="00977B3E"/>
    <w:rsid w:val="00983132"/>
    <w:rsid w:val="00983C7A"/>
    <w:rsid w:val="00983F7B"/>
    <w:rsid w:val="00984F8A"/>
    <w:rsid w:val="00986716"/>
    <w:rsid w:val="009901C1"/>
    <w:rsid w:val="00992E09"/>
    <w:rsid w:val="00995FCF"/>
    <w:rsid w:val="009972ED"/>
    <w:rsid w:val="009A0AB1"/>
    <w:rsid w:val="009A2E60"/>
    <w:rsid w:val="009B0DF1"/>
    <w:rsid w:val="009B2E7B"/>
    <w:rsid w:val="009B3ECE"/>
    <w:rsid w:val="009B65F9"/>
    <w:rsid w:val="009C1293"/>
    <w:rsid w:val="009C4C80"/>
    <w:rsid w:val="009D0263"/>
    <w:rsid w:val="009D1CBE"/>
    <w:rsid w:val="009D2C42"/>
    <w:rsid w:val="009D709E"/>
    <w:rsid w:val="009E20C6"/>
    <w:rsid w:val="009E23CC"/>
    <w:rsid w:val="009E2584"/>
    <w:rsid w:val="009E5480"/>
    <w:rsid w:val="009E6834"/>
    <w:rsid w:val="009E7D6D"/>
    <w:rsid w:val="009F0035"/>
    <w:rsid w:val="009F0987"/>
    <w:rsid w:val="009F2870"/>
    <w:rsid w:val="009F35C7"/>
    <w:rsid w:val="009F5602"/>
    <w:rsid w:val="009F6998"/>
    <w:rsid w:val="009F770D"/>
    <w:rsid w:val="00A0078E"/>
    <w:rsid w:val="00A03328"/>
    <w:rsid w:val="00A035DE"/>
    <w:rsid w:val="00A03FFB"/>
    <w:rsid w:val="00A06C9F"/>
    <w:rsid w:val="00A07576"/>
    <w:rsid w:val="00A10459"/>
    <w:rsid w:val="00A123AF"/>
    <w:rsid w:val="00A15E2B"/>
    <w:rsid w:val="00A20983"/>
    <w:rsid w:val="00A2251B"/>
    <w:rsid w:val="00A23D44"/>
    <w:rsid w:val="00A26999"/>
    <w:rsid w:val="00A27DD3"/>
    <w:rsid w:val="00A3101D"/>
    <w:rsid w:val="00A3172C"/>
    <w:rsid w:val="00A345EB"/>
    <w:rsid w:val="00A366E3"/>
    <w:rsid w:val="00A41A25"/>
    <w:rsid w:val="00A42767"/>
    <w:rsid w:val="00A42EEC"/>
    <w:rsid w:val="00A4622C"/>
    <w:rsid w:val="00A47B0A"/>
    <w:rsid w:val="00A50FEB"/>
    <w:rsid w:val="00A51AC8"/>
    <w:rsid w:val="00A52B76"/>
    <w:rsid w:val="00A57477"/>
    <w:rsid w:val="00A61AB3"/>
    <w:rsid w:val="00A65065"/>
    <w:rsid w:val="00A65107"/>
    <w:rsid w:val="00A670B3"/>
    <w:rsid w:val="00A71AB9"/>
    <w:rsid w:val="00A770D6"/>
    <w:rsid w:val="00A813AC"/>
    <w:rsid w:val="00A83310"/>
    <w:rsid w:val="00A85D4D"/>
    <w:rsid w:val="00A86931"/>
    <w:rsid w:val="00A871C8"/>
    <w:rsid w:val="00A87995"/>
    <w:rsid w:val="00A90684"/>
    <w:rsid w:val="00A9397D"/>
    <w:rsid w:val="00AA1529"/>
    <w:rsid w:val="00AA1F6A"/>
    <w:rsid w:val="00AA3D66"/>
    <w:rsid w:val="00AA4E73"/>
    <w:rsid w:val="00AA5445"/>
    <w:rsid w:val="00AB0062"/>
    <w:rsid w:val="00AB1367"/>
    <w:rsid w:val="00AB15A9"/>
    <w:rsid w:val="00AB6528"/>
    <w:rsid w:val="00AB752C"/>
    <w:rsid w:val="00AC2C50"/>
    <w:rsid w:val="00AC61E6"/>
    <w:rsid w:val="00AC7047"/>
    <w:rsid w:val="00AD1840"/>
    <w:rsid w:val="00AD4C7D"/>
    <w:rsid w:val="00AD6A4D"/>
    <w:rsid w:val="00AD75E6"/>
    <w:rsid w:val="00AE03AB"/>
    <w:rsid w:val="00AE0832"/>
    <w:rsid w:val="00AE34A4"/>
    <w:rsid w:val="00AE6207"/>
    <w:rsid w:val="00AE7888"/>
    <w:rsid w:val="00AF3BE8"/>
    <w:rsid w:val="00B006BA"/>
    <w:rsid w:val="00B014FF"/>
    <w:rsid w:val="00B048CB"/>
    <w:rsid w:val="00B052E0"/>
    <w:rsid w:val="00B057EF"/>
    <w:rsid w:val="00B15881"/>
    <w:rsid w:val="00B201CD"/>
    <w:rsid w:val="00B224AA"/>
    <w:rsid w:val="00B2331E"/>
    <w:rsid w:val="00B251EB"/>
    <w:rsid w:val="00B266CD"/>
    <w:rsid w:val="00B31677"/>
    <w:rsid w:val="00B31762"/>
    <w:rsid w:val="00B3519E"/>
    <w:rsid w:val="00B36561"/>
    <w:rsid w:val="00B40597"/>
    <w:rsid w:val="00B428A6"/>
    <w:rsid w:val="00B4468C"/>
    <w:rsid w:val="00B45AC8"/>
    <w:rsid w:val="00B46EA9"/>
    <w:rsid w:val="00B472E3"/>
    <w:rsid w:val="00B478E9"/>
    <w:rsid w:val="00B51176"/>
    <w:rsid w:val="00B53553"/>
    <w:rsid w:val="00B54AAC"/>
    <w:rsid w:val="00B5656D"/>
    <w:rsid w:val="00B630CD"/>
    <w:rsid w:val="00B6424E"/>
    <w:rsid w:val="00B65F3B"/>
    <w:rsid w:val="00B74B8A"/>
    <w:rsid w:val="00B7630E"/>
    <w:rsid w:val="00B76AB6"/>
    <w:rsid w:val="00B77726"/>
    <w:rsid w:val="00B777EA"/>
    <w:rsid w:val="00B81932"/>
    <w:rsid w:val="00B81B35"/>
    <w:rsid w:val="00B92C19"/>
    <w:rsid w:val="00B95C0F"/>
    <w:rsid w:val="00B96C82"/>
    <w:rsid w:val="00B9732D"/>
    <w:rsid w:val="00B973C0"/>
    <w:rsid w:val="00BA28AA"/>
    <w:rsid w:val="00BA34B8"/>
    <w:rsid w:val="00BA3EC5"/>
    <w:rsid w:val="00BA4D9A"/>
    <w:rsid w:val="00BA67CD"/>
    <w:rsid w:val="00BB0523"/>
    <w:rsid w:val="00BB0E12"/>
    <w:rsid w:val="00BB22DE"/>
    <w:rsid w:val="00BB6D54"/>
    <w:rsid w:val="00BB7751"/>
    <w:rsid w:val="00BC03A7"/>
    <w:rsid w:val="00BC15DE"/>
    <w:rsid w:val="00BC26B2"/>
    <w:rsid w:val="00BC33DC"/>
    <w:rsid w:val="00BC384F"/>
    <w:rsid w:val="00BC5CF9"/>
    <w:rsid w:val="00BC6233"/>
    <w:rsid w:val="00BD0D6E"/>
    <w:rsid w:val="00BD576B"/>
    <w:rsid w:val="00BD5C49"/>
    <w:rsid w:val="00BD5FDC"/>
    <w:rsid w:val="00BE08F2"/>
    <w:rsid w:val="00BE7694"/>
    <w:rsid w:val="00BF0FF0"/>
    <w:rsid w:val="00BF1270"/>
    <w:rsid w:val="00BF2953"/>
    <w:rsid w:val="00BF323E"/>
    <w:rsid w:val="00BF3A39"/>
    <w:rsid w:val="00BF42BA"/>
    <w:rsid w:val="00C00F50"/>
    <w:rsid w:val="00C01043"/>
    <w:rsid w:val="00C039FB"/>
    <w:rsid w:val="00C050A4"/>
    <w:rsid w:val="00C07714"/>
    <w:rsid w:val="00C0773D"/>
    <w:rsid w:val="00C100CC"/>
    <w:rsid w:val="00C114FE"/>
    <w:rsid w:val="00C12C48"/>
    <w:rsid w:val="00C15CDD"/>
    <w:rsid w:val="00C22861"/>
    <w:rsid w:val="00C26A54"/>
    <w:rsid w:val="00C26E10"/>
    <w:rsid w:val="00C3689D"/>
    <w:rsid w:val="00C40FE9"/>
    <w:rsid w:val="00C411CB"/>
    <w:rsid w:val="00C42210"/>
    <w:rsid w:val="00C44A30"/>
    <w:rsid w:val="00C45ADA"/>
    <w:rsid w:val="00C469FA"/>
    <w:rsid w:val="00C52CCB"/>
    <w:rsid w:val="00C5472F"/>
    <w:rsid w:val="00C550F4"/>
    <w:rsid w:val="00C55B2E"/>
    <w:rsid w:val="00C56191"/>
    <w:rsid w:val="00C60758"/>
    <w:rsid w:val="00C640BC"/>
    <w:rsid w:val="00C6483F"/>
    <w:rsid w:val="00C64E8F"/>
    <w:rsid w:val="00C657F7"/>
    <w:rsid w:val="00C65A0D"/>
    <w:rsid w:val="00C71B0B"/>
    <w:rsid w:val="00C71D67"/>
    <w:rsid w:val="00C73FED"/>
    <w:rsid w:val="00C82B3E"/>
    <w:rsid w:val="00C84B50"/>
    <w:rsid w:val="00C93507"/>
    <w:rsid w:val="00C95551"/>
    <w:rsid w:val="00CA0BFD"/>
    <w:rsid w:val="00CA30D5"/>
    <w:rsid w:val="00CA3D62"/>
    <w:rsid w:val="00CA67D4"/>
    <w:rsid w:val="00CB13A7"/>
    <w:rsid w:val="00CB29EC"/>
    <w:rsid w:val="00CB7900"/>
    <w:rsid w:val="00CC038A"/>
    <w:rsid w:val="00CC2BFF"/>
    <w:rsid w:val="00CC4E38"/>
    <w:rsid w:val="00CC598C"/>
    <w:rsid w:val="00CD1A31"/>
    <w:rsid w:val="00CD2B55"/>
    <w:rsid w:val="00CD38A9"/>
    <w:rsid w:val="00CD3D67"/>
    <w:rsid w:val="00CD3E01"/>
    <w:rsid w:val="00CD5914"/>
    <w:rsid w:val="00CD6717"/>
    <w:rsid w:val="00CD7B1E"/>
    <w:rsid w:val="00CE20E4"/>
    <w:rsid w:val="00CF1A83"/>
    <w:rsid w:val="00CF2381"/>
    <w:rsid w:val="00D023E8"/>
    <w:rsid w:val="00D03B7F"/>
    <w:rsid w:val="00D03C64"/>
    <w:rsid w:val="00D06515"/>
    <w:rsid w:val="00D07C6F"/>
    <w:rsid w:val="00D10AFC"/>
    <w:rsid w:val="00D13C57"/>
    <w:rsid w:val="00D16007"/>
    <w:rsid w:val="00D17D11"/>
    <w:rsid w:val="00D22CAB"/>
    <w:rsid w:val="00D242A2"/>
    <w:rsid w:val="00D24FC0"/>
    <w:rsid w:val="00D32381"/>
    <w:rsid w:val="00D32501"/>
    <w:rsid w:val="00D32E53"/>
    <w:rsid w:val="00D37F4C"/>
    <w:rsid w:val="00D4138E"/>
    <w:rsid w:val="00D468D6"/>
    <w:rsid w:val="00D55295"/>
    <w:rsid w:val="00D56651"/>
    <w:rsid w:val="00D5675B"/>
    <w:rsid w:val="00D57915"/>
    <w:rsid w:val="00D651D0"/>
    <w:rsid w:val="00D666FB"/>
    <w:rsid w:val="00D679E7"/>
    <w:rsid w:val="00D710D8"/>
    <w:rsid w:val="00D72173"/>
    <w:rsid w:val="00D7310E"/>
    <w:rsid w:val="00D7595D"/>
    <w:rsid w:val="00D764A8"/>
    <w:rsid w:val="00D80515"/>
    <w:rsid w:val="00D82588"/>
    <w:rsid w:val="00D8371C"/>
    <w:rsid w:val="00D8549C"/>
    <w:rsid w:val="00D86FB5"/>
    <w:rsid w:val="00D927F0"/>
    <w:rsid w:val="00D92EA1"/>
    <w:rsid w:val="00D941A8"/>
    <w:rsid w:val="00D94810"/>
    <w:rsid w:val="00D95977"/>
    <w:rsid w:val="00D96859"/>
    <w:rsid w:val="00D9725E"/>
    <w:rsid w:val="00DA3E04"/>
    <w:rsid w:val="00DA433F"/>
    <w:rsid w:val="00DA7CBB"/>
    <w:rsid w:val="00DB112B"/>
    <w:rsid w:val="00DB1B2B"/>
    <w:rsid w:val="00DB379E"/>
    <w:rsid w:val="00DB52F3"/>
    <w:rsid w:val="00DB7636"/>
    <w:rsid w:val="00DB76C8"/>
    <w:rsid w:val="00DC083B"/>
    <w:rsid w:val="00DC14FF"/>
    <w:rsid w:val="00DC28E2"/>
    <w:rsid w:val="00DC4A01"/>
    <w:rsid w:val="00DD1DEC"/>
    <w:rsid w:val="00DD5C06"/>
    <w:rsid w:val="00DD7115"/>
    <w:rsid w:val="00DE0A62"/>
    <w:rsid w:val="00DE26E4"/>
    <w:rsid w:val="00DE2797"/>
    <w:rsid w:val="00DE3C45"/>
    <w:rsid w:val="00DE6085"/>
    <w:rsid w:val="00DF0595"/>
    <w:rsid w:val="00DF06CE"/>
    <w:rsid w:val="00DF3AC1"/>
    <w:rsid w:val="00DF4B75"/>
    <w:rsid w:val="00DF52E8"/>
    <w:rsid w:val="00DF56C5"/>
    <w:rsid w:val="00DF713F"/>
    <w:rsid w:val="00DF7254"/>
    <w:rsid w:val="00DF7495"/>
    <w:rsid w:val="00E003E6"/>
    <w:rsid w:val="00E024B1"/>
    <w:rsid w:val="00E04E13"/>
    <w:rsid w:val="00E120F6"/>
    <w:rsid w:val="00E12ABF"/>
    <w:rsid w:val="00E13026"/>
    <w:rsid w:val="00E13978"/>
    <w:rsid w:val="00E14125"/>
    <w:rsid w:val="00E2165B"/>
    <w:rsid w:val="00E278B9"/>
    <w:rsid w:val="00E27CEC"/>
    <w:rsid w:val="00E323E9"/>
    <w:rsid w:val="00E40D39"/>
    <w:rsid w:val="00E45ED7"/>
    <w:rsid w:val="00E51734"/>
    <w:rsid w:val="00E51FFB"/>
    <w:rsid w:val="00E52847"/>
    <w:rsid w:val="00E64838"/>
    <w:rsid w:val="00E6694B"/>
    <w:rsid w:val="00E67D86"/>
    <w:rsid w:val="00E7124B"/>
    <w:rsid w:val="00E74253"/>
    <w:rsid w:val="00E745A4"/>
    <w:rsid w:val="00E777CA"/>
    <w:rsid w:val="00E8166A"/>
    <w:rsid w:val="00E82CD4"/>
    <w:rsid w:val="00E842DE"/>
    <w:rsid w:val="00E85311"/>
    <w:rsid w:val="00E91B43"/>
    <w:rsid w:val="00E91C0A"/>
    <w:rsid w:val="00E91EC0"/>
    <w:rsid w:val="00E93809"/>
    <w:rsid w:val="00E965A5"/>
    <w:rsid w:val="00E97DB9"/>
    <w:rsid w:val="00EA087F"/>
    <w:rsid w:val="00EA13B8"/>
    <w:rsid w:val="00EA341D"/>
    <w:rsid w:val="00EA40DD"/>
    <w:rsid w:val="00EA4F71"/>
    <w:rsid w:val="00EA569D"/>
    <w:rsid w:val="00EB0721"/>
    <w:rsid w:val="00EB30C0"/>
    <w:rsid w:val="00EB3307"/>
    <w:rsid w:val="00EB50D0"/>
    <w:rsid w:val="00EB5ACB"/>
    <w:rsid w:val="00EB64BD"/>
    <w:rsid w:val="00EB76BD"/>
    <w:rsid w:val="00EC23BA"/>
    <w:rsid w:val="00EC3CF8"/>
    <w:rsid w:val="00EC704C"/>
    <w:rsid w:val="00EC7D01"/>
    <w:rsid w:val="00EC7EF3"/>
    <w:rsid w:val="00ED73B1"/>
    <w:rsid w:val="00EE03DC"/>
    <w:rsid w:val="00EE0F0A"/>
    <w:rsid w:val="00EE136F"/>
    <w:rsid w:val="00EE1777"/>
    <w:rsid w:val="00EE2C98"/>
    <w:rsid w:val="00EE549A"/>
    <w:rsid w:val="00EE5516"/>
    <w:rsid w:val="00EF248F"/>
    <w:rsid w:val="00EF43D2"/>
    <w:rsid w:val="00EF5085"/>
    <w:rsid w:val="00EF73CE"/>
    <w:rsid w:val="00F00A5F"/>
    <w:rsid w:val="00F01A02"/>
    <w:rsid w:val="00F02152"/>
    <w:rsid w:val="00F05639"/>
    <w:rsid w:val="00F101F6"/>
    <w:rsid w:val="00F110E9"/>
    <w:rsid w:val="00F115BE"/>
    <w:rsid w:val="00F11F82"/>
    <w:rsid w:val="00F137FC"/>
    <w:rsid w:val="00F201AB"/>
    <w:rsid w:val="00F20A9B"/>
    <w:rsid w:val="00F20FD4"/>
    <w:rsid w:val="00F21344"/>
    <w:rsid w:val="00F2323E"/>
    <w:rsid w:val="00F30F58"/>
    <w:rsid w:val="00F3767E"/>
    <w:rsid w:val="00F4481F"/>
    <w:rsid w:val="00F45B0A"/>
    <w:rsid w:val="00F47C69"/>
    <w:rsid w:val="00F5092F"/>
    <w:rsid w:val="00F533AD"/>
    <w:rsid w:val="00F541A4"/>
    <w:rsid w:val="00F60A14"/>
    <w:rsid w:val="00F62063"/>
    <w:rsid w:val="00F6339B"/>
    <w:rsid w:val="00F64043"/>
    <w:rsid w:val="00F66A9F"/>
    <w:rsid w:val="00F67819"/>
    <w:rsid w:val="00F76820"/>
    <w:rsid w:val="00F811AB"/>
    <w:rsid w:val="00F82060"/>
    <w:rsid w:val="00F820C4"/>
    <w:rsid w:val="00F85C59"/>
    <w:rsid w:val="00F85DA8"/>
    <w:rsid w:val="00F9297A"/>
    <w:rsid w:val="00F94558"/>
    <w:rsid w:val="00F970E2"/>
    <w:rsid w:val="00FA1728"/>
    <w:rsid w:val="00FA346C"/>
    <w:rsid w:val="00FA4341"/>
    <w:rsid w:val="00FA4BBA"/>
    <w:rsid w:val="00FA4F7B"/>
    <w:rsid w:val="00FA6496"/>
    <w:rsid w:val="00FA74C1"/>
    <w:rsid w:val="00FA7E8C"/>
    <w:rsid w:val="00FB000A"/>
    <w:rsid w:val="00FB07A7"/>
    <w:rsid w:val="00FB0E4A"/>
    <w:rsid w:val="00FC0B70"/>
    <w:rsid w:val="00FC24EA"/>
    <w:rsid w:val="00FD2D8C"/>
    <w:rsid w:val="00FD2DA1"/>
    <w:rsid w:val="00FD49BF"/>
    <w:rsid w:val="00FE5600"/>
    <w:rsid w:val="00FE57D1"/>
    <w:rsid w:val="00FE75F3"/>
    <w:rsid w:val="00FF167F"/>
    <w:rsid w:val="00FF1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25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25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425FC"/>
    <w:pPr>
      <w:keepNext/>
      <w:numPr>
        <w:ilvl w:val="2"/>
        <w:numId w:val="3"/>
      </w:numPr>
      <w:spacing w:before="240" w:after="60" w:line="240" w:lineRule="auto"/>
      <w:jc w:val="both"/>
      <w:outlineLvl w:val="2"/>
    </w:pPr>
    <w:rPr>
      <w:rFonts w:ascii="Arial" w:eastAsia="Times New Roman" w:hAnsi="Arial" w:cs="Arial"/>
      <w:b/>
      <w:bCs/>
      <w:sz w:val="26"/>
      <w:szCs w:val="26"/>
    </w:rPr>
  </w:style>
  <w:style w:type="paragraph" w:styleId="Heading4">
    <w:name w:val="heading 4"/>
    <w:basedOn w:val="Normal"/>
    <w:next w:val="Normal"/>
    <w:link w:val="Heading4Char"/>
    <w:uiPriority w:val="9"/>
    <w:semiHidden/>
    <w:unhideWhenUsed/>
    <w:qFormat/>
    <w:rsid w:val="008425F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8425FC"/>
    <w:pPr>
      <w:numPr>
        <w:ilvl w:val="4"/>
        <w:numId w:val="3"/>
      </w:numPr>
      <w:spacing w:before="240" w:after="60" w:line="240" w:lineRule="auto"/>
      <w:jc w:val="both"/>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8425FC"/>
    <w:pPr>
      <w:numPr>
        <w:ilvl w:val="5"/>
        <w:numId w:val="3"/>
      </w:numPr>
      <w:spacing w:before="240" w:after="60" w:line="240" w:lineRule="auto"/>
      <w:jc w:val="both"/>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8425FC"/>
    <w:pPr>
      <w:numPr>
        <w:ilvl w:val="6"/>
        <w:numId w:val="3"/>
      </w:numPr>
      <w:spacing w:before="240" w:after="60" w:line="240" w:lineRule="auto"/>
      <w:jc w:val="both"/>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8425FC"/>
    <w:pPr>
      <w:numPr>
        <w:ilvl w:val="7"/>
        <w:numId w:val="3"/>
      </w:numPr>
      <w:spacing w:before="240" w:after="60" w:line="240" w:lineRule="auto"/>
      <w:jc w:val="both"/>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8425FC"/>
    <w:pPr>
      <w:numPr>
        <w:ilvl w:val="8"/>
        <w:numId w:val="3"/>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1840"/>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F30F58"/>
    <w:pPr>
      <w:ind w:left="720"/>
      <w:contextualSpacing/>
    </w:pPr>
  </w:style>
  <w:style w:type="paragraph" w:styleId="BalloonText">
    <w:name w:val="Balloon Text"/>
    <w:basedOn w:val="Normal"/>
    <w:link w:val="BalloonTextChar"/>
    <w:uiPriority w:val="99"/>
    <w:semiHidden/>
    <w:unhideWhenUsed/>
    <w:rsid w:val="00F20A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A9B"/>
    <w:rPr>
      <w:rFonts w:ascii="Tahoma" w:hAnsi="Tahoma" w:cs="Tahoma"/>
      <w:sz w:val="16"/>
      <w:szCs w:val="16"/>
    </w:rPr>
  </w:style>
  <w:style w:type="paragraph" w:styleId="Caption">
    <w:name w:val="caption"/>
    <w:basedOn w:val="Normal"/>
    <w:next w:val="Normal"/>
    <w:qFormat/>
    <w:rsid w:val="00A42767"/>
    <w:pPr>
      <w:spacing w:before="120" w:after="120" w:line="240" w:lineRule="auto"/>
    </w:pPr>
    <w:rPr>
      <w:rFonts w:ascii="Arial" w:eastAsia="Times New Roman" w:hAnsi="Arial" w:cs="Times New Roman"/>
      <w:b/>
      <w:bCs/>
      <w:szCs w:val="20"/>
    </w:rPr>
  </w:style>
  <w:style w:type="paragraph" w:customStyle="1" w:styleId="TemplateText">
    <w:name w:val="Template Text"/>
    <w:basedOn w:val="Normal"/>
    <w:link w:val="TemplateTextChar"/>
    <w:rsid w:val="00A57477"/>
    <w:pPr>
      <w:spacing w:after="0" w:line="240" w:lineRule="auto"/>
      <w:jc w:val="both"/>
    </w:pPr>
    <w:rPr>
      <w:rFonts w:ascii="Arial" w:eastAsia="Times New Roman" w:hAnsi="Arial" w:cs="Times New Roman"/>
    </w:rPr>
  </w:style>
  <w:style w:type="character" w:customStyle="1" w:styleId="TemplateTextChar">
    <w:name w:val="Template Text Char"/>
    <w:link w:val="TemplateText"/>
    <w:rsid w:val="00A57477"/>
    <w:rPr>
      <w:rFonts w:ascii="Arial" w:eastAsia="Times New Roman" w:hAnsi="Arial" w:cs="Times New Roman"/>
    </w:rPr>
  </w:style>
  <w:style w:type="character" w:customStyle="1" w:styleId="Heading3Char">
    <w:name w:val="Heading 3 Char"/>
    <w:basedOn w:val="DefaultParagraphFont"/>
    <w:link w:val="Heading3"/>
    <w:rsid w:val="008425FC"/>
    <w:rPr>
      <w:rFonts w:ascii="Arial" w:eastAsia="Times New Roman" w:hAnsi="Arial" w:cs="Arial"/>
      <w:b/>
      <w:bCs/>
      <w:sz w:val="26"/>
      <w:szCs w:val="26"/>
    </w:rPr>
  </w:style>
  <w:style w:type="character" w:customStyle="1" w:styleId="Heading5Char">
    <w:name w:val="Heading 5 Char"/>
    <w:basedOn w:val="DefaultParagraphFont"/>
    <w:link w:val="Heading5"/>
    <w:rsid w:val="008425FC"/>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8425FC"/>
    <w:rPr>
      <w:rFonts w:ascii="Times New Roman" w:eastAsia="Times New Roman" w:hAnsi="Times New Roman" w:cs="Times New Roman"/>
      <w:b/>
      <w:bCs/>
    </w:rPr>
  </w:style>
  <w:style w:type="character" w:customStyle="1" w:styleId="Heading7Char">
    <w:name w:val="Heading 7 Char"/>
    <w:basedOn w:val="DefaultParagraphFont"/>
    <w:link w:val="Heading7"/>
    <w:rsid w:val="008425F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8425F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8425FC"/>
    <w:rPr>
      <w:rFonts w:ascii="Arial" w:eastAsia="Times New Roman" w:hAnsi="Arial" w:cs="Arial"/>
    </w:rPr>
  </w:style>
  <w:style w:type="paragraph" w:customStyle="1" w:styleId="TemplateHeading1">
    <w:name w:val="Template Heading 1"/>
    <w:basedOn w:val="Heading1"/>
    <w:next w:val="NormalWeb"/>
    <w:rsid w:val="008425FC"/>
    <w:pPr>
      <w:keepLines w:val="0"/>
      <w:numPr>
        <w:numId w:val="3"/>
      </w:numPr>
      <w:tabs>
        <w:tab w:val="left" w:pos="578"/>
      </w:tabs>
      <w:spacing w:before="240" w:after="240" w:line="240" w:lineRule="auto"/>
    </w:pPr>
    <w:rPr>
      <w:rFonts w:ascii="Arial" w:eastAsia="Times New Roman" w:hAnsi="Arial" w:cs="Arial"/>
      <w:color w:val="auto"/>
      <w:kern w:val="32"/>
      <w:sz w:val="24"/>
      <w:szCs w:val="32"/>
    </w:rPr>
  </w:style>
  <w:style w:type="paragraph" w:customStyle="1" w:styleId="TemplateHeading2">
    <w:name w:val="Template Heading 2"/>
    <w:basedOn w:val="Heading2"/>
    <w:next w:val="TemplateText"/>
    <w:rsid w:val="008425FC"/>
    <w:pPr>
      <w:keepLines w:val="0"/>
      <w:numPr>
        <w:ilvl w:val="1"/>
        <w:numId w:val="3"/>
      </w:numPr>
      <w:spacing w:before="240" w:after="60" w:line="240" w:lineRule="auto"/>
    </w:pPr>
    <w:rPr>
      <w:rFonts w:ascii="Arial" w:eastAsia="Times New Roman" w:hAnsi="Arial" w:cs="Arial"/>
      <w:iCs/>
      <w:color w:val="auto"/>
      <w:sz w:val="22"/>
      <w:szCs w:val="28"/>
    </w:rPr>
  </w:style>
  <w:style w:type="paragraph" w:customStyle="1" w:styleId="TemplateHeading4">
    <w:name w:val="Template Heading 4"/>
    <w:basedOn w:val="Heading4"/>
    <w:next w:val="TemplateText"/>
    <w:rsid w:val="008425FC"/>
    <w:pPr>
      <w:keepLines w:val="0"/>
      <w:numPr>
        <w:ilvl w:val="3"/>
        <w:numId w:val="3"/>
      </w:numPr>
      <w:spacing w:before="120" w:after="60" w:line="240" w:lineRule="auto"/>
    </w:pPr>
    <w:rPr>
      <w:rFonts w:ascii="Arial" w:eastAsia="Times New Roman" w:hAnsi="Arial" w:cs="Times New Roman"/>
      <w:i w:val="0"/>
      <w:iCs w:val="0"/>
      <w:color w:val="auto"/>
    </w:rPr>
  </w:style>
  <w:style w:type="paragraph" w:customStyle="1" w:styleId="TemplateHeading5">
    <w:name w:val="Template Heading 5"/>
    <w:basedOn w:val="Heading5"/>
    <w:next w:val="TemplateText"/>
    <w:rsid w:val="008425FC"/>
    <w:pPr>
      <w:jc w:val="left"/>
    </w:pPr>
    <w:rPr>
      <w:i w:val="0"/>
      <w:sz w:val="22"/>
    </w:rPr>
  </w:style>
  <w:style w:type="character" w:customStyle="1" w:styleId="Heading1Char">
    <w:name w:val="Heading 1 Char"/>
    <w:basedOn w:val="DefaultParagraphFont"/>
    <w:link w:val="Heading1"/>
    <w:uiPriority w:val="9"/>
    <w:rsid w:val="008425F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25FC"/>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425FC"/>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460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2C50"/>
    <w:rPr>
      <w:color w:val="0000FF" w:themeColor="hyperlink"/>
      <w:u w:val="single"/>
    </w:rPr>
  </w:style>
  <w:style w:type="paragraph" w:styleId="TOC2">
    <w:name w:val="toc 2"/>
    <w:basedOn w:val="Normal"/>
    <w:next w:val="Normal"/>
    <w:link w:val="TOC2Char"/>
    <w:autoRedefine/>
    <w:uiPriority w:val="39"/>
    <w:unhideWhenUsed/>
    <w:qFormat/>
    <w:rsid w:val="005F1D76"/>
    <w:pPr>
      <w:spacing w:after="100"/>
      <w:ind w:left="220"/>
    </w:pPr>
  </w:style>
  <w:style w:type="paragraph" w:styleId="TOC1">
    <w:name w:val="toc 1"/>
    <w:basedOn w:val="Normal"/>
    <w:next w:val="Normal"/>
    <w:autoRedefine/>
    <w:uiPriority w:val="39"/>
    <w:unhideWhenUsed/>
    <w:qFormat/>
    <w:rsid w:val="00514C0F"/>
    <w:pPr>
      <w:tabs>
        <w:tab w:val="left" w:pos="440"/>
        <w:tab w:val="right" w:leader="dot" w:pos="9350"/>
      </w:tabs>
      <w:spacing w:after="100"/>
    </w:pPr>
  </w:style>
  <w:style w:type="character" w:customStyle="1" w:styleId="TOC2Char">
    <w:name w:val="TOC 2 Char"/>
    <w:basedOn w:val="DefaultParagraphFont"/>
    <w:link w:val="TOC2"/>
    <w:uiPriority w:val="39"/>
    <w:rsid w:val="005F1D76"/>
  </w:style>
  <w:style w:type="paragraph" w:styleId="TOC3">
    <w:name w:val="toc 3"/>
    <w:basedOn w:val="Normal"/>
    <w:next w:val="Normal"/>
    <w:autoRedefine/>
    <w:uiPriority w:val="39"/>
    <w:unhideWhenUsed/>
    <w:qFormat/>
    <w:rsid w:val="005F1D76"/>
    <w:pPr>
      <w:spacing w:after="100"/>
      <w:ind w:left="440"/>
    </w:pPr>
  </w:style>
  <w:style w:type="paragraph" w:styleId="TOCHeading">
    <w:name w:val="TOC Heading"/>
    <w:basedOn w:val="Heading1"/>
    <w:next w:val="Normal"/>
    <w:uiPriority w:val="39"/>
    <w:semiHidden/>
    <w:unhideWhenUsed/>
    <w:qFormat/>
    <w:rsid w:val="005F1D76"/>
    <w:pPr>
      <w:outlineLvl w:val="9"/>
    </w:pPr>
    <w:rPr>
      <w:lang w:val="en-US" w:eastAsia="ja-JP"/>
    </w:rPr>
  </w:style>
  <w:style w:type="paragraph" w:styleId="Header">
    <w:name w:val="header"/>
    <w:basedOn w:val="Normal"/>
    <w:link w:val="HeaderChar"/>
    <w:uiPriority w:val="99"/>
    <w:unhideWhenUsed/>
    <w:rsid w:val="00A46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22C"/>
  </w:style>
  <w:style w:type="paragraph" w:styleId="Footer">
    <w:name w:val="footer"/>
    <w:basedOn w:val="Normal"/>
    <w:link w:val="FooterChar"/>
    <w:unhideWhenUsed/>
    <w:rsid w:val="00A4622C"/>
    <w:pPr>
      <w:tabs>
        <w:tab w:val="center" w:pos="4513"/>
        <w:tab w:val="right" w:pos="9026"/>
      </w:tabs>
      <w:spacing w:after="0" w:line="240" w:lineRule="auto"/>
    </w:pPr>
  </w:style>
  <w:style w:type="character" w:customStyle="1" w:styleId="FooterChar">
    <w:name w:val="Footer Char"/>
    <w:basedOn w:val="DefaultParagraphFont"/>
    <w:link w:val="Footer"/>
    <w:rsid w:val="00A4622C"/>
  </w:style>
  <w:style w:type="paragraph" w:styleId="BodyText">
    <w:name w:val="Body Text"/>
    <w:basedOn w:val="Normal"/>
    <w:link w:val="BodyTextChar"/>
    <w:rsid w:val="001E10DC"/>
    <w:pPr>
      <w:spacing w:after="0" w:line="240" w:lineRule="auto"/>
      <w:jc w:val="both"/>
    </w:pPr>
    <w:rPr>
      <w:rFonts w:ascii="Arial" w:eastAsia="Times New Roman" w:hAnsi="Arial" w:cs="Times New Roman"/>
      <w:color w:val="000000"/>
      <w:kern w:val="28"/>
      <w:szCs w:val="20"/>
    </w:rPr>
  </w:style>
  <w:style w:type="character" w:customStyle="1" w:styleId="BodyTextChar">
    <w:name w:val="Body Text Char"/>
    <w:basedOn w:val="DefaultParagraphFont"/>
    <w:link w:val="BodyText"/>
    <w:rsid w:val="001E10DC"/>
    <w:rPr>
      <w:rFonts w:ascii="Arial" w:eastAsia="Times New Roman" w:hAnsi="Arial" w:cs="Times New Roman"/>
      <w:color w:val="000000"/>
      <w:kern w:val="28"/>
      <w:szCs w:val="20"/>
    </w:rPr>
  </w:style>
  <w:style w:type="paragraph" w:customStyle="1" w:styleId="Default">
    <w:name w:val="Default"/>
    <w:rsid w:val="009B3ECE"/>
    <w:pPr>
      <w:autoSpaceDE w:val="0"/>
      <w:autoSpaceDN w:val="0"/>
      <w:adjustRightInd w:val="0"/>
      <w:spacing w:after="0" w:line="240" w:lineRule="auto"/>
    </w:pPr>
    <w:rPr>
      <w:rFonts w:ascii="Adobe Garamond" w:hAnsi="Adobe Garamond" w:cs="Adobe Garamond"/>
      <w:color w:val="000000"/>
      <w:sz w:val="24"/>
      <w:szCs w:val="24"/>
    </w:rPr>
  </w:style>
  <w:style w:type="paragraph" w:customStyle="1" w:styleId="Pa20">
    <w:name w:val="Pa20"/>
    <w:basedOn w:val="Default"/>
    <w:next w:val="Default"/>
    <w:uiPriority w:val="99"/>
    <w:rsid w:val="00852E5E"/>
    <w:pPr>
      <w:spacing w:line="181" w:lineRule="atLeast"/>
    </w:pPr>
    <w:rPr>
      <w:rFonts w:ascii="Gill Sans MT" w:hAnsi="Gill Sans MT" w:cstheme="minorBidi"/>
      <w:color w:val="auto"/>
    </w:rPr>
  </w:style>
  <w:style w:type="paragraph" w:customStyle="1" w:styleId="Pa21">
    <w:name w:val="Pa21"/>
    <w:basedOn w:val="Default"/>
    <w:next w:val="Default"/>
    <w:uiPriority w:val="99"/>
    <w:rsid w:val="00852E5E"/>
    <w:pPr>
      <w:spacing w:line="171" w:lineRule="atLeast"/>
    </w:pPr>
    <w:rPr>
      <w:rFonts w:ascii="Gill Sans MT" w:hAnsi="Gill Sans MT" w:cstheme="minorBidi"/>
      <w:color w:val="auto"/>
    </w:rPr>
  </w:style>
  <w:style w:type="character" w:styleId="CommentReference">
    <w:name w:val="annotation reference"/>
    <w:basedOn w:val="DefaultParagraphFont"/>
    <w:uiPriority w:val="99"/>
    <w:semiHidden/>
    <w:unhideWhenUsed/>
    <w:rsid w:val="00591934"/>
    <w:rPr>
      <w:sz w:val="18"/>
      <w:szCs w:val="18"/>
    </w:rPr>
  </w:style>
  <w:style w:type="paragraph" w:styleId="CommentText">
    <w:name w:val="annotation text"/>
    <w:basedOn w:val="Normal"/>
    <w:link w:val="CommentTextChar"/>
    <w:uiPriority w:val="99"/>
    <w:semiHidden/>
    <w:unhideWhenUsed/>
    <w:rsid w:val="00591934"/>
    <w:pPr>
      <w:spacing w:line="240" w:lineRule="auto"/>
    </w:pPr>
    <w:rPr>
      <w:sz w:val="24"/>
      <w:szCs w:val="24"/>
    </w:rPr>
  </w:style>
  <w:style w:type="character" w:customStyle="1" w:styleId="CommentTextChar">
    <w:name w:val="Comment Text Char"/>
    <w:basedOn w:val="DefaultParagraphFont"/>
    <w:link w:val="CommentText"/>
    <w:uiPriority w:val="99"/>
    <w:semiHidden/>
    <w:rsid w:val="00591934"/>
    <w:rPr>
      <w:sz w:val="24"/>
      <w:szCs w:val="24"/>
    </w:rPr>
  </w:style>
  <w:style w:type="paragraph" w:styleId="CommentSubject">
    <w:name w:val="annotation subject"/>
    <w:basedOn w:val="CommentText"/>
    <w:next w:val="CommentText"/>
    <w:link w:val="CommentSubjectChar"/>
    <w:uiPriority w:val="99"/>
    <w:semiHidden/>
    <w:unhideWhenUsed/>
    <w:rsid w:val="00591934"/>
    <w:rPr>
      <w:b/>
      <w:bCs/>
      <w:sz w:val="20"/>
      <w:szCs w:val="20"/>
    </w:rPr>
  </w:style>
  <w:style w:type="character" w:customStyle="1" w:styleId="CommentSubjectChar">
    <w:name w:val="Comment Subject Char"/>
    <w:basedOn w:val="CommentTextChar"/>
    <w:link w:val="CommentSubject"/>
    <w:uiPriority w:val="99"/>
    <w:semiHidden/>
    <w:rsid w:val="00591934"/>
    <w:rPr>
      <w:b/>
      <w:bCs/>
      <w:sz w:val="20"/>
      <w:szCs w:val="20"/>
    </w:rPr>
  </w:style>
  <w:style w:type="paragraph" w:customStyle="1" w:styleId="Pa15">
    <w:name w:val="Pa15"/>
    <w:basedOn w:val="Default"/>
    <w:next w:val="Default"/>
    <w:uiPriority w:val="99"/>
    <w:rsid w:val="005553CD"/>
    <w:pPr>
      <w:spacing w:line="161" w:lineRule="atLeast"/>
    </w:pPr>
    <w:rPr>
      <w:rFonts w:ascii="Gill Sans MT" w:hAnsi="Gill Sans MT" w:cstheme="minorBidi"/>
      <w:color w:val="auto"/>
    </w:rPr>
  </w:style>
  <w:style w:type="character" w:customStyle="1" w:styleId="A11">
    <w:name w:val="A11"/>
    <w:uiPriority w:val="99"/>
    <w:rsid w:val="005553CD"/>
    <w:rPr>
      <w:rFonts w:cs="Gill Sans MT"/>
      <w:color w:val="000000"/>
      <w:sz w:val="9"/>
      <w:szCs w:val="9"/>
    </w:rPr>
  </w:style>
  <w:style w:type="character" w:styleId="LineNumber">
    <w:name w:val="line number"/>
    <w:basedOn w:val="DefaultParagraphFont"/>
    <w:uiPriority w:val="99"/>
    <w:semiHidden/>
    <w:unhideWhenUsed/>
    <w:rsid w:val="001D1B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25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25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425FC"/>
    <w:pPr>
      <w:keepNext/>
      <w:numPr>
        <w:ilvl w:val="2"/>
        <w:numId w:val="3"/>
      </w:numPr>
      <w:spacing w:before="240" w:after="60" w:line="240" w:lineRule="auto"/>
      <w:jc w:val="both"/>
      <w:outlineLvl w:val="2"/>
    </w:pPr>
    <w:rPr>
      <w:rFonts w:ascii="Arial" w:eastAsia="Times New Roman" w:hAnsi="Arial" w:cs="Arial"/>
      <w:b/>
      <w:bCs/>
      <w:sz w:val="26"/>
      <w:szCs w:val="26"/>
    </w:rPr>
  </w:style>
  <w:style w:type="paragraph" w:styleId="Heading4">
    <w:name w:val="heading 4"/>
    <w:basedOn w:val="Normal"/>
    <w:next w:val="Normal"/>
    <w:link w:val="Heading4Char"/>
    <w:uiPriority w:val="9"/>
    <w:semiHidden/>
    <w:unhideWhenUsed/>
    <w:qFormat/>
    <w:rsid w:val="008425F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8425FC"/>
    <w:pPr>
      <w:numPr>
        <w:ilvl w:val="4"/>
        <w:numId w:val="3"/>
      </w:numPr>
      <w:spacing w:before="240" w:after="60" w:line="240" w:lineRule="auto"/>
      <w:jc w:val="both"/>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8425FC"/>
    <w:pPr>
      <w:numPr>
        <w:ilvl w:val="5"/>
        <w:numId w:val="3"/>
      </w:numPr>
      <w:spacing w:before="240" w:after="60" w:line="240" w:lineRule="auto"/>
      <w:jc w:val="both"/>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8425FC"/>
    <w:pPr>
      <w:numPr>
        <w:ilvl w:val="6"/>
        <w:numId w:val="3"/>
      </w:numPr>
      <w:spacing w:before="240" w:after="60" w:line="240" w:lineRule="auto"/>
      <w:jc w:val="both"/>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8425FC"/>
    <w:pPr>
      <w:numPr>
        <w:ilvl w:val="7"/>
        <w:numId w:val="3"/>
      </w:numPr>
      <w:spacing w:before="240" w:after="60" w:line="240" w:lineRule="auto"/>
      <w:jc w:val="both"/>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8425FC"/>
    <w:pPr>
      <w:numPr>
        <w:ilvl w:val="8"/>
        <w:numId w:val="3"/>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1840"/>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F30F58"/>
    <w:pPr>
      <w:ind w:left="720"/>
      <w:contextualSpacing/>
    </w:pPr>
  </w:style>
  <w:style w:type="paragraph" w:styleId="BalloonText">
    <w:name w:val="Balloon Text"/>
    <w:basedOn w:val="Normal"/>
    <w:link w:val="BalloonTextChar"/>
    <w:uiPriority w:val="99"/>
    <w:semiHidden/>
    <w:unhideWhenUsed/>
    <w:rsid w:val="00F20A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A9B"/>
    <w:rPr>
      <w:rFonts w:ascii="Tahoma" w:hAnsi="Tahoma" w:cs="Tahoma"/>
      <w:sz w:val="16"/>
      <w:szCs w:val="16"/>
    </w:rPr>
  </w:style>
  <w:style w:type="paragraph" w:styleId="Caption">
    <w:name w:val="caption"/>
    <w:basedOn w:val="Normal"/>
    <w:next w:val="Normal"/>
    <w:qFormat/>
    <w:rsid w:val="00A42767"/>
    <w:pPr>
      <w:spacing w:before="120" w:after="120" w:line="240" w:lineRule="auto"/>
    </w:pPr>
    <w:rPr>
      <w:rFonts w:ascii="Arial" w:eastAsia="Times New Roman" w:hAnsi="Arial" w:cs="Times New Roman"/>
      <w:b/>
      <w:bCs/>
      <w:szCs w:val="20"/>
    </w:rPr>
  </w:style>
  <w:style w:type="paragraph" w:customStyle="1" w:styleId="TemplateText">
    <w:name w:val="Template Text"/>
    <w:basedOn w:val="Normal"/>
    <w:link w:val="TemplateTextChar"/>
    <w:rsid w:val="00A57477"/>
    <w:pPr>
      <w:spacing w:after="0" w:line="240" w:lineRule="auto"/>
      <w:jc w:val="both"/>
    </w:pPr>
    <w:rPr>
      <w:rFonts w:ascii="Arial" w:eastAsia="Times New Roman" w:hAnsi="Arial" w:cs="Times New Roman"/>
    </w:rPr>
  </w:style>
  <w:style w:type="character" w:customStyle="1" w:styleId="TemplateTextChar">
    <w:name w:val="Template Text Char"/>
    <w:link w:val="TemplateText"/>
    <w:rsid w:val="00A57477"/>
    <w:rPr>
      <w:rFonts w:ascii="Arial" w:eastAsia="Times New Roman" w:hAnsi="Arial" w:cs="Times New Roman"/>
    </w:rPr>
  </w:style>
  <w:style w:type="character" w:customStyle="1" w:styleId="Heading3Char">
    <w:name w:val="Heading 3 Char"/>
    <w:basedOn w:val="DefaultParagraphFont"/>
    <w:link w:val="Heading3"/>
    <w:rsid w:val="008425FC"/>
    <w:rPr>
      <w:rFonts w:ascii="Arial" w:eastAsia="Times New Roman" w:hAnsi="Arial" w:cs="Arial"/>
      <w:b/>
      <w:bCs/>
      <w:sz w:val="26"/>
      <w:szCs w:val="26"/>
    </w:rPr>
  </w:style>
  <w:style w:type="character" w:customStyle="1" w:styleId="Heading5Char">
    <w:name w:val="Heading 5 Char"/>
    <w:basedOn w:val="DefaultParagraphFont"/>
    <w:link w:val="Heading5"/>
    <w:rsid w:val="008425FC"/>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8425FC"/>
    <w:rPr>
      <w:rFonts w:ascii="Times New Roman" w:eastAsia="Times New Roman" w:hAnsi="Times New Roman" w:cs="Times New Roman"/>
      <w:b/>
      <w:bCs/>
    </w:rPr>
  </w:style>
  <w:style w:type="character" w:customStyle="1" w:styleId="Heading7Char">
    <w:name w:val="Heading 7 Char"/>
    <w:basedOn w:val="DefaultParagraphFont"/>
    <w:link w:val="Heading7"/>
    <w:rsid w:val="008425F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8425F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8425FC"/>
    <w:rPr>
      <w:rFonts w:ascii="Arial" w:eastAsia="Times New Roman" w:hAnsi="Arial" w:cs="Arial"/>
    </w:rPr>
  </w:style>
  <w:style w:type="paragraph" w:customStyle="1" w:styleId="TemplateHeading1">
    <w:name w:val="Template Heading 1"/>
    <w:basedOn w:val="Heading1"/>
    <w:next w:val="NormalWeb"/>
    <w:rsid w:val="008425FC"/>
    <w:pPr>
      <w:keepLines w:val="0"/>
      <w:numPr>
        <w:numId w:val="3"/>
      </w:numPr>
      <w:tabs>
        <w:tab w:val="left" w:pos="578"/>
      </w:tabs>
      <w:spacing w:before="240" w:after="240" w:line="240" w:lineRule="auto"/>
    </w:pPr>
    <w:rPr>
      <w:rFonts w:ascii="Arial" w:eastAsia="Times New Roman" w:hAnsi="Arial" w:cs="Arial"/>
      <w:color w:val="auto"/>
      <w:kern w:val="32"/>
      <w:sz w:val="24"/>
      <w:szCs w:val="32"/>
    </w:rPr>
  </w:style>
  <w:style w:type="paragraph" w:customStyle="1" w:styleId="TemplateHeading2">
    <w:name w:val="Template Heading 2"/>
    <w:basedOn w:val="Heading2"/>
    <w:next w:val="TemplateText"/>
    <w:rsid w:val="008425FC"/>
    <w:pPr>
      <w:keepLines w:val="0"/>
      <w:numPr>
        <w:ilvl w:val="1"/>
        <w:numId w:val="3"/>
      </w:numPr>
      <w:spacing w:before="240" w:after="60" w:line="240" w:lineRule="auto"/>
    </w:pPr>
    <w:rPr>
      <w:rFonts w:ascii="Arial" w:eastAsia="Times New Roman" w:hAnsi="Arial" w:cs="Arial"/>
      <w:iCs/>
      <w:color w:val="auto"/>
      <w:sz w:val="22"/>
      <w:szCs w:val="28"/>
    </w:rPr>
  </w:style>
  <w:style w:type="paragraph" w:customStyle="1" w:styleId="TemplateHeading4">
    <w:name w:val="Template Heading 4"/>
    <w:basedOn w:val="Heading4"/>
    <w:next w:val="TemplateText"/>
    <w:rsid w:val="008425FC"/>
    <w:pPr>
      <w:keepLines w:val="0"/>
      <w:numPr>
        <w:ilvl w:val="3"/>
        <w:numId w:val="3"/>
      </w:numPr>
      <w:spacing w:before="120" w:after="60" w:line="240" w:lineRule="auto"/>
    </w:pPr>
    <w:rPr>
      <w:rFonts w:ascii="Arial" w:eastAsia="Times New Roman" w:hAnsi="Arial" w:cs="Times New Roman"/>
      <w:i w:val="0"/>
      <w:iCs w:val="0"/>
      <w:color w:val="auto"/>
    </w:rPr>
  </w:style>
  <w:style w:type="paragraph" w:customStyle="1" w:styleId="TemplateHeading5">
    <w:name w:val="Template Heading 5"/>
    <w:basedOn w:val="Heading5"/>
    <w:next w:val="TemplateText"/>
    <w:rsid w:val="008425FC"/>
    <w:pPr>
      <w:jc w:val="left"/>
    </w:pPr>
    <w:rPr>
      <w:i w:val="0"/>
      <w:sz w:val="22"/>
    </w:rPr>
  </w:style>
  <w:style w:type="character" w:customStyle="1" w:styleId="Heading1Char">
    <w:name w:val="Heading 1 Char"/>
    <w:basedOn w:val="DefaultParagraphFont"/>
    <w:link w:val="Heading1"/>
    <w:uiPriority w:val="9"/>
    <w:rsid w:val="008425F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25FC"/>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425FC"/>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460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2C50"/>
    <w:rPr>
      <w:color w:val="0000FF" w:themeColor="hyperlink"/>
      <w:u w:val="single"/>
    </w:rPr>
  </w:style>
  <w:style w:type="paragraph" w:styleId="TOC2">
    <w:name w:val="toc 2"/>
    <w:basedOn w:val="Normal"/>
    <w:next w:val="Normal"/>
    <w:link w:val="TOC2Char"/>
    <w:autoRedefine/>
    <w:uiPriority w:val="39"/>
    <w:unhideWhenUsed/>
    <w:qFormat/>
    <w:rsid w:val="005F1D76"/>
    <w:pPr>
      <w:spacing w:after="100"/>
      <w:ind w:left="220"/>
    </w:pPr>
  </w:style>
  <w:style w:type="paragraph" w:styleId="TOC1">
    <w:name w:val="toc 1"/>
    <w:basedOn w:val="Normal"/>
    <w:next w:val="Normal"/>
    <w:autoRedefine/>
    <w:uiPriority w:val="39"/>
    <w:unhideWhenUsed/>
    <w:qFormat/>
    <w:rsid w:val="00514C0F"/>
    <w:pPr>
      <w:tabs>
        <w:tab w:val="left" w:pos="440"/>
        <w:tab w:val="right" w:leader="dot" w:pos="9350"/>
      </w:tabs>
      <w:spacing w:after="100"/>
    </w:pPr>
  </w:style>
  <w:style w:type="character" w:customStyle="1" w:styleId="TOC2Char">
    <w:name w:val="TOC 2 Char"/>
    <w:basedOn w:val="DefaultParagraphFont"/>
    <w:link w:val="TOC2"/>
    <w:uiPriority w:val="39"/>
    <w:rsid w:val="005F1D76"/>
  </w:style>
  <w:style w:type="paragraph" w:styleId="TOC3">
    <w:name w:val="toc 3"/>
    <w:basedOn w:val="Normal"/>
    <w:next w:val="Normal"/>
    <w:autoRedefine/>
    <w:uiPriority w:val="39"/>
    <w:unhideWhenUsed/>
    <w:qFormat/>
    <w:rsid w:val="005F1D76"/>
    <w:pPr>
      <w:spacing w:after="100"/>
      <w:ind w:left="440"/>
    </w:pPr>
  </w:style>
  <w:style w:type="paragraph" w:styleId="TOCHeading">
    <w:name w:val="TOC Heading"/>
    <w:basedOn w:val="Heading1"/>
    <w:next w:val="Normal"/>
    <w:uiPriority w:val="39"/>
    <w:semiHidden/>
    <w:unhideWhenUsed/>
    <w:qFormat/>
    <w:rsid w:val="005F1D76"/>
    <w:pPr>
      <w:outlineLvl w:val="9"/>
    </w:pPr>
    <w:rPr>
      <w:lang w:val="en-US" w:eastAsia="ja-JP"/>
    </w:rPr>
  </w:style>
  <w:style w:type="paragraph" w:styleId="Header">
    <w:name w:val="header"/>
    <w:basedOn w:val="Normal"/>
    <w:link w:val="HeaderChar"/>
    <w:uiPriority w:val="99"/>
    <w:unhideWhenUsed/>
    <w:rsid w:val="00A46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22C"/>
  </w:style>
  <w:style w:type="paragraph" w:styleId="Footer">
    <w:name w:val="footer"/>
    <w:basedOn w:val="Normal"/>
    <w:link w:val="FooterChar"/>
    <w:unhideWhenUsed/>
    <w:rsid w:val="00A4622C"/>
    <w:pPr>
      <w:tabs>
        <w:tab w:val="center" w:pos="4513"/>
        <w:tab w:val="right" w:pos="9026"/>
      </w:tabs>
      <w:spacing w:after="0" w:line="240" w:lineRule="auto"/>
    </w:pPr>
  </w:style>
  <w:style w:type="character" w:customStyle="1" w:styleId="FooterChar">
    <w:name w:val="Footer Char"/>
    <w:basedOn w:val="DefaultParagraphFont"/>
    <w:link w:val="Footer"/>
    <w:rsid w:val="00A4622C"/>
  </w:style>
  <w:style w:type="paragraph" w:styleId="BodyText">
    <w:name w:val="Body Text"/>
    <w:basedOn w:val="Normal"/>
    <w:link w:val="BodyTextChar"/>
    <w:rsid w:val="001E10DC"/>
    <w:pPr>
      <w:spacing w:after="0" w:line="240" w:lineRule="auto"/>
      <w:jc w:val="both"/>
    </w:pPr>
    <w:rPr>
      <w:rFonts w:ascii="Arial" w:eastAsia="Times New Roman" w:hAnsi="Arial" w:cs="Times New Roman"/>
      <w:color w:val="000000"/>
      <w:kern w:val="28"/>
      <w:szCs w:val="20"/>
    </w:rPr>
  </w:style>
  <w:style w:type="character" w:customStyle="1" w:styleId="BodyTextChar">
    <w:name w:val="Body Text Char"/>
    <w:basedOn w:val="DefaultParagraphFont"/>
    <w:link w:val="BodyText"/>
    <w:rsid w:val="001E10DC"/>
    <w:rPr>
      <w:rFonts w:ascii="Arial" w:eastAsia="Times New Roman" w:hAnsi="Arial" w:cs="Times New Roman"/>
      <w:color w:val="000000"/>
      <w:kern w:val="28"/>
      <w:szCs w:val="20"/>
    </w:rPr>
  </w:style>
  <w:style w:type="paragraph" w:customStyle="1" w:styleId="Default">
    <w:name w:val="Default"/>
    <w:rsid w:val="009B3ECE"/>
    <w:pPr>
      <w:autoSpaceDE w:val="0"/>
      <w:autoSpaceDN w:val="0"/>
      <w:adjustRightInd w:val="0"/>
      <w:spacing w:after="0" w:line="240" w:lineRule="auto"/>
    </w:pPr>
    <w:rPr>
      <w:rFonts w:ascii="Adobe Garamond" w:hAnsi="Adobe Garamond" w:cs="Adobe Garamond"/>
      <w:color w:val="000000"/>
      <w:sz w:val="24"/>
      <w:szCs w:val="24"/>
    </w:rPr>
  </w:style>
  <w:style w:type="paragraph" w:customStyle="1" w:styleId="Pa20">
    <w:name w:val="Pa20"/>
    <w:basedOn w:val="Default"/>
    <w:next w:val="Default"/>
    <w:uiPriority w:val="99"/>
    <w:rsid w:val="00852E5E"/>
    <w:pPr>
      <w:spacing w:line="181" w:lineRule="atLeast"/>
    </w:pPr>
    <w:rPr>
      <w:rFonts w:ascii="Gill Sans MT" w:hAnsi="Gill Sans MT" w:cstheme="minorBidi"/>
      <w:color w:val="auto"/>
    </w:rPr>
  </w:style>
  <w:style w:type="paragraph" w:customStyle="1" w:styleId="Pa21">
    <w:name w:val="Pa21"/>
    <w:basedOn w:val="Default"/>
    <w:next w:val="Default"/>
    <w:uiPriority w:val="99"/>
    <w:rsid w:val="00852E5E"/>
    <w:pPr>
      <w:spacing w:line="171" w:lineRule="atLeast"/>
    </w:pPr>
    <w:rPr>
      <w:rFonts w:ascii="Gill Sans MT" w:hAnsi="Gill Sans MT" w:cstheme="minorBidi"/>
      <w:color w:val="auto"/>
    </w:rPr>
  </w:style>
  <w:style w:type="character" w:styleId="CommentReference">
    <w:name w:val="annotation reference"/>
    <w:basedOn w:val="DefaultParagraphFont"/>
    <w:uiPriority w:val="99"/>
    <w:semiHidden/>
    <w:unhideWhenUsed/>
    <w:rsid w:val="00591934"/>
    <w:rPr>
      <w:sz w:val="18"/>
      <w:szCs w:val="18"/>
    </w:rPr>
  </w:style>
  <w:style w:type="paragraph" w:styleId="CommentText">
    <w:name w:val="annotation text"/>
    <w:basedOn w:val="Normal"/>
    <w:link w:val="CommentTextChar"/>
    <w:uiPriority w:val="99"/>
    <w:semiHidden/>
    <w:unhideWhenUsed/>
    <w:rsid w:val="00591934"/>
    <w:pPr>
      <w:spacing w:line="240" w:lineRule="auto"/>
    </w:pPr>
    <w:rPr>
      <w:sz w:val="24"/>
      <w:szCs w:val="24"/>
    </w:rPr>
  </w:style>
  <w:style w:type="character" w:customStyle="1" w:styleId="CommentTextChar">
    <w:name w:val="Comment Text Char"/>
    <w:basedOn w:val="DefaultParagraphFont"/>
    <w:link w:val="CommentText"/>
    <w:uiPriority w:val="99"/>
    <w:semiHidden/>
    <w:rsid w:val="00591934"/>
    <w:rPr>
      <w:sz w:val="24"/>
      <w:szCs w:val="24"/>
    </w:rPr>
  </w:style>
  <w:style w:type="paragraph" w:styleId="CommentSubject">
    <w:name w:val="annotation subject"/>
    <w:basedOn w:val="CommentText"/>
    <w:next w:val="CommentText"/>
    <w:link w:val="CommentSubjectChar"/>
    <w:uiPriority w:val="99"/>
    <w:semiHidden/>
    <w:unhideWhenUsed/>
    <w:rsid w:val="00591934"/>
    <w:rPr>
      <w:b/>
      <w:bCs/>
      <w:sz w:val="20"/>
      <w:szCs w:val="20"/>
    </w:rPr>
  </w:style>
  <w:style w:type="character" w:customStyle="1" w:styleId="CommentSubjectChar">
    <w:name w:val="Comment Subject Char"/>
    <w:basedOn w:val="CommentTextChar"/>
    <w:link w:val="CommentSubject"/>
    <w:uiPriority w:val="99"/>
    <w:semiHidden/>
    <w:rsid w:val="00591934"/>
    <w:rPr>
      <w:b/>
      <w:bCs/>
      <w:sz w:val="20"/>
      <w:szCs w:val="20"/>
    </w:rPr>
  </w:style>
  <w:style w:type="paragraph" w:customStyle="1" w:styleId="Pa15">
    <w:name w:val="Pa15"/>
    <w:basedOn w:val="Default"/>
    <w:next w:val="Default"/>
    <w:uiPriority w:val="99"/>
    <w:rsid w:val="005553CD"/>
    <w:pPr>
      <w:spacing w:line="161" w:lineRule="atLeast"/>
    </w:pPr>
    <w:rPr>
      <w:rFonts w:ascii="Gill Sans MT" w:hAnsi="Gill Sans MT" w:cstheme="minorBidi"/>
      <w:color w:val="auto"/>
    </w:rPr>
  </w:style>
  <w:style w:type="character" w:customStyle="1" w:styleId="A11">
    <w:name w:val="A11"/>
    <w:uiPriority w:val="99"/>
    <w:rsid w:val="005553CD"/>
    <w:rPr>
      <w:rFonts w:cs="Gill Sans MT"/>
      <w:color w:val="000000"/>
      <w:sz w:val="9"/>
      <w:szCs w:val="9"/>
    </w:rPr>
  </w:style>
  <w:style w:type="character" w:styleId="LineNumber">
    <w:name w:val="line number"/>
    <w:basedOn w:val="DefaultParagraphFont"/>
    <w:uiPriority w:val="99"/>
    <w:semiHidden/>
    <w:unhideWhenUsed/>
    <w:rsid w:val="001D1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1992">
      <w:bodyDiv w:val="1"/>
      <w:marLeft w:val="0"/>
      <w:marRight w:val="0"/>
      <w:marTop w:val="0"/>
      <w:marBottom w:val="0"/>
      <w:divBdr>
        <w:top w:val="none" w:sz="0" w:space="0" w:color="auto"/>
        <w:left w:val="none" w:sz="0" w:space="0" w:color="auto"/>
        <w:bottom w:val="none" w:sz="0" w:space="0" w:color="auto"/>
        <w:right w:val="none" w:sz="0" w:space="0" w:color="auto"/>
      </w:divBdr>
    </w:div>
    <w:div w:id="40715832">
      <w:bodyDiv w:val="1"/>
      <w:marLeft w:val="0"/>
      <w:marRight w:val="0"/>
      <w:marTop w:val="0"/>
      <w:marBottom w:val="0"/>
      <w:divBdr>
        <w:top w:val="none" w:sz="0" w:space="0" w:color="auto"/>
        <w:left w:val="none" w:sz="0" w:space="0" w:color="auto"/>
        <w:bottom w:val="none" w:sz="0" w:space="0" w:color="auto"/>
        <w:right w:val="none" w:sz="0" w:space="0" w:color="auto"/>
      </w:divBdr>
    </w:div>
    <w:div w:id="60755869">
      <w:bodyDiv w:val="1"/>
      <w:marLeft w:val="0"/>
      <w:marRight w:val="0"/>
      <w:marTop w:val="0"/>
      <w:marBottom w:val="0"/>
      <w:divBdr>
        <w:top w:val="none" w:sz="0" w:space="0" w:color="auto"/>
        <w:left w:val="none" w:sz="0" w:space="0" w:color="auto"/>
        <w:bottom w:val="none" w:sz="0" w:space="0" w:color="auto"/>
        <w:right w:val="none" w:sz="0" w:space="0" w:color="auto"/>
      </w:divBdr>
    </w:div>
    <w:div w:id="152381223">
      <w:bodyDiv w:val="1"/>
      <w:marLeft w:val="0"/>
      <w:marRight w:val="0"/>
      <w:marTop w:val="0"/>
      <w:marBottom w:val="0"/>
      <w:divBdr>
        <w:top w:val="none" w:sz="0" w:space="0" w:color="auto"/>
        <w:left w:val="none" w:sz="0" w:space="0" w:color="auto"/>
        <w:bottom w:val="none" w:sz="0" w:space="0" w:color="auto"/>
        <w:right w:val="none" w:sz="0" w:space="0" w:color="auto"/>
      </w:divBdr>
    </w:div>
    <w:div w:id="324361403">
      <w:bodyDiv w:val="1"/>
      <w:marLeft w:val="0"/>
      <w:marRight w:val="0"/>
      <w:marTop w:val="0"/>
      <w:marBottom w:val="0"/>
      <w:divBdr>
        <w:top w:val="none" w:sz="0" w:space="0" w:color="auto"/>
        <w:left w:val="none" w:sz="0" w:space="0" w:color="auto"/>
        <w:bottom w:val="none" w:sz="0" w:space="0" w:color="auto"/>
        <w:right w:val="none" w:sz="0" w:space="0" w:color="auto"/>
      </w:divBdr>
    </w:div>
    <w:div w:id="348407333">
      <w:bodyDiv w:val="1"/>
      <w:marLeft w:val="0"/>
      <w:marRight w:val="0"/>
      <w:marTop w:val="0"/>
      <w:marBottom w:val="0"/>
      <w:divBdr>
        <w:top w:val="none" w:sz="0" w:space="0" w:color="auto"/>
        <w:left w:val="none" w:sz="0" w:space="0" w:color="auto"/>
        <w:bottom w:val="none" w:sz="0" w:space="0" w:color="auto"/>
        <w:right w:val="none" w:sz="0" w:space="0" w:color="auto"/>
      </w:divBdr>
    </w:div>
    <w:div w:id="363485771">
      <w:bodyDiv w:val="1"/>
      <w:marLeft w:val="0"/>
      <w:marRight w:val="0"/>
      <w:marTop w:val="0"/>
      <w:marBottom w:val="0"/>
      <w:divBdr>
        <w:top w:val="none" w:sz="0" w:space="0" w:color="auto"/>
        <w:left w:val="none" w:sz="0" w:space="0" w:color="auto"/>
        <w:bottom w:val="none" w:sz="0" w:space="0" w:color="auto"/>
        <w:right w:val="none" w:sz="0" w:space="0" w:color="auto"/>
      </w:divBdr>
      <w:divsChild>
        <w:div w:id="1048529006">
          <w:marLeft w:val="0"/>
          <w:marRight w:val="0"/>
          <w:marTop w:val="0"/>
          <w:marBottom w:val="0"/>
          <w:divBdr>
            <w:top w:val="none" w:sz="0" w:space="0" w:color="auto"/>
            <w:left w:val="none" w:sz="0" w:space="0" w:color="auto"/>
            <w:bottom w:val="none" w:sz="0" w:space="0" w:color="auto"/>
            <w:right w:val="none" w:sz="0" w:space="0" w:color="auto"/>
          </w:divBdr>
          <w:divsChild>
            <w:div w:id="1838423683">
              <w:marLeft w:val="0"/>
              <w:marRight w:val="0"/>
              <w:marTop w:val="0"/>
              <w:marBottom w:val="0"/>
              <w:divBdr>
                <w:top w:val="none" w:sz="0" w:space="0" w:color="auto"/>
                <w:left w:val="none" w:sz="0" w:space="0" w:color="auto"/>
                <w:bottom w:val="none" w:sz="0" w:space="0" w:color="auto"/>
                <w:right w:val="none" w:sz="0" w:space="0" w:color="auto"/>
              </w:divBdr>
              <w:divsChild>
                <w:div w:id="457183428">
                  <w:marLeft w:val="0"/>
                  <w:marRight w:val="0"/>
                  <w:marTop w:val="0"/>
                  <w:marBottom w:val="0"/>
                  <w:divBdr>
                    <w:top w:val="none" w:sz="0" w:space="0" w:color="auto"/>
                    <w:left w:val="none" w:sz="0" w:space="0" w:color="auto"/>
                    <w:bottom w:val="none" w:sz="0" w:space="0" w:color="auto"/>
                    <w:right w:val="none" w:sz="0" w:space="0" w:color="auto"/>
                  </w:divBdr>
                  <w:divsChild>
                    <w:div w:id="1408724808">
                      <w:marLeft w:val="0"/>
                      <w:marRight w:val="0"/>
                      <w:marTop w:val="0"/>
                      <w:marBottom w:val="0"/>
                      <w:divBdr>
                        <w:top w:val="none" w:sz="0" w:space="0" w:color="auto"/>
                        <w:left w:val="none" w:sz="0" w:space="0" w:color="auto"/>
                        <w:bottom w:val="none" w:sz="0" w:space="0" w:color="auto"/>
                        <w:right w:val="none" w:sz="0" w:space="0" w:color="auto"/>
                      </w:divBdr>
                      <w:divsChild>
                        <w:div w:id="774523894">
                          <w:marLeft w:val="0"/>
                          <w:marRight w:val="0"/>
                          <w:marTop w:val="0"/>
                          <w:marBottom w:val="0"/>
                          <w:divBdr>
                            <w:top w:val="none" w:sz="0" w:space="0" w:color="auto"/>
                            <w:left w:val="none" w:sz="0" w:space="0" w:color="auto"/>
                            <w:bottom w:val="none" w:sz="0" w:space="0" w:color="auto"/>
                            <w:right w:val="none" w:sz="0" w:space="0" w:color="auto"/>
                          </w:divBdr>
                          <w:divsChild>
                            <w:div w:id="1579485039">
                              <w:marLeft w:val="0"/>
                              <w:marRight w:val="0"/>
                              <w:marTop w:val="0"/>
                              <w:marBottom w:val="0"/>
                              <w:divBdr>
                                <w:top w:val="none" w:sz="0" w:space="0" w:color="auto"/>
                                <w:left w:val="none" w:sz="0" w:space="0" w:color="auto"/>
                                <w:bottom w:val="none" w:sz="0" w:space="0" w:color="auto"/>
                                <w:right w:val="none" w:sz="0" w:space="0" w:color="auto"/>
                              </w:divBdr>
                              <w:divsChild>
                                <w:div w:id="1805729882">
                                  <w:marLeft w:val="0"/>
                                  <w:marRight w:val="0"/>
                                  <w:marTop w:val="0"/>
                                  <w:marBottom w:val="0"/>
                                  <w:divBdr>
                                    <w:top w:val="none" w:sz="0" w:space="0" w:color="auto"/>
                                    <w:left w:val="none" w:sz="0" w:space="0" w:color="auto"/>
                                    <w:bottom w:val="none" w:sz="0" w:space="0" w:color="auto"/>
                                    <w:right w:val="none" w:sz="0" w:space="0" w:color="auto"/>
                                  </w:divBdr>
                                  <w:divsChild>
                                    <w:div w:id="1375928470">
                                      <w:marLeft w:val="0"/>
                                      <w:marRight w:val="0"/>
                                      <w:marTop w:val="0"/>
                                      <w:marBottom w:val="0"/>
                                      <w:divBdr>
                                        <w:top w:val="none" w:sz="0" w:space="0" w:color="auto"/>
                                        <w:left w:val="none" w:sz="0" w:space="0" w:color="auto"/>
                                        <w:bottom w:val="none" w:sz="0" w:space="0" w:color="auto"/>
                                        <w:right w:val="none" w:sz="0" w:space="0" w:color="auto"/>
                                      </w:divBdr>
                                      <w:divsChild>
                                        <w:div w:id="1977754218">
                                          <w:marLeft w:val="0"/>
                                          <w:marRight w:val="0"/>
                                          <w:marTop w:val="0"/>
                                          <w:marBottom w:val="0"/>
                                          <w:divBdr>
                                            <w:top w:val="none" w:sz="0" w:space="0" w:color="auto"/>
                                            <w:left w:val="none" w:sz="0" w:space="0" w:color="auto"/>
                                            <w:bottom w:val="none" w:sz="0" w:space="0" w:color="auto"/>
                                            <w:right w:val="none" w:sz="0" w:space="0" w:color="auto"/>
                                          </w:divBdr>
                                          <w:divsChild>
                                            <w:div w:id="547497928">
                                              <w:marLeft w:val="0"/>
                                              <w:marRight w:val="0"/>
                                              <w:marTop w:val="0"/>
                                              <w:marBottom w:val="0"/>
                                              <w:divBdr>
                                                <w:top w:val="none" w:sz="0" w:space="0" w:color="auto"/>
                                                <w:left w:val="none" w:sz="0" w:space="0" w:color="auto"/>
                                                <w:bottom w:val="none" w:sz="0" w:space="0" w:color="auto"/>
                                                <w:right w:val="none" w:sz="0" w:space="0" w:color="auto"/>
                                              </w:divBdr>
                                              <w:divsChild>
                                                <w:div w:id="697585155">
                                                  <w:marLeft w:val="0"/>
                                                  <w:marRight w:val="0"/>
                                                  <w:marTop w:val="0"/>
                                                  <w:marBottom w:val="0"/>
                                                  <w:divBdr>
                                                    <w:top w:val="none" w:sz="0" w:space="0" w:color="auto"/>
                                                    <w:left w:val="none" w:sz="0" w:space="0" w:color="auto"/>
                                                    <w:bottom w:val="none" w:sz="0" w:space="0" w:color="auto"/>
                                                    <w:right w:val="none" w:sz="0" w:space="0" w:color="auto"/>
                                                  </w:divBdr>
                                                  <w:divsChild>
                                                    <w:div w:id="1738475014">
                                                      <w:marLeft w:val="0"/>
                                                      <w:marRight w:val="0"/>
                                                      <w:marTop w:val="0"/>
                                                      <w:marBottom w:val="0"/>
                                                      <w:divBdr>
                                                        <w:top w:val="none" w:sz="0" w:space="0" w:color="auto"/>
                                                        <w:left w:val="none" w:sz="0" w:space="0" w:color="auto"/>
                                                        <w:bottom w:val="none" w:sz="0" w:space="0" w:color="auto"/>
                                                        <w:right w:val="none" w:sz="0" w:space="0" w:color="auto"/>
                                                      </w:divBdr>
                                                      <w:divsChild>
                                                        <w:div w:id="38819627">
                                                          <w:marLeft w:val="0"/>
                                                          <w:marRight w:val="0"/>
                                                          <w:marTop w:val="0"/>
                                                          <w:marBottom w:val="0"/>
                                                          <w:divBdr>
                                                            <w:top w:val="none" w:sz="0" w:space="0" w:color="auto"/>
                                                            <w:left w:val="none" w:sz="0" w:space="0" w:color="auto"/>
                                                            <w:bottom w:val="none" w:sz="0" w:space="0" w:color="auto"/>
                                                            <w:right w:val="none" w:sz="0" w:space="0" w:color="auto"/>
                                                          </w:divBdr>
                                                          <w:divsChild>
                                                            <w:div w:id="1783181823">
                                                              <w:marLeft w:val="0"/>
                                                              <w:marRight w:val="0"/>
                                                              <w:marTop w:val="0"/>
                                                              <w:marBottom w:val="0"/>
                                                              <w:divBdr>
                                                                <w:top w:val="none" w:sz="0" w:space="0" w:color="auto"/>
                                                                <w:left w:val="none" w:sz="0" w:space="0" w:color="auto"/>
                                                                <w:bottom w:val="none" w:sz="0" w:space="0" w:color="auto"/>
                                                                <w:right w:val="none" w:sz="0" w:space="0" w:color="auto"/>
                                                              </w:divBdr>
                                                              <w:divsChild>
                                                                <w:div w:id="268704801">
                                                                  <w:marLeft w:val="0"/>
                                                                  <w:marRight w:val="0"/>
                                                                  <w:marTop w:val="0"/>
                                                                  <w:marBottom w:val="0"/>
                                                                  <w:divBdr>
                                                                    <w:top w:val="none" w:sz="0" w:space="0" w:color="auto"/>
                                                                    <w:left w:val="none" w:sz="0" w:space="0" w:color="auto"/>
                                                                    <w:bottom w:val="none" w:sz="0" w:space="0" w:color="auto"/>
                                                                    <w:right w:val="none" w:sz="0" w:space="0" w:color="auto"/>
                                                                  </w:divBdr>
                                                                  <w:divsChild>
                                                                    <w:div w:id="1054742498">
                                                                      <w:marLeft w:val="0"/>
                                                                      <w:marRight w:val="0"/>
                                                                      <w:marTop w:val="0"/>
                                                                      <w:marBottom w:val="0"/>
                                                                      <w:divBdr>
                                                                        <w:top w:val="none" w:sz="0" w:space="0" w:color="auto"/>
                                                                        <w:left w:val="none" w:sz="0" w:space="0" w:color="auto"/>
                                                                        <w:bottom w:val="none" w:sz="0" w:space="0" w:color="auto"/>
                                                                        <w:right w:val="none" w:sz="0" w:space="0" w:color="auto"/>
                                                                      </w:divBdr>
                                                                      <w:divsChild>
                                                                        <w:div w:id="1709793732">
                                                                          <w:marLeft w:val="0"/>
                                                                          <w:marRight w:val="0"/>
                                                                          <w:marTop w:val="0"/>
                                                                          <w:marBottom w:val="0"/>
                                                                          <w:divBdr>
                                                                            <w:top w:val="none" w:sz="0" w:space="0" w:color="auto"/>
                                                                            <w:left w:val="none" w:sz="0" w:space="0" w:color="auto"/>
                                                                            <w:bottom w:val="none" w:sz="0" w:space="0" w:color="auto"/>
                                                                            <w:right w:val="none" w:sz="0" w:space="0" w:color="auto"/>
                                                                          </w:divBdr>
                                                                          <w:divsChild>
                                                                            <w:div w:id="1829704944">
                                                                              <w:marLeft w:val="0"/>
                                                                              <w:marRight w:val="0"/>
                                                                              <w:marTop w:val="0"/>
                                                                              <w:marBottom w:val="0"/>
                                                                              <w:divBdr>
                                                                                <w:top w:val="none" w:sz="0" w:space="0" w:color="auto"/>
                                                                                <w:left w:val="none" w:sz="0" w:space="0" w:color="auto"/>
                                                                                <w:bottom w:val="none" w:sz="0" w:space="0" w:color="auto"/>
                                                                                <w:right w:val="none" w:sz="0" w:space="0" w:color="auto"/>
                                                                              </w:divBdr>
                                                                              <w:divsChild>
                                                                                <w:div w:id="2060473619">
                                                                                  <w:marLeft w:val="0"/>
                                                                                  <w:marRight w:val="0"/>
                                                                                  <w:marTop w:val="0"/>
                                                                                  <w:marBottom w:val="0"/>
                                                                                  <w:divBdr>
                                                                                    <w:top w:val="none" w:sz="0" w:space="0" w:color="auto"/>
                                                                                    <w:left w:val="none" w:sz="0" w:space="0" w:color="auto"/>
                                                                                    <w:bottom w:val="none" w:sz="0" w:space="0" w:color="auto"/>
                                                                                    <w:right w:val="none" w:sz="0" w:space="0" w:color="auto"/>
                                                                                  </w:divBdr>
                                                                                  <w:divsChild>
                                                                                    <w:div w:id="583611431">
                                                                                      <w:marLeft w:val="0"/>
                                                                                      <w:marRight w:val="0"/>
                                                                                      <w:marTop w:val="0"/>
                                                                                      <w:marBottom w:val="0"/>
                                                                                      <w:divBdr>
                                                                                        <w:top w:val="none" w:sz="0" w:space="0" w:color="auto"/>
                                                                                        <w:left w:val="none" w:sz="0" w:space="0" w:color="auto"/>
                                                                                        <w:bottom w:val="none" w:sz="0" w:space="0" w:color="auto"/>
                                                                                        <w:right w:val="none" w:sz="0" w:space="0" w:color="auto"/>
                                                                                      </w:divBdr>
                                                                                      <w:divsChild>
                                                                                        <w:div w:id="1916862983">
                                                                                          <w:marLeft w:val="0"/>
                                                                                          <w:marRight w:val="0"/>
                                                                                          <w:marTop w:val="0"/>
                                                                                          <w:marBottom w:val="0"/>
                                                                                          <w:divBdr>
                                                                                            <w:top w:val="none" w:sz="0" w:space="0" w:color="auto"/>
                                                                                            <w:left w:val="none" w:sz="0" w:space="0" w:color="auto"/>
                                                                                            <w:bottom w:val="none" w:sz="0" w:space="0" w:color="auto"/>
                                                                                            <w:right w:val="none" w:sz="0" w:space="0" w:color="auto"/>
                                                                                          </w:divBdr>
                                                                                          <w:divsChild>
                                                                                            <w:div w:id="1730569656">
                                                                                              <w:marLeft w:val="0"/>
                                                                                              <w:marRight w:val="0"/>
                                                                                              <w:marTop w:val="0"/>
                                                                                              <w:marBottom w:val="0"/>
                                                                                              <w:divBdr>
                                                                                                <w:top w:val="none" w:sz="0" w:space="0" w:color="auto"/>
                                                                                                <w:left w:val="none" w:sz="0" w:space="0" w:color="auto"/>
                                                                                                <w:bottom w:val="none" w:sz="0" w:space="0" w:color="auto"/>
                                                                                                <w:right w:val="none" w:sz="0" w:space="0" w:color="auto"/>
                                                                                              </w:divBdr>
                                                                                              <w:divsChild>
                                                                                                <w:div w:id="1474446074">
                                                                                                  <w:marLeft w:val="0"/>
                                                                                                  <w:marRight w:val="0"/>
                                                                                                  <w:marTop w:val="0"/>
                                                                                                  <w:marBottom w:val="0"/>
                                                                                                  <w:divBdr>
                                                                                                    <w:top w:val="none" w:sz="0" w:space="0" w:color="auto"/>
                                                                                                    <w:left w:val="none" w:sz="0" w:space="0" w:color="auto"/>
                                                                                                    <w:bottom w:val="none" w:sz="0" w:space="0" w:color="auto"/>
                                                                                                    <w:right w:val="none" w:sz="0" w:space="0" w:color="auto"/>
                                                                                                  </w:divBdr>
                                                                                                  <w:divsChild>
                                                                                                    <w:div w:id="1265042367">
                                                                                                      <w:marLeft w:val="0"/>
                                                                                                      <w:marRight w:val="0"/>
                                                                                                      <w:marTop w:val="0"/>
                                                                                                      <w:marBottom w:val="0"/>
                                                                                                      <w:divBdr>
                                                                                                        <w:top w:val="none" w:sz="0" w:space="0" w:color="auto"/>
                                                                                                        <w:left w:val="none" w:sz="0" w:space="0" w:color="auto"/>
                                                                                                        <w:bottom w:val="none" w:sz="0" w:space="0" w:color="auto"/>
                                                                                                        <w:right w:val="none" w:sz="0" w:space="0" w:color="auto"/>
                                                                                                      </w:divBdr>
                                                                                                      <w:divsChild>
                                                                                                        <w:div w:id="884027032">
                                                                                                          <w:marLeft w:val="0"/>
                                                                                                          <w:marRight w:val="0"/>
                                                                                                          <w:marTop w:val="0"/>
                                                                                                          <w:marBottom w:val="0"/>
                                                                                                          <w:divBdr>
                                                                                                            <w:top w:val="none" w:sz="0" w:space="0" w:color="auto"/>
                                                                                                            <w:left w:val="none" w:sz="0" w:space="0" w:color="auto"/>
                                                                                                            <w:bottom w:val="none" w:sz="0" w:space="0" w:color="auto"/>
                                                                                                            <w:right w:val="none" w:sz="0" w:space="0" w:color="auto"/>
                                                                                                          </w:divBdr>
                                                                                                          <w:divsChild>
                                                                                                            <w:div w:id="467474860">
                                                                                                              <w:marLeft w:val="0"/>
                                                                                                              <w:marRight w:val="0"/>
                                                                                                              <w:marTop w:val="0"/>
                                                                                                              <w:marBottom w:val="0"/>
                                                                                                              <w:divBdr>
                                                                                                                <w:top w:val="none" w:sz="0" w:space="0" w:color="auto"/>
                                                                                                                <w:left w:val="none" w:sz="0" w:space="0" w:color="auto"/>
                                                                                                                <w:bottom w:val="none" w:sz="0" w:space="0" w:color="auto"/>
                                                                                                                <w:right w:val="none" w:sz="0" w:space="0" w:color="auto"/>
                                                                                                              </w:divBdr>
                                                                                                              <w:divsChild>
                                                                                                                <w:div w:id="2026666617">
                                                                                                                  <w:marLeft w:val="0"/>
                                                                                                                  <w:marRight w:val="0"/>
                                                                                                                  <w:marTop w:val="0"/>
                                                                                                                  <w:marBottom w:val="0"/>
                                                                                                                  <w:divBdr>
                                                                                                                    <w:top w:val="none" w:sz="0" w:space="0" w:color="auto"/>
                                                                                                                    <w:left w:val="none" w:sz="0" w:space="0" w:color="auto"/>
                                                                                                                    <w:bottom w:val="none" w:sz="0" w:space="0" w:color="auto"/>
                                                                                                                    <w:right w:val="none" w:sz="0" w:space="0" w:color="auto"/>
                                                                                                                  </w:divBdr>
                                                                                                                  <w:divsChild>
                                                                                                                    <w:div w:id="605694558">
                                                                                                                      <w:marLeft w:val="0"/>
                                                                                                                      <w:marRight w:val="0"/>
                                                                                                                      <w:marTop w:val="0"/>
                                                                                                                      <w:marBottom w:val="0"/>
                                                                                                                      <w:divBdr>
                                                                                                                        <w:top w:val="none" w:sz="0" w:space="0" w:color="auto"/>
                                                                                                                        <w:left w:val="none" w:sz="0" w:space="0" w:color="auto"/>
                                                                                                                        <w:bottom w:val="none" w:sz="0" w:space="0" w:color="auto"/>
                                                                                                                        <w:right w:val="none" w:sz="0" w:space="0" w:color="auto"/>
                                                                                                                      </w:divBdr>
                                                                                                                      <w:divsChild>
                                                                                                                        <w:div w:id="1450592244">
                                                                                                                          <w:marLeft w:val="0"/>
                                                                                                                          <w:marRight w:val="0"/>
                                                                                                                          <w:marTop w:val="0"/>
                                                                                                                          <w:marBottom w:val="0"/>
                                                                                                                          <w:divBdr>
                                                                                                                            <w:top w:val="none" w:sz="0" w:space="0" w:color="auto"/>
                                                                                                                            <w:left w:val="none" w:sz="0" w:space="0" w:color="auto"/>
                                                                                                                            <w:bottom w:val="none" w:sz="0" w:space="0" w:color="auto"/>
                                                                                                                            <w:right w:val="none" w:sz="0" w:space="0" w:color="auto"/>
                                                                                                                          </w:divBdr>
                                                                                                                          <w:divsChild>
                                                                                                                            <w:div w:id="660811014">
                                                                                                                              <w:marLeft w:val="0"/>
                                                                                                                              <w:marRight w:val="0"/>
                                                                                                                              <w:marTop w:val="0"/>
                                                                                                                              <w:marBottom w:val="0"/>
                                                                                                                              <w:divBdr>
                                                                                                                                <w:top w:val="none" w:sz="0" w:space="0" w:color="auto"/>
                                                                                                                                <w:left w:val="none" w:sz="0" w:space="0" w:color="auto"/>
                                                                                                                                <w:bottom w:val="none" w:sz="0" w:space="0" w:color="auto"/>
                                                                                                                                <w:right w:val="none" w:sz="0" w:space="0" w:color="auto"/>
                                                                                                                              </w:divBdr>
                                                                                                                              <w:divsChild>
                                                                                                                                <w:div w:id="598222764">
                                                                                                                                  <w:marLeft w:val="0"/>
                                                                                                                                  <w:marRight w:val="0"/>
                                                                                                                                  <w:marTop w:val="0"/>
                                                                                                                                  <w:marBottom w:val="0"/>
                                                                                                                                  <w:divBdr>
                                                                                                                                    <w:top w:val="none" w:sz="0" w:space="0" w:color="auto"/>
                                                                                                                                    <w:left w:val="none" w:sz="0" w:space="0" w:color="auto"/>
                                                                                                                                    <w:bottom w:val="none" w:sz="0" w:space="0" w:color="auto"/>
                                                                                                                                    <w:right w:val="none" w:sz="0" w:space="0" w:color="auto"/>
                                                                                                                                  </w:divBdr>
                                                                                                                                  <w:divsChild>
                                                                                                                                    <w:div w:id="663096451">
                                                                                                                                      <w:marLeft w:val="0"/>
                                                                                                                                      <w:marRight w:val="0"/>
                                                                                                                                      <w:marTop w:val="0"/>
                                                                                                                                      <w:marBottom w:val="0"/>
                                                                                                                                      <w:divBdr>
                                                                                                                                        <w:top w:val="none" w:sz="0" w:space="0" w:color="auto"/>
                                                                                                                                        <w:left w:val="none" w:sz="0" w:space="0" w:color="auto"/>
                                                                                                                                        <w:bottom w:val="none" w:sz="0" w:space="0" w:color="auto"/>
                                                                                                                                        <w:right w:val="none" w:sz="0" w:space="0" w:color="auto"/>
                                                                                                                                      </w:divBdr>
                                                                                                                                      <w:divsChild>
                                                                                                                                        <w:div w:id="1533613722">
                                                                                                                                          <w:marLeft w:val="0"/>
                                                                                                                                          <w:marRight w:val="0"/>
                                                                                                                                          <w:marTop w:val="0"/>
                                                                                                                                          <w:marBottom w:val="0"/>
                                                                                                                                          <w:divBdr>
                                                                                                                                            <w:top w:val="none" w:sz="0" w:space="0" w:color="auto"/>
                                                                                                                                            <w:left w:val="none" w:sz="0" w:space="0" w:color="auto"/>
                                                                                                                                            <w:bottom w:val="none" w:sz="0" w:space="0" w:color="auto"/>
                                                                                                                                            <w:right w:val="none" w:sz="0" w:space="0" w:color="auto"/>
                                                                                                                                          </w:divBdr>
                                                                                                                                        </w:div>
                                                                                                                                        <w:div w:id="2146577252">
                                                                                                                                          <w:marLeft w:val="0"/>
                                                                                                                                          <w:marRight w:val="0"/>
                                                                                                                                          <w:marTop w:val="0"/>
                                                                                                                                          <w:marBottom w:val="0"/>
                                                                                                                                          <w:divBdr>
                                                                                                                                            <w:top w:val="none" w:sz="0" w:space="0" w:color="auto"/>
                                                                                                                                            <w:left w:val="none" w:sz="0" w:space="0" w:color="auto"/>
                                                                                                                                            <w:bottom w:val="none" w:sz="0" w:space="0" w:color="auto"/>
                                                                                                                                            <w:right w:val="none" w:sz="0" w:space="0" w:color="auto"/>
                                                                                                                                          </w:divBdr>
                                                                                                                                          <w:divsChild>
                                                                                                                                            <w:div w:id="40176071">
                                                                                                                                              <w:marLeft w:val="0"/>
                                                                                                                                              <w:marRight w:val="0"/>
                                                                                                                                              <w:marTop w:val="0"/>
                                                                                                                                              <w:marBottom w:val="0"/>
                                                                                                                                              <w:divBdr>
                                                                                                                                                <w:top w:val="none" w:sz="0" w:space="0" w:color="auto"/>
                                                                                                                                                <w:left w:val="none" w:sz="0" w:space="0" w:color="auto"/>
                                                                                                                                                <w:bottom w:val="none" w:sz="0" w:space="0" w:color="auto"/>
                                                                                                                                                <w:right w:val="none" w:sz="0" w:space="0" w:color="auto"/>
                                                                                                                                              </w:divBdr>
                                                                                                                                              <w:divsChild>
                                                                                                                                                <w:div w:id="653144562">
                                                                                                                                                  <w:marLeft w:val="0"/>
                                                                                                                                                  <w:marRight w:val="0"/>
                                                                                                                                                  <w:marTop w:val="0"/>
                                                                                                                                                  <w:marBottom w:val="0"/>
                                                                                                                                                  <w:divBdr>
                                                                                                                                                    <w:top w:val="none" w:sz="0" w:space="0" w:color="auto"/>
                                                                                                                                                    <w:left w:val="none" w:sz="0" w:space="0" w:color="auto"/>
                                                                                                                                                    <w:bottom w:val="none" w:sz="0" w:space="0" w:color="auto"/>
                                                                                                                                                    <w:right w:val="none" w:sz="0" w:space="0" w:color="auto"/>
                                                                                                                                                  </w:divBdr>
                                                                                                                                                  <w:divsChild>
                                                                                                                                                    <w:div w:id="713698056">
                                                                                                                                                      <w:marLeft w:val="0"/>
                                                                                                                                                      <w:marRight w:val="0"/>
                                                                                                                                                      <w:marTop w:val="0"/>
                                                                                                                                                      <w:marBottom w:val="0"/>
                                                                                                                                                      <w:divBdr>
                                                                                                                                                        <w:top w:val="none" w:sz="0" w:space="0" w:color="auto"/>
                                                                                                                                                        <w:left w:val="none" w:sz="0" w:space="0" w:color="auto"/>
                                                                                                                                                        <w:bottom w:val="none" w:sz="0" w:space="0" w:color="auto"/>
                                                                                                                                                        <w:right w:val="none" w:sz="0" w:space="0" w:color="auto"/>
                                                                                                                                                      </w:divBdr>
                                                                                                                                                      <w:divsChild>
                                                                                                                                                        <w:div w:id="1381517496">
                                                                                                                                                          <w:marLeft w:val="0"/>
                                                                                                                                                          <w:marRight w:val="0"/>
                                                                                                                                                          <w:marTop w:val="0"/>
                                                                                                                                                          <w:marBottom w:val="0"/>
                                                                                                                                                          <w:divBdr>
                                                                                                                                                            <w:top w:val="none" w:sz="0" w:space="0" w:color="auto"/>
                                                                                                                                                            <w:left w:val="none" w:sz="0" w:space="0" w:color="auto"/>
                                                                                                                                                            <w:bottom w:val="none" w:sz="0" w:space="0" w:color="auto"/>
                                                                                                                                                            <w:right w:val="none" w:sz="0" w:space="0" w:color="auto"/>
                                                                                                                                                          </w:divBdr>
                                                                                                                                                          <w:divsChild>
                                                                                                                                                            <w:div w:id="512575031">
                                                                                                                                                              <w:marLeft w:val="0"/>
                                                                                                                                                              <w:marRight w:val="0"/>
                                                                                                                                                              <w:marTop w:val="0"/>
                                                                                                                                                              <w:marBottom w:val="0"/>
                                                                                                                                                              <w:divBdr>
                                                                                                                                                                <w:top w:val="none" w:sz="0" w:space="0" w:color="auto"/>
                                                                                                                                                                <w:left w:val="none" w:sz="0" w:space="0" w:color="auto"/>
                                                                                                                                                                <w:bottom w:val="none" w:sz="0" w:space="0" w:color="auto"/>
                                                                                                                                                                <w:right w:val="none" w:sz="0" w:space="0" w:color="auto"/>
                                                                                                                                                              </w:divBdr>
                                                                                                                                                              <w:divsChild>
                                                                                                                                                                <w:div w:id="1370107970">
                                                                                                                                                                  <w:marLeft w:val="0"/>
                                                                                                                                                                  <w:marRight w:val="0"/>
                                                                                                                                                                  <w:marTop w:val="0"/>
                                                                                                                                                                  <w:marBottom w:val="0"/>
                                                                                                                                                                  <w:divBdr>
                                                                                                                                                                    <w:top w:val="none" w:sz="0" w:space="0" w:color="auto"/>
                                                                                                                                                                    <w:left w:val="none" w:sz="0" w:space="0" w:color="auto"/>
                                                                                                                                                                    <w:bottom w:val="none" w:sz="0" w:space="0" w:color="auto"/>
                                                                                                                                                                    <w:right w:val="none" w:sz="0" w:space="0" w:color="auto"/>
                                                                                                                                                                  </w:divBdr>
                                                                                                                                                                  <w:divsChild>
                                                                                                                                                                    <w:div w:id="771243413">
                                                                                                                                                                      <w:marLeft w:val="0"/>
                                                                                                                                                                      <w:marRight w:val="0"/>
                                                                                                                                                                      <w:marTop w:val="0"/>
                                                                                                                                                                      <w:marBottom w:val="0"/>
                                                                                                                                                                      <w:divBdr>
                                                                                                                                                                        <w:top w:val="none" w:sz="0" w:space="0" w:color="auto"/>
                                                                                                                                                                        <w:left w:val="none" w:sz="0" w:space="0" w:color="auto"/>
                                                                                                                                                                        <w:bottom w:val="none" w:sz="0" w:space="0" w:color="auto"/>
                                                                                                                                                                        <w:right w:val="none" w:sz="0" w:space="0" w:color="auto"/>
                                                                                                                                                                      </w:divBdr>
                                                                                                                                                                      <w:divsChild>
                                                                                                                                                                        <w:div w:id="1455320425">
                                                                                                                                                                          <w:marLeft w:val="0"/>
                                                                                                                                                                          <w:marRight w:val="0"/>
                                                                                                                                                                          <w:marTop w:val="0"/>
                                                                                                                                                                          <w:marBottom w:val="0"/>
                                                                                                                                                                          <w:divBdr>
                                                                                                                                                                            <w:top w:val="none" w:sz="0" w:space="0" w:color="auto"/>
                                                                                                                                                                            <w:left w:val="none" w:sz="0" w:space="0" w:color="auto"/>
                                                                                                                                                                            <w:bottom w:val="none" w:sz="0" w:space="0" w:color="auto"/>
                                                                                                                                                                            <w:right w:val="none" w:sz="0" w:space="0" w:color="auto"/>
                                                                                                                                                                          </w:divBdr>
                                                                                                                                                                          <w:divsChild>
                                                                                                                                                                            <w:div w:id="533617214">
                                                                                                                                                                              <w:marLeft w:val="0"/>
                                                                                                                                                                              <w:marRight w:val="0"/>
                                                                                                                                                                              <w:marTop w:val="0"/>
                                                                                                                                                                              <w:marBottom w:val="0"/>
                                                                                                                                                                              <w:divBdr>
                                                                                                                                                                                <w:top w:val="none" w:sz="0" w:space="0" w:color="auto"/>
                                                                                                                                                                                <w:left w:val="none" w:sz="0" w:space="0" w:color="auto"/>
                                                                                                                                                                                <w:bottom w:val="none" w:sz="0" w:space="0" w:color="auto"/>
                                                                                                                                                                                <w:right w:val="none" w:sz="0" w:space="0" w:color="auto"/>
                                                                                                                                                                              </w:divBdr>
                                                                                                                                                                              <w:divsChild>
                                                                                                                                                                                <w:div w:id="990914329">
                                                                                                                                                                                  <w:marLeft w:val="0"/>
                                                                                                                                                                                  <w:marRight w:val="0"/>
                                                                                                                                                                                  <w:marTop w:val="0"/>
                                                                                                                                                                                  <w:marBottom w:val="0"/>
                                                                                                                                                                                  <w:divBdr>
                                                                                                                                                                                    <w:top w:val="none" w:sz="0" w:space="0" w:color="auto"/>
                                                                                                                                                                                    <w:left w:val="none" w:sz="0" w:space="0" w:color="auto"/>
                                                                                                                                                                                    <w:bottom w:val="none" w:sz="0" w:space="0" w:color="auto"/>
                                                                                                                                                                                    <w:right w:val="none" w:sz="0" w:space="0" w:color="auto"/>
                                                                                                                                                                                  </w:divBdr>
                                                                                                                                                                                  <w:divsChild>
                                                                                                                                                                                    <w:div w:id="203979925">
                                                                                                                                                                                      <w:marLeft w:val="0"/>
                                                                                                                                                                                      <w:marRight w:val="0"/>
                                                                                                                                                                                      <w:marTop w:val="0"/>
                                                                                                                                                                                      <w:marBottom w:val="0"/>
                                                                                                                                                                                      <w:divBdr>
                                                                                                                                                                                        <w:top w:val="none" w:sz="0" w:space="0" w:color="auto"/>
                                                                                                                                                                                        <w:left w:val="none" w:sz="0" w:space="0" w:color="auto"/>
                                                                                                                                                                                        <w:bottom w:val="none" w:sz="0" w:space="0" w:color="auto"/>
                                                                                                                                                                                        <w:right w:val="none" w:sz="0" w:space="0" w:color="auto"/>
                                                                                                                                                                                      </w:divBdr>
                                                                                                                                                                                      <w:divsChild>
                                                                                                                                                                                        <w:div w:id="1204364169">
                                                                                                                                                                                          <w:marLeft w:val="0"/>
                                                                                                                                                                                          <w:marRight w:val="0"/>
                                                                                                                                                                                          <w:marTop w:val="0"/>
                                                                                                                                                                                          <w:marBottom w:val="0"/>
                                                                                                                                                                                          <w:divBdr>
                                                                                                                                                                                            <w:top w:val="none" w:sz="0" w:space="0" w:color="auto"/>
                                                                                                                                                                                            <w:left w:val="none" w:sz="0" w:space="0" w:color="auto"/>
                                                                                                                                                                                            <w:bottom w:val="none" w:sz="0" w:space="0" w:color="auto"/>
                                                                                                                                                                                            <w:right w:val="none" w:sz="0" w:space="0" w:color="auto"/>
                                                                                                                                                                                          </w:divBdr>
                                                                                                                                                                                          <w:divsChild>
                                                                                                                                                                                            <w:div w:id="1266766247">
                                                                                                                                                                                              <w:marLeft w:val="0"/>
                                                                                                                                                                                              <w:marRight w:val="0"/>
                                                                                                                                                                                              <w:marTop w:val="0"/>
                                                                                                                                                                                              <w:marBottom w:val="0"/>
                                                                                                                                                                                              <w:divBdr>
                                                                                                                                                                                                <w:top w:val="none" w:sz="0" w:space="0" w:color="auto"/>
                                                                                                                                                                                                <w:left w:val="none" w:sz="0" w:space="0" w:color="auto"/>
                                                                                                                                                                                                <w:bottom w:val="none" w:sz="0" w:space="0" w:color="auto"/>
                                                                                                                                                                                                <w:right w:val="none" w:sz="0" w:space="0" w:color="auto"/>
                                                                                                                                                                                              </w:divBdr>
                                                                                                                                                                                              <w:divsChild>
                                                                                                                                                                                                <w:div w:id="2137213967">
                                                                                                                                                                                                  <w:marLeft w:val="0"/>
                                                                                                                                                                                                  <w:marRight w:val="0"/>
                                                                                                                                                                                                  <w:marTop w:val="0"/>
                                                                                                                                                                                                  <w:marBottom w:val="0"/>
                                                                                                                                                                                                  <w:divBdr>
                                                                                                                                                                                                    <w:top w:val="none" w:sz="0" w:space="0" w:color="auto"/>
                                                                                                                                                                                                    <w:left w:val="none" w:sz="0" w:space="0" w:color="auto"/>
                                                                                                                                                                                                    <w:bottom w:val="none" w:sz="0" w:space="0" w:color="auto"/>
                                                                                                                                                                                                    <w:right w:val="none" w:sz="0" w:space="0" w:color="auto"/>
                                                                                                                                                                                                  </w:divBdr>
                                                                                                                                                                                                  <w:divsChild>
                                                                                                                                                                                                    <w:div w:id="1966110047">
                                                                                                                                                                                                      <w:marLeft w:val="0"/>
                                                                                                                                                                                                      <w:marRight w:val="0"/>
                                                                                                                                                                                                      <w:marTop w:val="0"/>
                                                                                                                                                                                                      <w:marBottom w:val="0"/>
                                                                                                                                                                                                      <w:divBdr>
                                                                                                                                                                                                        <w:top w:val="none" w:sz="0" w:space="0" w:color="auto"/>
                                                                                                                                                                                                        <w:left w:val="none" w:sz="0" w:space="0" w:color="auto"/>
                                                                                                                                                                                                        <w:bottom w:val="none" w:sz="0" w:space="0" w:color="auto"/>
                                                                                                                                                                                                        <w:right w:val="none" w:sz="0" w:space="0" w:color="auto"/>
                                                                                                                                                                                                      </w:divBdr>
                                                                                                                                                                                                      <w:divsChild>
                                                                                                                                                                                                        <w:div w:id="1924797250">
                                                                                                                                                                                                          <w:marLeft w:val="0"/>
                                                                                                                                                                                                          <w:marRight w:val="0"/>
                                                                                                                                                                                                          <w:marTop w:val="0"/>
                                                                                                                                                                                                          <w:marBottom w:val="0"/>
                                                                                                                                                                                                          <w:divBdr>
                                                                                                                                                                                                            <w:top w:val="none" w:sz="0" w:space="0" w:color="auto"/>
                                                                                                                                                                                                            <w:left w:val="none" w:sz="0" w:space="0" w:color="auto"/>
                                                                                                                                                                                                            <w:bottom w:val="none" w:sz="0" w:space="0" w:color="auto"/>
                                                                                                                                                                                                            <w:right w:val="none" w:sz="0" w:space="0" w:color="auto"/>
                                                                                                                                                                                                          </w:divBdr>
                                                                                                                                                                                                          <w:divsChild>
                                                                                                                                                                                                            <w:div w:id="852720511">
                                                                                                                                                                                                              <w:marLeft w:val="0"/>
                                                                                                                                                                                                              <w:marRight w:val="0"/>
                                                                                                                                                                                                              <w:marTop w:val="0"/>
                                                                                                                                                                                                              <w:marBottom w:val="0"/>
                                                                                                                                                                                                              <w:divBdr>
                                                                                                                                                                                                                <w:top w:val="none" w:sz="0" w:space="0" w:color="auto"/>
                                                                                                                                                                                                                <w:left w:val="none" w:sz="0" w:space="0" w:color="auto"/>
                                                                                                                                                                                                                <w:bottom w:val="none" w:sz="0" w:space="0" w:color="auto"/>
                                                                                                                                                                                                                <w:right w:val="none" w:sz="0" w:space="0" w:color="auto"/>
                                                                                                                                                                                                              </w:divBdr>
                                                                                                                                                                                                              <w:divsChild>
                                                                                                                                                                                                                <w:div w:id="1962683344">
                                                                                                                                                                                                                  <w:marLeft w:val="0"/>
                                                                                                                                                                                                                  <w:marRight w:val="0"/>
                                                                                                                                                                                                                  <w:marTop w:val="0"/>
                                                                                                                                                                                                                  <w:marBottom w:val="0"/>
                                                                                                                                                                                                                  <w:divBdr>
                                                                                                                                                                                                                    <w:top w:val="none" w:sz="0" w:space="0" w:color="auto"/>
                                                                                                                                                                                                                    <w:left w:val="none" w:sz="0" w:space="0" w:color="auto"/>
                                                                                                                                                                                                                    <w:bottom w:val="none" w:sz="0" w:space="0" w:color="auto"/>
                                                                                                                                                                                                                    <w:right w:val="none" w:sz="0" w:space="0" w:color="auto"/>
                                                                                                                                                                                                                  </w:divBdr>
                                                                                                                                                                                                                  <w:divsChild>
                                                                                                                                                                                                                    <w:div w:id="2031878447">
                                                                                                                                                                                                                      <w:marLeft w:val="0"/>
                                                                                                                                                                                                                      <w:marRight w:val="0"/>
                                                                                                                                                                                                                      <w:marTop w:val="0"/>
                                                                                                                                                                                                                      <w:marBottom w:val="0"/>
                                                                                                                                                                                                                      <w:divBdr>
                                                                                                                                                                                                                        <w:top w:val="none" w:sz="0" w:space="0" w:color="auto"/>
                                                                                                                                                                                                                        <w:left w:val="none" w:sz="0" w:space="0" w:color="auto"/>
                                                                                                                                                                                                                        <w:bottom w:val="none" w:sz="0" w:space="0" w:color="auto"/>
                                                                                                                                                                                                                        <w:right w:val="none" w:sz="0" w:space="0" w:color="auto"/>
                                                                                                                                                                                                                      </w:divBdr>
                                                                                                                                                                                                                      <w:divsChild>
                                                                                                                                                                                                                        <w:div w:id="1847091607">
                                                                                                                                                                                                                          <w:marLeft w:val="0"/>
                                                                                                                                                                                                                          <w:marRight w:val="0"/>
                                                                                                                                                                                                                          <w:marTop w:val="0"/>
                                                                                                                                                                                                                          <w:marBottom w:val="0"/>
                                                                                                                                                                                                                          <w:divBdr>
                                                                                                                                                                                                                            <w:top w:val="none" w:sz="0" w:space="0" w:color="auto"/>
                                                                                                                                                                                                                            <w:left w:val="none" w:sz="0" w:space="0" w:color="auto"/>
                                                                                                                                                                                                                            <w:bottom w:val="none" w:sz="0" w:space="0" w:color="auto"/>
                                                                                                                                                                                                                            <w:right w:val="none" w:sz="0" w:space="0" w:color="auto"/>
                                                                                                                                                                                                                          </w:divBdr>
                                                                                                                                                                                                                          <w:divsChild>
                                                                                                                                                                                                                            <w:div w:id="260335398">
                                                                                                                                                                                                                              <w:marLeft w:val="0"/>
                                                                                                                                                                                                                              <w:marRight w:val="0"/>
                                                                                                                                                                                                                              <w:marTop w:val="0"/>
                                                                                                                                                                                                                              <w:marBottom w:val="0"/>
                                                                                                                                                                                                                              <w:divBdr>
                                                                                                                                                                                                                                <w:top w:val="none" w:sz="0" w:space="0" w:color="auto"/>
                                                                                                                                                                                                                                <w:left w:val="none" w:sz="0" w:space="0" w:color="auto"/>
                                                                                                                                                                                                                                <w:bottom w:val="none" w:sz="0" w:space="0" w:color="auto"/>
                                                                                                                                                                                                                                <w:right w:val="none" w:sz="0" w:space="0" w:color="auto"/>
                                                                                                                                                                                                                              </w:divBdr>
                                                                                                                                                                                                                              <w:divsChild>
                                                                                                                                                                                                                                <w:div w:id="1292250058">
                                                                                                                                                                                                                                  <w:marLeft w:val="0"/>
                                                                                                                                                                                                                                  <w:marRight w:val="0"/>
                                                                                                                                                                                                                                  <w:marTop w:val="0"/>
                                                                                                                                                                                                                                  <w:marBottom w:val="0"/>
                                                                                                                                                                                                                                  <w:divBdr>
                                                                                                                                                                                                                                    <w:top w:val="none" w:sz="0" w:space="0" w:color="auto"/>
                                                                                                                                                                                                                                    <w:left w:val="none" w:sz="0" w:space="0" w:color="auto"/>
                                                                                                                                                                                                                                    <w:bottom w:val="none" w:sz="0" w:space="0" w:color="auto"/>
                                                                                                                                                                                                                                    <w:right w:val="none" w:sz="0" w:space="0" w:color="auto"/>
                                                                                                                                                                                                                                  </w:divBdr>
                                                                                                                                                                                                                                  <w:divsChild>
                                                                                                                                                                                                                                    <w:div w:id="477113695">
                                                                                                                                                                                                                                      <w:marLeft w:val="0"/>
                                                                                                                                                                                                                                      <w:marRight w:val="0"/>
                                                                                                                                                                                                                                      <w:marTop w:val="0"/>
                                                                                                                                                                                                                                      <w:marBottom w:val="0"/>
                                                                                                                                                                                                                                      <w:divBdr>
                                                                                                                                                                                                                                        <w:top w:val="none" w:sz="0" w:space="0" w:color="auto"/>
                                                                                                                                                                                                                                        <w:left w:val="none" w:sz="0" w:space="0" w:color="auto"/>
                                                                                                                                                                                                                                        <w:bottom w:val="none" w:sz="0" w:space="0" w:color="auto"/>
                                                                                                                                                                                                                                        <w:right w:val="none" w:sz="0" w:space="0" w:color="auto"/>
                                                                                                                                                                                                                                      </w:divBdr>
                                                                                                                                                                                                                                      <w:divsChild>
                                                                                                                                                                                                                                        <w:div w:id="873470568">
                                                                                                                                                                                                                                          <w:marLeft w:val="0"/>
                                                                                                                                                                                                                                          <w:marRight w:val="0"/>
                                                                                                                                                                                                                                          <w:marTop w:val="0"/>
                                                                                                                                                                                                                                          <w:marBottom w:val="0"/>
                                                                                                                                                                                                                                          <w:divBdr>
                                                                                                                                                                                                                                            <w:top w:val="none" w:sz="0" w:space="0" w:color="auto"/>
                                                                                                                                                                                                                                            <w:left w:val="none" w:sz="0" w:space="0" w:color="auto"/>
                                                                                                                                                                                                                                            <w:bottom w:val="none" w:sz="0" w:space="0" w:color="auto"/>
                                                                                                                                                                                                                                            <w:right w:val="none" w:sz="0" w:space="0" w:color="auto"/>
                                                                                                                                                                                                                                          </w:divBdr>
                                                                                                                                                                                                                                          <w:divsChild>
                                                                                                                                                                                                                                            <w:div w:id="1637100722">
                                                                                                                                                                                                                                              <w:marLeft w:val="0"/>
                                                                                                                                                                                                                                              <w:marRight w:val="0"/>
                                                                                                                                                                                                                                              <w:marTop w:val="0"/>
                                                                                                                                                                                                                                              <w:marBottom w:val="0"/>
                                                                                                                                                                                                                                              <w:divBdr>
                                                                                                                                                                                                                                                <w:top w:val="none" w:sz="0" w:space="0" w:color="auto"/>
                                                                                                                                                                                                                                                <w:left w:val="none" w:sz="0" w:space="0" w:color="auto"/>
                                                                                                                                                                                                                                                <w:bottom w:val="none" w:sz="0" w:space="0" w:color="auto"/>
                                                                                                                                                                                                                                                <w:right w:val="none" w:sz="0" w:space="0" w:color="auto"/>
                                                                                                                                                                                                                                              </w:divBdr>
                                                                                                                                                                                                                                              <w:divsChild>
                                                                                                                                                                                                                                                <w:div w:id="1470711636">
                                                                                                                                                                                                                                                  <w:marLeft w:val="0"/>
                                                                                                                                                                                                                                                  <w:marRight w:val="0"/>
                                                                                                                                                                                                                                                  <w:marTop w:val="0"/>
                                                                                                                                                                                                                                                  <w:marBottom w:val="0"/>
                                                                                                                                                                                                                                                  <w:divBdr>
                                                                                                                                                                                                                                                    <w:top w:val="none" w:sz="0" w:space="0" w:color="auto"/>
                                                                                                                                                                                                                                                    <w:left w:val="none" w:sz="0" w:space="0" w:color="auto"/>
                                                                                                                                                                                                                                                    <w:bottom w:val="none" w:sz="0" w:space="0" w:color="auto"/>
                                                                                                                                                                                                                                                    <w:right w:val="none" w:sz="0" w:space="0" w:color="auto"/>
                                                                                                                                                                                                                                                  </w:divBdr>
                                                                                                                                                                                                                                                  <w:divsChild>
                                                                                                                                                                                                                                                    <w:div w:id="1264413853">
                                                                                                                                                                                                                                                      <w:marLeft w:val="0"/>
                                                                                                                                                                                                                                                      <w:marRight w:val="0"/>
                                                                                                                                                                                                                                                      <w:marTop w:val="0"/>
                                                                                                                                                                                                                                                      <w:marBottom w:val="0"/>
                                                                                                                                                                                                                                                      <w:divBdr>
                                                                                                                                                                                                                                                        <w:top w:val="none" w:sz="0" w:space="0" w:color="auto"/>
                                                                                                                                                                                                                                                        <w:left w:val="none" w:sz="0" w:space="0" w:color="auto"/>
                                                                                                                                                                                                                                                        <w:bottom w:val="none" w:sz="0" w:space="0" w:color="auto"/>
                                                                                                                                                                                                                                                        <w:right w:val="none" w:sz="0" w:space="0" w:color="auto"/>
                                                                                                                                                                                                                                                      </w:divBdr>
                                                                                                                                                                                                                                                      <w:divsChild>
                                                                                                                                                                                                                                                        <w:div w:id="584461468">
                                                                                                                                                                                                                                                          <w:marLeft w:val="0"/>
                                                                                                                                                                                                                                                          <w:marRight w:val="0"/>
                                                                                                                                                                                                                                                          <w:marTop w:val="0"/>
                                                                                                                                                                                                                                                          <w:marBottom w:val="0"/>
                                                                                                                                                                                                                                                          <w:divBdr>
                                                                                                                                                                                                                                                            <w:top w:val="none" w:sz="0" w:space="0" w:color="auto"/>
                                                                                                                                                                                                                                                            <w:left w:val="none" w:sz="0" w:space="0" w:color="auto"/>
                                                                                                                                                                                                                                                            <w:bottom w:val="none" w:sz="0" w:space="0" w:color="auto"/>
                                                                                                                                                                                                                                                            <w:right w:val="none" w:sz="0" w:space="0" w:color="auto"/>
                                                                                                                                                                                                                                                          </w:divBdr>
                                                                                                                                                                                                                                                          <w:divsChild>
                                                                                                                                                                                                                                                            <w:div w:id="435911105">
                                                                                                                                                                                                                                                              <w:marLeft w:val="0"/>
                                                                                                                                                                                                                                                              <w:marRight w:val="0"/>
                                                                                                                                                                                                                                                              <w:marTop w:val="0"/>
                                                                                                                                                                                                                                                              <w:marBottom w:val="0"/>
                                                                                                                                                                                                                                                              <w:divBdr>
                                                                                                                                                                                                                                                                <w:top w:val="none" w:sz="0" w:space="0" w:color="auto"/>
                                                                                                                                                                                                                                                                <w:left w:val="none" w:sz="0" w:space="0" w:color="auto"/>
                                                                                                                                                                                                                                                                <w:bottom w:val="none" w:sz="0" w:space="0" w:color="auto"/>
                                                                                                                                                                                                                                                                <w:right w:val="none" w:sz="0" w:space="0" w:color="auto"/>
                                                                                                                                                                                                                                                              </w:divBdr>
                                                                                                                                                                                                                                                              <w:divsChild>
                                                                                                                                                                                                                                                                <w:div w:id="1420828983">
                                                                                                                                                                                                                                                                  <w:marLeft w:val="0"/>
                                                                                                                                                                                                                                                                  <w:marRight w:val="0"/>
                                                                                                                                                                                                                                                                  <w:marTop w:val="0"/>
                                                                                                                                                                                                                                                                  <w:marBottom w:val="0"/>
                                                                                                                                                                                                                                                                  <w:divBdr>
                                                                                                                                                                                                                                                                    <w:top w:val="none" w:sz="0" w:space="0" w:color="auto"/>
                                                                                                                                                                                                                                                                    <w:left w:val="none" w:sz="0" w:space="0" w:color="auto"/>
                                                                                                                                                                                                                                                                    <w:bottom w:val="none" w:sz="0" w:space="0" w:color="auto"/>
                                                                                                                                                                                                                                                                    <w:right w:val="none" w:sz="0" w:space="0" w:color="auto"/>
                                                                                                                                                                                                                                                                  </w:divBdr>
                                                                                                                                                                                                                                                                  <w:divsChild>
                                                                                                                                                                                                                                                                    <w:div w:id="1092243710">
                                                                                                                                                                                                                                                                      <w:marLeft w:val="0"/>
                                                                                                                                                                                                                                                                      <w:marRight w:val="0"/>
                                                                                                                                                                                                                                                                      <w:marTop w:val="0"/>
                                                                                                                                                                                                                                                                      <w:marBottom w:val="0"/>
                                                                                                                                                                                                                                                                      <w:divBdr>
                                                                                                                                                                                                                                                                        <w:top w:val="none" w:sz="0" w:space="0" w:color="auto"/>
                                                                                                                                                                                                                                                                        <w:left w:val="none" w:sz="0" w:space="0" w:color="auto"/>
                                                                                                                                                                                                                                                                        <w:bottom w:val="none" w:sz="0" w:space="0" w:color="auto"/>
                                                                                                                                                                                                                                                                        <w:right w:val="none" w:sz="0" w:space="0" w:color="auto"/>
                                                                                                                                                                                                                                                                      </w:divBdr>
                                                                                                                                                                                                                                                                      <w:divsChild>
                                                                                                                                                                                                                                                                        <w:div w:id="359476748">
                                                                                                                                                                                                                                                                          <w:marLeft w:val="0"/>
                                                                                                                                                                                                                                                                          <w:marRight w:val="0"/>
                                                                                                                                                                                                                                                                          <w:marTop w:val="0"/>
                                                                                                                                                                                                                                                                          <w:marBottom w:val="0"/>
                                                                                                                                                                                                                                                                          <w:divBdr>
                                                                                                                                                                                                                                                                            <w:top w:val="none" w:sz="0" w:space="0" w:color="auto"/>
                                                                                                                                                                                                                                                                            <w:left w:val="none" w:sz="0" w:space="0" w:color="auto"/>
                                                                                                                                                                                                                                                                            <w:bottom w:val="none" w:sz="0" w:space="0" w:color="auto"/>
                                                                                                                                                                                                                                                                            <w:right w:val="none" w:sz="0" w:space="0" w:color="auto"/>
                                                                                                                                                                                                                                                                          </w:divBdr>
                                                                                                                                                                                                                                                                          <w:divsChild>
                                                                                                                                                                                                                                                                            <w:div w:id="894193916">
                                                                                                                                                                                                                                                                              <w:marLeft w:val="0"/>
                                                                                                                                                                                                                                                                              <w:marRight w:val="0"/>
                                                                                                                                                                                                                                                                              <w:marTop w:val="0"/>
                                                                                                                                                                                                                                                                              <w:marBottom w:val="0"/>
                                                                                                                                                                                                                                                                              <w:divBdr>
                                                                                                                                                                                                                                                                                <w:top w:val="none" w:sz="0" w:space="0" w:color="auto"/>
                                                                                                                                                                                                                                                                                <w:left w:val="none" w:sz="0" w:space="0" w:color="auto"/>
                                                                                                                                                                                                                                                                                <w:bottom w:val="none" w:sz="0" w:space="0" w:color="auto"/>
                                                                                                                                                                                                                                                                                <w:right w:val="none" w:sz="0" w:space="0" w:color="auto"/>
                                                                                                                                                                                                                                                                              </w:divBdr>
                                                                                                                                                                                                                                                                              <w:divsChild>
                                                                                                                                                                                                                                                                                <w:div w:id="1397629476">
                                                                                                                                                                                                                                                                                  <w:marLeft w:val="0"/>
                                                                                                                                                                                                                                                                                  <w:marRight w:val="0"/>
                                                                                                                                                                                                                                                                                  <w:marTop w:val="0"/>
                                                                                                                                                                                                                                                                                  <w:marBottom w:val="0"/>
                                                                                                                                                                                                                                                                                  <w:divBdr>
                                                                                                                                                                                                                                                                                    <w:top w:val="none" w:sz="0" w:space="0" w:color="auto"/>
                                                                                                                                                                                                                                                                                    <w:left w:val="none" w:sz="0" w:space="0" w:color="auto"/>
                                                                                                                                                                                                                                                                                    <w:bottom w:val="none" w:sz="0" w:space="0" w:color="auto"/>
                                                                                                                                                                                                                                                                                    <w:right w:val="none" w:sz="0" w:space="0" w:color="auto"/>
                                                                                                                                                                                                                                                                                  </w:divBdr>
                                                                                                                                                                                                                                                                                  <w:divsChild>
                                                                                                                                                                                                                                                                                    <w:div w:id="1054737675">
                                                                                                                                                                                                                                                                                      <w:marLeft w:val="0"/>
                                                                                                                                                                                                                                                                                      <w:marRight w:val="0"/>
                                                                                                                                                                                                                                                                                      <w:marTop w:val="0"/>
                                                                                                                                                                                                                                                                                      <w:marBottom w:val="0"/>
                                                                                                                                                                                                                                                                                      <w:divBdr>
                                                                                                                                                                                                                                                                                        <w:top w:val="none" w:sz="0" w:space="0" w:color="auto"/>
                                                                                                                                                                                                                                                                                        <w:left w:val="none" w:sz="0" w:space="0" w:color="auto"/>
                                                                                                                                                                                                                                                                                        <w:bottom w:val="none" w:sz="0" w:space="0" w:color="auto"/>
                                                                                                                                                                                                                                                                                        <w:right w:val="none" w:sz="0" w:space="0" w:color="auto"/>
                                                                                                                                                                                                                                                                                      </w:divBdr>
                                                                                                                                                                                                                                                                                      <w:divsChild>
                                                                                                                                                                                                                                                                                        <w:div w:id="933324807">
                                                                                                                                                                                                                                                                                          <w:marLeft w:val="0"/>
                                                                                                                                                                                                                                                                                          <w:marRight w:val="0"/>
                                                                                                                                                                                                                                                                                          <w:marTop w:val="0"/>
                                                                                                                                                                                                                                                                                          <w:marBottom w:val="0"/>
                                                                                                                                                                                                                                                                                          <w:divBdr>
                                                                                                                                                                                                                                                                                            <w:top w:val="none" w:sz="0" w:space="0" w:color="auto"/>
                                                                                                                                                                                                                                                                                            <w:left w:val="none" w:sz="0" w:space="0" w:color="auto"/>
                                                                                                                                                                                                                                                                                            <w:bottom w:val="none" w:sz="0" w:space="0" w:color="auto"/>
                                                                                                                                                                                                                                                                                            <w:right w:val="none" w:sz="0" w:space="0" w:color="auto"/>
                                                                                                                                                                                                                                                                                          </w:divBdr>
                                                                                                                                                                                                                                                                                          <w:divsChild>
                                                                                                                                                                                                                                                                                            <w:div w:id="859197592">
                                                                                                                                                                                                                                                                                              <w:marLeft w:val="0"/>
                                                                                                                                                                                                                                                                                              <w:marRight w:val="0"/>
                                                                                                                                                                                                                                                                                              <w:marTop w:val="0"/>
                                                                                                                                                                                                                                                                                              <w:marBottom w:val="0"/>
                                                                                                                                                                                                                                                                                              <w:divBdr>
                                                                                                                                                                                                                                                                                                <w:top w:val="none" w:sz="0" w:space="0" w:color="auto"/>
                                                                                                                                                                                                                                                                                                <w:left w:val="none" w:sz="0" w:space="0" w:color="auto"/>
                                                                                                                                                                                                                                                                                                <w:bottom w:val="none" w:sz="0" w:space="0" w:color="auto"/>
                                                                                                                                                                                                                                                                                                <w:right w:val="none" w:sz="0" w:space="0" w:color="auto"/>
                                                                                                                                                                                                                                                                                              </w:divBdr>
                                                                                                                                                                                                                                                                                              <w:divsChild>
                                                                                                                                                                                                                                                                                                <w:div w:id="522977981">
                                                                                                                                                                                                                                                                                                  <w:marLeft w:val="0"/>
                                                                                                                                                                                                                                                                                                  <w:marRight w:val="0"/>
                                                                                                                                                                                                                                                                                                  <w:marTop w:val="0"/>
                                                                                                                                                                                                                                                                                                  <w:marBottom w:val="0"/>
                                                                                                                                                                                                                                                                                                  <w:divBdr>
                                                                                                                                                                                                                                                                                                    <w:top w:val="none" w:sz="0" w:space="0" w:color="auto"/>
                                                                                                                                                                                                                                                                                                    <w:left w:val="none" w:sz="0" w:space="0" w:color="auto"/>
                                                                                                                                                                                                                                                                                                    <w:bottom w:val="none" w:sz="0" w:space="0" w:color="auto"/>
                                                                                                                                                                                                                                                                                                    <w:right w:val="none" w:sz="0" w:space="0" w:color="auto"/>
                                                                                                                                                                                                                                                                                                  </w:divBdr>
                                                                                                                                                                                                                                                                                                  <w:divsChild>
                                                                                                                                                                                                                                                                                                    <w:div w:id="762140695">
                                                                                                                                                                                                                                                                                                      <w:marLeft w:val="0"/>
                                                                                                                                                                                                                                                                                                      <w:marRight w:val="0"/>
                                                                                                                                                                                                                                                                                                      <w:marTop w:val="0"/>
                                                                                                                                                                                                                                                                                                      <w:marBottom w:val="0"/>
                                                                                                                                                                                                                                                                                                      <w:divBdr>
                                                                                                                                                                                                                                                                                                        <w:top w:val="none" w:sz="0" w:space="0" w:color="auto"/>
                                                                                                                                                                                                                                                                                                        <w:left w:val="none" w:sz="0" w:space="0" w:color="auto"/>
                                                                                                                                                                                                                                                                                                        <w:bottom w:val="none" w:sz="0" w:space="0" w:color="auto"/>
                                                                                                                                                                                                                                                                                                        <w:right w:val="none" w:sz="0" w:space="0" w:color="auto"/>
                                                                                                                                                                                                                                                                                                      </w:divBdr>
                                                                                                                                                                                                                                                                                                      <w:divsChild>
                                                                                                                                                                                                                                                                                                        <w:div w:id="1322930770">
                                                                                                                                                                                                                                                                                                          <w:marLeft w:val="0"/>
                                                                                                                                                                                                                                                                                                          <w:marRight w:val="0"/>
                                                                                                                                                                                                                                                                                                          <w:marTop w:val="0"/>
                                                                                                                                                                                                                                                                                                          <w:marBottom w:val="0"/>
                                                                                                                                                                                                                                                                                                          <w:divBdr>
                                                                                                                                                                                                                                                                                                            <w:top w:val="none" w:sz="0" w:space="0" w:color="auto"/>
                                                                                                                                                                                                                                                                                                            <w:left w:val="none" w:sz="0" w:space="0" w:color="auto"/>
                                                                                                                                                                                                                                                                                                            <w:bottom w:val="none" w:sz="0" w:space="0" w:color="auto"/>
                                                                                                                                                                                                                                                                                                            <w:right w:val="none" w:sz="0" w:space="0" w:color="auto"/>
                                                                                                                                                                                                                                                                                                          </w:divBdr>
                                                                                                                                                                                                                                                                                                        </w:div>
                                                                                                                                                                                                                                                                                                        <w:div w:id="780149182">
                                                                                                                                                                                                                                                                                                          <w:marLeft w:val="0"/>
                                                                                                                                                                                                                                                                                                          <w:marRight w:val="0"/>
                                                                                                                                                                                                                                                                                                          <w:marTop w:val="0"/>
                                                                                                                                                                                                                                                                                                          <w:marBottom w:val="0"/>
                                                                                                                                                                                                                                                                                                          <w:divBdr>
                                                                                                                                                                                                                                                                                                            <w:top w:val="none" w:sz="0" w:space="0" w:color="auto"/>
                                                                                                                                                                                                                                                                                                            <w:left w:val="none" w:sz="0" w:space="0" w:color="auto"/>
                                                                                                                                                                                                                                                                                                            <w:bottom w:val="none" w:sz="0" w:space="0" w:color="auto"/>
                                                                                                                                                                                                                                                                                                            <w:right w:val="none" w:sz="0" w:space="0" w:color="auto"/>
                                                                                                                                                                                                                                                                                                          </w:divBdr>
                                                                                                                                                                                                                                                                                                          <w:divsChild>
                                                                                                                                                                                                                                                                                                            <w:div w:id="1294600351">
                                                                                                                                                                                                                                                                                                              <w:marLeft w:val="0"/>
                                                                                                                                                                                                                                                                                                              <w:marRight w:val="0"/>
                                                                                                                                                                                                                                                                                                              <w:marTop w:val="0"/>
                                                                                                                                                                                                                                                                                                              <w:marBottom w:val="0"/>
                                                                                                                                                                                                                                                                                                              <w:divBdr>
                                                                                                                                                                                                                                                                                                                <w:top w:val="none" w:sz="0" w:space="0" w:color="auto"/>
                                                                                                                                                                                                                                                                                                                <w:left w:val="none" w:sz="0" w:space="0" w:color="auto"/>
                                                                                                                                                                                                                                                                                                                <w:bottom w:val="none" w:sz="0" w:space="0" w:color="auto"/>
                                                                                                                                                                                                                                                                                                                <w:right w:val="none" w:sz="0" w:space="0" w:color="auto"/>
                                                                                                                                                                                                                                                                                                              </w:divBdr>
                                                                                                                                                                                                                                                                                                              <w:divsChild>
                                                                                                                                                                                                                                                                                                                <w:div w:id="1015040198">
                                                                                                                                                                                                                                                                                                                  <w:marLeft w:val="0"/>
                                                                                                                                                                                                                                                                                                                  <w:marRight w:val="0"/>
                                                                                                                                                                                                                                                                                                                  <w:marTop w:val="0"/>
                                                                                                                                                                                                                                                                                                                  <w:marBottom w:val="0"/>
                                                                                                                                                                                                                                                                                                                  <w:divBdr>
                                                                                                                                                                                                                                                                                                                    <w:top w:val="none" w:sz="0" w:space="0" w:color="auto"/>
                                                                                                                                                                                                                                                                                                                    <w:left w:val="none" w:sz="0" w:space="0" w:color="auto"/>
                                                                                                                                                                                                                                                                                                                    <w:bottom w:val="none" w:sz="0" w:space="0" w:color="auto"/>
                                                                                                                                                                                                                                                                                                                    <w:right w:val="none" w:sz="0" w:space="0" w:color="auto"/>
                                                                                                                                                                                                                                                                                                                  </w:divBdr>
                                                                                                                                                                                                                                                                                                                  <w:divsChild>
                                                                                                                                                                                                                                                                                                                    <w:div w:id="422456051">
                                                                                                                                                                                                                                                                                                                      <w:marLeft w:val="0"/>
                                                                                                                                                                                                                                                                                                                      <w:marRight w:val="0"/>
                                                                                                                                                                                                                                                                                                                      <w:marTop w:val="0"/>
                                                                                                                                                                                                                                                                                                                      <w:marBottom w:val="0"/>
                                                                                                                                                                                                                                                                                                                      <w:divBdr>
                                                                                                                                                                                                                                                                                                                        <w:top w:val="none" w:sz="0" w:space="0" w:color="auto"/>
                                                                                                                                                                                                                                                                                                                        <w:left w:val="none" w:sz="0" w:space="0" w:color="auto"/>
                                                                                                                                                                                                                                                                                                                        <w:bottom w:val="none" w:sz="0" w:space="0" w:color="auto"/>
                                                                                                                                                                                                                                                                                                                        <w:right w:val="none" w:sz="0" w:space="0" w:color="auto"/>
                                                                                                                                                                                                                                                                                                                      </w:divBdr>
                                                                                                                                                                                                                                                                                                                      <w:divsChild>
                                                                                                                                                                                                                                                                                                                        <w:div w:id="2124962097">
                                                                                                                                                                                                                                                                                                                          <w:marLeft w:val="0"/>
                                                                                                                                                                                                                                                                                                                          <w:marRight w:val="0"/>
                                                                                                                                                                                                                                                                                                                          <w:marTop w:val="0"/>
                                                                                                                                                                                                                                                                                                                          <w:marBottom w:val="0"/>
                                                                                                                                                                                                                                                                                                                          <w:divBdr>
                                                                                                                                                                                                                                                                                                                            <w:top w:val="none" w:sz="0" w:space="0" w:color="auto"/>
                                                                                                                                                                                                                                                                                                                            <w:left w:val="none" w:sz="0" w:space="0" w:color="auto"/>
                                                                                                                                                                                                                                                                                                                            <w:bottom w:val="none" w:sz="0" w:space="0" w:color="auto"/>
                                                                                                                                                                                                                                                                                                                            <w:right w:val="none" w:sz="0" w:space="0" w:color="auto"/>
                                                                                                                                                                                                                                                                                                                          </w:divBdr>
                                                                                                                                                                                                                                                                                                                          <w:divsChild>
                                                                                                                                                                                                                                                                                                                            <w:div w:id="2037851025">
                                                                                                                                                                                                                                                                                                                              <w:marLeft w:val="0"/>
                                                                                                                                                                                                                                                                                                                              <w:marRight w:val="0"/>
                                                                                                                                                                                                                                                                                                                              <w:marTop w:val="0"/>
                                                                                                                                                                                                                                                                                                                              <w:marBottom w:val="0"/>
                                                                                                                                                                                                                                                                                                                              <w:divBdr>
                                                                                                                                                                                                                                                                                                                                <w:top w:val="none" w:sz="0" w:space="0" w:color="auto"/>
                                                                                                                                                                                                                                                                                                                                <w:left w:val="none" w:sz="0" w:space="0" w:color="auto"/>
                                                                                                                                                                                                                                                                                                                                <w:bottom w:val="none" w:sz="0" w:space="0" w:color="auto"/>
                                                                                                                                                                                                                                                                                                                                <w:right w:val="none" w:sz="0" w:space="0" w:color="auto"/>
                                                                                                                                                                                                                                                                                                                              </w:divBdr>
                                                                                                                                                                                                                                                                                                                              <w:divsChild>
                                                                                                                                                                                                                                                                                                                                <w:div w:id="232350685">
                                                                                                                                                                                                                                                                                                                                  <w:marLeft w:val="0"/>
                                                                                                                                                                                                                                                                                                                                  <w:marRight w:val="0"/>
                                                                                                                                                                                                                                                                                                                                  <w:marTop w:val="0"/>
                                                                                                                                                                                                                                                                                                                                  <w:marBottom w:val="0"/>
                                                                                                                                                                                                                                                                                                                                  <w:divBdr>
                                                                                                                                                                                                                                                                                                                                    <w:top w:val="none" w:sz="0" w:space="0" w:color="auto"/>
                                                                                                                                                                                                                                                                                                                                    <w:left w:val="none" w:sz="0" w:space="0" w:color="auto"/>
                                                                                                                                                                                                                                                                                                                                    <w:bottom w:val="none" w:sz="0" w:space="0" w:color="auto"/>
                                                                                                                                                                                                                                                                                                                                    <w:right w:val="none" w:sz="0" w:space="0" w:color="auto"/>
                                                                                                                                                                                                                                                                                                                                  </w:divBdr>
                                                                                                                                                                                                                                                                                                                                  <w:divsChild>
                                                                                                                                                                                                                                                                                                                                    <w:div w:id="2073695922">
                                                                                                                                                                                                                                                                                                                                      <w:marLeft w:val="0"/>
                                                                                                                                                                                                                                                                                                                                      <w:marRight w:val="0"/>
                                                                                                                                                                                                                                                                                                                                      <w:marTop w:val="0"/>
                                                                                                                                                                                                                                                                                                                                      <w:marBottom w:val="0"/>
                                                                                                                                                                                                                                                                                                                                      <w:divBdr>
                                                                                                                                                                                                                                                                                                                                        <w:top w:val="none" w:sz="0" w:space="0" w:color="auto"/>
                                                                                                                                                                                                                                                                                                                                        <w:left w:val="none" w:sz="0" w:space="0" w:color="auto"/>
                                                                                                                                                                                                                                                                                                                                        <w:bottom w:val="none" w:sz="0" w:space="0" w:color="auto"/>
                                                                                                                                                                                                                                                                                                                                        <w:right w:val="none" w:sz="0" w:space="0" w:color="auto"/>
                                                                                                                                                                                                                                                                                                                                      </w:divBdr>
                                                                                                                                                                                                                                                                                                                                      <w:divsChild>
                                                                                                                                                                                                                                                                                                                                        <w:div w:id="1038432990">
                                                                                                                                                                                                                                                                                                                                          <w:marLeft w:val="0"/>
                                                                                                                                                                                                                                                                                                                                          <w:marRight w:val="0"/>
                                                                                                                                                                                                                                                                                                                                          <w:marTop w:val="0"/>
                                                                                                                                                                                                                                                                                                                                          <w:marBottom w:val="0"/>
                                                                                                                                                                                                                                                                                                                                          <w:divBdr>
                                                                                                                                                                                                                                                                                                                                            <w:top w:val="none" w:sz="0" w:space="0" w:color="auto"/>
                                                                                                                                                                                                                                                                                                                                            <w:left w:val="none" w:sz="0" w:space="0" w:color="auto"/>
                                                                                                                                                                                                                                                                                                                                            <w:bottom w:val="none" w:sz="0" w:space="0" w:color="auto"/>
                                                                                                                                                                                                                                                                                                                                            <w:right w:val="none" w:sz="0" w:space="0" w:color="auto"/>
                                                                                                                                                                                                                                                                                                                                          </w:divBdr>
                                                                                                                                                                                                                                                                                                                                          <w:divsChild>
                                                                                                                                                                                                                                                                                                                                            <w:div w:id="1865748910">
                                                                                                                                                                                                                                                                                                                                              <w:marLeft w:val="0"/>
                                                                                                                                                                                                                                                                                                                                              <w:marRight w:val="0"/>
                                                                                                                                                                                                                                                                                                                                              <w:marTop w:val="0"/>
                                                                                                                                                                                                                                                                                                                                              <w:marBottom w:val="0"/>
                                                                                                                                                                                                                                                                                                                                              <w:divBdr>
                                                                                                                                                                                                                                                                                                                                                <w:top w:val="none" w:sz="0" w:space="0" w:color="auto"/>
                                                                                                                                                                                                                                                                                                                                                <w:left w:val="none" w:sz="0" w:space="0" w:color="auto"/>
                                                                                                                                                                                                                                                                                                                                                <w:bottom w:val="none" w:sz="0" w:space="0" w:color="auto"/>
                                                                                                                                                                                                                                                                                                                                                <w:right w:val="none" w:sz="0" w:space="0" w:color="auto"/>
                                                                                                                                                                                                                                                                                                                                              </w:divBdr>
                                                                                                                                                                                                                                                                                                                                              <w:divsChild>
                                                                                                                                                                                                                                                                                                                                                <w:div w:id="122845622">
                                                                                                                                                                                                                                                                                                                                                  <w:marLeft w:val="0"/>
                                                                                                                                                                                                                                                                                                                                                  <w:marRight w:val="0"/>
                                                                                                                                                                                                                                                                                                                                                  <w:marTop w:val="0"/>
                                                                                                                                                                                                                                                                                                                                                  <w:marBottom w:val="0"/>
                                                                                                                                                                                                                                                                                                                                                  <w:divBdr>
                                                                                                                                                                                                                                                                                                                                                    <w:top w:val="none" w:sz="0" w:space="0" w:color="auto"/>
                                                                                                                                                                                                                                                                                                                                                    <w:left w:val="none" w:sz="0" w:space="0" w:color="auto"/>
                                                                                                                                                                                                                                                                                                                                                    <w:bottom w:val="none" w:sz="0" w:space="0" w:color="auto"/>
                                                                                                                                                                                                                                                                                                                                                    <w:right w:val="none" w:sz="0" w:space="0" w:color="auto"/>
                                                                                                                                                                                                                                                                                                                                                  </w:divBdr>
                                                                                                                                                                                                                                                                                                                                                  <w:divsChild>
                                                                                                                                                                                                                                                                                                                                                    <w:div w:id="328798555">
                                                                                                                                                                                                                                                                                                                                                      <w:marLeft w:val="0"/>
                                                                                                                                                                                                                                                                                                                                                      <w:marRight w:val="0"/>
                                                                                                                                                                                                                                                                                                                                                      <w:marTop w:val="0"/>
                                                                                                                                                                                                                                                                                                                                                      <w:marBottom w:val="0"/>
                                                                                                                                                                                                                                                                                                                                                      <w:divBdr>
                                                                                                                                                                                                                                                                                                                                                        <w:top w:val="none" w:sz="0" w:space="0" w:color="auto"/>
                                                                                                                                                                                                                                                                                                                                                        <w:left w:val="none" w:sz="0" w:space="0" w:color="auto"/>
                                                                                                                                                                                                                                                                                                                                                        <w:bottom w:val="none" w:sz="0" w:space="0" w:color="auto"/>
                                                                                                                                                                                                                                                                                                                                                        <w:right w:val="none" w:sz="0" w:space="0" w:color="auto"/>
                                                                                                                                                                                                                                                                                                                                                      </w:divBdr>
                                                                                                                                                                                                                                                                                                                                                      <w:divsChild>
                                                                                                                                                                                                                                                                                                                                                        <w:div w:id="1494563216">
                                                                                                                                                                                                                                                                                                                                                          <w:marLeft w:val="0"/>
                                                                                                                                                                                                                                                                                                                                                          <w:marRight w:val="0"/>
                                                                                                                                                                                                                                                                                                                                                          <w:marTop w:val="0"/>
                                                                                                                                                                                                                                                                                                                                                          <w:marBottom w:val="0"/>
                                                                                                                                                                                                                                                                                                                                                          <w:divBdr>
                                                                                                                                                                                                                                                                                                                                                            <w:top w:val="none" w:sz="0" w:space="0" w:color="auto"/>
                                                                                                                                                                                                                                                                                                                                                            <w:left w:val="none" w:sz="0" w:space="0" w:color="auto"/>
                                                                                                                                                                                                                                                                                                                                                            <w:bottom w:val="none" w:sz="0" w:space="0" w:color="auto"/>
                                                                                                                                                                                                                                                                                                                                                            <w:right w:val="none" w:sz="0" w:space="0" w:color="auto"/>
                                                                                                                                                                                                                                                                                                                                                          </w:divBdr>
                                                                                                                                                                                                                                                                                                                                                          <w:divsChild>
                                                                                                                                                                                                                                                                                                                                                            <w:div w:id="880747858">
                                                                                                                                                                                                                                                                                                                                                              <w:marLeft w:val="0"/>
                                                                                                                                                                                                                                                                                                                                                              <w:marRight w:val="0"/>
                                                                                                                                                                                                                                                                                                                                                              <w:marTop w:val="0"/>
                                                                                                                                                                                                                                                                                                                                                              <w:marBottom w:val="0"/>
                                                                                                                                                                                                                                                                                                                                                              <w:divBdr>
                                                                                                                                                                                                                                                                                                                                                                <w:top w:val="none" w:sz="0" w:space="0" w:color="auto"/>
                                                                                                                                                                                                                                                                                                                                                                <w:left w:val="none" w:sz="0" w:space="0" w:color="auto"/>
                                                                                                                                                                                                                                                                                                                                                                <w:bottom w:val="none" w:sz="0" w:space="0" w:color="auto"/>
                                                                                                                                                                                                                                                                                                                                                                <w:right w:val="none" w:sz="0" w:space="0" w:color="auto"/>
                                                                                                                                                                                                                                                                                                                                                              </w:divBdr>
                                                                                                                                                                                                                                                                                                                                                              <w:divsChild>
                                                                                                                                                                                                                                                                                                                                                                <w:div w:id="1306549435">
                                                                                                                                                                                                                                                                                                                                                                  <w:marLeft w:val="0"/>
                                                                                                                                                                                                                                                                                                                                                                  <w:marRight w:val="0"/>
                                                                                                                                                                                                                                                                                                                                                                  <w:marTop w:val="0"/>
                                                                                                                                                                                                                                                                                                                                                                  <w:marBottom w:val="0"/>
                                                                                                                                                                                                                                                                                                                                                                  <w:divBdr>
                                                                                                                                                                                                                                                                                                                                                                    <w:top w:val="none" w:sz="0" w:space="0" w:color="auto"/>
                                                                                                                                                                                                                                                                                                                                                                    <w:left w:val="none" w:sz="0" w:space="0" w:color="auto"/>
                                                                                                                                                                                                                                                                                                                                                                    <w:bottom w:val="none" w:sz="0" w:space="0" w:color="auto"/>
                                                                                                                                                                                                                                                                                                                                                                    <w:right w:val="none" w:sz="0" w:space="0" w:color="auto"/>
                                                                                                                                                                                                                                                                                                                                                                  </w:divBdr>
                                                                                                                                                                                                                                                                                                                                                                  <w:divsChild>
                                                                                                                                                                                                                                                                                                                                                                    <w:div w:id="1229802639">
                                                                                                                                                                                                                                                                                                                                                                      <w:marLeft w:val="0"/>
                                                                                                                                                                                                                                                                                                                                                                      <w:marRight w:val="0"/>
                                                                                                                                                                                                                                                                                                                                                                      <w:marTop w:val="0"/>
                                                                                                                                                                                                                                                                                                                                                                      <w:marBottom w:val="0"/>
                                                                                                                                                                                                                                                                                                                                                                      <w:divBdr>
                                                                                                                                                                                                                                                                                                                                                                        <w:top w:val="none" w:sz="0" w:space="0" w:color="auto"/>
                                                                                                                                                                                                                                                                                                                                                                        <w:left w:val="none" w:sz="0" w:space="0" w:color="auto"/>
                                                                                                                                                                                                                                                                                                                                                                        <w:bottom w:val="none" w:sz="0" w:space="0" w:color="auto"/>
                                                                                                                                                                                                                                                                                                                                                                        <w:right w:val="none" w:sz="0" w:space="0" w:color="auto"/>
                                                                                                                                                                                                                                                                                                                                                                      </w:divBdr>
                                                                                                                                                                                                                                                                                                                                                                      <w:divsChild>
                                                                                                                                                                                                                                                                                                                                                                        <w:div w:id="1709597757">
                                                                                                                                                                                                                                                                                                                                                                          <w:marLeft w:val="0"/>
                                                                                                                                                                                                                                                                                                                                                                          <w:marRight w:val="0"/>
                                                                                                                                                                                                                                                                                                                                                                          <w:marTop w:val="0"/>
                                                                                                                                                                                                                                                                                                                                                                          <w:marBottom w:val="0"/>
                                                                                                                                                                                                                                                                                                                                                                          <w:divBdr>
                                                                                                                                                                                                                                                                                                                                                                            <w:top w:val="none" w:sz="0" w:space="0" w:color="auto"/>
                                                                                                                                                                                                                                                                                                                                                                            <w:left w:val="none" w:sz="0" w:space="0" w:color="auto"/>
                                                                                                                                                                                                                                                                                                                                                                            <w:bottom w:val="none" w:sz="0" w:space="0" w:color="auto"/>
                                                                                                                                                                                                                                                                                                                                                                            <w:right w:val="none" w:sz="0" w:space="0" w:color="auto"/>
                                                                                                                                                                                                                                                                                                                                                                          </w:divBdr>
                                                                                                                                                                                                                                                                                                                                                                          <w:divsChild>
                                                                                                                                                                                                                                                                                                                                                                            <w:div w:id="189079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9933003">
      <w:bodyDiv w:val="1"/>
      <w:marLeft w:val="0"/>
      <w:marRight w:val="0"/>
      <w:marTop w:val="0"/>
      <w:marBottom w:val="0"/>
      <w:divBdr>
        <w:top w:val="none" w:sz="0" w:space="0" w:color="auto"/>
        <w:left w:val="none" w:sz="0" w:space="0" w:color="auto"/>
        <w:bottom w:val="none" w:sz="0" w:space="0" w:color="auto"/>
        <w:right w:val="none" w:sz="0" w:space="0" w:color="auto"/>
      </w:divBdr>
    </w:div>
    <w:div w:id="678120456">
      <w:bodyDiv w:val="1"/>
      <w:marLeft w:val="0"/>
      <w:marRight w:val="0"/>
      <w:marTop w:val="0"/>
      <w:marBottom w:val="0"/>
      <w:divBdr>
        <w:top w:val="none" w:sz="0" w:space="0" w:color="auto"/>
        <w:left w:val="none" w:sz="0" w:space="0" w:color="auto"/>
        <w:bottom w:val="none" w:sz="0" w:space="0" w:color="auto"/>
        <w:right w:val="none" w:sz="0" w:space="0" w:color="auto"/>
      </w:divBdr>
    </w:div>
    <w:div w:id="750811045">
      <w:bodyDiv w:val="1"/>
      <w:marLeft w:val="0"/>
      <w:marRight w:val="0"/>
      <w:marTop w:val="0"/>
      <w:marBottom w:val="0"/>
      <w:divBdr>
        <w:top w:val="none" w:sz="0" w:space="0" w:color="auto"/>
        <w:left w:val="none" w:sz="0" w:space="0" w:color="auto"/>
        <w:bottom w:val="none" w:sz="0" w:space="0" w:color="auto"/>
        <w:right w:val="none" w:sz="0" w:space="0" w:color="auto"/>
      </w:divBdr>
    </w:div>
    <w:div w:id="784423022">
      <w:bodyDiv w:val="1"/>
      <w:marLeft w:val="0"/>
      <w:marRight w:val="0"/>
      <w:marTop w:val="0"/>
      <w:marBottom w:val="0"/>
      <w:divBdr>
        <w:top w:val="none" w:sz="0" w:space="0" w:color="auto"/>
        <w:left w:val="none" w:sz="0" w:space="0" w:color="auto"/>
        <w:bottom w:val="none" w:sz="0" w:space="0" w:color="auto"/>
        <w:right w:val="none" w:sz="0" w:space="0" w:color="auto"/>
      </w:divBdr>
    </w:div>
    <w:div w:id="920526245">
      <w:bodyDiv w:val="1"/>
      <w:marLeft w:val="0"/>
      <w:marRight w:val="0"/>
      <w:marTop w:val="0"/>
      <w:marBottom w:val="0"/>
      <w:divBdr>
        <w:top w:val="none" w:sz="0" w:space="0" w:color="auto"/>
        <w:left w:val="none" w:sz="0" w:space="0" w:color="auto"/>
        <w:bottom w:val="none" w:sz="0" w:space="0" w:color="auto"/>
        <w:right w:val="none" w:sz="0" w:space="0" w:color="auto"/>
      </w:divBdr>
    </w:div>
    <w:div w:id="933706317">
      <w:bodyDiv w:val="1"/>
      <w:marLeft w:val="0"/>
      <w:marRight w:val="0"/>
      <w:marTop w:val="0"/>
      <w:marBottom w:val="0"/>
      <w:divBdr>
        <w:top w:val="none" w:sz="0" w:space="0" w:color="auto"/>
        <w:left w:val="none" w:sz="0" w:space="0" w:color="auto"/>
        <w:bottom w:val="none" w:sz="0" w:space="0" w:color="auto"/>
        <w:right w:val="none" w:sz="0" w:space="0" w:color="auto"/>
      </w:divBdr>
    </w:div>
    <w:div w:id="1181043345">
      <w:bodyDiv w:val="1"/>
      <w:marLeft w:val="0"/>
      <w:marRight w:val="0"/>
      <w:marTop w:val="0"/>
      <w:marBottom w:val="0"/>
      <w:divBdr>
        <w:top w:val="none" w:sz="0" w:space="0" w:color="auto"/>
        <w:left w:val="none" w:sz="0" w:space="0" w:color="auto"/>
        <w:bottom w:val="none" w:sz="0" w:space="0" w:color="auto"/>
        <w:right w:val="none" w:sz="0" w:space="0" w:color="auto"/>
      </w:divBdr>
    </w:div>
    <w:div w:id="1303996903">
      <w:bodyDiv w:val="1"/>
      <w:marLeft w:val="0"/>
      <w:marRight w:val="0"/>
      <w:marTop w:val="0"/>
      <w:marBottom w:val="0"/>
      <w:divBdr>
        <w:top w:val="none" w:sz="0" w:space="0" w:color="auto"/>
        <w:left w:val="none" w:sz="0" w:space="0" w:color="auto"/>
        <w:bottom w:val="none" w:sz="0" w:space="0" w:color="auto"/>
        <w:right w:val="none" w:sz="0" w:space="0" w:color="auto"/>
      </w:divBdr>
    </w:div>
    <w:div w:id="1583948899">
      <w:bodyDiv w:val="1"/>
      <w:marLeft w:val="0"/>
      <w:marRight w:val="0"/>
      <w:marTop w:val="0"/>
      <w:marBottom w:val="0"/>
      <w:divBdr>
        <w:top w:val="none" w:sz="0" w:space="0" w:color="auto"/>
        <w:left w:val="none" w:sz="0" w:space="0" w:color="auto"/>
        <w:bottom w:val="none" w:sz="0" w:space="0" w:color="auto"/>
        <w:right w:val="none" w:sz="0" w:space="0" w:color="auto"/>
      </w:divBdr>
    </w:div>
    <w:div w:id="1649237173">
      <w:bodyDiv w:val="1"/>
      <w:marLeft w:val="0"/>
      <w:marRight w:val="0"/>
      <w:marTop w:val="0"/>
      <w:marBottom w:val="0"/>
      <w:divBdr>
        <w:top w:val="none" w:sz="0" w:space="0" w:color="auto"/>
        <w:left w:val="none" w:sz="0" w:space="0" w:color="auto"/>
        <w:bottom w:val="none" w:sz="0" w:space="0" w:color="auto"/>
        <w:right w:val="none" w:sz="0" w:space="0" w:color="auto"/>
      </w:divBdr>
    </w:div>
    <w:div w:id="1760371851">
      <w:bodyDiv w:val="1"/>
      <w:marLeft w:val="0"/>
      <w:marRight w:val="0"/>
      <w:marTop w:val="0"/>
      <w:marBottom w:val="0"/>
      <w:divBdr>
        <w:top w:val="none" w:sz="0" w:space="0" w:color="auto"/>
        <w:left w:val="none" w:sz="0" w:space="0" w:color="auto"/>
        <w:bottom w:val="none" w:sz="0" w:space="0" w:color="auto"/>
        <w:right w:val="none" w:sz="0" w:space="0" w:color="auto"/>
      </w:divBdr>
    </w:div>
    <w:div w:id="1899629743">
      <w:bodyDiv w:val="1"/>
      <w:marLeft w:val="0"/>
      <w:marRight w:val="0"/>
      <w:marTop w:val="0"/>
      <w:marBottom w:val="0"/>
      <w:divBdr>
        <w:top w:val="none" w:sz="0" w:space="0" w:color="auto"/>
        <w:left w:val="none" w:sz="0" w:space="0" w:color="auto"/>
        <w:bottom w:val="none" w:sz="0" w:space="0" w:color="auto"/>
        <w:right w:val="none" w:sz="0" w:space="0" w:color="auto"/>
      </w:divBdr>
    </w:div>
    <w:div w:id="1979604994">
      <w:bodyDiv w:val="1"/>
      <w:marLeft w:val="0"/>
      <w:marRight w:val="0"/>
      <w:marTop w:val="0"/>
      <w:marBottom w:val="0"/>
      <w:divBdr>
        <w:top w:val="none" w:sz="0" w:space="0" w:color="auto"/>
        <w:left w:val="none" w:sz="0" w:space="0" w:color="auto"/>
        <w:bottom w:val="none" w:sz="0" w:space="0" w:color="auto"/>
        <w:right w:val="none" w:sz="0" w:space="0" w:color="auto"/>
      </w:divBdr>
      <w:divsChild>
        <w:div w:id="152526481">
          <w:marLeft w:val="1166"/>
          <w:marRight w:val="0"/>
          <w:marTop w:val="86"/>
          <w:marBottom w:val="0"/>
          <w:divBdr>
            <w:top w:val="none" w:sz="0" w:space="0" w:color="auto"/>
            <w:left w:val="none" w:sz="0" w:space="0" w:color="auto"/>
            <w:bottom w:val="none" w:sz="0" w:space="0" w:color="auto"/>
            <w:right w:val="none" w:sz="0" w:space="0" w:color="auto"/>
          </w:divBdr>
        </w:div>
        <w:div w:id="163513602">
          <w:marLeft w:val="1166"/>
          <w:marRight w:val="0"/>
          <w:marTop w:val="86"/>
          <w:marBottom w:val="0"/>
          <w:divBdr>
            <w:top w:val="none" w:sz="0" w:space="0" w:color="auto"/>
            <w:left w:val="none" w:sz="0" w:space="0" w:color="auto"/>
            <w:bottom w:val="none" w:sz="0" w:space="0" w:color="auto"/>
            <w:right w:val="none" w:sz="0" w:space="0" w:color="auto"/>
          </w:divBdr>
        </w:div>
        <w:div w:id="432670080">
          <w:marLeft w:val="1166"/>
          <w:marRight w:val="0"/>
          <w:marTop w:val="86"/>
          <w:marBottom w:val="0"/>
          <w:divBdr>
            <w:top w:val="none" w:sz="0" w:space="0" w:color="auto"/>
            <w:left w:val="none" w:sz="0" w:space="0" w:color="auto"/>
            <w:bottom w:val="none" w:sz="0" w:space="0" w:color="auto"/>
            <w:right w:val="none" w:sz="0" w:space="0" w:color="auto"/>
          </w:divBdr>
        </w:div>
        <w:div w:id="577901998">
          <w:marLeft w:val="547"/>
          <w:marRight w:val="0"/>
          <w:marTop w:val="96"/>
          <w:marBottom w:val="0"/>
          <w:divBdr>
            <w:top w:val="none" w:sz="0" w:space="0" w:color="auto"/>
            <w:left w:val="none" w:sz="0" w:space="0" w:color="auto"/>
            <w:bottom w:val="none" w:sz="0" w:space="0" w:color="auto"/>
            <w:right w:val="none" w:sz="0" w:space="0" w:color="auto"/>
          </w:divBdr>
        </w:div>
      </w:divsChild>
    </w:div>
    <w:div w:id="1988705700">
      <w:bodyDiv w:val="1"/>
      <w:marLeft w:val="0"/>
      <w:marRight w:val="0"/>
      <w:marTop w:val="0"/>
      <w:marBottom w:val="0"/>
      <w:divBdr>
        <w:top w:val="none" w:sz="0" w:space="0" w:color="auto"/>
        <w:left w:val="none" w:sz="0" w:space="0" w:color="auto"/>
        <w:bottom w:val="none" w:sz="0" w:space="0" w:color="auto"/>
        <w:right w:val="none" w:sz="0" w:space="0" w:color="auto"/>
      </w:divBdr>
    </w:div>
    <w:div w:id="1995522763">
      <w:bodyDiv w:val="1"/>
      <w:marLeft w:val="0"/>
      <w:marRight w:val="0"/>
      <w:marTop w:val="0"/>
      <w:marBottom w:val="0"/>
      <w:divBdr>
        <w:top w:val="none" w:sz="0" w:space="0" w:color="auto"/>
        <w:left w:val="none" w:sz="0" w:space="0" w:color="auto"/>
        <w:bottom w:val="none" w:sz="0" w:space="0" w:color="auto"/>
        <w:right w:val="none" w:sz="0" w:space="0" w:color="auto"/>
      </w:divBdr>
    </w:div>
    <w:div w:id="2026588035">
      <w:bodyDiv w:val="1"/>
      <w:marLeft w:val="0"/>
      <w:marRight w:val="0"/>
      <w:marTop w:val="0"/>
      <w:marBottom w:val="0"/>
      <w:divBdr>
        <w:top w:val="none" w:sz="0" w:space="0" w:color="auto"/>
        <w:left w:val="none" w:sz="0" w:space="0" w:color="auto"/>
        <w:bottom w:val="none" w:sz="0" w:space="0" w:color="auto"/>
        <w:right w:val="none" w:sz="0" w:space="0" w:color="auto"/>
      </w:divBdr>
    </w:div>
    <w:div w:id="205206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mailto:james.howard@lgcgroup.com" TargetMode="External"/><Relationship Id="rId14" Type="http://schemas.openxmlformats.org/officeDocument/2006/relationships/image" Target="media/image4.png"/><Relationship Id="rId22"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im\Documents\Documents\PhD-%202012+%202013\Glucagon%20Quant%20Paper\Glucagon%20MS%20vs%20RIA%20values-%20all%20data%20V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im\Documents\Documents\PhD-%202012+%202013\Glucagon%20Quant%20Paper\Glucagon%20MS%20vs%20RIA%20values-%20all%20data%20V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im\Documents\Documents\PhD-%202012+%202013\Glucagon%20Quant%20Paper\Glucagon%20MS%20vs%20RIA%20values-%20all%20data%20V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im\Documents\Documents\PhD-%202012+%202013\Glucagon%20Quant%20Paper\Glucagon%20MS%20vs%20RIA%20values-%20all%20data%20V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Volunteer</a:t>
            </a:r>
            <a:r>
              <a:rPr lang="en-US" sz="1200" baseline="0"/>
              <a:t> 1</a:t>
            </a:r>
            <a:endParaRPr lang="en-US" sz="1200"/>
          </a:p>
        </c:rich>
      </c:tx>
      <c:layout>
        <c:manualLayout>
          <c:xMode val="edge"/>
          <c:yMode val="edge"/>
          <c:x val="0.34728577532459737"/>
          <c:y val="1.70319335083115E-2"/>
        </c:manualLayout>
      </c:layout>
      <c:overlay val="0"/>
    </c:title>
    <c:autoTitleDeleted val="0"/>
    <c:plotArea>
      <c:layout>
        <c:manualLayout>
          <c:layoutTarget val="inner"/>
          <c:xMode val="edge"/>
          <c:yMode val="edge"/>
          <c:x val="0.12583692861177187"/>
          <c:y val="0.19480351414406497"/>
          <c:w val="0.82463376751643402"/>
          <c:h val="0.59104512977544121"/>
        </c:manualLayout>
      </c:layout>
      <c:scatterChart>
        <c:scatterStyle val="smoothMarker"/>
        <c:varyColors val="0"/>
        <c:ser>
          <c:idx val="0"/>
          <c:order val="0"/>
          <c:tx>
            <c:strRef>
              <c:f>Sheet1!$I$5</c:f>
              <c:strCache>
                <c:ptCount val="1"/>
                <c:pt idx="0">
                  <c:v>LC-MS/MS Conc
(pg/mL)</c:v>
                </c:pt>
              </c:strCache>
            </c:strRef>
          </c:tx>
          <c:xVal>
            <c:numRef>
              <c:f>Sheet1!$H$6:$H$18</c:f>
              <c:numCache>
                <c:formatCode>General</c:formatCode>
                <c:ptCount val="13"/>
                <c:pt idx="0">
                  <c:v>0</c:v>
                </c:pt>
                <c:pt idx="1">
                  <c:v>1</c:v>
                </c:pt>
                <c:pt idx="2">
                  <c:v>3</c:v>
                </c:pt>
                <c:pt idx="3">
                  <c:v>6</c:v>
                </c:pt>
                <c:pt idx="4">
                  <c:v>8</c:v>
                </c:pt>
                <c:pt idx="5">
                  <c:v>12</c:v>
                </c:pt>
                <c:pt idx="6">
                  <c:v>23</c:v>
                </c:pt>
                <c:pt idx="7">
                  <c:v>24</c:v>
                </c:pt>
                <c:pt idx="8">
                  <c:v>25</c:v>
                </c:pt>
                <c:pt idx="9">
                  <c:v>27</c:v>
                </c:pt>
                <c:pt idx="10">
                  <c:v>30</c:v>
                </c:pt>
                <c:pt idx="11">
                  <c:v>32</c:v>
                </c:pt>
                <c:pt idx="12">
                  <c:v>36</c:v>
                </c:pt>
              </c:numCache>
            </c:numRef>
          </c:xVal>
          <c:yVal>
            <c:numRef>
              <c:f>Sheet1!$I$6:$I$18</c:f>
              <c:numCache>
                <c:formatCode>General</c:formatCode>
                <c:ptCount val="13"/>
                <c:pt idx="0">
                  <c:v>37.700000000000003</c:v>
                </c:pt>
                <c:pt idx="1">
                  <c:v>366</c:v>
                </c:pt>
                <c:pt idx="2">
                  <c:v>533</c:v>
                </c:pt>
                <c:pt idx="3">
                  <c:v>552</c:v>
                </c:pt>
                <c:pt idx="4">
                  <c:v>307</c:v>
                </c:pt>
                <c:pt idx="5">
                  <c:v>300</c:v>
                </c:pt>
                <c:pt idx="6">
                  <c:v>308</c:v>
                </c:pt>
                <c:pt idx="7">
                  <c:v>64.599999999999994</c:v>
                </c:pt>
                <c:pt idx="8">
                  <c:v>435</c:v>
                </c:pt>
                <c:pt idx="9">
                  <c:v>524</c:v>
                </c:pt>
                <c:pt idx="10">
                  <c:v>463</c:v>
                </c:pt>
                <c:pt idx="11">
                  <c:v>221</c:v>
                </c:pt>
                <c:pt idx="12">
                  <c:v>330</c:v>
                </c:pt>
              </c:numCache>
            </c:numRef>
          </c:yVal>
          <c:smooth val="1"/>
        </c:ser>
        <c:ser>
          <c:idx val="1"/>
          <c:order val="1"/>
          <c:tx>
            <c:strRef>
              <c:f>Sheet1!$K$5</c:f>
              <c:strCache>
                <c:ptCount val="1"/>
                <c:pt idx="0">
                  <c:v>RIA Conc (pg/mL)</c:v>
                </c:pt>
              </c:strCache>
            </c:strRef>
          </c:tx>
          <c:xVal>
            <c:numRef>
              <c:f>Sheet1!$H$6:$H$18</c:f>
              <c:numCache>
                <c:formatCode>General</c:formatCode>
                <c:ptCount val="13"/>
                <c:pt idx="0">
                  <c:v>0</c:v>
                </c:pt>
                <c:pt idx="1">
                  <c:v>1</c:v>
                </c:pt>
                <c:pt idx="2">
                  <c:v>3</c:v>
                </c:pt>
                <c:pt idx="3">
                  <c:v>6</c:v>
                </c:pt>
                <c:pt idx="4">
                  <c:v>8</c:v>
                </c:pt>
                <c:pt idx="5">
                  <c:v>12</c:v>
                </c:pt>
                <c:pt idx="6">
                  <c:v>23</c:v>
                </c:pt>
                <c:pt idx="7">
                  <c:v>24</c:v>
                </c:pt>
                <c:pt idx="8">
                  <c:v>25</c:v>
                </c:pt>
                <c:pt idx="9">
                  <c:v>27</c:v>
                </c:pt>
                <c:pt idx="10">
                  <c:v>30</c:v>
                </c:pt>
                <c:pt idx="11">
                  <c:v>32</c:v>
                </c:pt>
                <c:pt idx="12">
                  <c:v>36</c:v>
                </c:pt>
              </c:numCache>
            </c:numRef>
          </c:xVal>
          <c:yVal>
            <c:numRef>
              <c:f>Sheet1!$K$6:$K$18</c:f>
              <c:numCache>
                <c:formatCode>0</c:formatCode>
                <c:ptCount val="13"/>
                <c:pt idx="0" formatCode="0.0">
                  <c:v>48.674140000000001</c:v>
                </c:pt>
                <c:pt idx="1">
                  <c:v>266.88629999999904</c:v>
                </c:pt>
                <c:pt idx="2">
                  <c:v>343.91889999999904</c:v>
                </c:pt>
                <c:pt idx="3">
                  <c:v>472.76849999999916</c:v>
                </c:pt>
                <c:pt idx="4">
                  <c:v>383.85960000000097</c:v>
                </c:pt>
                <c:pt idx="5">
                  <c:v>354.38440000000008</c:v>
                </c:pt>
                <c:pt idx="6">
                  <c:v>418.10239999999999</c:v>
                </c:pt>
                <c:pt idx="7">
                  <c:v>153.55190000000007</c:v>
                </c:pt>
                <c:pt idx="8">
                  <c:v>359.73509999999885</c:v>
                </c:pt>
                <c:pt idx="9">
                  <c:v>530.18240000000003</c:v>
                </c:pt>
                <c:pt idx="10">
                  <c:v>609.48199999999997</c:v>
                </c:pt>
                <c:pt idx="11">
                  <c:v>519.90289999999948</c:v>
                </c:pt>
                <c:pt idx="12">
                  <c:v>440.93389999999886</c:v>
                </c:pt>
              </c:numCache>
            </c:numRef>
          </c:yVal>
          <c:smooth val="1"/>
        </c:ser>
        <c:dLbls>
          <c:showLegendKey val="0"/>
          <c:showVal val="0"/>
          <c:showCatName val="0"/>
          <c:showSerName val="0"/>
          <c:showPercent val="0"/>
          <c:showBubbleSize val="0"/>
        </c:dLbls>
        <c:axId val="56333056"/>
        <c:axId val="56352128"/>
      </c:scatterChart>
      <c:valAx>
        <c:axId val="56333056"/>
        <c:scaling>
          <c:orientation val="minMax"/>
        </c:scaling>
        <c:delete val="0"/>
        <c:axPos val="b"/>
        <c:title>
          <c:tx>
            <c:rich>
              <a:bodyPr/>
              <a:lstStyle/>
              <a:p>
                <a:pPr>
                  <a:defRPr/>
                </a:pPr>
                <a:r>
                  <a:rPr lang="en-GB"/>
                  <a:t>Nominal Time</a:t>
                </a:r>
                <a:r>
                  <a:rPr lang="en-GB" baseline="0"/>
                  <a:t> (hr)</a:t>
                </a:r>
                <a:endParaRPr lang="en-GB"/>
              </a:p>
            </c:rich>
          </c:tx>
          <c:layout/>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56352128"/>
        <c:crosses val="autoZero"/>
        <c:crossBetween val="midCat"/>
      </c:valAx>
      <c:valAx>
        <c:axId val="56352128"/>
        <c:scaling>
          <c:orientation val="minMax"/>
        </c:scaling>
        <c:delete val="0"/>
        <c:axPos val="l"/>
        <c:majorGridlines/>
        <c:numFmt formatCode="General" sourceLinked="1"/>
        <c:majorTickMark val="out"/>
        <c:minorTickMark val="none"/>
        <c:tickLblPos val="nextTo"/>
        <c:crossAx val="56333056"/>
        <c:crosses val="autoZero"/>
        <c:crossBetween val="midCat"/>
      </c:valAx>
    </c:plotArea>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200"/>
              <a:t>Volunteer 2</a:t>
            </a:r>
            <a:endParaRPr lang="en-GB" sz="1200">
              <a:effectLst/>
            </a:endParaRPr>
          </a:p>
        </c:rich>
      </c:tx>
      <c:layout/>
      <c:overlay val="0"/>
    </c:title>
    <c:autoTitleDeleted val="0"/>
    <c:plotArea>
      <c:layout>
        <c:manualLayout>
          <c:layoutTarget val="inner"/>
          <c:xMode val="edge"/>
          <c:yMode val="edge"/>
          <c:x val="0.141384854670944"/>
          <c:y val="0.18515977582010201"/>
          <c:w val="0.82132395410247205"/>
          <c:h val="0.61129042038062265"/>
        </c:manualLayout>
      </c:layout>
      <c:scatterChart>
        <c:scatterStyle val="smoothMarker"/>
        <c:varyColors val="0"/>
        <c:ser>
          <c:idx val="0"/>
          <c:order val="0"/>
          <c:tx>
            <c:strRef>
              <c:f>Sheet1!$I$5</c:f>
              <c:strCache>
                <c:ptCount val="1"/>
                <c:pt idx="0">
                  <c:v>LC-MS/MS Conc
(pg/mL)</c:v>
                </c:pt>
              </c:strCache>
            </c:strRef>
          </c:tx>
          <c:xVal>
            <c:numRef>
              <c:f>Sheet1!$H$54:$H$61</c:f>
              <c:numCache>
                <c:formatCode>General</c:formatCode>
                <c:ptCount val="8"/>
                <c:pt idx="0">
                  <c:v>30</c:v>
                </c:pt>
                <c:pt idx="1">
                  <c:v>32</c:v>
                </c:pt>
                <c:pt idx="2">
                  <c:v>36</c:v>
                </c:pt>
                <c:pt idx="3">
                  <c:v>48</c:v>
                </c:pt>
                <c:pt idx="4">
                  <c:v>49</c:v>
                </c:pt>
                <c:pt idx="5">
                  <c:v>51</c:v>
                </c:pt>
                <c:pt idx="6">
                  <c:v>52</c:v>
                </c:pt>
                <c:pt idx="7">
                  <c:v>54</c:v>
                </c:pt>
              </c:numCache>
            </c:numRef>
          </c:xVal>
          <c:yVal>
            <c:numRef>
              <c:f>Sheet1!$I$54:$I$61</c:f>
              <c:numCache>
                <c:formatCode>General</c:formatCode>
                <c:ptCount val="8"/>
                <c:pt idx="0">
                  <c:v>29.2</c:v>
                </c:pt>
                <c:pt idx="1">
                  <c:v>771</c:v>
                </c:pt>
                <c:pt idx="2">
                  <c:v>931</c:v>
                </c:pt>
                <c:pt idx="3">
                  <c:v>50.9</c:v>
                </c:pt>
                <c:pt idx="4">
                  <c:v>1100</c:v>
                </c:pt>
                <c:pt idx="5">
                  <c:v>1220</c:v>
                </c:pt>
                <c:pt idx="6">
                  <c:v>1310</c:v>
                </c:pt>
                <c:pt idx="7">
                  <c:v>483</c:v>
                </c:pt>
              </c:numCache>
            </c:numRef>
          </c:yVal>
          <c:smooth val="1"/>
        </c:ser>
        <c:ser>
          <c:idx val="1"/>
          <c:order val="1"/>
          <c:tx>
            <c:strRef>
              <c:f>Sheet1!$K$5</c:f>
              <c:strCache>
                <c:ptCount val="1"/>
                <c:pt idx="0">
                  <c:v>RIA Conc (pg/mL)</c:v>
                </c:pt>
              </c:strCache>
            </c:strRef>
          </c:tx>
          <c:xVal>
            <c:numRef>
              <c:f>Sheet1!$H$54:$H$61</c:f>
              <c:numCache>
                <c:formatCode>General</c:formatCode>
                <c:ptCount val="8"/>
                <c:pt idx="0">
                  <c:v>30</c:v>
                </c:pt>
                <c:pt idx="1">
                  <c:v>32</c:v>
                </c:pt>
                <c:pt idx="2">
                  <c:v>36</c:v>
                </c:pt>
                <c:pt idx="3">
                  <c:v>48</c:v>
                </c:pt>
                <c:pt idx="4">
                  <c:v>49</c:v>
                </c:pt>
                <c:pt idx="5">
                  <c:v>51</c:v>
                </c:pt>
                <c:pt idx="6">
                  <c:v>52</c:v>
                </c:pt>
                <c:pt idx="7">
                  <c:v>54</c:v>
                </c:pt>
              </c:numCache>
            </c:numRef>
          </c:xVal>
          <c:yVal>
            <c:numRef>
              <c:f>Sheet1!$K$54:$K$61</c:f>
              <c:numCache>
                <c:formatCode>0</c:formatCode>
                <c:ptCount val="8"/>
                <c:pt idx="0">
                  <c:v>90.84</c:v>
                </c:pt>
                <c:pt idx="1">
                  <c:v>396.834</c:v>
                </c:pt>
                <c:pt idx="2">
                  <c:v>603.36439999999948</c:v>
                </c:pt>
                <c:pt idx="3">
                  <c:v>109.8188</c:v>
                </c:pt>
                <c:pt idx="4">
                  <c:v>731.15239999999949</c:v>
                </c:pt>
                <c:pt idx="5">
                  <c:v>530.95149999999819</c:v>
                </c:pt>
                <c:pt idx="6">
                  <c:v>789.90639999999996</c:v>
                </c:pt>
                <c:pt idx="7">
                  <c:v>379.73469999999969</c:v>
                </c:pt>
              </c:numCache>
            </c:numRef>
          </c:yVal>
          <c:smooth val="1"/>
        </c:ser>
        <c:dLbls>
          <c:showLegendKey val="0"/>
          <c:showVal val="0"/>
          <c:showCatName val="0"/>
          <c:showSerName val="0"/>
          <c:showPercent val="0"/>
          <c:showBubbleSize val="0"/>
        </c:dLbls>
        <c:axId val="197220992"/>
        <c:axId val="214930176"/>
      </c:scatterChart>
      <c:valAx>
        <c:axId val="197220992"/>
        <c:scaling>
          <c:orientation val="minMax"/>
        </c:scaling>
        <c:delete val="0"/>
        <c:axPos val="b"/>
        <c:title>
          <c:tx>
            <c:rich>
              <a:bodyPr/>
              <a:lstStyle/>
              <a:p>
                <a:pPr>
                  <a:defRPr/>
                </a:pPr>
                <a:r>
                  <a:rPr lang="en-GB"/>
                  <a:t>Nominal</a:t>
                </a:r>
                <a:r>
                  <a:rPr lang="en-GB" baseline="0"/>
                  <a:t> Time (hr)</a:t>
                </a:r>
                <a:endParaRPr lang="en-GB"/>
              </a:p>
            </c:rich>
          </c:tx>
          <c:layout/>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14930176"/>
        <c:crosses val="autoZero"/>
        <c:crossBetween val="midCat"/>
      </c:valAx>
      <c:valAx>
        <c:axId val="214930176"/>
        <c:scaling>
          <c:orientation val="minMax"/>
        </c:scaling>
        <c:delete val="0"/>
        <c:axPos val="l"/>
        <c:majorGridlines/>
        <c:numFmt formatCode="General" sourceLinked="1"/>
        <c:majorTickMark val="out"/>
        <c:minorTickMark val="none"/>
        <c:tickLblPos val="nextTo"/>
        <c:crossAx val="197220992"/>
        <c:crosses val="autoZero"/>
        <c:crossBetween val="midCat"/>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GB" sz="1200"/>
              <a:t>Volunteer 3</a:t>
            </a:r>
            <a:endParaRPr lang="en-GB" sz="1200">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layout>
        <c:manualLayout>
          <c:xMode val="edge"/>
          <c:yMode val="edge"/>
          <c:x val="0.36273281893275189"/>
          <c:y val="1.7202860322417066E-2"/>
        </c:manualLayout>
      </c:layout>
      <c:overlay val="0"/>
    </c:title>
    <c:autoTitleDeleted val="0"/>
    <c:plotArea>
      <c:layout>
        <c:manualLayout>
          <c:layoutTarget val="inner"/>
          <c:xMode val="edge"/>
          <c:yMode val="edge"/>
          <c:x val="0.14632312627588187"/>
          <c:y val="0.17169303680300099"/>
          <c:w val="0.82648466136725662"/>
          <c:h val="0.63078682562798805"/>
        </c:manualLayout>
      </c:layout>
      <c:scatterChart>
        <c:scatterStyle val="smoothMarker"/>
        <c:varyColors val="0"/>
        <c:ser>
          <c:idx val="0"/>
          <c:order val="0"/>
          <c:tx>
            <c:strRef>
              <c:f>Sheet1!$I$5</c:f>
              <c:strCache>
                <c:ptCount val="1"/>
                <c:pt idx="0">
                  <c:v>LC-MS/MS Conc
(pg/mL)</c:v>
                </c:pt>
              </c:strCache>
            </c:strRef>
          </c:tx>
          <c:xVal>
            <c:numRef>
              <c:f>Sheet1!$H$94:$H$105</c:f>
              <c:numCache>
                <c:formatCode>General</c:formatCode>
                <c:ptCount val="12"/>
                <c:pt idx="0">
                  <c:v>6</c:v>
                </c:pt>
                <c:pt idx="1">
                  <c:v>8</c:v>
                </c:pt>
                <c:pt idx="2">
                  <c:v>12</c:v>
                </c:pt>
                <c:pt idx="3">
                  <c:v>23</c:v>
                </c:pt>
                <c:pt idx="4">
                  <c:v>24</c:v>
                </c:pt>
                <c:pt idx="5">
                  <c:v>27</c:v>
                </c:pt>
                <c:pt idx="6">
                  <c:v>30</c:v>
                </c:pt>
                <c:pt idx="7">
                  <c:v>36</c:v>
                </c:pt>
                <c:pt idx="8">
                  <c:v>47</c:v>
                </c:pt>
                <c:pt idx="9">
                  <c:v>48</c:v>
                </c:pt>
                <c:pt idx="10">
                  <c:v>51</c:v>
                </c:pt>
                <c:pt idx="11">
                  <c:v>53</c:v>
                </c:pt>
              </c:numCache>
            </c:numRef>
          </c:xVal>
          <c:yVal>
            <c:numRef>
              <c:f>Sheet1!$I$94:$I$105</c:f>
              <c:numCache>
                <c:formatCode>0</c:formatCode>
                <c:ptCount val="12"/>
                <c:pt idx="1">
                  <c:v>338</c:v>
                </c:pt>
                <c:pt idx="3">
                  <c:v>195</c:v>
                </c:pt>
                <c:pt idx="4">
                  <c:v>161</c:v>
                </c:pt>
                <c:pt idx="5">
                  <c:v>59.5</c:v>
                </c:pt>
                <c:pt idx="6">
                  <c:v>91.4</c:v>
                </c:pt>
                <c:pt idx="7">
                  <c:v>365</c:v>
                </c:pt>
                <c:pt idx="8">
                  <c:v>47.5</c:v>
                </c:pt>
              </c:numCache>
            </c:numRef>
          </c:yVal>
          <c:smooth val="1"/>
        </c:ser>
        <c:ser>
          <c:idx val="1"/>
          <c:order val="1"/>
          <c:tx>
            <c:strRef>
              <c:f>Sheet1!$K$5</c:f>
              <c:strCache>
                <c:ptCount val="1"/>
                <c:pt idx="0">
                  <c:v>RIA Conc (pg/mL)</c:v>
                </c:pt>
              </c:strCache>
            </c:strRef>
          </c:tx>
          <c:xVal>
            <c:numRef>
              <c:f>Sheet1!$H$94:$H$105</c:f>
              <c:numCache>
                <c:formatCode>General</c:formatCode>
                <c:ptCount val="12"/>
                <c:pt idx="0">
                  <c:v>6</c:v>
                </c:pt>
                <c:pt idx="1">
                  <c:v>8</c:v>
                </c:pt>
                <c:pt idx="2">
                  <c:v>12</c:v>
                </c:pt>
                <c:pt idx="3">
                  <c:v>23</c:v>
                </c:pt>
                <c:pt idx="4">
                  <c:v>24</c:v>
                </c:pt>
                <c:pt idx="5">
                  <c:v>27</c:v>
                </c:pt>
                <c:pt idx="6">
                  <c:v>30</c:v>
                </c:pt>
                <c:pt idx="7">
                  <c:v>36</c:v>
                </c:pt>
                <c:pt idx="8">
                  <c:v>47</c:v>
                </c:pt>
                <c:pt idx="9">
                  <c:v>48</c:v>
                </c:pt>
                <c:pt idx="10">
                  <c:v>51</c:v>
                </c:pt>
                <c:pt idx="11">
                  <c:v>53</c:v>
                </c:pt>
              </c:numCache>
            </c:numRef>
          </c:xVal>
          <c:yVal>
            <c:numRef>
              <c:f>Sheet1!$K$94:$K$105</c:f>
              <c:numCache>
                <c:formatCode>0</c:formatCode>
                <c:ptCount val="12"/>
                <c:pt idx="0">
                  <c:v>161.68620000000001</c:v>
                </c:pt>
                <c:pt idx="1">
                  <c:v>372.74439999999993</c:v>
                </c:pt>
                <c:pt idx="2">
                  <c:v>171.21779999999998</c:v>
                </c:pt>
                <c:pt idx="3">
                  <c:v>230.1285</c:v>
                </c:pt>
                <c:pt idx="4">
                  <c:v>138.3895</c:v>
                </c:pt>
                <c:pt idx="5">
                  <c:v>142.084</c:v>
                </c:pt>
                <c:pt idx="6">
                  <c:v>217.94319999999999</c:v>
                </c:pt>
                <c:pt idx="7">
                  <c:v>356.779</c:v>
                </c:pt>
                <c:pt idx="8">
                  <c:v>76.086969999999994</c:v>
                </c:pt>
                <c:pt idx="9">
                  <c:v>36.907780000000002</c:v>
                </c:pt>
                <c:pt idx="10">
                  <c:v>242.32740000000112</c:v>
                </c:pt>
                <c:pt idx="11">
                  <c:v>146.45040000000085</c:v>
                </c:pt>
              </c:numCache>
            </c:numRef>
          </c:yVal>
          <c:smooth val="1"/>
        </c:ser>
        <c:dLbls>
          <c:showLegendKey val="0"/>
          <c:showVal val="0"/>
          <c:showCatName val="0"/>
          <c:showSerName val="0"/>
          <c:showPercent val="0"/>
          <c:showBubbleSize val="0"/>
        </c:dLbls>
        <c:axId val="173904256"/>
        <c:axId val="173906176"/>
      </c:scatterChart>
      <c:valAx>
        <c:axId val="173904256"/>
        <c:scaling>
          <c:orientation val="minMax"/>
        </c:scaling>
        <c:delete val="0"/>
        <c:axPos val="b"/>
        <c:title>
          <c:tx>
            <c:rich>
              <a:bodyPr/>
              <a:lstStyle/>
              <a:p>
                <a:pPr>
                  <a:defRPr/>
                </a:pPr>
                <a:r>
                  <a:rPr lang="en-GB"/>
                  <a:t>Nominal</a:t>
                </a:r>
                <a:r>
                  <a:rPr lang="en-GB" baseline="0"/>
                  <a:t> Time (hr)</a:t>
                </a:r>
                <a:endParaRPr lang="en-GB"/>
              </a:p>
            </c:rich>
          </c:tx>
          <c:layout/>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73906176"/>
        <c:crosses val="autoZero"/>
        <c:crossBetween val="midCat"/>
      </c:valAx>
      <c:valAx>
        <c:axId val="173906176"/>
        <c:scaling>
          <c:orientation val="minMax"/>
        </c:scaling>
        <c:delete val="0"/>
        <c:axPos val="l"/>
        <c:majorGridlines/>
        <c:numFmt formatCode="0" sourceLinked="1"/>
        <c:majorTickMark val="out"/>
        <c:minorTickMark val="none"/>
        <c:tickLblPos val="nextTo"/>
        <c:crossAx val="173904256"/>
        <c:crosses val="autoZero"/>
        <c:crossBetween val="midCat"/>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200"/>
              <a:t>Volunteer</a:t>
            </a:r>
            <a:r>
              <a:rPr lang="en-US" sz="1200" baseline="0"/>
              <a:t> 4</a:t>
            </a:r>
            <a:endParaRPr lang="en-US" sz="1200"/>
          </a:p>
        </c:rich>
      </c:tx>
      <c:layout>
        <c:manualLayout>
          <c:xMode val="edge"/>
          <c:yMode val="edge"/>
          <c:x val="0.41081253535887802"/>
          <c:y val="4.2133086742296884E-2"/>
        </c:manualLayout>
      </c:layout>
      <c:overlay val="0"/>
    </c:title>
    <c:autoTitleDeleted val="0"/>
    <c:plotArea>
      <c:layout>
        <c:manualLayout>
          <c:layoutTarget val="inner"/>
          <c:xMode val="edge"/>
          <c:yMode val="edge"/>
          <c:x val="0.13642189170798141"/>
          <c:y val="0.19894826976415247"/>
          <c:w val="0.79734310804495756"/>
          <c:h val="0.60196196164973204"/>
        </c:manualLayout>
      </c:layout>
      <c:scatterChart>
        <c:scatterStyle val="smoothMarker"/>
        <c:varyColors val="0"/>
        <c:ser>
          <c:idx val="0"/>
          <c:order val="0"/>
          <c:tx>
            <c:strRef>
              <c:f>Sheet1!$I$5</c:f>
              <c:strCache>
                <c:ptCount val="1"/>
                <c:pt idx="0">
                  <c:v>LC-MS/MS Conc
(pg/mL)</c:v>
                </c:pt>
              </c:strCache>
            </c:strRef>
          </c:tx>
          <c:xVal>
            <c:numRef>
              <c:f>Sheet1!$H$20:$H$38</c:f>
              <c:numCache>
                <c:formatCode>General</c:formatCode>
                <c:ptCount val="19"/>
                <c:pt idx="0">
                  <c:v>0</c:v>
                </c:pt>
                <c:pt idx="1">
                  <c:v>1</c:v>
                </c:pt>
                <c:pt idx="2">
                  <c:v>2</c:v>
                </c:pt>
                <c:pt idx="3">
                  <c:v>4</c:v>
                </c:pt>
                <c:pt idx="4">
                  <c:v>6</c:v>
                </c:pt>
                <c:pt idx="5">
                  <c:v>12</c:v>
                </c:pt>
                <c:pt idx="6">
                  <c:v>23</c:v>
                </c:pt>
                <c:pt idx="7">
                  <c:v>24</c:v>
                </c:pt>
                <c:pt idx="8">
                  <c:v>25</c:v>
                </c:pt>
                <c:pt idx="9">
                  <c:v>26</c:v>
                </c:pt>
                <c:pt idx="10">
                  <c:v>28</c:v>
                </c:pt>
                <c:pt idx="11">
                  <c:v>30</c:v>
                </c:pt>
                <c:pt idx="12">
                  <c:v>36</c:v>
                </c:pt>
                <c:pt idx="13">
                  <c:v>47</c:v>
                </c:pt>
                <c:pt idx="14">
                  <c:v>48</c:v>
                </c:pt>
                <c:pt idx="15">
                  <c:v>49</c:v>
                </c:pt>
                <c:pt idx="16">
                  <c:v>50</c:v>
                </c:pt>
                <c:pt idx="17">
                  <c:v>52</c:v>
                </c:pt>
                <c:pt idx="18">
                  <c:v>54</c:v>
                </c:pt>
              </c:numCache>
            </c:numRef>
          </c:xVal>
          <c:yVal>
            <c:numRef>
              <c:f>Sheet1!$I$20:$I$38</c:f>
              <c:numCache>
                <c:formatCode>General</c:formatCode>
                <c:ptCount val="19"/>
                <c:pt idx="0">
                  <c:v>26.6</c:v>
                </c:pt>
                <c:pt idx="1">
                  <c:v>298</c:v>
                </c:pt>
                <c:pt idx="2">
                  <c:v>399</c:v>
                </c:pt>
                <c:pt idx="3">
                  <c:v>218</c:v>
                </c:pt>
                <c:pt idx="4">
                  <c:v>101</c:v>
                </c:pt>
                <c:pt idx="5">
                  <c:v>157</c:v>
                </c:pt>
                <c:pt idx="6">
                  <c:v>329</c:v>
                </c:pt>
                <c:pt idx="7">
                  <c:v>46.4</c:v>
                </c:pt>
                <c:pt idx="8">
                  <c:v>467</c:v>
                </c:pt>
                <c:pt idx="9">
                  <c:v>521</c:v>
                </c:pt>
                <c:pt idx="10">
                  <c:v>315</c:v>
                </c:pt>
                <c:pt idx="11">
                  <c:v>193</c:v>
                </c:pt>
                <c:pt idx="12">
                  <c:v>155</c:v>
                </c:pt>
                <c:pt idx="14">
                  <c:v>19.8</c:v>
                </c:pt>
                <c:pt idx="15">
                  <c:v>479</c:v>
                </c:pt>
                <c:pt idx="16">
                  <c:v>362</c:v>
                </c:pt>
                <c:pt idx="17">
                  <c:v>208</c:v>
                </c:pt>
                <c:pt idx="18">
                  <c:v>123</c:v>
                </c:pt>
              </c:numCache>
            </c:numRef>
          </c:yVal>
          <c:smooth val="1"/>
        </c:ser>
        <c:ser>
          <c:idx val="1"/>
          <c:order val="1"/>
          <c:tx>
            <c:strRef>
              <c:f>Sheet1!$K$5</c:f>
              <c:strCache>
                <c:ptCount val="1"/>
                <c:pt idx="0">
                  <c:v>RIA Conc (pg/mL)</c:v>
                </c:pt>
              </c:strCache>
            </c:strRef>
          </c:tx>
          <c:xVal>
            <c:numRef>
              <c:f>Sheet1!$H$20:$H$38</c:f>
              <c:numCache>
                <c:formatCode>General</c:formatCode>
                <c:ptCount val="19"/>
                <c:pt idx="0">
                  <c:v>0</c:v>
                </c:pt>
                <c:pt idx="1">
                  <c:v>1</c:v>
                </c:pt>
                <c:pt idx="2">
                  <c:v>2</c:v>
                </c:pt>
                <c:pt idx="3">
                  <c:v>4</c:v>
                </c:pt>
                <c:pt idx="4">
                  <c:v>6</c:v>
                </c:pt>
                <c:pt idx="5">
                  <c:v>12</c:v>
                </c:pt>
                <c:pt idx="6">
                  <c:v>23</c:v>
                </c:pt>
                <c:pt idx="7">
                  <c:v>24</c:v>
                </c:pt>
                <c:pt idx="8">
                  <c:v>25</c:v>
                </c:pt>
                <c:pt idx="9">
                  <c:v>26</c:v>
                </c:pt>
                <c:pt idx="10">
                  <c:v>28</c:v>
                </c:pt>
                <c:pt idx="11">
                  <c:v>30</c:v>
                </c:pt>
                <c:pt idx="12">
                  <c:v>36</c:v>
                </c:pt>
                <c:pt idx="13">
                  <c:v>47</c:v>
                </c:pt>
                <c:pt idx="14">
                  <c:v>48</c:v>
                </c:pt>
                <c:pt idx="15">
                  <c:v>49</c:v>
                </c:pt>
                <c:pt idx="16">
                  <c:v>50</c:v>
                </c:pt>
                <c:pt idx="17">
                  <c:v>52</c:v>
                </c:pt>
                <c:pt idx="18">
                  <c:v>54</c:v>
                </c:pt>
              </c:numCache>
            </c:numRef>
          </c:xVal>
          <c:yVal>
            <c:numRef>
              <c:f>Sheet1!$K$20:$K$38</c:f>
              <c:numCache>
                <c:formatCode>0</c:formatCode>
                <c:ptCount val="19"/>
                <c:pt idx="0">
                  <c:v>104.6841</c:v>
                </c:pt>
                <c:pt idx="1">
                  <c:v>532.59810000000004</c:v>
                </c:pt>
                <c:pt idx="2">
                  <c:v>516.44289999999796</c:v>
                </c:pt>
                <c:pt idx="3">
                  <c:v>379.83789999999999</c:v>
                </c:pt>
                <c:pt idx="4">
                  <c:v>219.40800000000004</c:v>
                </c:pt>
                <c:pt idx="5">
                  <c:v>260.13470000000001</c:v>
                </c:pt>
                <c:pt idx="6">
                  <c:v>257.70169999999899</c:v>
                </c:pt>
                <c:pt idx="7">
                  <c:v>179.1908</c:v>
                </c:pt>
                <c:pt idx="8">
                  <c:v>333.30149999999969</c:v>
                </c:pt>
                <c:pt idx="9">
                  <c:v>348.90269999999953</c:v>
                </c:pt>
                <c:pt idx="10">
                  <c:v>176.1088</c:v>
                </c:pt>
                <c:pt idx="11">
                  <c:v>195.47059999999999</c:v>
                </c:pt>
                <c:pt idx="12" formatCode="0.0">
                  <c:v>41.863610000000001</c:v>
                </c:pt>
                <c:pt idx="15">
                  <c:v>239.87969999999999</c:v>
                </c:pt>
                <c:pt idx="16" formatCode="0.0">
                  <c:v>192.72140000000024</c:v>
                </c:pt>
                <c:pt idx="17">
                  <c:v>129.41949999999997</c:v>
                </c:pt>
                <c:pt idx="18" formatCode="0.0">
                  <c:v>35.928640000000001</c:v>
                </c:pt>
              </c:numCache>
            </c:numRef>
          </c:yVal>
          <c:smooth val="1"/>
        </c:ser>
        <c:dLbls>
          <c:showLegendKey val="0"/>
          <c:showVal val="0"/>
          <c:showCatName val="0"/>
          <c:showSerName val="0"/>
          <c:showPercent val="0"/>
          <c:showBubbleSize val="0"/>
        </c:dLbls>
        <c:axId val="187443840"/>
        <c:axId val="188596992"/>
      </c:scatterChart>
      <c:valAx>
        <c:axId val="187443840"/>
        <c:scaling>
          <c:orientation val="minMax"/>
        </c:scaling>
        <c:delete val="0"/>
        <c:axPos val="b"/>
        <c:title>
          <c:tx>
            <c:rich>
              <a:bodyPr/>
              <a:lstStyle/>
              <a:p>
                <a:pPr>
                  <a:defRPr/>
                </a:pPr>
                <a:r>
                  <a:rPr lang="en-GB" sz="1000" b="1" i="0" u="none" strike="noStrike" baseline="0">
                    <a:effectLst/>
                  </a:rPr>
                  <a:t>Nominal Time (hr)</a:t>
                </a:r>
                <a:endParaRPr lang="en-GB"/>
              </a:p>
            </c:rich>
          </c:tx>
          <c:layout>
            <c:manualLayout>
              <c:xMode val="edge"/>
              <c:yMode val="edge"/>
              <c:x val="0.32433951741554501"/>
              <c:y val="0.88753669104971256"/>
            </c:manualLayout>
          </c:layout>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88596992"/>
        <c:crosses val="autoZero"/>
        <c:crossBetween val="midCat"/>
      </c:valAx>
      <c:valAx>
        <c:axId val="188596992"/>
        <c:scaling>
          <c:orientation val="minMax"/>
        </c:scaling>
        <c:delete val="0"/>
        <c:axPos val="l"/>
        <c:majorGridlines/>
        <c:numFmt formatCode="General" sourceLinked="1"/>
        <c:majorTickMark val="out"/>
        <c:minorTickMark val="none"/>
        <c:tickLblPos val="nextTo"/>
        <c:crossAx val="187443840"/>
        <c:crosses val="autoZero"/>
        <c:crossBetween val="midCat"/>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85403-03ED-41F5-8990-5ACB00E6E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36335</Words>
  <Characters>207110</Characters>
  <Application>Microsoft Office Word</Application>
  <DocSecurity>4</DocSecurity>
  <Lines>1725</Lines>
  <Paragraphs>485</Paragraphs>
  <ScaleCrop>false</ScaleCrop>
  <HeadingPairs>
    <vt:vector size="2" baseType="variant">
      <vt:variant>
        <vt:lpstr>Title</vt:lpstr>
      </vt:variant>
      <vt:variant>
        <vt:i4>1</vt:i4>
      </vt:variant>
    </vt:vector>
  </HeadingPairs>
  <TitlesOfParts>
    <vt:vector size="1" baseType="lpstr">
      <vt:lpstr/>
    </vt:vector>
  </TitlesOfParts>
  <Company>QBAS</Company>
  <LinksUpToDate>false</LinksUpToDate>
  <CharactersWithSpaces>242960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Howard</dc:creator>
  <cp:lastModifiedBy>Minnion, James S</cp:lastModifiedBy>
  <cp:revision>2</cp:revision>
  <cp:lastPrinted>2014-03-20T17:42:00Z</cp:lastPrinted>
  <dcterms:created xsi:type="dcterms:W3CDTF">2015-06-04T11:12:00Z</dcterms:created>
  <dcterms:modified xsi:type="dcterms:W3CDTF">2015-06-04T11:12:00Z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jimhowardxp@hotmail.com@www.mendeley.com</vt:lpwstr>
  </property>
  <property fmtid="{D5CDD505-2E9C-101B-9397-08002B2CF9AE}" pid="4" name="Mendeley Citation Style_1">
    <vt:lpwstr>http://www.zotero.org/styles/bioanalysis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http://www.zotero.org/styles/bioanalysis</vt:lpwstr>
  </property>
  <property fmtid="{D5CDD505-2E9C-101B-9397-08002B2CF9AE}" pid="14" name="Mendeley Recent Style Name 4_1">
    <vt:lpwstr>Bioanalysis</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16th edition (author-date)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http://www.zotero.org/styles/ieeebioanalysis</vt:lpwstr>
  </property>
  <property fmtid="{D5CDD505-2E9C-101B-9397-08002B2CF9AE}" pid="22" name="Mendeley Recent Style Name 8_1">
    <vt:lpwstr>IEEEBioanalysis</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3rd edition (note with bibliography)</vt:lpwstr>
  </property>
</Properties>
</file>