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B7E7CC" w14:textId="77777777" w:rsidR="00905D8E" w:rsidRPr="00905D8E" w:rsidRDefault="00905D8E" w:rsidP="00905D8E">
      <w:pPr>
        <w:spacing w:before="100" w:beforeAutospacing="1" w:after="100" w:afterAutospacing="1"/>
        <w:jc w:val="both"/>
        <w:rPr>
          <w:rFonts w:ascii="Arial" w:eastAsia="Times New Roman" w:hAnsi="Arial" w:cs="Arial"/>
          <w:b/>
          <w:bCs/>
          <w:color w:val="000000"/>
          <w:sz w:val="20"/>
          <w:szCs w:val="20"/>
          <w:lang w:eastAsia="en-GB"/>
        </w:rPr>
      </w:pPr>
      <w:r w:rsidRPr="00905D8E">
        <w:rPr>
          <w:rFonts w:ascii="Arial" w:eastAsia="Times New Roman" w:hAnsi="Arial" w:cs="Arial"/>
          <w:b/>
          <w:bCs/>
          <w:color w:val="000000"/>
          <w:sz w:val="20"/>
          <w:szCs w:val="20"/>
          <w:lang w:eastAsia="en-GB"/>
        </w:rPr>
        <w:t>099</w:t>
      </w:r>
    </w:p>
    <w:p w14:paraId="6C443886" w14:textId="77777777" w:rsidR="00905D8E" w:rsidRPr="00905D8E" w:rsidRDefault="00905D8E" w:rsidP="00905D8E">
      <w:pPr>
        <w:spacing w:before="100" w:beforeAutospacing="1" w:after="100" w:afterAutospacing="1"/>
        <w:rPr>
          <w:rFonts w:ascii="Arial" w:eastAsia="Times New Roman" w:hAnsi="Arial" w:cs="Arial"/>
          <w:b/>
          <w:bCs/>
          <w:color w:val="000000"/>
          <w:sz w:val="20"/>
          <w:szCs w:val="20"/>
          <w:lang w:eastAsia="en-GB"/>
        </w:rPr>
      </w:pPr>
      <w:r w:rsidRPr="00905D8E">
        <w:rPr>
          <w:rFonts w:ascii="Arial" w:eastAsia="Times New Roman" w:hAnsi="Arial" w:cs="Arial"/>
          <w:b/>
          <w:bCs/>
          <w:color w:val="000000"/>
          <w:sz w:val="20"/>
          <w:szCs w:val="20"/>
          <w:lang w:eastAsia="en-GB"/>
        </w:rPr>
        <w:t>Improving Accuracy and Knot-Strength in a Robotic Surgical Task in Surgical Residents - a Single Session tDCS Study</w:t>
      </w:r>
    </w:p>
    <w:p w14:paraId="10396E75" w14:textId="77777777" w:rsidR="00905D8E" w:rsidRPr="00905D8E" w:rsidRDefault="00905D8E" w:rsidP="00905D8E">
      <w:pPr>
        <w:spacing w:before="100" w:beforeAutospacing="1" w:after="100" w:afterAutospacing="1"/>
        <w:rPr>
          <w:rFonts w:ascii="Arial" w:eastAsia="Times New Roman" w:hAnsi="Arial" w:cs="Arial"/>
          <w:color w:val="000000"/>
          <w:sz w:val="20"/>
          <w:szCs w:val="20"/>
          <w:lang w:eastAsia="en-GB"/>
        </w:rPr>
      </w:pPr>
      <w:r w:rsidRPr="00905D8E">
        <w:rPr>
          <w:rFonts w:ascii="Arial" w:eastAsia="Times New Roman" w:hAnsi="Arial" w:cs="Arial"/>
          <w:color w:val="000000"/>
          <w:sz w:val="20"/>
          <w:szCs w:val="20"/>
          <w:u w:val="single"/>
          <w:lang w:eastAsia="en-GB"/>
        </w:rPr>
        <w:t>Patel R.</w:t>
      </w:r>
      <w:r w:rsidRPr="00905D8E">
        <w:rPr>
          <w:rFonts w:ascii="Arial" w:eastAsia="Times New Roman" w:hAnsi="Arial" w:cs="Arial"/>
          <w:color w:val="000000"/>
          <w:sz w:val="20"/>
          <w:szCs w:val="20"/>
          <w:vertAlign w:val="superscript"/>
          <w:lang w:eastAsia="en-GB"/>
        </w:rPr>
        <w:t>1</w:t>
      </w:r>
      <w:r w:rsidRPr="00905D8E">
        <w:rPr>
          <w:rFonts w:ascii="Arial" w:eastAsia="Times New Roman" w:hAnsi="Arial" w:cs="Arial"/>
          <w:color w:val="000000"/>
          <w:sz w:val="20"/>
          <w:szCs w:val="20"/>
          <w:lang w:eastAsia="en-GB"/>
        </w:rPr>
        <w:t xml:space="preserve">, </w:t>
      </w:r>
      <w:proofErr w:type="spellStart"/>
      <w:r w:rsidRPr="00905D8E">
        <w:rPr>
          <w:rFonts w:ascii="Arial" w:eastAsia="Times New Roman" w:hAnsi="Arial" w:cs="Arial"/>
          <w:color w:val="000000"/>
          <w:sz w:val="20"/>
          <w:szCs w:val="20"/>
          <w:lang w:eastAsia="en-GB"/>
        </w:rPr>
        <w:t>Suwa</w:t>
      </w:r>
      <w:proofErr w:type="spellEnd"/>
      <w:r w:rsidRPr="00905D8E">
        <w:rPr>
          <w:rFonts w:ascii="Arial" w:eastAsia="Times New Roman" w:hAnsi="Arial" w:cs="Arial"/>
          <w:color w:val="000000"/>
          <w:sz w:val="20"/>
          <w:szCs w:val="20"/>
          <w:lang w:eastAsia="en-GB"/>
        </w:rPr>
        <w:t> Y. </w:t>
      </w:r>
      <w:r w:rsidRPr="00905D8E">
        <w:rPr>
          <w:rFonts w:ascii="Arial" w:eastAsia="Times New Roman" w:hAnsi="Arial" w:cs="Arial"/>
          <w:color w:val="000000"/>
          <w:sz w:val="20"/>
          <w:szCs w:val="20"/>
          <w:vertAlign w:val="superscript"/>
          <w:lang w:eastAsia="en-GB"/>
        </w:rPr>
        <w:t>1</w:t>
      </w:r>
      <w:r w:rsidRPr="00905D8E">
        <w:rPr>
          <w:rFonts w:ascii="Arial" w:eastAsia="Times New Roman" w:hAnsi="Arial" w:cs="Arial"/>
          <w:color w:val="000000"/>
          <w:sz w:val="20"/>
          <w:szCs w:val="20"/>
          <w:lang w:eastAsia="en-GB"/>
        </w:rPr>
        <w:t>, Kinross J. </w:t>
      </w:r>
      <w:r w:rsidRPr="00905D8E">
        <w:rPr>
          <w:rFonts w:ascii="Arial" w:eastAsia="Times New Roman" w:hAnsi="Arial" w:cs="Arial"/>
          <w:color w:val="000000"/>
          <w:sz w:val="20"/>
          <w:szCs w:val="20"/>
          <w:vertAlign w:val="superscript"/>
          <w:lang w:eastAsia="en-GB"/>
        </w:rPr>
        <w:t>1</w:t>
      </w:r>
      <w:r w:rsidRPr="00905D8E">
        <w:rPr>
          <w:rFonts w:ascii="Arial" w:eastAsia="Times New Roman" w:hAnsi="Arial" w:cs="Arial"/>
          <w:color w:val="000000"/>
          <w:sz w:val="20"/>
          <w:szCs w:val="20"/>
          <w:lang w:eastAsia="en-GB"/>
        </w:rPr>
        <w:t xml:space="preserve">, von </w:t>
      </w:r>
      <w:proofErr w:type="spellStart"/>
      <w:r w:rsidRPr="00905D8E">
        <w:rPr>
          <w:rFonts w:ascii="Arial" w:eastAsia="Times New Roman" w:hAnsi="Arial" w:cs="Arial"/>
          <w:color w:val="000000"/>
          <w:sz w:val="20"/>
          <w:szCs w:val="20"/>
          <w:lang w:eastAsia="en-GB"/>
        </w:rPr>
        <w:t>Roon</w:t>
      </w:r>
      <w:proofErr w:type="spellEnd"/>
      <w:r w:rsidRPr="00905D8E">
        <w:rPr>
          <w:rFonts w:ascii="Arial" w:eastAsia="Times New Roman" w:hAnsi="Arial" w:cs="Arial"/>
          <w:color w:val="000000"/>
          <w:sz w:val="20"/>
          <w:szCs w:val="20"/>
          <w:lang w:eastAsia="en-GB"/>
        </w:rPr>
        <w:t> A. </w:t>
      </w:r>
      <w:r w:rsidRPr="00905D8E">
        <w:rPr>
          <w:rFonts w:ascii="Arial" w:eastAsia="Times New Roman" w:hAnsi="Arial" w:cs="Arial"/>
          <w:color w:val="000000"/>
          <w:sz w:val="20"/>
          <w:szCs w:val="20"/>
          <w:vertAlign w:val="superscript"/>
          <w:lang w:eastAsia="en-GB"/>
        </w:rPr>
        <w:t>1</w:t>
      </w:r>
      <w:r w:rsidRPr="00905D8E">
        <w:rPr>
          <w:rFonts w:ascii="Arial" w:eastAsia="Times New Roman" w:hAnsi="Arial" w:cs="Arial"/>
          <w:color w:val="000000"/>
          <w:sz w:val="20"/>
          <w:szCs w:val="20"/>
          <w:lang w:eastAsia="en-GB"/>
        </w:rPr>
        <w:t>, Woods A. </w:t>
      </w:r>
      <w:r w:rsidRPr="00905D8E">
        <w:rPr>
          <w:rFonts w:ascii="Arial" w:eastAsia="Times New Roman" w:hAnsi="Arial" w:cs="Arial"/>
          <w:color w:val="000000"/>
          <w:sz w:val="20"/>
          <w:szCs w:val="20"/>
          <w:vertAlign w:val="superscript"/>
          <w:lang w:eastAsia="en-GB"/>
        </w:rPr>
        <w:t>2</w:t>
      </w:r>
      <w:r w:rsidRPr="00905D8E">
        <w:rPr>
          <w:rFonts w:ascii="Arial" w:eastAsia="Times New Roman" w:hAnsi="Arial" w:cs="Arial"/>
          <w:color w:val="000000"/>
          <w:sz w:val="20"/>
          <w:szCs w:val="20"/>
          <w:lang w:eastAsia="en-GB"/>
        </w:rPr>
        <w:t>, Darzi A. </w:t>
      </w:r>
      <w:r w:rsidRPr="00905D8E">
        <w:rPr>
          <w:rFonts w:ascii="Arial" w:eastAsia="Times New Roman" w:hAnsi="Arial" w:cs="Arial"/>
          <w:color w:val="000000"/>
          <w:sz w:val="20"/>
          <w:szCs w:val="20"/>
          <w:vertAlign w:val="superscript"/>
          <w:lang w:eastAsia="en-GB"/>
        </w:rPr>
        <w:t>1</w:t>
      </w:r>
      <w:r w:rsidRPr="00905D8E">
        <w:rPr>
          <w:rFonts w:ascii="Arial" w:eastAsia="Times New Roman" w:hAnsi="Arial" w:cs="Arial"/>
          <w:color w:val="000000"/>
          <w:sz w:val="20"/>
          <w:szCs w:val="20"/>
          <w:lang w:eastAsia="en-GB"/>
        </w:rPr>
        <w:t>, Singh H. </w:t>
      </w:r>
      <w:r w:rsidRPr="00905D8E">
        <w:rPr>
          <w:rFonts w:ascii="Arial" w:eastAsia="Times New Roman" w:hAnsi="Arial" w:cs="Arial"/>
          <w:color w:val="000000"/>
          <w:sz w:val="20"/>
          <w:szCs w:val="20"/>
          <w:vertAlign w:val="superscript"/>
          <w:lang w:eastAsia="en-GB"/>
        </w:rPr>
        <w:t>1</w:t>
      </w:r>
      <w:r w:rsidRPr="00905D8E">
        <w:rPr>
          <w:rFonts w:ascii="Arial" w:eastAsia="Times New Roman" w:hAnsi="Arial" w:cs="Arial"/>
          <w:color w:val="000000"/>
          <w:sz w:val="20"/>
          <w:szCs w:val="20"/>
          <w:lang w:eastAsia="en-GB"/>
        </w:rPr>
        <w:t xml:space="preserve">, </w:t>
      </w:r>
      <w:proofErr w:type="spellStart"/>
      <w:r w:rsidRPr="00905D8E">
        <w:rPr>
          <w:rFonts w:ascii="Arial" w:eastAsia="Times New Roman" w:hAnsi="Arial" w:cs="Arial"/>
          <w:color w:val="000000"/>
          <w:sz w:val="20"/>
          <w:szCs w:val="20"/>
          <w:lang w:eastAsia="en-GB"/>
        </w:rPr>
        <w:t>Leff</w:t>
      </w:r>
      <w:proofErr w:type="spellEnd"/>
      <w:r w:rsidRPr="00905D8E">
        <w:rPr>
          <w:rFonts w:ascii="Arial" w:eastAsia="Times New Roman" w:hAnsi="Arial" w:cs="Arial"/>
          <w:color w:val="000000"/>
          <w:sz w:val="20"/>
          <w:szCs w:val="20"/>
          <w:lang w:eastAsia="en-GB"/>
        </w:rPr>
        <w:t> D. </w:t>
      </w:r>
      <w:r w:rsidRPr="00905D8E">
        <w:rPr>
          <w:rFonts w:ascii="Arial" w:eastAsia="Times New Roman" w:hAnsi="Arial" w:cs="Arial"/>
          <w:color w:val="000000"/>
          <w:sz w:val="20"/>
          <w:szCs w:val="20"/>
          <w:vertAlign w:val="superscript"/>
          <w:lang w:eastAsia="en-GB"/>
        </w:rPr>
        <w:t>1</w:t>
      </w:r>
      <w:r w:rsidRPr="00905D8E">
        <w:rPr>
          <w:rFonts w:ascii="Arial" w:eastAsia="Times New Roman" w:hAnsi="Arial" w:cs="Arial"/>
          <w:color w:val="000000"/>
          <w:sz w:val="20"/>
          <w:szCs w:val="20"/>
          <w:lang w:eastAsia="en-GB"/>
        </w:rPr>
        <w:br/>
      </w:r>
      <w:r w:rsidRPr="00905D8E">
        <w:rPr>
          <w:rFonts w:ascii="Arial" w:eastAsia="Times New Roman" w:hAnsi="Arial" w:cs="Arial"/>
          <w:color w:val="000000"/>
          <w:sz w:val="20"/>
          <w:szCs w:val="20"/>
          <w:vertAlign w:val="superscript"/>
          <w:lang w:eastAsia="en-GB"/>
        </w:rPr>
        <w:t>1</w:t>
      </w:r>
      <w:r w:rsidRPr="00905D8E">
        <w:rPr>
          <w:rFonts w:ascii="Arial" w:eastAsia="Times New Roman" w:hAnsi="Arial" w:cs="Arial"/>
          <w:color w:val="000000"/>
          <w:sz w:val="20"/>
          <w:szCs w:val="20"/>
          <w:lang w:eastAsia="en-GB"/>
        </w:rPr>
        <w:t>Imperial College London, Surgery and Cancer, London, United Kingdom</w:t>
      </w:r>
      <w:r w:rsidRPr="00905D8E">
        <w:rPr>
          <w:rFonts w:ascii="Arial" w:eastAsia="Times New Roman" w:hAnsi="Arial" w:cs="Arial"/>
          <w:color w:val="000000"/>
          <w:sz w:val="20"/>
          <w:szCs w:val="20"/>
          <w:lang w:eastAsia="en-GB"/>
        </w:rPr>
        <w:br/>
      </w:r>
      <w:r w:rsidRPr="00905D8E">
        <w:rPr>
          <w:rFonts w:ascii="Arial" w:eastAsia="Times New Roman" w:hAnsi="Arial" w:cs="Arial"/>
          <w:color w:val="000000"/>
          <w:sz w:val="20"/>
          <w:szCs w:val="20"/>
          <w:vertAlign w:val="superscript"/>
          <w:lang w:eastAsia="en-GB"/>
        </w:rPr>
        <w:t>2</w:t>
      </w:r>
      <w:r w:rsidRPr="00905D8E">
        <w:rPr>
          <w:rFonts w:ascii="Arial" w:eastAsia="Times New Roman" w:hAnsi="Arial" w:cs="Arial"/>
          <w:color w:val="000000"/>
          <w:sz w:val="20"/>
          <w:szCs w:val="20"/>
          <w:lang w:eastAsia="en-GB"/>
        </w:rPr>
        <w:t>University of Florida, Department of Clinical and Health Psychology, Florida, United States</w:t>
      </w:r>
    </w:p>
    <w:p w14:paraId="000FD977" w14:textId="7B1662CC" w:rsidR="00905D8E" w:rsidRPr="00905D8E" w:rsidRDefault="00905D8E" w:rsidP="00905D8E">
      <w:pPr>
        <w:spacing w:before="100" w:beforeAutospacing="1" w:after="100" w:afterAutospacing="1"/>
        <w:contextualSpacing/>
        <w:jc w:val="both"/>
        <w:rPr>
          <w:rFonts w:ascii="Times" w:eastAsia="Times New Roman" w:hAnsi="Times" w:cs="Times New Roman"/>
          <w:color w:val="000000"/>
          <w:lang w:eastAsia="en-GB"/>
        </w:rPr>
      </w:pPr>
      <w:r w:rsidRPr="00905D8E">
        <w:rPr>
          <w:rFonts w:ascii="Times" w:eastAsia="Times New Roman" w:hAnsi="Times" w:cs="Times New Roman"/>
          <w:color w:val="000000"/>
          <w:lang w:eastAsia="en-GB"/>
        </w:rPr>
        <w:t>INTRODUCTION</w:t>
      </w:r>
    </w:p>
    <w:p w14:paraId="3B51EF57" w14:textId="4A1FE5EE" w:rsidR="00905D8E" w:rsidRPr="00905D8E" w:rsidRDefault="00905D8E" w:rsidP="00905D8E">
      <w:pPr>
        <w:spacing w:before="100" w:beforeAutospacing="1" w:after="100" w:afterAutospacing="1"/>
        <w:jc w:val="both"/>
        <w:rPr>
          <w:rFonts w:ascii="Times" w:eastAsia="Times New Roman" w:hAnsi="Times" w:cs="Times New Roman"/>
          <w:color w:val="000000"/>
          <w:lang w:eastAsia="en-GB"/>
        </w:rPr>
      </w:pPr>
      <w:r w:rsidRPr="00905D8E">
        <w:rPr>
          <w:rFonts w:ascii="Times" w:eastAsia="Times New Roman" w:hAnsi="Times" w:cs="Times New Roman"/>
          <w:color w:val="000000"/>
          <w:lang w:eastAsia="en-GB"/>
        </w:rPr>
        <w:t xml:space="preserve">Complex surgical tasks, such as robotic suturing, typically require extensive training to facilitate development of surgical proficiency, opportunities for which have become limited with recent healthcare reforms. Non-invasive brain stimulation with transcranial Direct-Current Stimulation (tDCS) has recently demonstrated improvements in motor strength, hand dexterity and skills learning. Despite these advantages, studies investigating the impact of tDCS on surgical performance are limited; existing studies involve disproportionate </w:t>
      </w:r>
      <w:proofErr w:type="spellStart"/>
      <w:r w:rsidRPr="00905D8E">
        <w:rPr>
          <w:rFonts w:ascii="Times" w:eastAsia="Times New Roman" w:hAnsi="Times" w:cs="Times New Roman"/>
          <w:color w:val="000000"/>
          <w:lang w:eastAsia="en-GB"/>
        </w:rPr>
        <w:t>taks</w:t>
      </w:r>
      <w:proofErr w:type="spellEnd"/>
      <w:r w:rsidRPr="00905D8E">
        <w:rPr>
          <w:rFonts w:ascii="Times" w:eastAsia="Times New Roman" w:hAnsi="Times" w:cs="Times New Roman"/>
          <w:color w:val="000000"/>
          <w:lang w:eastAsia="en-GB"/>
        </w:rPr>
        <w:t xml:space="preserve"> or stimulation of the motor cortex. Our group has previously demonstrated acquisition of a new surgical skill to be dependent upon prefrontal cortex engagement which might represent an appropriate area for neuro-augmentation with tDCS. The results attest to the impact of bifrontal tDCS to improve robotic surgical performance in a cohort of surgical trainees.</w:t>
      </w:r>
    </w:p>
    <w:p w14:paraId="2C040D90" w14:textId="0DCDEABC" w:rsidR="00905D8E" w:rsidRPr="00905D8E" w:rsidRDefault="00905D8E" w:rsidP="00905D8E">
      <w:pPr>
        <w:spacing w:before="100" w:beforeAutospacing="1" w:after="100" w:afterAutospacing="1"/>
        <w:contextualSpacing/>
        <w:jc w:val="both"/>
        <w:rPr>
          <w:rFonts w:ascii="Times" w:eastAsia="Times New Roman" w:hAnsi="Times" w:cs="Times New Roman"/>
          <w:color w:val="000000"/>
          <w:lang w:eastAsia="en-GB"/>
        </w:rPr>
      </w:pPr>
      <w:r w:rsidRPr="00905D8E">
        <w:rPr>
          <w:rFonts w:ascii="Times" w:eastAsia="Times New Roman" w:hAnsi="Times" w:cs="Times New Roman"/>
          <w:color w:val="000000"/>
          <w:lang w:eastAsia="en-GB"/>
        </w:rPr>
        <w:t>METHODS</w:t>
      </w:r>
    </w:p>
    <w:p w14:paraId="4E37C850" w14:textId="7B27CAA2" w:rsidR="00905D8E" w:rsidRPr="00905D8E" w:rsidRDefault="00905D8E" w:rsidP="00905D8E">
      <w:pPr>
        <w:spacing w:before="100" w:beforeAutospacing="1" w:after="100" w:afterAutospacing="1"/>
        <w:jc w:val="both"/>
        <w:rPr>
          <w:rFonts w:ascii="Times" w:eastAsia="Times New Roman" w:hAnsi="Times" w:cs="Times New Roman"/>
          <w:color w:val="000000"/>
          <w:lang w:eastAsia="en-GB"/>
        </w:rPr>
      </w:pPr>
      <w:r w:rsidRPr="00905D8E">
        <w:rPr>
          <w:rFonts w:ascii="Times" w:eastAsia="Times New Roman" w:hAnsi="Times" w:cs="Times New Roman"/>
          <w:color w:val="000000"/>
          <w:lang w:eastAsia="en-GB"/>
        </w:rPr>
        <w:t>In a double-blind crossover trial design, 15 right-handed surgical registrars (8 males, 7 females; age range 30-38 years) naïve to robotic surgery were randomised to either active or sham tDCS in two separate sessions in a counterbalanced order. The active group received 2mA to the prefrontal cortex bilaterally for 15 minutes whilst the sham group received 30s ramp up followed by immediate ramp down. During each session, subjects performed a robotic-suturing task three times defined as "pre-", "intra-" and "post-intervention" episodes. Time (seconds) and multi-modal measures of technical skill were assessed.</w:t>
      </w:r>
    </w:p>
    <w:p w14:paraId="71F1C6A8" w14:textId="5A472683" w:rsidR="00905D8E" w:rsidRPr="00905D8E" w:rsidRDefault="00905D8E" w:rsidP="00905D8E">
      <w:pPr>
        <w:spacing w:before="100" w:beforeAutospacing="1" w:after="100" w:afterAutospacing="1"/>
        <w:contextualSpacing/>
        <w:jc w:val="both"/>
        <w:rPr>
          <w:rFonts w:ascii="Times" w:eastAsia="Times New Roman" w:hAnsi="Times" w:cs="Times New Roman"/>
          <w:color w:val="000000"/>
          <w:lang w:eastAsia="en-GB"/>
        </w:rPr>
      </w:pPr>
      <w:r w:rsidRPr="00905D8E">
        <w:rPr>
          <w:rFonts w:ascii="Times" w:eastAsia="Times New Roman" w:hAnsi="Times" w:cs="Times New Roman"/>
          <w:color w:val="000000"/>
          <w:lang w:eastAsia="en-GB"/>
        </w:rPr>
        <w:t>RESULTS</w:t>
      </w:r>
    </w:p>
    <w:p w14:paraId="539BD36C" w14:textId="0C20EB3D" w:rsidR="00905D8E" w:rsidRPr="00905D8E" w:rsidRDefault="00905D8E" w:rsidP="00905D8E">
      <w:pPr>
        <w:spacing w:before="100" w:beforeAutospacing="1" w:after="100" w:afterAutospacing="1"/>
        <w:jc w:val="both"/>
        <w:rPr>
          <w:rFonts w:ascii="Times" w:eastAsia="Times New Roman" w:hAnsi="Times" w:cs="Times New Roman"/>
          <w:color w:val="000000"/>
          <w:lang w:eastAsia="en-GB"/>
        </w:rPr>
      </w:pPr>
      <w:r w:rsidRPr="00905D8E">
        <w:rPr>
          <w:rFonts w:ascii="Times" w:eastAsia="Times New Roman" w:hAnsi="Times" w:cs="Times New Roman"/>
          <w:color w:val="000000"/>
          <w:lang w:eastAsia="en-GB"/>
        </w:rPr>
        <w:t>There were no significant baseline differences in performance between the two groups. Both groups demonstrated significantly faster completion times from "pre" to "post-intervention" [median (IQR); active: pre=143s (83) vs. post=113s (40), </w:t>
      </w:r>
      <w:r w:rsidRPr="00905D8E">
        <w:rPr>
          <w:rFonts w:ascii="Times" w:eastAsia="Times New Roman" w:hAnsi="Times" w:cs="Times New Roman"/>
          <w:i/>
          <w:iCs/>
          <w:color w:val="000000"/>
          <w:lang w:eastAsia="en-GB"/>
        </w:rPr>
        <w:t>p&lt;0.001</w:t>
      </w:r>
      <w:r w:rsidRPr="00905D8E">
        <w:rPr>
          <w:rFonts w:ascii="Times" w:eastAsia="Times New Roman" w:hAnsi="Times" w:cs="Times New Roman"/>
          <w:color w:val="000000"/>
          <w:lang w:eastAsia="en-GB"/>
        </w:rPr>
        <w:t>; sham: pre=152s (81) vs. post=115s (64), </w:t>
      </w:r>
      <w:r w:rsidRPr="00905D8E">
        <w:rPr>
          <w:rFonts w:ascii="Times" w:eastAsia="Times New Roman" w:hAnsi="Times" w:cs="Times New Roman"/>
          <w:i/>
          <w:iCs/>
          <w:color w:val="000000"/>
          <w:lang w:eastAsia="en-GB"/>
        </w:rPr>
        <w:t>p&lt;0.001</w:t>
      </w:r>
      <w:r w:rsidRPr="00905D8E">
        <w:rPr>
          <w:rFonts w:ascii="Times" w:eastAsia="Times New Roman" w:hAnsi="Times" w:cs="Times New Roman"/>
          <w:color w:val="000000"/>
          <w:lang w:eastAsia="en-GB"/>
        </w:rPr>
        <w:t>]. In the active tDCS group, significant improvement was observed in error scores from "pre- "to "post-" [median (IQR): pre=1mm (2) vs. post=1mm (1), </w:t>
      </w:r>
      <w:r w:rsidRPr="00905D8E">
        <w:rPr>
          <w:rFonts w:ascii="Times" w:eastAsia="Times New Roman" w:hAnsi="Times" w:cs="Times New Roman"/>
          <w:i/>
          <w:iCs/>
          <w:color w:val="000000"/>
          <w:lang w:eastAsia="en-GB"/>
        </w:rPr>
        <w:t>p&lt;0.01</w:t>
      </w:r>
      <w:r w:rsidRPr="00905D8E">
        <w:rPr>
          <w:rFonts w:ascii="Times" w:eastAsia="Times New Roman" w:hAnsi="Times" w:cs="Times New Roman"/>
          <w:color w:val="000000"/>
          <w:lang w:eastAsia="en-GB"/>
        </w:rPr>
        <w:t>]. Knot tensile strength was significantly greater following active tDCS compared to sham stimulation [median (IQR); active=44.46N (32.48) vs. sham=29.66N (51.13) respectively, </w:t>
      </w:r>
      <w:r w:rsidRPr="00905D8E">
        <w:rPr>
          <w:rFonts w:ascii="Times" w:eastAsia="Times New Roman" w:hAnsi="Times" w:cs="Times New Roman"/>
          <w:i/>
          <w:iCs/>
          <w:color w:val="000000"/>
          <w:lang w:eastAsia="en-GB"/>
        </w:rPr>
        <w:t>p&lt;0.01</w:t>
      </w:r>
      <w:r w:rsidRPr="00905D8E">
        <w:rPr>
          <w:rFonts w:ascii="Times" w:eastAsia="Times New Roman" w:hAnsi="Times" w:cs="Times New Roman"/>
          <w:color w:val="000000"/>
          <w:lang w:eastAsia="en-GB"/>
        </w:rPr>
        <w:t>]. There were no significant differences in progression scores and all other between and across-group comparisons were not significant.</w:t>
      </w:r>
    </w:p>
    <w:p w14:paraId="60ACFF19" w14:textId="69FAA8F9" w:rsidR="00905D8E" w:rsidRPr="00905D8E" w:rsidRDefault="00905D8E" w:rsidP="00905D8E">
      <w:pPr>
        <w:spacing w:before="100" w:beforeAutospacing="1" w:after="100" w:afterAutospacing="1"/>
        <w:contextualSpacing/>
        <w:jc w:val="both"/>
        <w:rPr>
          <w:rFonts w:ascii="Times" w:eastAsia="Times New Roman" w:hAnsi="Times" w:cs="Times New Roman"/>
          <w:color w:val="000000"/>
          <w:lang w:eastAsia="en-GB"/>
        </w:rPr>
      </w:pPr>
      <w:r w:rsidRPr="00905D8E">
        <w:rPr>
          <w:rFonts w:ascii="Times" w:eastAsia="Times New Roman" w:hAnsi="Times" w:cs="Times New Roman"/>
          <w:color w:val="000000"/>
          <w:lang w:eastAsia="en-GB"/>
        </w:rPr>
        <w:t>DISCUSSION</w:t>
      </w:r>
    </w:p>
    <w:p w14:paraId="494C7E11" w14:textId="607EF863" w:rsidR="005A7E6D" w:rsidRPr="00EB69A4" w:rsidRDefault="00905D8E" w:rsidP="00EB69A4">
      <w:pPr>
        <w:spacing w:before="100" w:beforeAutospacing="1" w:after="100" w:afterAutospacing="1"/>
        <w:jc w:val="both"/>
        <w:rPr>
          <w:rFonts w:ascii="Times" w:eastAsia="Times New Roman" w:hAnsi="Times" w:cs="Times New Roman"/>
          <w:color w:val="000000"/>
          <w:lang w:eastAsia="en-GB"/>
        </w:rPr>
      </w:pPr>
      <w:r w:rsidRPr="00905D8E">
        <w:rPr>
          <w:rFonts w:ascii="Times" w:eastAsia="Times New Roman" w:hAnsi="Times" w:cs="Times New Roman"/>
          <w:color w:val="000000"/>
          <w:lang w:eastAsia="en-GB"/>
        </w:rPr>
        <w:t>This study is the first to demonstrate the potential of tDCS to not only reduce error but enhance knot tensile strengths during robotic suturing. Further studies are required to further define the parameters and timing of tDCS to maximise benefits for applications in surgical training. We acknowledge the clinical impact of performance enhancement with tDCS is currently unknown and requires further research to elucidate benefits to clinical outcomes and patient safety</w:t>
      </w:r>
    </w:p>
    <w:sectPr w:rsidR="005A7E6D" w:rsidRPr="00EB69A4" w:rsidSect="0029585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D8E"/>
    <w:rsid w:val="000312DB"/>
    <w:rsid w:val="0029585C"/>
    <w:rsid w:val="00905D8E"/>
    <w:rsid w:val="00B00D11"/>
    <w:rsid w:val="00B45EE1"/>
    <w:rsid w:val="00EB69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508B3"/>
  <w15:chartTrackingRefBased/>
  <w15:docId w15:val="{91140D04-57A7-BF42-8D2C-082A99427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
    <w:name w:val="head"/>
    <w:basedOn w:val="Normal"/>
    <w:rsid w:val="00905D8E"/>
    <w:pPr>
      <w:spacing w:before="100" w:beforeAutospacing="1" w:after="100" w:afterAutospacing="1"/>
    </w:pPr>
    <w:rPr>
      <w:rFonts w:ascii="Times New Roman" w:eastAsia="Times New Roman" w:hAnsi="Times New Roman" w:cs="Times New Roman"/>
      <w:lang w:eastAsia="en-GB"/>
    </w:rPr>
  </w:style>
  <w:style w:type="paragraph" w:customStyle="1" w:styleId="Title1">
    <w:name w:val="Title1"/>
    <w:basedOn w:val="Normal"/>
    <w:rsid w:val="00905D8E"/>
    <w:pPr>
      <w:spacing w:before="100" w:beforeAutospacing="1" w:after="100" w:afterAutospacing="1"/>
    </w:pPr>
    <w:rPr>
      <w:rFonts w:ascii="Times New Roman" w:eastAsia="Times New Roman" w:hAnsi="Times New Roman" w:cs="Times New Roman"/>
      <w:lang w:eastAsia="en-GB"/>
    </w:rPr>
  </w:style>
  <w:style w:type="paragraph" w:customStyle="1" w:styleId="authors">
    <w:name w:val="authors"/>
    <w:basedOn w:val="Normal"/>
    <w:rsid w:val="00905D8E"/>
    <w:pPr>
      <w:spacing w:before="100" w:beforeAutospacing="1" w:after="100" w:afterAutospacing="1"/>
    </w:pPr>
    <w:rPr>
      <w:rFonts w:ascii="Times New Roman" w:eastAsia="Times New Roman" w:hAnsi="Times New Roman" w:cs="Times New Roman"/>
      <w:lang w:eastAsia="en-GB"/>
    </w:rPr>
  </w:style>
  <w:style w:type="paragraph" w:styleId="NormalWeb">
    <w:name w:val="Normal (Web)"/>
    <w:basedOn w:val="Normal"/>
    <w:uiPriority w:val="99"/>
    <w:semiHidden/>
    <w:unhideWhenUsed/>
    <w:rsid w:val="00905D8E"/>
    <w:pPr>
      <w:spacing w:before="100" w:beforeAutospacing="1" w:after="100" w:afterAutospacing="1"/>
    </w:pPr>
    <w:rPr>
      <w:rFonts w:ascii="Times New Roman" w:eastAsia="Times New Roman" w:hAnsi="Times New Roman" w:cs="Times New Roman"/>
      <w:lang w:eastAsia="en-GB"/>
    </w:rPr>
  </w:style>
  <w:style w:type="character" w:styleId="Emphasis">
    <w:name w:val="Emphasis"/>
    <w:basedOn w:val="DefaultParagraphFont"/>
    <w:uiPriority w:val="20"/>
    <w:qFormat/>
    <w:rsid w:val="00905D8E"/>
    <w:rPr>
      <w:i/>
      <w:iCs/>
    </w:rPr>
  </w:style>
  <w:style w:type="character" w:styleId="Strong">
    <w:name w:val="Strong"/>
    <w:basedOn w:val="DefaultParagraphFont"/>
    <w:uiPriority w:val="22"/>
    <w:qFormat/>
    <w:rsid w:val="00905D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9186702">
      <w:bodyDiv w:val="1"/>
      <w:marLeft w:val="0"/>
      <w:marRight w:val="0"/>
      <w:marTop w:val="0"/>
      <w:marBottom w:val="0"/>
      <w:divBdr>
        <w:top w:val="none" w:sz="0" w:space="0" w:color="auto"/>
        <w:left w:val="none" w:sz="0" w:space="0" w:color="auto"/>
        <w:bottom w:val="none" w:sz="0" w:space="0" w:color="auto"/>
        <w:right w:val="none" w:sz="0" w:space="0" w:color="auto"/>
      </w:divBdr>
    </w:div>
    <w:div w:id="1651060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474</Words>
  <Characters>2707</Characters>
  <Application>Microsoft Office Word</Application>
  <DocSecurity>0</DocSecurity>
  <Lines>22</Lines>
  <Paragraphs>6</Paragraphs>
  <ScaleCrop>false</ScaleCrop>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Ronak Patel</dc:creator>
  <cp:keywords/>
  <dc:description/>
  <cp:lastModifiedBy>Ronak Patel</cp:lastModifiedBy>
  <cp:revision>2</cp:revision>
  <dcterms:created xsi:type="dcterms:W3CDTF">2019-11-01T09:06:00Z</dcterms:created>
  <dcterms:modified xsi:type="dcterms:W3CDTF">2022-05-04T08:26:00Z</dcterms:modified>
</cp:coreProperties>
</file>