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00A96F" w14:textId="625BED16" w:rsidR="002B3689" w:rsidRPr="008268DF" w:rsidRDefault="00CD0F05" w:rsidP="000E4056">
      <w:pPr>
        <w:spacing w:line="276" w:lineRule="auto"/>
        <w:rPr>
          <w:rFonts w:ascii="Calibri" w:hAnsi="Calibri" w:cs="Calibri"/>
          <w:sz w:val="28"/>
          <w:szCs w:val="28"/>
        </w:rPr>
      </w:pPr>
      <w:r w:rsidRPr="008268DF">
        <w:rPr>
          <w:rFonts w:ascii="Calibri" w:hAnsi="Calibri" w:cs="Calibri"/>
          <w:sz w:val="28"/>
          <w:szCs w:val="28"/>
        </w:rPr>
        <w:t xml:space="preserve">Women’s </w:t>
      </w:r>
      <w:r w:rsidR="00E77E16" w:rsidRPr="008268DF">
        <w:rPr>
          <w:rFonts w:ascii="Calibri" w:hAnsi="Calibri" w:cs="Calibri"/>
          <w:sz w:val="28"/>
          <w:szCs w:val="28"/>
        </w:rPr>
        <w:t>R</w:t>
      </w:r>
      <w:r w:rsidRPr="008268DF">
        <w:rPr>
          <w:rFonts w:ascii="Calibri" w:hAnsi="Calibri" w:cs="Calibri"/>
          <w:sz w:val="28"/>
          <w:szCs w:val="28"/>
        </w:rPr>
        <w:t xml:space="preserve">ights and </w:t>
      </w:r>
      <w:r w:rsidR="00E77E16" w:rsidRPr="008268DF">
        <w:rPr>
          <w:rFonts w:ascii="Calibri" w:hAnsi="Calibri" w:cs="Calibri"/>
          <w:sz w:val="28"/>
          <w:szCs w:val="28"/>
        </w:rPr>
        <w:t>G</w:t>
      </w:r>
      <w:r w:rsidRPr="008268DF">
        <w:rPr>
          <w:rFonts w:ascii="Calibri" w:hAnsi="Calibri" w:cs="Calibri"/>
          <w:sz w:val="28"/>
          <w:szCs w:val="28"/>
        </w:rPr>
        <w:t xml:space="preserve">ender </w:t>
      </w:r>
      <w:r w:rsidR="00E77E16" w:rsidRPr="008268DF">
        <w:rPr>
          <w:rFonts w:ascii="Calibri" w:hAnsi="Calibri" w:cs="Calibri"/>
          <w:sz w:val="28"/>
          <w:szCs w:val="28"/>
        </w:rPr>
        <w:t>E</w:t>
      </w:r>
      <w:r w:rsidRPr="008268DF">
        <w:rPr>
          <w:rFonts w:ascii="Calibri" w:hAnsi="Calibri" w:cs="Calibri"/>
          <w:sz w:val="28"/>
          <w:szCs w:val="28"/>
        </w:rPr>
        <w:t xml:space="preserve">quality: A </w:t>
      </w:r>
      <w:r w:rsidR="00E77E16" w:rsidRPr="008268DF">
        <w:rPr>
          <w:rFonts w:ascii="Calibri" w:hAnsi="Calibri" w:cs="Calibri"/>
          <w:sz w:val="28"/>
          <w:szCs w:val="28"/>
        </w:rPr>
        <w:t>G</w:t>
      </w:r>
      <w:r w:rsidRPr="008268DF">
        <w:rPr>
          <w:rFonts w:ascii="Calibri" w:hAnsi="Calibri" w:cs="Calibri"/>
          <w:sz w:val="28"/>
          <w:szCs w:val="28"/>
        </w:rPr>
        <w:t xml:space="preserve">lobal </w:t>
      </w:r>
      <w:r w:rsidR="00E77E16" w:rsidRPr="008268DF">
        <w:rPr>
          <w:rFonts w:ascii="Calibri" w:hAnsi="Calibri" w:cs="Calibri"/>
          <w:sz w:val="28"/>
          <w:szCs w:val="28"/>
        </w:rPr>
        <w:t>I</w:t>
      </w:r>
      <w:r w:rsidRPr="008268DF">
        <w:rPr>
          <w:rFonts w:ascii="Calibri" w:hAnsi="Calibri" w:cs="Calibri"/>
          <w:sz w:val="28"/>
          <w:szCs w:val="28"/>
        </w:rPr>
        <w:t xml:space="preserve">ndex to </w:t>
      </w:r>
      <w:r w:rsidR="00E77E16" w:rsidRPr="008268DF">
        <w:rPr>
          <w:rFonts w:ascii="Calibri" w:hAnsi="Calibri" w:cs="Calibri"/>
          <w:sz w:val="28"/>
          <w:szCs w:val="28"/>
        </w:rPr>
        <w:t>M</w:t>
      </w:r>
      <w:r w:rsidRPr="008268DF">
        <w:rPr>
          <w:rFonts w:ascii="Calibri" w:hAnsi="Calibri" w:cs="Calibri"/>
          <w:sz w:val="28"/>
          <w:szCs w:val="28"/>
        </w:rPr>
        <w:t xml:space="preserve">onitor </w:t>
      </w:r>
      <w:r w:rsidR="00E77E16" w:rsidRPr="008268DF">
        <w:rPr>
          <w:rFonts w:ascii="Calibri" w:hAnsi="Calibri" w:cs="Calibri"/>
          <w:sz w:val="28"/>
          <w:szCs w:val="28"/>
        </w:rPr>
        <w:t>G</w:t>
      </w:r>
      <w:r w:rsidRPr="008268DF">
        <w:rPr>
          <w:rFonts w:ascii="Calibri" w:hAnsi="Calibri" w:cs="Calibri"/>
          <w:sz w:val="28"/>
          <w:szCs w:val="28"/>
        </w:rPr>
        <w:t xml:space="preserve">overnment </w:t>
      </w:r>
      <w:r w:rsidR="00E77E16" w:rsidRPr="008268DF">
        <w:rPr>
          <w:rFonts w:ascii="Calibri" w:hAnsi="Calibri" w:cs="Calibri"/>
          <w:sz w:val="28"/>
          <w:szCs w:val="28"/>
        </w:rPr>
        <w:t>A</w:t>
      </w:r>
      <w:r w:rsidRPr="008268DF">
        <w:rPr>
          <w:rFonts w:ascii="Calibri" w:hAnsi="Calibri" w:cs="Calibri"/>
          <w:sz w:val="28"/>
          <w:szCs w:val="28"/>
        </w:rPr>
        <w:t xml:space="preserve">ction </w:t>
      </w:r>
    </w:p>
    <w:p w14:paraId="20022814" w14:textId="77777777" w:rsidR="00696E41" w:rsidRDefault="00696E41" w:rsidP="000E4056">
      <w:pPr>
        <w:spacing w:line="276" w:lineRule="auto"/>
        <w:rPr>
          <w:rFonts w:ascii="Calibri" w:hAnsi="Calibri" w:cs="Calibri"/>
          <w:sz w:val="30"/>
          <w:szCs w:val="30"/>
        </w:rPr>
      </w:pPr>
    </w:p>
    <w:p w14:paraId="5F69592E" w14:textId="696698D6" w:rsidR="00696E41" w:rsidRPr="008A11B1" w:rsidRDefault="00696E41" w:rsidP="000E4056">
      <w:pPr>
        <w:spacing w:line="276" w:lineRule="auto"/>
        <w:rPr>
          <w:rFonts w:ascii="Calibri" w:hAnsi="Calibri" w:cs="Calibri"/>
          <w:b/>
          <w:bCs/>
          <w:sz w:val="30"/>
          <w:szCs w:val="30"/>
        </w:rPr>
      </w:pPr>
      <w:r w:rsidRPr="008A11B1">
        <w:rPr>
          <w:rFonts w:ascii="Calibri" w:hAnsi="Calibri" w:cs="Calibri"/>
          <w:b/>
          <w:bCs/>
          <w:sz w:val="30"/>
          <w:szCs w:val="30"/>
        </w:rPr>
        <w:t>Abstract</w:t>
      </w:r>
    </w:p>
    <w:p w14:paraId="0E6A96D5" w14:textId="012F2B9F" w:rsidR="00261E7C" w:rsidRDefault="00C00997" w:rsidP="00C00997">
      <w:pPr>
        <w:spacing w:line="276" w:lineRule="auto"/>
        <w:rPr>
          <w:rFonts w:ascii="Calibri" w:hAnsi="Calibri" w:cs="Calibri"/>
        </w:rPr>
      </w:pPr>
      <w:bookmarkStart w:id="0" w:name="_Hlk208730946"/>
      <w:r>
        <w:rPr>
          <w:rFonts w:ascii="Calibri" w:hAnsi="Calibri" w:cs="Calibri"/>
        </w:rPr>
        <w:t xml:space="preserve">Globally, gender inequality is deepening, with nearly 40% of countries experiencing regression between 2019 and 2022 and significant backlash against women’s rights in 2025. The Convention on the Elimination of All Forms of Discrimination against Women (CEDAW) provides a legally binding framework for accountability, yet the Committee’s potential is constrained by the absence of systematic tools to monitor implementation. </w:t>
      </w:r>
    </w:p>
    <w:p w14:paraId="46BD61DC" w14:textId="47053DF4" w:rsidR="005723F9" w:rsidRDefault="00C00997" w:rsidP="000E4056">
      <w:pPr>
        <w:spacing w:line="276" w:lineRule="auto"/>
        <w:rPr>
          <w:rFonts w:ascii="Calibri" w:hAnsi="Calibri" w:cs="Calibri"/>
        </w:rPr>
      </w:pPr>
      <w:r>
        <w:rPr>
          <w:rFonts w:ascii="Calibri" w:hAnsi="Calibri" w:cs="Calibri"/>
        </w:rPr>
        <w:t xml:space="preserve">This paper introduces the CEDAW Index, an Artificial Intelligence (AI)-supported digital dashboard designed to strengthen accountability by consolidating State reports, civil society shadow reports, and Committee Concluding Observations. </w:t>
      </w:r>
      <w:r w:rsidR="009748CB">
        <w:rPr>
          <w:rFonts w:ascii="Calibri" w:hAnsi="Calibri" w:cs="Calibri"/>
        </w:rPr>
        <w:t xml:space="preserve">The current pilot focuses on gender-based violence (GBV)-related recommendations, with a framework designed to be extended across the full scope of CEDAW. </w:t>
      </w:r>
      <w:r>
        <w:rPr>
          <w:rFonts w:ascii="Calibri" w:hAnsi="Calibri" w:cs="Calibri"/>
        </w:rPr>
        <w:t>We describe how the Index assigns implementation status to each recommendation, tracks variables such as region, income group, and humanitarian crisis</w:t>
      </w:r>
      <w:r w:rsidR="009748CB">
        <w:rPr>
          <w:rFonts w:ascii="Calibri" w:hAnsi="Calibri" w:cs="Calibri"/>
        </w:rPr>
        <w:t xml:space="preserve"> context</w:t>
      </w:r>
      <w:r>
        <w:rPr>
          <w:rFonts w:ascii="Calibri" w:hAnsi="Calibri" w:cs="Calibri"/>
        </w:rPr>
        <w:t>, and integrate</w:t>
      </w:r>
      <w:r w:rsidR="009748CB">
        <w:rPr>
          <w:rFonts w:ascii="Calibri" w:hAnsi="Calibri" w:cs="Calibri"/>
        </w:rPr>
        <w:t>s</w:t>
      </w:r>
      <w:r>
        <w:rPr>
          <w:rFonts w:ascii="Calibri" w:hAnsi="Calibri" w:cs="Calibri"/>
        </w:rPr>
        <w:t xml:space="preserve"> civil society perspectives to counterbalance government </w:t>
      </w:r>
      <w:r w:rsidR="005723F9">
        <w:rPr>
          <w:rFonts w:ascii="Calibri" w:hAnsi="Calibri" w:cs="Calibri"/>
        </w:rPr>
        <w:t>reporting</w:t>
      </w:r>
      <w:r>
        <w:rPr>
          <w:rFonts w:ascii="Calibri" w:hAnsi="Calibri" w:cs="Calibri"/>
        </w:rPr>
        <w:t xml:space="preserve">. </w:t>
      </w:r>
    </w:p>
    <w:p w14:paraId="0A4BB6F2" w14:textId="2F269DAC" w:rsidR="00696E41" w:rsidRDefault="00C00997" w:rsidP="000E4056">
      <w:pPr>
        <w:spacing w:line="276" w:lineRule="auto"/>
        <w:rPr>
          <w:rFonts w:ascii="Calibri" w:hAnsi="Calibri" w:cs="Calibri"/>
        </w:rPr>
      </w:pPr>
      <w:r>
        <w:rPr>
          <w:rFonts w:ascii="Calibri" w:hAnsi="Calibri" w:cs="Calibri"/>
        </w:rPr>
        <w:t>P</w:t>
      </w:r>
      <w:r w:rsidR="006201BB">
        <w:rPr>
          <w:rFonts w:ascii="Calibri" w:hAnsi="Calibri" w:cs="Calibri"/>
        </w:rPr>
        <w:t>ilot</w:t>
      </w:r>
      <w:r>
        <w:rPr>
          <w:rFonts w:ascii="Calibri" w:hAnsi="Calibri" w:cs="Calibri"/>
        </w:rPr>
        <w:t xml:space="preserve"> analyses of</w:t>
      </w:r>
      <w:r w:rsidR="005723F9">
        <w:rPr>
          <w:rFonts w:ascii="Calibri" w:hAnsi="Calibri" w:cs="Calibri"/>
        </w:rPr>
        <w:t xml:space="preserve"> the most recent CEDAW reviews from</w:t>
      </w:r>
      <w:r>
        <w:rPr>
          <w:rFonts w:ascii="Calibri" w:hAnsi="Calibri" w:cs="Calibri"/>
        </w:rPr>
        <w:t xml:space="preserve"> 117 countries </w:t>
      </w:r>
      <w:r w:rsidR="009748CB">
        <w:rPr>
          <w:rFonts w:ascii="Calibri" w:hAnsi="Calibri" w:cs="Calibri"/>
        </w:rPr>
        <w:t xml:space="preserve">between 1997 and 2020 </w:t>
      </w:r>
      <w:r>
        <w:rPr>
          <w:rFonts w:ascii="Calibri" w:hAnsi="Calibri" w:cs="Calibri"/>
        </w:rPr>
        <w:t xml:space="preserve">informed the design of the dashboard and </w:t>
      </w:r>
      <w:r w:rsidR="005723F9">
        <w:rPr>
          <w:rFonts w:ascii="Calibri" w:hAnsi="Calibri" w:cs="Calibri"/>
        </w:rPr>
        <w:t>identified 423 laws that government imp</w:t>
      </w:r>
      <w:r w:rsidR="00E653C8">
        <w:rPr>
          <w:rFonts w:ascii="Calibri" w:hAnsi="Calibri" w:cs="Calibri"/>
        </w:rPr>
        <w:t>lemented</w:t>
      </w:r>
      <w:r w:rsidR="005723F9">
        <w:rPr>
          <w:rFonts w:ascii="Calibri" w:hAnsi="Calibri" w:cs="Calibri"/>
        </w:rPr>
        <w:t xml:space="preserve"> or amended in response to law-related recommendations.</w:t>
      </w:r>
      <w:r w:rsidR="00E653C8">
        <w:rPr>
          <w:rFonts w:ascii="Calibri" w:hAnsi="Calibri" w:cs="Calibri"/>
        </w:rPr>
        <w:t xml:space="preserve"> T</w:t>
      </w:r>
      <w:r w:rsidR="00E653C8" w:rsidRPr="00E653C8">
        <w:rPr>
          <w:rFonts w:ascii="Calibri" w:hAnsi="Calibri" w:cs="Calibri"/>
        </w:rPr>
        <w:t>his reflects 46% of the total of 919 law-related recommendations the Committee made during those reviews</w:t>
      </w:r>
      <w:r>
        <w:rPr>
          <w:rFonts w:ascii="Calibri" w:hAnsi="Calibri" w:cs="Calibri"/>
        </w:rPr>
        <w:t xml:space="preserve">. We then examine the challenges associated with government opacity, AI’s limitations, and risks of oversimplification, and argue that the Index offers a novel pathway to enhance transparency, amplify advocacy, and reinforce women’s rights implementation globally. </w:t>
      </w:r>
      <w:bookmarkEnd w:id="0"/>
    </w:p>
    <w:p w14:paraId="38C1EAE7" w14:textId="77777777" w:rsidR="00C00997" w:rsidRPr="00C00997" w:rsidRDefault="00C00997" w:rsidP="000E4056">
      <w:pPr>
        <w:spacing w:line="276" w:lineRule="auto"/>
        <w:rPr>
          <w:rFonts w:ascii="Calibri" w:hAnsi="Calibri" w:cs="Calibri"/>
        </w:rPr>
      </w:pPr>
    </w:p>
    <w:p w14:paraId="1DE5EB75" w14:textId="485F47A1" w:rsidR="002B3689" w:rsidRPr="008A11B1" w:rsidRDefault="002B3689" w:rsidP="000E4056">
      <w:pPr>
        <w:spacing w:line="276" w:lineRule="auto"/>
        <w:rPr>
          <w:rFonts w:ascii="Calibri" w:hAnsi="Calibri" w:cs="Calibri"/>
          <w:b/>
          <w:bCs/>
          <w:sz w:val="30"/>
          <w:szCs w:val="30"/>
        </w:rPr>
      </w:pPr>
      <w:r w:rsidRPr="008A11B1">
        <w:rPr>
          <w:rFonts w:ascii="Calibri" w:hAnsi="Calibri" w:cs="Calibri"/>
          <w:b/>
          <w:bCs/>
          <w:sz w:val="30"/>
          <w:szCs w:val="30"/>
        </w:rPr>
        <w:t xml:space="preserve">Introduction </w:t>
      </w:r>
    </w:p>
    <w:p w14:paraId="338B35D2" w14:textId="765521C2" w:rsidR="0090709A" w:rsidRDefault="005A5631" w:rsidP="000E4056">
      <w:pPr>
        <w:spacing w:line="276" w:lineRule="auto"/>
        <w:rPr>
          <w:rFonts w:ascii="Calibri" w:hAnsi="Calibri" w:cs="Calibri"/>
        </w:rPr>
      </w:pPr>
      <w:r>
        <w:rPr>
          <w:rFonts w:ascii="Calibri" w:hAnsi="Calibri" w:cs="Calibri"/>
        </w:rPr>
        <w:t>Globally, gender inequality not only persist</w:t>
      </w:r>
      <w:r w:rsidR="00B87177">
        <w:rPr>
          <w:rFonts w:ascii="Calibri" w:hAnsi="Calibri" w:cs="Calibri"/>
        </w:rPr>
        <w:t>s</w:t>
      </w:r>
      <w:r>
        <w:rPr>
          <w:rFonts w:ascii="Calibri" w:hAnsi="Calibri" w:cs="Calibri"/>
        </w:rPr>
        <w:t xml:space="preserve">, but </w:t>
      </w:r>
      <w:r w:rsidR="00B87177">
        <w:rPr>
          <w:rFonts w:ascii="Calibri" w:hAnsi="Calibri" w:cs="Calibri"/>
        </w:rPr>
        <w:t xml:space="preserve">is </w:t>
      </w:r>
      <w:r>
        <w:rPr>
          <w:rFonts w:ascii="Calibri" w:hAnsi="Calibri" w:cs="Calibri"/>
        </w:rPr>
        <w:t xml:space="preserve">deepening. Examples from </w:t>
      </w:r>
      <w:r w:rsidR="00E847EB">
        <w:rPr>
          <w:rFonts w:ascii="Calibri" w:hAnsi="Calibri" w:cs="Calibri"/>
        </w:rPr>
        <w:t>both the Global North and South</w:t>
      </w:r>
      <w:r>
        <w:rPr>
          <w:rFonts w:ascii="Calibri" w:hAnsi="Calibri" w:cs="Calibri"/>
        </w:rPr>
        <w:t xml:space="preserve">, including </w:t>
      </w:r>
      <w:r w:rsidR="006B6EE2">
        <w:rPr>
          <w:rFonts w:ascii="Calibri" w:hAnsi="Calibri" w:cs="Calibri"/>
        </w:rPr>
        <w:t>restrictions on abortion care</w:t>
      </w:r>
      <w:r>
        <w:rPr>
          <w:rFonts w:ascii="Calibri" w:hAnsi="Calibri" w:cs="Calibri"/>
        </w:rPr>
        <w:t xml:space="preserve"> in the United States, </w:t>
      </w:r>
      <w:r w:rsidR="0074230A">
        <w:rPr>
          <w:rFonts w:ascii="Calibri" w:hAnsi="Calibri" w:cs="Calibri"/>
        </w:rPr>
        <w:t>and</w:t>
      </w:r>
      <w:r>
        <w:rPr>
          <w:rFonts w:ascii="Calibri" w:hAnsi="Calibri" w:cs="Calibri"/>
        </w:rPr>
        <w:t xml:space="preserve"> </w:t>
      </w:r>
      <w:r w:rsidR="006B6EE2">
        <w:rPr>
          <w:rFonts w:ascii="Calibri" w:hAnsi="Calibri" w:cs="Calibri"/>
        </w:rPr>
        <w:t xml:space="preserve">a law </w:t>
      </w:r>
      <w:r>
        <w:rPr>
          <w:rFonts w:ascii="Calibri" w:hAnsi="Calibri" w:cs="Calibri"/>
        </w:rPr>
        <w:t>permitting girl children to be married</w:t>
      </w:r>
      <w:r w:rsidR="006B6EE2">
        <w:rPr>
          <w:rFonts w:ascii="Calibri" w:hAnsi="Calibri" w:cs="Calibri"/>
        </w:rPr>
        <w:t xml:space="preserve"> in Iraq</w:t>
      </w:r>
      <w:r>
        <w:rPr>
          <w:rFonts w:ascii="Calibri" w:hAnsi="Calibri" w:cs="Calibri"/>
        </w:rPr>
        <w:t xml:space="preserve">, </w:t>
      </w:r>
      <w:r w:rsidR="00160D05">
        <w:rPr>
          <w:rFonts w:ascii="Calibri" w:hAnsi="Calibri" w:cs="Calibri"/>
        </w:rPr>
        <w:t>demonstrate some of the ways</w:t>
      </w:r>
      <w:r w:rsidR="006B6EE2">
        <w:rPr>
          <w:rFonts w:ascii="Calibri" w:hAnsi="Calibri" w:cs="Calibri"/>
        </w:rPr>
        <w:t xml:space="preserve"> that women and girls</w:t>
      </w:r>
      <w:r w:rsidR="00160D05">
        <w:rPr>
          <w:rFonts w:ascii="Calibri" w:hAnsi="Calibri" w:cs="Calibri"/>
        </w:rPr>
        <w:t>’</w:t>
      </w:r>
      <w:r w:rsidR="006B6EE2">
        <w:rPr>
          <w:rFonts w:ascii="Calibri" w:hAnsi="Calibri" w:cs="Calibri"/>
        </w:rPr>
        <w:t xml:space="preserve"> autonomy and rights are being eroded </w:t>
      </w:r>
      <w:r w:rsidR="00E847EB">
        <w:rPr>
          <w:rFonts w:ascii="Calibri" w:hAnsi="Calibri" w:cs="Calibri"/>
        </w:rPr>
        <w:t>around the world</w:t>
      </w:r>
      <w:r w:rsidR="006B6EE2">
        <w:rPr>
          <w:rFonts w:ascii="Calibri" w:hAnsi="Calibri" w:cs="Calibri"/>
        </w:rPr>
        <w:t xml:space="preserve">. </w:t>
      </w:r>
      <w:r w:rsidR="00E847EB">
        <w:rPr>
          <w:rFonts w:ascii="Calibri" w:hAnsi="Calibri" w:cs="Calibri"/>
        </w:rPr>
        <w:t>A</w:t>
      </w:r>
      <w:r w:rsidR="00CE6BE9">
        <w:rPr>
          <w:rFonts w:ascii="Calibri" w:hAnsi="Calibri" w:cs="Calibri"/>
        </w:rPr>
        <w:t>dvancing</w:t>
      </w:r>
      <w:r w:rsidR="00525A5C">
        <w:rPr>
          <w:rFonts w:ascii="Calibri" w:hAnsi="Calibri" w:cs="Calibri"/>
        </w:rPr>
        <w:t xml:space="preserve"> gender equality </w:t>
      </w:r>
      <w:r w:rsidR="00A47AA9">
        <w:rPr>
          <w:rFonts w:ascii="Calibri" w:hAnsi="Calibri" w:cs="Calibri"/>
        </w:rPr>
        <w:t>enhances</w:t>
      </w:r>
      <w:r w:rsidR="00E847EB">
        <w:rPr>
          <w:rFonts w:ascii="Calibri" w:hAnsi="Calibri" w:cs="Calibri"/>
        </w:rPr>
        <w:t xml:space="preserve"> the health, stability, and prosperity of all nations.</w:t>
      </w:r>
      <w:r w:rsidR="00525A5C">
        <w:rPr>
          <w:rFonts w:ascii="Calibri" w:hAnsi="Calibri" w:cs="Calibri"/>
        </w:rPr>
        <w:t xml:space="preserve"> </w:t>
      </w:r>
      <w:r w:rsidR="00160D05">
        <w:rPr>
          <w:rFonts w:ascii="Calibri" w:hAnsi="Calibri" w:cs="Calibri"/>
        </w:rPr>
        <w:t>Yet, a</w:t>
      </w:r>
      <w:r w:rsidR="0090709A">
        <w:rPr>
          <w:rFonts w:ascii="Calibri" w:hAnsi="Calibri" w:cs="Calibri"/>
        </w:rPr>
        <w:t>s we approach the 2030 deadline for the Sustainable Development Goals (SDGs),</w:t>
      </w:r>
      <w:r w:rsidR="00525A5C">
        <w:rPr>
          <w:rFonts w:ascii="Calibri" w:hAnsi="Calibri" w:cs="Calibri"/>
        </w:rPr>
        <w:t xml:space="preserve"> n</w:t>
      </w:r>
      <w:r w:rsidR="0090709A">
        <w:rPr>
          <w:rFonts w:ascii="Calibri" w:hAnsi="Calibri" w:cs="Calibri"/>
        </w:rPr>
        <w:t xml:space="preserve">ot a single indicator under Goal 5 </w:t>
      </w:r>
      <w:r w:rsidR="0074230A">
        <w:rPr>
          <w:rFonts w:ascii="Calibri" w:hAnsi="Calibri" w:cs="Calibri"/>
        </w:rPr>
        <w:t>(</w:t>
      </w:r>
      <w:r w:rsidR="0090709A">
        <w:rPr>
          <w:rFonts w:ascii="Calibri" w:hAnsi="Calibri" w:cs="Calibri"/>
        </w:rPr>
        <w:t>gender equality</w:t>
      </w:r>
      <w:r w:rsidR="0074230A">
        <w:rPr>
          <w:rFonts w:ascii="Calibri" w:hAnsi="Calibri" w:cs="Calibri"/>
        </w:rPr>
        <w:t>)</w:t>
      </w:r>
      <w:r w:rsidR="0090709A">
        <w:rPr>
          <w:rFonts w:ascii="Calibri" w:hAnsi="Calibri" w:cs="Calibri"/>
        </w:rPr>
        <w:t xml:space="preserve"> has been fully achieved.</w:t>
      </w:r>
      <w:r w:rsidR="00FA374E">
        <w:rPr>
          <w:rStyle w:val="EndnoteReference"/>
          <w:rFonts w:ascii="Calibri" w:hAnsi="Calibri" w:cs="Calibri"/>
        </w:rPr>
        <w:endnoteReference w:id="2"/>
      </w:r>
      <w:r w:rsidR="00FA374E">
        <w:rPr>
          <w:rFonts w:ascii="Calibri" w:hAnsi="Calibri" w:cs="Calibri"/>
        </w:rPr>
        <w:t xml:space="preserve"> </w:t>
      </w:r>
      <w:r w:rsidR="00525A5C">
        <w:rPr>
          <w:rFonts w:ascii="Calibri" w:hAnsi="Calibri" w:cs="Calibri"/>
        </w:rPr>
        <w:t>Further, b</w:t>
      </w:r>
      <w:r w:rsidR="0090709A">
        <w:rPr>
          <w:rFonts w:ascii="Calibri" w:hAnsi="Calibri" w:cs="Calibri"/>
        </w:rPr>
        <w:t xml:space="preserve">etween 2019 and 2022, nearly 40% of countries, home to over 1.1 billion women and girls, experienced </w:t>
      </w:r>
      <w:r w:rsidR="0074230A">
        <w:rPr>
          <w:rFonts w:ascii="Calibri" w:hAnsi="Calibri" w:cs="Calibri"/>
        </w:rPr>
        <w:t xml:space="preserve">either </w:t>
      </w:r>
      <w:r w:rsidR="0090709A">
        <w:rPr>
          <w:rFonts w:ascii="Calibri" w:hAnsi="Calibri" w:cs="Calibri"/>
        </w:rPr>
        <w:t>stagnation or regression in advancing gender equality.</w:t>
      </w:r>
      <w:r w:rsidR="00FA374E">
        <w:rPr>
          <w:rStyle w:val="EndnoteReference"/>
          <w:rFonts w:ascii="Calibri" w:hAnsi="Calibri" w:cs="Calibri"/>
        </w:rPr>
        <w:endnoteReference w:id="3"/>
      </w:r>
    </w:p>
    <w:p w14:paraId="4F59FFE7" w14:textId="777B95C4" w:rsidR="002D6341" w:rsidRDefault="00746876" w:rsidP="002D4789">
      <w:pPr>
        <w:spacing w:line="276" w:lineRule="auto"/>
        <w:rPr>
          <w:rFonts w:ascii="Calibri" w:hAnsi="Calibri" w:cs="Calibri"/>
        </w:rPr>
      </w:pPr>
      <w:r>
        <w:rPr>
          <w:rFonts w:ascii="Calibri" w:hAnsi="Calibri" w:cs="Calibri"/>
        </w:rPr>
        <w:lastRenderedPageBreak/>
        <w:t>One of the most pervasive manifestations of gender inequality is gender-based violence</w:t>
      </w:r>
      <w:r w:rsidR="004E0B36">
        <w:rPr>
          <w:rFonts w:ascii="Calibri" w:hAnsi="Calibri" w:cs="Calibri"/>
        </w:rPr>
        <w:t xml:space="preserve"> (GBV)</w:t>
      </w:r>
      <w:r w:rsidR="00AA0C74">
        <w:rPr>
          <w:rFonts w:ascii="Calibri" w:hAnsi="Calibri" w:cs="Calibri"/>
        </w:rPr>
        <w:t>, which represents a major and well-documented public health concern.</w:t>
      </w:r>
      <w:r>
        <w:rPr>
          <w:rFonts w:ascii="Calibri" w:hAnsi="Calibri" w:cs="Calibri"/>
        </w:rPr>
        <w:t xml:space="preserve"> An estimated 736 million women – almost one in three </w:t>
      </w:r>
      <w:r w:rsidR="00F606CB">
        <w:rPr>
          <w:rFonts w:ascii="Calibri" w:hAnsi="Calibri" w:cs="Calibri"/>
        </w:rPr>
        <w:t xml:space="preserve">globally </w:t>
      </w:r>
      <w:r>
        <w:rPr>
          <w:rFonts w:ascii="Calibri" w:hAnsi="Calibri" w:cs="Calibri"/>
        </w:rPr>
        <w:t xml:space="preserve">– have been subjected to physical and/or sexual intimate partner violence, non-partner sexual violence, or both at least once in their </w:t>
      </w:r>
      <w:r w:rsidR="004E0B36">
        <w:rPr>
          <w:rFonts w:ascii="Calibri" w:hAnsi="Calibri" w:cs="Calibri"/>
        </w:rPr>
        <w:t>life.</w:t>
      </w:r>
      <w:r w:rsidR="00FA374E">
        <w:rPr>
          <w:rStyle w:val="EndnoteReference"/>
          <w:rFonts w:ascii="Calibri" w:hAnsi="Calibri" w:cs="Calibri"/>
        </w:rPr>
        <w:endnoteReference w:id="4"/>
      </w:r>
      <w:r w:rsidR="007E431E">
        <w:rPr>
          <w:rFonts w:ascii="Calibri" w:hAnsi="Calibri" w:cs="Calibri"/>
        </w:rPr>
        <w:t xml:space="preserve"> </w:t>
      </w:r>
      <w:r w:rsidR="00FC1C8B">
        <w:rPr>
          <w:rFonts w:ascii="Calibri" w:hAnsi="Calibri" w:cs="Calibri"/>
        </w:rPr>
        <w:t>In 2022, almost fifty thousand women and girls worldwide were killed by their intimate partners or other family members</w:t>
      </w:r>
      <w:r w:rsidR="004E0B36">
        <w:rPr>
          <w:rFonts w:ascii="Calibri" w:hAnsi="Calibri" w:cs="Calibri"/>
        </w:rPr>
        <w:t xml:space="preserve"> – on average more than five women or girls every hour</w:t>
      </w:r>
      <w:r w:rsidR="00FC1C8B">
        <w:rPr>
          <w:rFonts w:ascii="Calibri" w:hAnsi="Calibri" w:cs="Calibri"/>
        </w:rPr>
        <w:t>.</w:t>
      </w:r>
      <w:r w:rsidR="00FA374E">
        <w:rPr>
          <w:rStyle w:val="EndnoteReference"/>
          <w:rFonts w:ascii="Calibri" w:hAnsi="Calibri" w:cs="Calibri"/>
        </w:rPr>
        <w:endnoteReference w:id="5"/>
      </w:r>
      <w:r w:rsidR="00FC1C8B">
        <w:rPr>
          <w:rFonts w:ascii="Calibri" w:hAnsi="Calibri" w:cs="Calibri"/>
        </w:rPr>
        <w:t xml:space="preserve"> </w:t>
      </w:r>
      <w:r w:rsidR="00761002">
        <w:rPr>
          <w:rFonts w:ascii="Calibri" w:hAnsi="Calibri" w:cs="Calibri"/>
        </w:rPr>
        <w:t xml:space="preserve"> </w:t>
      </w:r>
    </w:p>
    <w:p w14:paraId="412C9CF0" w14:textId="29C5ACCE" w:rsidR="003E21E0" w:rsidRDefault="0074230A" w:rsidP="000E4056">
      <w:pPr>
        <w:spacing w:line="276" w:lineRule="auto"/>
        <w:rPr>
          <w:rFonts w:ascii="Calibri" w:hAnsi="Calibri" w:cs="Calibri"/>
        </w:rPr>
      </w:pPr>
      <w:r>
        <w:rPr>
          <w:rFonts w:ascii="Calibri" w:hAnsi="Calibri" w:cs="Calibri"/>
        </w:rPr>
        <w:t>GBV</w:t>
      </w:r>
      <w:r w:rsidR="00AA0C74">
        <w:rPr>
          <w:rFonts w:ascii="Calibri" w:hAnsi="Calibri" w:cs="Calibri"/>
        </w:rPr>
        <w:t xml:space="preserve"> has profound and long-term impacts </w:t>
      </w:r>
      <w:r w:rsidR="00DE4563">
        <w:rPr>
          <w:rFonts w:ascii="Calibri" w:hAnsi="Calibri" w:cs="Calibri"/>
        </w:rPr>
        <w:t>on women’s health</w:t>
      </w:r>
      <w:r w:rsidR="00D476A0">
        <w:rPr>
          <w:rFonts w:ascii="Calibri" w:hAnsi="Calibri" w:cs="Calibri"/>
        </w:rPr>
        <w:t>. Women at</w:t>
      </w:r>
      <w:r w:rsidR="00BB48F6">
        <w:rPr>
          <w:rFonts w:ascii="Calibri" w:hAnsi="Calibri" w:cs="Calibri"/>
        </w:rPr>
        <w:t xml:space="preserve"> risk of violence face a disproportionate burden of ill health</w:t>
      </w:r>
      <w:r w:rsidR="002D6341">
        <w:rPr>
          <w:rFonts w:ascii="Calibri" w:hAnsi="Calibri" w:cs="Calibri"/>
        </w:rPr>
        <w:t>,</w:t>
      </w:r>
      <w:r w:rsidR="00D476A0">
        <w:rPr>
          <w:rFonts w:ascii="Calibri" w:hAnsi="Calibri" w:cs="Calibri"/>
        </w:rPr>
        <w:t xml:space="preserve"> </w:t>
      </w:r>
      <w:r w:rsidR="00BB48F6">
        <w:rPr>
          <w:rFonts w:ascii="Calibri" w:hAnsi="Calibri" w:cs="Calibri"/>
        </w:rPr>
        <w:t>includ</w:t>
      </w:r>
      <w:r w:rsidR="00D476A0">
        <w:rPr>
          <w:rFonts w:ascii="Calibri" w:hAnsi="Calibri" w:cs="Calibri"/>
        </w:rPr>
        <w:t>ing</w:t>
      </w:r>
      <w:r w:rsidR="00BB48F6">
        <w:rPr>
          <w:rFonts w:ascii="Calibri" w:hAnsi="Calibri" w:cs="Calibri"/>
        </w:rPr>
        <w:t xml:space="preserve"> being twice as likely to be diagnosed with cervical cancer,</w:t>
      </w:r>
      <w:r w:rsidR="00852F5C">
        <w:rPr>
          <w:rFonts w:ascii="Calibri" w:hAnsi="Calibri" w:cs="Calibri"/>
        </w:rPr>
        <w:t xml:space="preserve"> </w:t>
      </w:r>
      <w:r w:rsidR="002D6341">
        <w:rPr>
          <w:rFonts w:ascii="Calibri" w:hAnsi="Calibri" w:cs="Calibri"/>
        </w:rPr>
        <w:t xml:space="preserve">and </w:t>
      </w:r>
      <w:r w:rsidR="00BB48F6">
        <w:rPr>
          <w:rFonts w:ascii="Calibri" w:hAnsi="Calibri" w:cs="Calibri"/>
        </w:rPr>
        <w:t>experiencing depression and suicidal ideation</w:t>
      </w:r>
      <w:r w:rsidR="00CE0B8F">
        <w:rPr>
          <w:rFonts w:ascii="Calibri" w:hAnsi="Calibri" w:cs="Calibri"/>
        </w:rPr>
        <w:t>.</w:t>
      </w:r>
      <w:r w:rsidR="00FA374E">
        <w:rPr>
          <w:rStyle w:val="EndnoteReference"/>
          <w:rFonts w:ascii="Calibri" w:hAnsi="Calibri" w:cs="Calibri"/>
        </w:rPr>
        <w:endnoteReference w:id="6"/>
      </w:r>
      <w:r w:rsidR="00160D05">
        <w:rPr>
          <w:rFonts w:ascii="Calibri" w:hAnsi="Calibri" w:cs="Calibri"/>
        </w:rPr>
        <w:t xml:space="preserve"> </w:t>
      </w:r>
      <w:r w:rsidR="00CE0B8F">
        <w:rPr>
          <w:rFonts w:ascii="Calibri" w:hAnsi="Calibri" w:cs="Calibri"/>
        </w:rPr>
        <w:t xml:space="preserve">They often have </w:t>
      </w:r>
      <w:r w:rsidR="00BB48F6">
        <w:rPr>
          <w:rFonts w:ascii="Calibri" w:hAnsi="Calibri" w:cs="Calibri"/>
        </w:rPr>
        <w:t>poor access to life-saving, quality services that provide health and psychosocial support</w:t>
      </w:r>
      <w:r w:rsidR="00850CD6">
        <w:rPr>
          <w:rFonts w:ascii="Calibri" w:hAnsi="Calibri" w:cs="Calibri"/>
        </w:rPr>
        <w:t>, particularly in low-resource settings</w:t>
      </w:r>
      <w:r w:rsidR="00CE0B8F">
        <w:rPr>
          <w:rFonts w:ascii="Calibri" w:hAnsi="Calibri" w:cs="Calibri"/>
        </w:rPr>
        <w:t>.</w:t>
      </w:r>
      <w:r w:rsidR="00CE0B8F">
        <w:rPr>
          <w:rStyle w:val="EndnoteReference"/>
          <w:rFonts w:ascii="Calibri" w:hAnsi="Calibri" w:cs="Calibri"/>
        </w:rPr>
        <w:endnoteReference w:id="7"/>
      </w:r>
      <w:r w:rsidR="007E431E">
        <w:rPr>
          <w:rFonts w:ascii="Calibri" w:hAnsi="Calibri" w:cs="Calibri"/>
        </w:rPr>
        <w:t xml:space="preserve"> </w:t>
      </w:r>
      <w:r w:rsidR="003A7367">
        <w:rPr>
          <w:rFonts w:ascii="Calibri" w:hAnsi="Calibri" w:cs="Calibri"/>
        </w:rPr>
        <w:t>These impacts extend beyond health, shaping women’s ability to participate fully in social and economic life.</w:t>
      </w:r>
      <w:r w:rsidR="00CE0B8F">
        <w:rPr>
          <w:rStyle w:val="EndnoteReference"/>
          <w:rFonts w:ascii="Calibri" w:hAnsi="Calibri" w:cs="Calibri"/>
        </w:rPr>
        <w:endnoteReference w:id="8"/>
      </w:r>
      <w:r w:rsidR="00AB34BD">
        <w:rPr>
          <w:rFonts w:ascii="Calibri" w:hAnsi="Calibri" w:cs="Calibri"/>
        </w:rPr>
        <w:t xml:space="preserve"> </w:t>
      </w:r>
    </w:p>
    <w:p w14:paraId="4BA2E4C0" w14:textId="16682427" w:rsidR="00844EF1" w:rsidRDefault="00BD7C20" w:rsidP="000E4056">
      <w:pPr>
        <w:spacing w:line="276" w:lineRule="auto"/>
        <w:rPr>
          <w:rFonts w:ascii="Calibri" w:hAnsi="Calibri" w:cs="Calibri"/>
        </w:rPr>
      </w:pPr>
      <w:r>
        <w:rPr>
          <w:rFonts w:ascii="Calibri" w:hAnsi="Calibri" w:cs="Calibri"/>
        </w:rPr>
        <w:t>2025</w:t>
      </w:r>
      <w:r w:rsidR="00B2085C">
        <w:rPr>
          <w:rFonts w:ascii="Calibri" w:hAnsi="Calibri" w:cs="Calibri"/>
        </w:rPr>
        <w:t xml:space="preserve"> mark</w:t>
      </w:r>
      <w:r w:rsidR="00F71576">
        <w:rPr>
          <w:rFonts w:ascii="Calibri" w:hAnsi="Calibri" w:cs="Calibri"/>
        </w:rPr>
        <w:t>ed</w:t>
      </w:r>
      <w:r w:rsidR="00BE359E">
        <w:rPr>
          <w:rFonts w:ascii="Calibri" w:hAnsi="Calibri" w:cs="Calibri"/>
        </w:rPr>
        <w:t xml:space="preserve"> </w:t>
      </w:r>
      <w:r w:rsidR="00AB34BD">
        <w:rPr>
          <w:rFonts w:ascii="Calibri" w:hAnsi="Calibri" w:cs="Calibri"/>
        </w:rPr>
        <w:t xml:space="preserve">the </w:t>
      </w:r>
      <w:r w:rsidR="00B2085C">
        <w:rPr>
          <w:rFonts w:ascii="Calibri" w:hAnsi="Calibri" w:cs="Calibri"/>
        </w:rPr>
        <w:t>30th</w:t>
      </w:r>
      <w:r w:rsidR="00001F04">
        <w:rPr>
          <w:rFonts w:ascii="Calibri" w:hAnsi="Calibri" w:cs="Calibri"/>
        </w:rPr>
        <w:t xml:space="preserve"> anniversary of </w:t>
      </w:r>
      <w:r w:rsidR="005C3EBD">
        <w:rPr>
          <w:rFonts w:ascii="Calibri" w:hAnsi="Calibri" w:cs="Calibri"/>
        </w:rPr>
        <w:t>the seminal global blueprint for advancing women’s rights</w:t>
      </w:r>
      <w:r w:rsidR="00B2085C">
        <w:rPr>
          <w:rFonts w:ascii="Calibri" w:hAnsi="Calibri" w:cs="Calibri"/>
        </w:rPr>
        <w:t>,</w:t>
      </w:r>
      <w:r w:rsidR="00BE359E">
        <w:rPr>
          <w:rFonts w:ascii="Calibri" w:hAnsi="Calibri" w:cs="Calibri"/>
        </w:rPr>
        <w:t xml:space="preserve"> </w:t>
      </w:r>
      <w:r w:rsidR="00746876">
        <w:rPr>
          <w:rFonts w:ascii="Calibri" w:hAnsi="Calibri" w:cs="Calibri"/>
        </w:rPr>
        <w:t xml:space="preserve">the </w:t>
      </w:r>
      <w:r w:rsidR="00746876" w:rsidRPr="003264D4">
        <w:rPr>
          <w:rFonts w:ascii="Calibri" w:hAnsi="Calibri" w:cs="Calibri"/>
          <w:i/>
          <w:iCs/>
        </w:rPr>
        <w:t>Beijing Declaration and Platform for Action</w:t>
      </w:r>
      <w:r w:rsidR="003B1D4D">
        <w:rPr>
          <w:rFonts w:ascii="Calibri" w:hAnsi="Calibri" w:cs="Calibri"/>
        </w:rPr>
        <w:t>, adopted by 189 countries at the Fourth World Conference for Women.</w:t>
      </w:r>
      <w:r w:rsidR="00746876">
        <w:rPr>
          <w:rFonts w:ascii="Calibri" w:hAnsi="Calibri" w:cs="Calibri"/>
        </w:rPr>
        <w:t xml:space="preserve"> </w:t>
      </w:r>
      <w:r w:rsidR="00850CD6">
        <w:rPr>
          <w:rFonts w:ascii="Calibri" w:hAnsi="Calibri" w:cs="Calibri"/>
        </w:rPr>
        <w:t>Three decades on, however, progress has been uneven and fragile. The anniversary is a milestone but also a reminder that despite rhetorical commitments, governments have fallen short of delivering the systemic reforms needed to secure women’s rights in practice.</w:t>
      </w:r>
      <w:r w:rsidR="004239BF">
        <w:rPr>
          <w:rFonts w:ascii="Calibri" w:hAnsi="Calibri" w:cs="Calibri"/>
        </w:rPr>
        <w:t xml:space="preserve"> </w:t>
      </w:r>
      <w:r w:rsidR="00710BDC">
        <w:rPr>
          <w:rFonts w:ascii="Calibri" w:hAnsi="Calibri" w:cs="Calibri"/>
        </w:rPr>
        <w:t>T</w:t>
      </w:r>
      <w:r w:rsidR="005C3EBD">
        <w:rPr>
          <w:rFonts w:ascii="Calibri" w:hAnsi="Calibri" w:cs="Calibri"/>
        </w:rPr>
        <w:t>he</w:t>
      </w:r>
      <w:r w:rsidR="00E167F0">
        <w:rPr>
          <w:rFonts w:ascii="Calibri" w:hAnsi="Calibri" w:cs="Calibri"/>
        </w:rPr>
        <w:t xml:space="preserve"> </w:t>
      </w:r>
      <w:r w:rsidR="0028346A">
        <w:rPr>
          <w:rFonts w:ascii="Calibri" w:hAnsi="Calibri" w:cs="Calibri"/>
        </w:rPr>
        <w:t>urgency</w:t>
      </w:r>
      <w:r w:rsidR="00E167F0">
        <w:rPr>
          <w:rFonts w:ascii="Calibri" w:hAnsi="Calibri" w:cs="Calibri"/>
        </w:rPr>
        <w:t xml:space="preserve"> </w:t>
      </w:r>
      <w:r w:rsidR="0028346A">
        <w:rPr>
          <w:rFonts w:ascii="Calibri" w:hAnsi="Calibri" w:cs="Calibri"/>
        </w:rPr>
        <w:t xml:space="preserve">of developing tools that can support advocates and policymakers alike through timebound and effective government action has become increasingly </w:t>
      </w:r>
      <w:r w:rsidR="0074230A">
        <w:rPr>
          <w:rFonts w:ascii="Calibri" w:hAnsi="Calibri" w:cs="Calibri"/>
        </w:rPr>
        <w:t>clear</w:t>
      </w:r>
      <w:r w:rsidR="00746876">
        <w:rPr>
          <w:rFonts w:ascii="Calibri" w:hAnsi="Calibri" w:cs="Calibri"/>
        </w:rPr>
        <w:t>.</w:t>
      </w:r>
      <w:r w:rsidR="00527E66">
        <w:rPr>
          <w:rFonts w:ascii="Calibri" w:hAnsi="Calibri" w:cs="Calibri"/>
        </w:rPr>
        <w:t xml:space="preserve"> </w:t>
      </w:r>
      <w:r>
        <w:rPr>
          <w:rFonts w:ascii="Calibri" w:hAnsi="Calibri" w:cs="Calibri"/>
        </w:rPr>
        <w:t>International w</w:t>
      </w:r>
      <w:r w:rsidR="00844EF1">
        <w:rPr>
          <w:rFonts w:ascii="Calibri" w:hAnsi="Calibri" w:cs="Calibri"/>
        </w:rPr>
        <w:t>omen’s rights scholars and advocates have</w:t>
      </w:r>
      <w:r w:rsidR="0074230A">
        <w:rPr>
          <w:rFonts w:ascii="Calibri" w:hAnsi="Calibri" w:cs="Calibri"/>
        </w:rPr>
        <w:t xml:space="preserve"> </w:t>
      </w:r>
      <w:r w:rsidR="00844EF1">
        <w:rPr>
          <w:rFonts w:ascii="Calibri" w:hAnsi="Calibri" w:cs="Calibri"/>
        </w:rPr>
        <w:t xml:space="preserve">called for the strategic use of global institutions to enhance accountability </w:t>
      </w:r>
      <w:r w:rsidR="00257542">
        <w:rPr>
          <w:rFonts w:ascii="Calibri" w:hAnsi="Calibri" w:cs="Calibri"/>
        </w:rPr>
        <w:t xml:space="preserve">of </w:t>
      </w:r>
      <w:r w:rsidR="00254ECA">
        <w:rPr>
          <w:rFonts w:ascii="Calibri" w:hAnsi="Calibri" w:cs="Calibri"/>
        </w:rPr>
        <w:t>UN Member States as</w:t>
      </w:r>
      <w:r w:rsidR="00940B10">
        <w:rPr>
          <w:rFonts w:ascii="Calibri" w:hAnsi="Calibri" w:cs="Calibri"/>
        </w:rPr>
        <w:t xml:space="preserve"> </w:t>
      </w:r>
      <w:r w:rsidR="00257542">
        <w:rPr>
          <w:rFonts w:ascii="Calibri" w:hAnsi="Calibri" w:cs="Calibri"/>
        </w:rPr>
        <w:t xml:space="preserve">to women’s rights </w:t>
      </w:r>
      <w:r w:rsidR="00844EF1">
        <w:rPr>
          <w:rFonts w:ascii="Calibri" w:hAnsi="Calibri" w:cs="Calibri"/>
        </w:rPr>
        <w:t>through frameworks such as CEDAW (the Convention on the Elimination of All Forms of Discrimination Against Women)</w:t>
      </w:r>
      <w:r w:rsidR="00CE0B8F">
        <w:rPr>
          <w:rFonts w:ascii="Calibri" w:hAnsi="Calibri" w:cs="Calibri"/>
        </w:rPr>
        <w:t>.</w:t>
      </w:r>
      <w:r w:rsidR="00CE0B8F">
        <w:rPr>
          <w:rStyle w:val="EndnoteReference"/>
          <w:rFonts w:ascii="Calibri" w:hAnsi="Calibri" w:cs="Calibri"/>
        </w:rPr>
        <w:endnoteReference w:id="9"/>
      </w:r>
      <w:r w:rsidR="00CE0B8F">
        <w:rPr>
          <w:rFonts w:ascii="Calibri" w:hAnsi="Calibri" w:cs="Calibri"/>
        </w:rPr>
        <w:t xml:space="preserve"> Civil society advocates have</w:t>
      </w:r>
      <w:r w:rsidR="00844EF1">
        <w:rPr>
          <w:rFonts w:ascii="Calibri" w:hAnsi="Calibri" w:cs="Calibri"/>
        </w:rPr>
        <w:t xml:space="preserve"> argu</w:t>
      </w:r>
      <w:r w:rsidR="00CE0B8F">
        <w:rPr>
          <w:rFonts w:ascii="Calibri" w:hAnsi="Calibri" w:cs="Calibri"/>
        </w:rPr>
        <w:t>ed</w:t>
      </w:r>
      <w:r w:rsidR="00844EF1">
        <w:rPr>
          <w:rFonts w:ascii="Calibri" w:hAnsi="Calibri" w:cs="Calibri"/>
        </w:rPr>
        <w:t xml:space="preserve"> that such institutions have the leverage and mechanisms needed to hold </w:t>
      </w:r>
      <w:r w:rsidR="0074230A">
        <w:rPr>
          <w:rFonts w:ascii="Calibri" w:hAnsi="Calibri" w:cs="Calibri"/>
        </w:rPr>
        <w:t>UN Member States (hereafter ‘</w:t>
      </w:r>
      <w:r w:rsidR="008829E4">
        <w:rPr>
          <w:rFonts w:ascii="Calibri" w:hAnsi="Calibri" w:cs="Calibri"/>
        </w:rPr>
        <w:t>S</w:t>
      </w:r>
      <w:r w:rsidR="00844EF1">
        <w:rPr>
          <w:rFonts w:ascii="Calibri" w:hAnsi="Calibri" w:cs="Calibri"/>
        </w:rPr>
        <w:t>tates</w:t>
      </w:r>
      <w:r w:rsidR="0074230A">
        <w:rPr>
          <w:rFonts w:ascii="Calibri" w:hAnsi="Calibri" w:cs="Calibri"/>
        </w:rPr>
        <w:t>’)</w:t>
      </w:r>
      <w:r w:rsidR="00844EF1">
        <w:rPr>
          <w:rFonts w:ascii="Calibri" w:hAnsi="Calibri" w:cs="Calibri"/>
        </w:rPr>
        <w:t xml:space="preserve"> accountable.</w:t>
      </w:r>
      <w:r w:rsidR="00CE0B8F">
        <w:rPr>
          <w:rStyle w:val="EndnoteReference"/>
          <w:rFonts w:ascii="Calibri" w:hAnsi="Calibri" w:cs="Calibri"/>
        </w:rPr>
        <w:endnoteReference w:id="10"/>
      </w:r>
    </w:p>
    <w:p w14:paraId="58FAD55F" w14:textId="67283342" w:rsidR="00F71576" w:rsidRDefault="00852F5C" w:rsidP="000E4056">
      <w:pPr>
        <w:spacing w:line="276" w:lineRule="auto"/>
        <w:rPr>
          <w:rFonts w:ascii="Calibri" w:hAnsi="Calibri" w:cs="Calibri"/>
        </w:rPr>
      </w:pPr>
      <w:r>
        <w:rPr>
          <w:rFonts w:ascii="Calibri" w:hAnsi="Calibri" w:cs="Calibri"/>
        </w:rPr>
        <w:t>For over four decades, the UN CEDAW</w:t>
      </w:r>
      <w:r w:rsidR="00850CD6">
        <w:rPr>
          <w:rFonts w:ascii="Calibri" w:hAnsi="Calibri" w:cs="Calibri"/>
        </w:rPr>
        <w:t xml:space="preserve"> </w:t>
      </w:r>
      <w:r>
        <w:rPr>
          <w:rFonts w:ascii="Calibri" w:hAnsi="Calibri" w:cs="Calibri"/>
        </w:rPr>
        <w:t xml:space="preserve">Committee </w:t>
      </w:r>
      <w:r w:rsidR="00F71576">
        <w:rPr>
          <w:rFonts w:ascii="Calibri" w:hAnsi="Calibri" w:cs="Calibri"/>
        </w:rPr>
        <w:t>has monitored State compliance with obligations</w:t>
      </w:r>
      <w:r w:rsidR="00F975A7">
        <w:rPr>
          <w:rFonts w:ascii="Calibri" w:hAnsi="Calibri" w:cs="Calibri"/>
        </w:rPr>
        <w:t xml:space="preserve"> set out in the Convention</w:t>
      </w:r>
      <w:r>
        <w:rPr>
          <w:rFonts w:ascii="Calibri" w:hAnsi="Calibri" w:cs="Calibri"/>
        </w:rPr>
        <w:t xml:space="preserve">, issuing legally binding recommendations to 189 ratifying countries through a </w:t>
      </w:r>
      <w:r w:rsidR="0074230A">
        <w:rPr>
          <w:rFonts w:ascii="Calibri" w:hAnsi="Calibri" w:cs="Calibri"/>
        </w:rPr>
        <w:t xml:space="preserve">four-yearly </w:t>
      </w:r>
      <w:r>
        <w:rPr>
          <w:rFonts w:ascii="Calibri" w:hAnsi="Calibri" w:cs="Calibri"/>
        </w:rPr>
        <w:t>periodic review process</w:t>
      </w:r>
      <w:r w:rsidR="00F975A7">
        <w:rPr>
          <w:rFonts w:ascii="Calibri" w:hAnsi="Calibri" w:cs="Calibri"/>
        </w:rPr>
        <w:t xml:space="preserve">, as well as through individual communications and inquiry procedures Grounded in a treaty that spans all areas of social, economic, and political life, the Committee’s work addresses issues across </w:t>
      </w:r>
      <w:r>
        <w:rPr>
          <w:rFonts w:ascii="Calibri" w:hAnsi="Calibri" w:cs="Calibri"/>
        </w:rPr>
        <w:t>health, education, justice, labour</w:t>
      </w:r>
      <w:r w:rsidR="00F975A7">
        <w:rPr>
          <w:rFonts w:ascii="Calibri" w:hAnsi="Calibri" w:cs="Calibri"/>
        </w:rPr>
        <w:t xml:space="preserve">, and beyond. </w:t>
      </w:r>
      <w:r w:rsidR="00BD7C20">
        <w:rPr>
          <w:rFonts w:ascii="Calibri" w:hAnsi="Calibri" w:cs="Calibri"/>
        </w:rPr>
        <w:t>GBV is not confined to a single provision of the Convention, and is addressed across multiple articles</w:t>
      </w:r>
      <w:r w:rsidR="00ED6FB4">
        <w:rPr>
          <w:rFonts w:ascii="Calibri" w:hAnsi="Calibri" w:cs="Calibri"/>
        </w:rPr>
        <w:t xml:space="preserve">, including those relating to health, equality before the law, and non-discrimination, and elaborated through the Committee’s General Recommendations, which provide authoritative guidance on how States should interpret and implement their obligations in practice. As a result, recommendations and corresponding government actions relating to GBV are often diverse, spanning legal reform, service provision, data collection, and institutional change. </w:t>
      </w:r>
      <w:r w:rsidR="00F975A7">
        <w:rPr>
          <w:rFonts w:ascii="Calibri" w:hAnsi="Calibri" w:cs="Calibri"/>
        </w:rPr>
        <w:t xml:space="preserve">This cross-sectoral approach </w:t>
      </w:r>
      <w:r w:rsidR="00F71576">
        <w:rPr>
          <w:rFonts w:ascii="Calibri" w:hAnsi="Calibri" w:cs="Calibri"/>
        </w:rPr>
        <w:t xml:space="preserve">has driven major </w:t>
      </w:r>
      <w:r w:rsidR="00F975A7">
        <w:rPr>
          <w:rFonts w:ascii="Calibri" w:hAnsi="Calibri" w:cs="Calibri"/>
        </w:rPr>
        <w:t xml:space="preserve">legal and policy </w:t>
      </w:r>
      <w:r w:rsidR="00F71576">
        <w:rPr>
          <w:rFonts w:ascii="Calibri" w:hAnsi="Calibri" w:cs="Calibri"/>
        </w:rPr>
        <w:t xml:space="preserve">reforms in contexts </w:t>
      </w:r>
      <w:r>
        <w:rPr>
          <w:rFonts w:ascii="Calibri" w:hAnsi="Calibri" w:cs="Calibri"/>
        </w:rPr>
        <w:t>as diverse as Paraguay, Mauritius, the Netherlands, Uzbekistan, and Mexico</w:t>
      </w:r>
      <w:r w:rsidR="00F71576">
        <w:rPr>
          <w:rFonts w:ascii="Calibri" w:hAnsi="Calibri" w:cs="Calibri"/>
        </w:rPr>
        <w:t xml:space="preserve">, including legal and institutional changes to address </w:t>
      </w:r>
      <w:r w:rsidR="00F71576">
        <w:rPr>
          <w:rFonts w:ascii="Calibri" w:hAnsi="Calibri" w:cs="Calibri"/>
        </w:rPr>
        <w:lastRenderedPageBreak/>
        <w:t>gender-based violence</w:t>
      </w:r>
      <w:r>
        <w:rPr>
          <w:rFonts w:ascii="Calibri" w:hAnsi="Calibri" w:cs="Calibri"/>
        </w:rPr>
        <w:t>.</w:t>
      </w:r>
      <w:r w:rsidR="00CE0B8F">
        <w:rPr>
          <w:rStyle w:val="EndnoteReference"/>
          <w:rFonts w:ascii="Calibri" w:hAnsi="Calibri" w:cs="Calibri"/>
        </w:rPr>
        <w:endnoteReference w:id="11"/>
      </w:r>
      <w:r>
        <w:rPr>
          <w:rFonts w:ascii="Calibri" w:hAnsi="Calibri" w:cs="Calibri"/>
        </w:rPr>
        <w:t xml:space="preserve"> </w:t>
      </w:r>
      <w:r w:rsidR="00F975A7">
        <w:rPr>
          <w:rFonts w:ascii="Calibri" w:hAnsi="Calibri" w:cs="Calibri"/>
        </w:rPr>
        <w:t>However, many recommendations remain unimplemented, unacknowledged, or insufficiently resourced, limiting their impact and visibility over time.</w:t>
      </w:r>
    </w:p>
    <w:p w14:paraId="34EC30A9" w14:textId="031D112E" w:rsidR="00F71576" w:rsidRDefault="00F975A7" w:rsidP="000E4056">
      <w:pPr>
        <w:spacing w:line="276" w:lineRule="auto"/>
        <w:rPr>
          <w:rFonts w:ascii="Calibri" w:hAnsi="Calibri" w:cs="Calibri"/>
        </w:rPr>
      </w:pPr>
      <w:r>
        <w:rPr>
          <w:rFonts w:ascii="Calibri" w:hAnsi="Calibri" w:cs="Calibri"/>
        </w:rPr>
        <w:t>At the same time,</w:t>
      </w:r>
      <w:r w:rsidR="00F71576">
        <w:rPr>
          <w:rFonts w:ascii="Calibri" w:hAnsi="Calibri" w:cs="Calibri"/>
        </w:rPr>
        <w:t xml:space="preserve"> the CEDAW Committee’s work is under </w:t>
      </w:r>
      <w:r>
        <w:rPr>
          <w:rFonts w:ascii="Calibri" w:hAnsi="Calibri" w:cs="Calibri"/>
        </w:rPr>
        <w:t xml:space="preserve">increasing </w:t>
      </w:r>
      <w:r w:rsidR="00F71576">
        <w:rPr>
          <w:rFonts w:ascii="Calibri" w:hAnsi="Calibri" w:cs="Calibri"/>
        </w:rPr>
        <w:t>strain</w:t>
      </w:r>
      <w:r w:rsidR="004F2F72">
        <w:rPr>
          <w:rFonts w:ascii="Calibri" w:hAnsi="Calibri" w:cs="Calibri"/>
        </w:rPr>
        <w:t>.</w:t>
      </w:r>
      <w:r w:rsidR="00F71576">
        <w:rPr>
          <w:rFonts w:ascii="Calibri" w:hAnsi="Calibri" w:cs="Calibri"/>
        </w:rPr>
        <w:t xml:space="preserve"> </w:t>
      </w:r>
      <w:r w:rsidR="004F2F72">
        <w:rPr>
          <w:rFonts w:ascii="Calibri" w:hAnsi="Calibri" w:cs="Calibri"/>
        </w:rPr>
        <w:t>S</w:t>
      </w:r>
      <w:r w:rsidR="00F71576">
        <w:rPr>
          <w:rFonts w:ascii="Calibri" w:hAnsi="Calibri" w:cs="Calibri"/>
        </w:rPr>
        <w:t xml:space="preserve">essions for the remainder of 2025 </w:t>
      </w:r>
      <w:r>
        <w:rPr>
          <w:rFonts w:ascii="Calibri" w:hAnsi="Calibri" w:cs="Calibri"/>
        </w:rPr>
        <w:t>were</w:t>
      </w:r>
      <w:r w:rsidR="00F71576">
        <w:rPr>
          <w:rFonts w:ascii="Calibri" w:hAnsi="Calibri" w:cs="Calibri"/>
        </w:rPr>
        <w:t xml:space="preserve"> cancelled due to funding shortages across the UN treaty body system. In a period of upheaval for the UN, strengthening tools that </w:t>
      </w:r>
      <w:r w:rsidR="004F2F72">
        <w:rPr>
          <w:rFonts w:ascii="Calibri" w:hAnsi="Calibri" w:cs="Calibri"/>
        </w:rPr>
        <w:t xml:space="preserve">can extend and complement the </w:t>
      </w:r>
      <w:r w:rsidR="00F71576">
        <w:rPr>
          <w:rFonts w:ascii="Calibri" w:hAnsi="Calibri" w:cs="Calibri"/>
        </w:rPr>
        <w:t xml:space="preserve">Committee’s </w:t>
      </w:r>
      <w:r>
        <w:rPr>
          <w:rFonts w:ascii="Calibri" w:hAnsi="Calibri" w:cs="Calibri"/>
        </w:rPr>
        <w:t>monitoring function</w:t>
      </w:r>
      <w:r w:rsidR="00F71576">
        <w:rPr>
          <w:rFonts w:ascii="Calibri" w:hAnsi="Calibri" w:cs="Calibri"/>
        </w:rPr>
        <w:t xml:space="preserve"> has never been more critical.</w:t>
      </w:r>
    </w:p>
    <w:p w14:paraId="3FE0EBAE" w14:textId="497B3806" w:rsidR="00ED6FB4" w:rsidRDefault="004F2F72" w:rsidP="000E4056">
      <w:pPr>
        <w:spacing w:line="276" w:lineRule="auto"/>
        <w:rPr>
          <w:rFonts w:ascii="Calibri" w:hAnsi="Calibri" w:cs="Calibri"/>
        </w:rPr>
      </w:pPr>
      <w:r>
        <w:rPr>
          <w:rFonts w:ascii="Calibri" w:hAnsi="Calibri" w:cs="Calibri"/>
        </w:rPr>
        <w:t xml:space="preserve">To respond to this gap, we are developing </w:t>
      </w:r>
      <w:r w:rsidR="00EE1937">
        <w:rPr>
          <w:rFonts w:ascii="Calibri" w:hAnsi="Calibri" w:cs="Calibri"/>
        </w:rPr>
        <w:t>t</w:t>
      </w:r>
      <w:r>
        <w:rPr>
          <w:rFonts w:ascii="Calibri" w:hAnsi="Calibri" w:cs="Calibri"/>
        </w:rPr>
        <w:t xml:space="preserve">he CEDAW Index, an Artificial Intelligence (AI)-supported digital dashboard designed to strengthen accountability by consolidating State reports, civil society </w:t>
      </w:r>
      <w:r w:rsidR="00434CD2">
        <w:rPr>
          <w:rFonts w:ascii="Calibri" w:hAnsi="Calibri" w:cs="Calibri"/>
        </w:rPr>
        <w:t xml:space="preserve">organisation (CSO) </w:t>
      </w:r>
      <w:r>
        <w:rPr>
          <w:rFonts w:ascii="Calibri" w:hAnsi="Calibri" w:cs="Calibri"/>
        </w:rPr>
        <w:t xml:space="preserve">shadow reports, and Committee Concluding Observations (hereafter recommendations). </w:t>
      </w:r>
      <w:r w:rsidR="00F975A7">
        <w:rPr>
          <w:rFonts w:ascii="Calibri" w:hAnsi="Calibri" w:cs="Calibri"/>
        </w:rPr>
        <w:t xml:space="preserve">While these materials are publicly available, they are dispersed across multiple platforms and formats, making them difficult to access, and compare over time. </w:t>
      </w:r>
      <w:r w:rsidR="00F71576">
        <w:rPr>
          <w:rFonts w:ascii="Calibri" w:hAnsi="Calibri" w:cs="Calibri"/>
        </w:rPr>
        <w:t xml:space="preserve">The Index </w:t>
      </w:r>
      <w:r w:rsidR="00F975A7">
        <w:rPr>
          <w:rFonts w:ascii="Calibri" w:hAnsi="Calibri" w:cs="Calibri"/>
        </w:rPr>
        <w:t xml:space="preserve">goes beyond aggregation by applying a structured analytical framework to assess the nature and extend of government action in response to recommendations. </w:t>
      </w:r>
    </w:p>
    <w:p w14:paraId="119AFD3D" w14:textId="7056C96C" w:rsidR="00F975A7" w:rsidRDefault="00F975A7" w:rsidP="000E4056">
      <w:pPr>
        <w:spacing w:line="276" w:lineRule="auto"/>
        <w:rPr>
          <w:rFonts w:ascii="Calibri" w:hAnsi="Calibri" w:cs="Calibri"/>
        </w:rPr>
      </w:pPr>
      <w:r>
        <w:rPr>
          <w:rFonts w:ascii="Calibri" w:hAnsi="Calibri" w:cs="Calibri"/>
        </w:rPr>
        <w:t>U</w:t>
      </w:r>
      <w:r w:rsidR="00F71576">
        <w:rPr>
          <w:rFonts w:ascii="Calibri" w:hAnsi="Calibri" w:cs="Calibri"/>
        </w:rPr>
        <w:t xml:space="preserve">sing </w:t>
      </w:r>
      <w:r w:rsidR="004F2F72">
        <w:rPr>
          <w:rFonts w:ascii="Calibri" w:hAnsi="Calibri" w:cs="Calibri"/>
        </w:rPr>
        <w:t xml:space="preserve">a combination of </w:t>
      </w:r>
      <w:r w:rsidR="00F71576">
        <w:rPr>
          <w:rFonts w:ascii="Calibri" w:hAnsi="Calibri" w:cs="Calibri"/>
        </w:rPr>
        <w:t>AI</w:t>
      </w:r>
      <w:r>
        <w:rPr>
          <w:rFonts w:ascii="Calibri" w:hAnsi="Calibri" w:cs="Calibri"/>
        </w:rPr>
        <w:t>-assisted methods and expert review, it identifies reported actions, categorises them, and assigns an implementation status.</w:t>
      </w:r>
      <w:r w:rsidR="00F71576">
        <w:rPr>
          <w:rFonts w:ascii="Calibri" w:hAnsi="Calibri" w:cs="Calibri"/>
        </w:rPr>
        <w:t xml:space="preserve"> </w:t>
      </w:r>
      <w:r w:rsidR="00ED6FB4">
        <w:rPr>
          <w:rFonts w:ascii="Calibri" w:hAnsi="Calibri" w:cs="Calibri"/>
        </w:rPr>
        <w:t xml:space="preserve"> </w:t>
      </w:r>
      <w:r w:rsidR="002019DE">
        <w:rPr>
          <w:rFonts w:ascii="Calibri" w:hAnsi="Calibri" w:cs="Calibri"/>
        </w:rPr>
        <w:t>The current pilot focuses on gender-based violence (GBV)-related recommendations</w:t>
      </w:r>
      <w:r w:rsidR="00ED6FB4">
        <w:rPr>
          <w:rFonts w:ascii="Calibri" w:hAnsi="Calibri" w:cs="Calibri"/>
        </w:rPr>
        <w:t xml:space="preserve">. </w:t>
      </w:r>
      <w:proofErr w:type="gramStart"/>
      <w:r w:rsidR="00ED6FB4">
        <w:rPr>
          <w:rFonts w:ascii="Calibri" w:hAnsi="Calibri" w:cs="Calibri"/>
        </w:rPr>
        <w:t>However,</w:t>
      </w:r>
      <w:r w:rsidR="002019DE">
        <w:rPr>
          <w:rFonts w:ascii="Calibri" w:hAnsi="Calibri" w:cs="Calibri"/>
        </w:rPr>
        <w:t>.</w:t>
      </w:r>
      <w:proofErr w:type="gramEnd"/>
      <w:r>
        <w:rPr>
          <w:rFonts w:ascii="Calibri" w:hAnsi="Calibri" w:cs="Calibri"/>
        </w:rPr>
        <w:t xml:space="preserve"> the framework underpinning the CEDAW Index is designed to assess implementation across the full scope of women’s rights obligations.</w:t>
      </w:r>
    </w:p>
    <w:p w14:paraId="3C5BAEB6" w14:textId="05AAAA6F" w:rsidR="00F71576" w:rsidRPr="00850CD6" w:rsidRDefault="004F2F72" w:rsidP="000E4056">
      <w:pPr>
        <w:spacing w:line="276" w:lineRule="auto"/>
        <w:rPr>
          <w:rFonts w:ascii="Calibri" w:hAnsi="Calibri" w:cs="Calibri"/>
        </w:rPr>
      </w:pPr>
      <w:r>
        <w:rPr>
          <w:rFonts w:ascii="Calibri" w:hAnsi="Calibri" w:cs="Calibri"/>
        </w:rPr>
        <w:t xml:space="preserve">By translating legal obligations into transparent, comparable data, the Index offers </w:t>
      </w:r>
      <w:r w:rsidR="00F71576">
        <w:rPr>
          <w:rFonts w:ascii="Calibri" w:hAnsi="Calibri" w:cs="Calibri"/>
        </w:rPr>
        <w:t>advocate</w:t>
      </w:r>
      <w:r>
        <w:rPr>
          <w:rFonts w:ascii="Calibri" w:hAnsi="Calibri" w:cs="Calibri"/>
        </w:rPr>
        <w:t>s</w:t>
      </w:r>
      <w:r w:rsidR="00F71576">
        <w:rPr>
          <w:rFonts w:ascii="Calibri" w:hAnsi="Calibri" w:cs="Calibri"/>
        </w:rPr>
        <w:t xml:space="preserve">, researchers, and policymakers </w:t>
      </w:r>
      <w:r>
        <w:rPr>
          <w:rFonts w:ascii="Calibri" w:hAnsi="Calibri" w:cs="Calibri"/>
        </w:rPr>
        <w:t xml:space="preserve">a shared </w:t>
      </w:r>
      <w:r w:rsidR="00F71576">
        <w:rPr>
          <w:rFonts w:ascii="Calibri" w:hAnsi="Calibri" w:cs="Calibri"/>
        </w:rPr>
        <w:t>evidence</w:t>
      </w:r>
      <w:r>
        <w:rPr>
          <w:rFonts w:ascii="Calibri" w:hAnsi="Calibri" w:cs="Calibri"/>
        </w:rPr>
        <w:t xml:space="preserve"> </w:t>
      </w:r>
      <w:proofErr w:type="gramStart"/>
      <w:r w:rsidR="00F71576">
        <w:rPr>
          <w:rFonts w:ascii="Calibri" w:hAnsi="Calibri" w:cs="Calibri"/>
        </w:rPr>
        <w:t>base</w:t>
      </w:r>
      <w:proofErr w:type="gramEnd"/>
      <w:r>
        <w:rPr>
          <w:rFonts w:ascii="Calibri" w:hAnsi="Calibri" w:cs="Calibri"/>
        </w:rPr>
        <w:t xml:space="preserve"> </w:t>
      </w:r>
      <w:r w:rsidR="00F71576">
        <w:rPr>
          <w:rFonts w:ascii="Calibri" w:hAnsi="Calibri" w:cs="Calibri"/>
        </w:rPr>
        <w:t xml:space="preserve">to assess progress, identify barriers, and </w:t>
      </w:r>
      <w:r>
        <w:rPr>
          <w:rFonts w:ascii="Calibri" w:hAnsi="Calibri" w:cs="Calibri"/>
        </w:rPr>
        <w:t>sustain pressure for reform.</w:t>
      </w:r>
      <w:r w:rsidR="00F71576">
        <w:rPr>
          <w:rFonts w:ascii="Calibri" w:hAnsi="Calibri" w:cs="Calibri"/>
        </w:rPr>
        <w:t xml:space="preserve"> </w:t>
      </w:r>
      <w:r>
        <w:rPr>
          <w:rFonts w:ascii="Calibri" w:hAnsi="Calibri" w:cs="Calibri"/>
        </w:rPr>
        <w:t xml:space="preserve">Over time, </w:t>
      </w:r>
      <w:r w:rsidR="00F975A7">
        <w:rPr>
          <w:rFonts w:ascii="Calibri" w:hAnsi="Calibri" w:cs="Calibri"/>
        </w:rPr>
        <w:t xml:space="preserve">it </w:t>
      </w:r>
      <w:r>
        <w:rPr>
          <w:rFonts w:ascii="Calibri" w:hAnsi="Calibri" w:cs="Calibri"/>
        </w:rPr>
        <w:t xml:space="preserve">aims to </w:t>
      </w:r>
      <w:r w:rsidR="00F975A7">
        <w:rPr>
          <w:rFonts w:ascii="Calibri" w:hAnsi="Calibri" w:cs="Calibri"/>
        </w:rPr>
        <w:t>reduce</w:t>
      </w:r>
      <w:r>
        <w:rPr>
          <w:rFonts w:ascii="Calibri" w:hAnsi="Calibri" w:cs="Calibri"/>
        </w:rPr>
        <w:t xml:space="preserve"> the analytical </w:t>
      </w:r>
      <w:r w:rsidR="00F975A7">
        <w:rPr>
          <w:rFonts w:ascii="Calibri" w:hAnsi="Calibri" w:cs="Calibri"/>
        </w:rPr>
        <w:t>burden</w:t>
      </w:r>
      <w:r>
        <w:rPr>
          <w:rFonts w:ascii="Calibri" w:hAnsi="Calibri" w:cs="Calibri"/>
        </w:rPr>
        <w:t xml:space="preserve"> on under-resourced institutions and enable a more coordinated response across civil society, research and policy domains. </w:t>
      </w:r>
    </w:p>
    <w:p w14:paraId="3E579F90" w14:textId="477C93FE" w:rsidR="00EE4910" w:rsidRDefault="003264D4" w:rsidP="000E4056">
      <w:pPr>
        <w:spacing w:line="276" w:lineRule="auto"/>
        <w:rPr>
          <w:rFonts w:ascii="Calibri" w:hAnsi="Calibri" w:cs="Calibri"/>
        </w:rPr>
      </w:pPr>
      <w:r>
        <w:rPr>
          <w:rFonts w:ascii="Calibri" w:hAnsi="Calibri" w:cs="Calibri"/>
        </w:rPr>
        <w:t>This article explores the rationale for the tool, the methodological processes behind data capture, interpretation of outputs</w:t>
      </w:r>
      <w:r w:rsidR="009463BB">
        <w:rPr>
          <w:rFonts w:ascii="Calibri" w:hAnsi="Calibri" w:cs="Calibri"/>
        </w:rPr>
        <w:t>,</w:t>
      </w:r>
      <w:r>
        <w:rPr>
          <w:rFonts w:ascii="Calibri" w:hAnsi="Calibri" w:cs="Calibri"/>
        </w:rPr>
        <w:t xml:space="preserve"> and </w:t>
      </w:r>
      <w:r w:rsidR="009463BB">
        <w:rPr>
          <w:rFonts w:ascii="Calibri" w:hAnsi="Calibri" w:cs="Calibri"/>
        </w:rPr>
        <w:t xml:space="preserve">its </w:t>
      </w:r>
      <w:r>
        <w:rPr>
          <w:rFonts w:ascii="Calibri" w:hAnsi="Calibri" w:cs="Calibri"/>
        </w:rPr>
        <w:t xml:space="preserve">intended application and impact. </w:t>
      </w:r>
    </w:p>
    <w:p w14:paraId="59734F4D" w14:textId="77777777" w:rsidR="00696E41" w:rsidRDefault="00696E41" w:rsidP="000E4056">
      <w:pPr>
        <w:spacing w:line="276" w:lineRule="auto"/>
        <w:rPr>
          <w:rFonts w:ascii="Calibri" w:hAnsi="Calibri" w:cs="Calibri"/>
          <w:b/>
          <w:bCs/>
          <w:lang w:val="en-GB"/>
        </w:rPr>
      </w:pPr>
    </w:p>
    <w:p w14:paraId="3DE42F9C" w14:textId="0DC8550B" w:rsidR="00675FE0" w:rsidRPr="008A11B1" w:rsidRDefault="00CD0F05" w:rsidP="000E4056">
      <w:pPr>
        <w:spacing w:line="276" w:lineRule="auto"/>
        <w:rPr>
          <w:rFonts w:ascii="Calibri" w:hAnsi="Calibri" w:cs="Calibri"/>
          <w:b/>
          <w:bCs/>
          <w:sz w:val="30"/>
          <w:szCs w:val="30"/>
          <w:lang w:val="en-GB"/>
        </w:rPr>
      </w:pPr>
      <w:r w:rsidRPr="008A11B1">
        <w:rPr>
          <w:rFonts w:ascii="Calibri" w:hAnsi="Calibri" w:cs="Calibri"/>
          <w:b/>
          <w:bCs/>
          <w:sz w:val="30"/>
          <w:szCs w:val="30"/>
          <w:lang w:val="en-GB"/>
        </w:rPr>
        <w:t xml:space="preserve">The </w:t>
      </w:r>
      <w:r w:rsidR="00C91E4E" w:rsidRPr="008A11B1">
        <w:rPr>
          <w:rFonts w:ascii="Calibri" w:hAnsi="Calibri" w:cs="Calibri"/>
          <w:b/>
          <w:bCs/>
          <w:sz w:val="30"/>
          <w:szCs w:val="30"/>
          <w:lang w:val="en-GB"/>
        </w:rPr>
        <w:t xml:space="preserve">absence of coordinated data and tools limits the CEDAW Committee’s ability to hold States accountable and track progress </w:t>
      </w:r>
    </w:p>
    <w:p w14:paraId="473B48F3" w14:textId="7F59286E" w:rsidR="005D5B0C" w:rsidRDefault="00AB6604" w:rsidP="000E4056">
      <w:pPr>
        <w:spacing w:line="276" w:lineRule="auto"/>
        <w:rPr>
          <w:rFonts w:ascii="Calibri" w:hAnsi="Calibri" w:cs="Calibri"/>
        </w:rPr>
      </w:pPr>
      <w:r>
        <w:rPr>
          <w:rFonts w:ascii="Calibri" w:hAnsi="Calibri" w:cs="Calibri"/>
        </w:rPr>
        <w:t>While</w:t>
      </w:r>
      <w:r w:rsidR="00F71576">
        <w:rPr>
          <w:rFonts w:ascii="Calibri" w:hAnsi="Calibri" w:cs="Calibri"/>
        </w:rPr>
        <w:t xml:space="preserve"> </w:t>
      </w:r>
      <w:r w:rsidR="0030475A">
        <w:rPr>
          <w:rFonts w:ascii="Calibri" w:hAnsi="Calibri" w:cs="Calibri"/>
        </w:rPr>
        <w:t>the</w:t>
      </w:r>
      <w:r w:rsidR="003B2A94">
        <w:rPr>
          <w:rFonts w:ascii="Calibri" w:hAnsi="Calibri" w:cs="Calibri"/>
        </w:rPr>
        <w:t xml:space="preserve"> CEDAW</w:t>
      </w:r>
      <w:r w:rsidR="0030475A">
        <w:rPr>
          <w:rFonts w:ascii="Calibri" w:hAnsi="Calibri" w:cs="Calibri"/>
        </w:rPr>
        <w:t xml:space="preserve"> Committee </w:t>
      </w:r>
      <w:r w:rsidR="00F71576">
        <w:rPr>
          <w:rFonts w:ascii="Calibri" w:hAnsi="Calibri" w:cs="Calibri"/>
        </w:rPr>
        <w:t xml:space="preserve">provides a comprehensive framework for advancing international women’s rights, </w:t>
      </w:r>
      <w:r w:rsidR="0030475A">
        <w:rPr>
          <w:rFonts w:ascii="Calibri" w:hAnsi="Calibri" w:cs="Calibri"/>
        </w:rPr>
        <w:t xml:space="preserve">no tool currently exists to systematically track the implementation of </w:t>
      </w:r>
      <w:r w:rsidR="00637E70">
        <w:rPr>
          <w:rFonts w:ascii="Calibri" w:hAnsi="Calibri" w:cs="Calibri"/>
        </w:rPr>
        <w:t>the Committee’s</w:t>
      </w:r>
      <w:r w:rsidR="0030475A">
        <w:rPr>
          <w:rFonts w:ascii="Calibri" w:hAnsi="Calibri" w:cs="Calibri"/>
        </w:rPr>
        <w:t xml:space="preserve"> recommendations across the 189 </w:t>
      </w:r>
      <w:r w:rsidR="003B2A94">
        <w:rPr>
          <w:rFonts w:ascii="Calibri" w:hAnsi="Calibri" w:cs="Calibri"/>
        </w:rPr>
        <w:t>S</w:t>
      </w:r>
      <w:r w:rsidR="0030475A">
        <w:rPr>
          <w:rFonts w:ascii="Calibri" w:hAnsi="Calibri" w:cs="Calibri"/>
        </w:rPr>
        <w:t>tate</w:t>
      </w:r>
      <w:r w:rsidR="003B2A94">
        <w:rPr>
          <w:rFonts w:ascii="Calibri" w:hAnsi="Calibri" w:cs="Calibri"/>
        </w:rPr>
        <w:t>s</w:t>
      </w:r>
      <w:r w:rsidR="0030475A">
        <w:rPr>
          <w:rFonts w:ascii="Calibri" w:hAnsi="Calibri" w:cs="Calibri"/>
        </w:rPr>
        <w:t xml:space="preserve"> partie</w:t>
      </w:r>
      <w:r w:rsidR="00E847EB">
        <w:rPr>
          <w:rFonts w:ascii="Calibri" w:hAnsi="Calibri" w:cs="Calibri"/>
        </w:rPr>
        <w:t>s to the Convention</w:t>
      </w:r>
      <w:r w:rsidR="0030475A">
        <w:rPr>
          <w:rFonts w:ascii="Calibri" w:hAnsi="Calibri" w:cs="Calibri"/>
        </w:rPr>
        <w:t xml:space="preserve">. </w:t>
      </w:r>
      <w:r w:rsidR="00F71576">
        <w:rPr>
          <w:rFonts w:ascii="Calibri" w:hAnsi="Calibri" w:cs="Calibri"/>
        </w:rPr>
        <w:t>P</w:t>
      </w:r>
      <w:r w:rsidR="008829E4">
        <w:rPr>
          <w:rFonts w:ascii="Calibri" w:hAnsi="Calibri" w:cs="Calibri"/>
        </w:rPr>
        <w:t>eriodic State</w:t>
      </w:r>
      <w:r w:rsidR="003B2A94">
        <w:rPr>
          <w:rFonts w:ascii="Calibri" w:hAnsi="Calibri" w:cs="Calibri"/>
        </w:rPr>
        <w:t xml:space="preserve"> reports</w:t>
      </w:r>
      <w:r w:rsidR="008829E4">
        <w:rPr>
          <w:rFonts w:ascii="Calibri" w:hAnsi="Calibri" w:cs="Calibri"/>
        </w:rPr>
        <w:t xml:space="preserve"> </w:t>
      </w:r>
      <w:r w:rsidR="00F71576">
        <w:rPr>
          <w:rFonts w:ascii="Calibri" w:hAnsi="Calibri" w:cs="Calibri"/>
        </w:rPr>
        <w:t>differ widely</w:t>
      </w:r>
      <w:r w:rsidR="006201BB">
        <w:rPr>
          <w:rFonts w:ascii="Calibri" w:hAnsi="Calibri" w:cs="Calibri"/>
        </w:rPr>
        <w:t xml:space="preserve"> </w:t>
      </w:r>
      <w:r w:rsidR="003B2A94">
        <w:rPr>
          <w:rFonts w:ascii="Calibri" w:hAnsi="Calibri" w:cs="Calibri"/>
        </w:rPr>
        <w:t>in scope, structure and specificity</w:t>
      </w:r>
      <w:r w:rsidR="00F71576">
        <w:rPr>
          <w:rFonts w:ascii="Calibri" w:hAnsi="Calibri" w:cs="Calibri"/>
        </w:rPr>
        <w:t>, reflecting national diversity but making cross-country comparison challenging. The result is fragmented, descriptive data that can obscure whether commitments translate into action.</w:t>
      </w:r>
      <w:r w:rsidR="003B2A94">
        <w:rPr>
          <w:rFonts w:ascii="Calibri" w:hAnsi="Calibri" w:cs="Calibri"/>
        </w:rPr>
        <w:t xml:space="preserve"> </w:t>
      </w:r>
    </w:p>
    <w:p w14:paraId="3DD486D3" w14:textId="2B9A10EE" w:rsidR="0062377A" w:rsidRDefault="00D64E13" w:rsidP="000E4056">
      <w:pPr>
        <w:spacing w:line="276" w:lineRule="auto"/>
        <w:rPr>
          <w:rFonts w:ascii="Calibri" w:hAnsi="Calibri" w:cs="Calibri"/>
        </w:rPr>
      </w:pPr>
      <w:r>
        <w:rPr>
          <w:rFonts w:ascii="Calibri" w:hAnsi="Calibri" w:cs="Calibri"/>
        </w:rPr>
        <w:lastRenderedPageBreak/>
        <w:t>In this context, implementation is often difficult to evaluate</w:t>
      </w:r>
      <w:r w:rsidR="008829E4">
        <w:rPr>
          <w:rFonts w:ascii="Calibri" w:hAnsi="Calibri" w:cs="Calibri"/>
        </w:rPr>
        <w:t xml:space="preserve">. </w:t>
      </w:r>
      <w:r w:rsidR="0062377A">
        <w:rPr>
          <w:rFonts w:ascii="Calibri" w:hAnsi="Calibri" w:cs="Calibri"/>
        </w:rPr>
        <w:t xml:space="preserve">In some cases, </w:t>
      </w:r>
      <w:r w:rsidR="008829E4">
        <w:rPr>
          <w:rFonts w:ascii="Calibri" w:hAnsi="Calibri" w:cs="Calibri"/>
        </w:rPr>
        <w:t>States</w:t>
      </w:r>
      <w:r w:rsidR="0062377A">
        <w:rPr>
          <w:rFonts w:ascii="Calibri" w:hAnsi="Calibri" w:cs="Calibri"/>
        </w:rPr>
        <w:t xml:space="preserve"> may take steps that are ineffective, poorly designed or misaligned with the needs and experiences of the women they are intended to assist.</w:t>
      </w:r>
      <w:r w:rsidR="00CE0B8F">
        <w:rPr>
          <w:rStyle w:val="EndnoteReference"/>
          <w:rFonts w:ascii="Calibri" w:hAnsi="Calibri" w:cs="Calibri"/>
        </w:rPr>
        <w:endnoteReference w:id="12"/>
      </w:r>
      <w:r w:rsidR="0062377A">
        <w:rPr>
          <w:rFonts w:ascii="Calibri" w:hAnsi="Calibri" w:cs="Calibri"/>
        </w:rPr>
        <w:t xml:space="preserve"> Without effective scrutiny, government inaction or superficial reforms can go unchecked and unchallenged. </w:t>
      </w:r>
    </w:p>
    <w:p w14:paraId="4442F0CB" w14:textId="2AEBF5AD" w:rsidR="005D5B0C" w:rsidRDefault="0062377A" w:rsidP="000E4056">
      <w:pPr>
        <w:spacing w:line="276" w:lineRule="auto"/>
        <w:rPr>
          <w:rFonts w:ascii="Calibri" w:hAnsi="Calibri" w:cs="Calibri"/>
        </w:rPr>
      </w:pPr>
      <w:r>
        <w:rPr>
          <w:rFonts w:ascii="Calibri" w:hAnsi="Calibri" w:cs="Calibri"/>
        </w:rPr>
        <w:t xml:space="preserve">Compounding the absence of a systematic monitoring tool, the CEDAW Committee relies heavily on the contributions of often under-resourced CSOs to provide shadow reports that serve as a critical ‘reality check’ on </w:t>
      </w:r>
      <w:r w:rsidR="004B1D62">
        <w:rPr>
          <w:rFonts w:ascii="Calibri" w:hAnsi="Calibri" w:cs="Calibri"/>
        </w:rPr>
        <w:t>S</w:t>
      </w:r>
      <w:r>
        <w:rPr>
          <w:rFonts w:ascii="Calibri" w:hAnsi="Calibri" w:cs="Calibri"/>
        </w:rPr>
        <w:t>tate party compliance.</w:t>
      </w:r>
      <w:r w:rsidR="00CE0B8F">
        <w:rPr>
          <w:rStyle w:val="EndnoteReference"/>
          <w:rFonts w:ascii="Calibri" w:hAnsi="Calibri" w:cs="Calibri"/>
        </w:rPr>
        <w:endnoteReference w:id="13"/>
      </w:r>
      <w:r>
        <w:rPr>
          <w:rFonts w:ascii="Calibri" w:hAnsi="Calibri" w:cs="Calibri"/>
        </w:rPr>
        <w:t xml:space="preserve"> These reports often highlight discrepancies between government claims and lived experiences, bringing to light persistent barriers to implementation</w:t>
      </w:r>
      <w:r w:rsidR="005D5B0C">
        <w:rPr>
          <w:rFonts w:ascii="Calibri" w:hAnsi="Calibri" w:cs="Calibri"/>
        </w:rPr>
        <w:t>, including</w:t>
      </w:r>
      <w:r>
        <w:rPr>
          <w:rFonts w:ascii="Calibri" w:hAnsi="Calibri" w:cs="Calibri"/>
        </w:rPr>
        <w:t xml:space="preserve"> policy failures that undermine access and equity. For example, our research on </w:t>
      </w:r>
      <w:r w:rsidR="004B1D62">
        <w:rPr>
          <w:rFonts w:ascii="Calibri" w:hAnsi="Calibri" w:cs="Calibri"/>
        </w:rPr>
        <w:t>S</w:t>
      </w:r>
      <w:r>
        <w:rPr>
          <w:rFonts w:ascii="Calibri" w:hAnsi="Calibri" w:cs="Calibri"/>
        </w:rPr>
        <w:t>tate responses to CEDAW recommendations identified common challenges including ongoing government inaction, gender-discriminatory legal provision</w:t>
      </w:r>
      <w:r w:rsidR="00C91E4E">
        <w:rPr>
          <w:rFonts w:ascii="Calibri" w:hAnsi="Calibri" w:cs="Calibri"/>
        </w:rPr>
        <w:t>s</w:t>
      </w:r>
      <w:r>
        <w:rPr>
          <w:rFonts w:ascii="Calibri" w:hAnsi="Calibri" w:cs="Calibri"/>
        </w:rPr>
        <w:t>, and the chronic underfunding of health and social support systems.</w:t>
      </w:r>
      <w:r w:rsidR="00CE0B8F">
        <w:rPr>
          <w:rStyle w:val="EndnoteReference"/>
          <w:rFonts w:ascii="Calibri" w:hAnsi="Calibri" w:cs="Calibri"/>
        </w:rPr>
        <w:endnoteReference w:id="14"/>
      </w:r>
      <w:r>
        <w:rPr>
          <w:rFonts w:ascii="Calibri" w:hAnsi="Calibri" w:cs="Calibri"/>
        </w:rPr>
        <w:t xml:space="preserve"> </w:t>
      </w:r>
    </w:p>
    <w:p w14:paraId="61B30E1E" w14:textId="1FF3CC3B" w:rsidR="00F71576" w:rsidRDefault="0062377A" w:rsidP="00F71576">
      <w:pPr>
        <w:spacing w:line="276" w:lineRule="auto"/>
        <w:rPr>
          <w:rFonts w:ascii="Calibri" w:hAnsi="Calibri" w:cs="Calibri"/>
        </w:rPr>
      </w:pPr>
      <w:r>
        <w:rPr>
          <w:rFonts w:ascii="Calibri" w:hAnsi="Calibri" w:cs="Calibri"/>
        </w:rPr>
        <w:t xml:space="preserve">A further limitation lies in the disconnect between </w:t>
      </w:r>
      <w:r w:rsidR="0064419A">
        <w:rPr>
          <w:rFonts w:ascii="Calibri" w:hAnsi="Calibri" w:cs="Calibri"/>
        </w:rPr>
        <w:t>different knowledge communities</w:t>
      </w:r>
      <w:r w:rsidR="001D7283">
        <w:rPr>
          <w:rFonts w:ascii="Calibri" w:hAnsi="Calibri" w:cs="Calibri"/>
        </w:rPr>
        <w:t xml:space="preserve"> including public health </w:t>
      </w:r>
      <w:r>
        <w:rPr>
          <w:rFonts w:ascii="Calibri" w:hAnsi="Calibri" w:cs="Calibri"/>
        </w:rPr>
        <w:t xml:space="preserve">researchers and </w:t>
      </w:r>
      <w:r w:rsidR="001D7283">
        <w:rPr>
          <w:rFonts w:ascii="Calibri" w:hAnsi="Calibri" w:cs="Calibri"/>
        </w:rPr>
        <w:t xml:space="preserve">human rights </w:t>
      </w:r>
      <w:r>
        <w:rPr>
          <w:rFonts w:ascii="Calibri" w:hAnsi="Calibri" w:cs="Calibri"/>
        </w:rPr>
        <w:t xml:space="preserve">advocates. </w:t>
      </w:r>
      <w:r w:rsidR="00E24BC2">
        <w:rPr>
          <w:rFonts w:ascii="Calibri" w:hAnsi="Calibri" w:cs="Calibri"/>
        </w:rPr>
        <w:t>Public health</w:t>
      </w:r>
      <w:r w:rsidR="004B1D62">
        <w:rPr>
          <w:rFonts w:ascii="Calibri" w:hAnsi="Calibri" w:cs="Calibri"/>
        </w:rPr>
        <w:t xml:space="preserve"> and development r</w:t>
      </w:r>
      <w:r>
        <w:rPr>
          <w:rFonts w:ascii="Calibri" w:hAnsi="Calibri" w:cs="Calibri"/>
        </w:rPr>
        <w:t xml:space="preserve">esearchers </w:t>
      </w:r>
      <w:r w:rsidR="001B1091">
        <w:rPr>
          <w:rFonts w:ascii="Calibri" w:hAnsi="Calibri" w:cs="Calibri"/>
        </w:rPr>
        <w:t xml:space="preserve">generate extensive evidence on violence against women, service delivery, and intervention effectiveness, while human rights advocates focus on legal accountability </w:t>
      </w:r>
      <w:r w:rsidR="00B56139">
        <w:rPr>
          <w:rFonts w:ascii="Calibri" w:hAnsi="Calibri" w:cs="Calibri"/>
        </w:rPr>
        <w:t>and State compliance</w:t>
      </w:r>
      <w:r w:rsidR="00F45B52">
        <w:rPr>
          <w:rFonts w:ascii="Calibri" w:hAnsi="Calibri" w:cs="Calibri"/>
        </w:rPr>
        <w:t>.</w:t>
      </w:r>
      <w:r w:rsidR="00CE0B8F">
        <w:rPr>
          <w:rStyle w:val="EndnoteReference"/>
          <w:rFonts w:ascii="Calibri" w:hAnsi="Calibri" w:cs="Calibri"/>
        </w:rPr>
        <w:endnoteReference w:id="15"/>
      </w:r>
      <w:r w:rsidR="00F45B52">
        <w:rPr>
          <w:rFonts w:ascii="Calibri" w:hAnsi="Calibri" w:cs="Calibri"/>
        </w:rPr>
        <w:t xml:space="preserve"> </w:t>
      </w:r>
      <w:r w:rsidR="00D260BB">
        <w:rPr>
          <w:rFonts w:ascii="Calibri" w:hAnsi="Calibri" w:cs="Calibri"/>
        </w:rPr>
        <w:t>These domains are often only partially integrated</w:t>
      </w:r>
      <w:r w:rsidR="00ED6FB4">
        <w:rPr>
          <w:rFonts w:ascii="Calibri" w:hAnsi="Calibri" w:cs="Calibri"/>
        </w:rPr>
        <w:t>.</w:t>
      </w:r>
      <w:r w:rsidR="00D260BB">
        <w:rPr>
          <w:rFonts w:ascii="Calibri" w:hAnsi="Calibri" w:cs="Calibri"/>
        </w:rPr>
        <w:t xml:space="preserve"> </w:t>
      </w:r>
      <w:r w:rsidR="00ED6FB4">
        <w:rPr>
          <w:rFonts w:ascii="Calibri" w:hAnsi="Calibri" w:cs="Calibri"/>
        </w:rPr>
        <w:t>R</w:t>
      </w:r>
      <w:r w:rsidR="00D260BB">
        <w:rPr>
          <w:rFonts w:ascii="Calibri" w:hAnsi="Calibri" w:cs="Calibri"/>
        </w:rPr>
        <w:t>esearchers may not engage directly with human rights frameworks, while human rights advocates may have limited access to comparative</w:t>
      </w:r>
      <w:r w:rsidR="00EE4A2D">
        <w:rPr>
          <w:rFonts w:ascii="Calibri" w:hAnsi="Calibri" w:cs="Calibri"/>
        </w:rPr>
        <w:t xml:space="preserve"> or evaluative evidence on what interventions are effective. This fragmentation reduces opportunities to link evidence with accountability. </w:t>
      </w:r>
    </w:p>
    <w:p w14:paraId="20C0F576" w14:textId="1B8D107C" w:rsidR="003A07DF" w:rsidRDefault="00DF5FD6" w:rsidP="000E4056">
      <w:pPr>
        <w:spacing w:line="276" w:lineRule="auto"/>
        <w:rPr>
          <w:rFonts w:ascii="Calibri" w:hAnsi="Calibri" w:cs="Calibri"/>
          <w:lang w:val="en-GB"/>
        </w:rPr>
      </w:pPr>
      <w:r>
        <w:rPr>
          <w:rFonts w:ascii="Calibri" w:hAnsi="Calibri" w:cs="Calibri"/>
          <w:lang w:val="en-GB"/>
        </w:rPr>
        <w:t>Several tools already exist to rank or categorise government action as it relates to CEDAW.</w:t>
      </w:r>
      <w:r w:rsidR="00546717">
        <w:rPr>
          <w:rFonts w:ascii="Calibri" w:hAnsi="Calibri" w:cs="Calibri"/>
          <w:lang w:val="en-GB"/>
        </w:rPr>
        <w:t xml:space="preserve"> F</w:t>
      </w:r>
      <w:r w:rsidR="00855EBD">
        <w:rPr>
          <w:rFonts w:ascii="Calibri" w:hAnsi="Calibri" w:cs="Calibri"/>
          <w:lang w:val="en-GB"/>
        </w:rPr>
        <w:t>or example</w:t>
      </w:r>
      <w:r w:rsidR="00716985">
        <w:rPr>
          <w:rFonts w:ascii="Calibri" w:hAnsi="Calibri" w:cs="Calibri"/>
          <w:lang w:val="en-GB"/>
        </w:rPr>
        <w:t>,</w:t>
      </w:r>
      <w:r w:rsidR="00855EBD">
        <w:rPr>
          <w:rFonts w:ascii="Calibri" w:hAnsi="Calibri" w:cs="Calibri"/>
          <w:lang w:val="en-GB"/>
        </w:rPr>
        <w:t xml:space="preserve"> the Gender Legislative Index ranks and scores legislation against CEDAW’s international </w:t>
      </w:r>
      <w:r w:rsidR="00737A35">
        <w:rPr>
          <w:rFonts w:ascii="Calibri" w:hAnsi="Calibri" w:cs="Calibri"/>
          <w:lang w:val="en-GB"/>
        </w:rPr>
        <w:t xml:space="preserve">standards on </w:t>
      </w:r>
      <w:r w:rsidR="00855EBD">
        <w:rPr>
          <w:rFonts w:ascii="Calibri" w:hAnsi="Calibri" w:cs="Calibri"/>
          <w:lang w:val="en-GB"/>
        </w:rPr>
        <w:t>women’s rights in four countries.</w:t>
      </w:r>
      <w:r w:rsidR="002B6FF6">
        <w:rPr>
          <w:rStyle w:val="EndnoteReference"/>
          <w:rFonts w:ascii="Calibri" w:hAnsi="Calibri" w:cs="Calibri"/>
          <w:lang w:val="en-GB"/>
        </w:rPr>
        <w:endnoteReference w:id="16"/>
      </w:r>
      <w:r w:rsidR="00855EBD">
        <w:rPr>
          <w:rFonts w:ascii="Calibri" w:hAnsi="Calibri" w:cs="Calibri"/>
          <w:lang w:val="en-GB"/>
        </w:rPr>
        <w:t xml:space="preserve"> The Danish Human Rights Institute’s SDG Human Rights Data Explorer links CEDAW recommendations to Sustainable Development Goals.</w:t>
      </w:r>
      <w:r w:rsidR="002B6FF6">
        <w:rPr>
          <w:rStyle w:val="EndnoteReference"/>
          <w:rFonts w:ascii="Calibri" w:hAnsi="Calibri" w:cs="Calibri"/>
          <w:lang w:val="en-GB"/>
        </w:rPr>
        <w:endnoteReference w:id="17"/>
      </w:r>
      <w:r w:rsidR="00855EBD">
        <w:rPr>
          <w:rFonts w:ascii="Calibri" w:hAnsi="Calibri" w:cs="Calibri"/>
          <w:lang w:val="en-GB"/>
        </w:rPr>
        <w:t xml:space="preserve"> </w:t>
      </w:r>
      <w:r w:rsidR="005F0AD8">
        <w:rPr>
          <w:rFonts w:ascii="Calibri" w:hAnsi="Calibri" w:cs="Calibri"/>
          <w:lang w:val="en-GB"/>
        </w:rPr>
        <w:t>The UN Women Global Database on Violence Against Women serves as a descriptive repository of national laws, policies, and services, including some CEDAW data.</w:t>
      </w:r>
      <w:r w:rsidR="002B6FF6">
        <w:rPr>
          <w:rStyle w:val="EndnoteReference"/>
          <w:rFonts w:ascii="Calibri" w:hAnsi="Calibri" w:cs="Calibri"/>
          <w:lang w:val="en-GB"/>
        </w:rPr>
        <w:endnoteReference w:id="18"/>
      </w:r>
      <w:r w:rsidR="005F0AD8">
        <w:rPr>
          <w:rFonts w:ascii="Calibri" w:hAnsi="Calibri" w:cs="Calibri"/>
          <w:lang w:val="en-GB"/>
        </w:rPr>
        <w:t xml:space="preserve"> </w:t>
      </w:r>
      <w:r w:rsidR="00855EBD">
        <w:rPr>
          <w:rFonts w:ascii="Calibri" w:hAnsi="Calibri" w:cs="Calibri"/>
          <w:lang w:val="en-GB"/>
        </w:rPr>
        <w:t xml:space="preserve">However, none of these tools </w:t>
      </w:r>
      <w:r w:rsidR="005F0AD8">
        <w:rPr>
          <w:rFonts w:ascii="Calibri" w:hAnsi="Calibri" w:cs="Calibri"/>
          <w:lang w:val="en-GB"/>
        </w:rPr>
        <w:t xml:space="preserve">systematically </w:t>
      </w:r>
      <w:r w:rsidR="00855EBD">
        <w:rPr>
          <w:rFonts w:ascii="Calibri" w:hAnsi="Calibri" w:cs="Calibri"/>
          <w:lang w:val="en-GB"/>
        </w:rPr>
        <w:t>track the implementation o</w:t>
      </w:r>
      <w:r w:rsidR="005F0AD8">
        <w:rPr>
          <w:rFonts w:ascii="Calibri" w:hAnsi="Calibri" w:cs="Calibri"/>
          <w:lang w:val="en-GB"/>
        </w:rPr>
        <w:t>r outcomes of CEDAW</w:t>
      </w:r>
      <w:r w:rsidR="00855EBD">
        <w:rPr>
          <w:rFonts w:ascii="Calibri" w:hAnsi="Calibri" w:cs="Calibri"/>
          <w:lang w:val="en-GB"/>
        </w:rPr>
        <w:t xml:space="preserve"> recommendations. </w:t>
      </w:r>
      <w:r w:rsidR="009463BB">
        <w:rPr>
          <w:rFonts w:ascii="Calibri" w:hAnsi="Calibri" w:cs="Calibri"/>
          <w:lang w:val="en-GB"/>
        </w:rPr>
        <w:t xml:space="preserve">This led us to begin development of the CEDAW Index. </w:t>
      </w:r>
    </w:p>
    <w:p w14:paraId="5EA241D0" w14:textId="5DECB648" w:rsidR="004D65C8" w:rsidRDefault="00177CAB" w:rsidP="000E4056">
      <w:pPr>
        <w:spacing w:line="276" w:lineRule="auto"/>
        <w:rPr>
          <w:rFonts w:ascii="Calibri" w:hAnsi="Calibri" w:cs="Calibri"/>
        </w:rPr>
      </w:pPr>
      <w:r>
        <w:rPr>
          <w:rFonts w:ascii="Calibri" w:hAnsi="Calibri" w:cs="Calibri"/>
        </w:rPr>
        <w:t xml:space="preserve">To address this gap, we undertook a </w:t>
      </w:r>
      <w:r w:rsidR="00CF2E07">
        <w:rPr>
          <w:rFonts w:ascii="Calibri" w:hAnsi="Calibri" w:cs="Calibri"/>
        </w:rPr>
        <w:t>pilot analysis</w:t>
      </w:r>
      <w:r>
        <w:rPr>
          <w:rFonts w:ascii="Calibri" w:hAnsi="Calibri" w:cs="Calibri"/>
        </w:rPr>
        <w:t xml:space="preserve"> of the most recent </w:t>
      </w:r>
      <w:r w:rsidR="00F71576">
        <w:rPr>
          <w:rFonts w:ascii="Calibri" w:hAnsi="Calibri" w:cs="Calibri"/>
        </w:rPr>
        <w:t>CEDAW</w:t>
      </w:r>
      <w:r w:rsidR="00CF2E07">
        <w:rPr>
          <w:rFonts w:ascii="Calibri" w:hAnsi="Calibri" w:cs="Calibri"/>
        </w:rPr>
        <w:t xml:space="preserve"> reviews from 117 countries </w:t>
      </w:r>
      <w:proofErr w:type="gramStart"/>
      <w:r w:rsidR="00921053">
        <w:rPr>
          <w:rFonts w:ascii="Calibri" w:hAnsi="Calibri" w:cs="Calibri"/>
        </w:rPr>
        <w:t xml:space="preserve">between  </w:t>
      </w:r>
      <w:r w:rsidR="00CF2E07">
        <w:rPr>
          <w:rFonts w:ascii="Calibri" w:hAnsi="Calibri" w:cs="Calibri"/>
        </w:rPr>
        <w:t>1997</w:t>
      </w:r>
      <w:proofErr w:type="gramEnd"/>
      <w:r w:rsidR="00921053">
        <w:rPr>
          <w:rFonts w:ascii="Calibri" w:hAnsi="Calibri" w:cs="Calibri"/>
        </w:rPr>
        <w:t xml:space="preserve">  and </w:t>
      </w:r>
      <w:r w:rsidR="00CF2E07">
        <w:rPr>
          <w:rFonts w:ascii="Calibri" w:hAnsi="Calibri" w:cs="Calibri"/>
        </w:rPr>
        <w:t>2020</w:t>
      </w:r>
      <w:r w:rsidR="00921053">
        <w:rPr>
          <w:rFonts w:ascii="Calibri" w:hAnsi="Calibri" w:cs="Calibri"/>
        </w:rPr>
        <w:t>. This analysis</w:t>
      </w:r>
      <w:r w:rsidR="00F71576">
        <w:rPr>
          <w:rFonts w:ascii="Calibri" w:hAnsi="Calibri" w:cs="Calibri"/>
        </w:rPr>
        <w:t xml:space="preserve"> identified </w:t>
      </w:r>
      <w:r w:rsidR="00CF2E07">
        <w:rPr>
          <w:rFonts w:ascii="Calibri" w:hAnsi="Calibri" w:cs="Calibri"/>
        </w:rPr>
        <w:t xml:space="preserve">423 laws that governments </w:t>
      </w:r>
      <w:r w:rsidR="00921053">
        <w:rPr>
          <w:rFonts w:ascii="Calibri" w:hAnsi="Calibri" w:cs="Calibri"/>
        </w:rPr>
        <w:t xml:space="preserve">reported </w:t>
      </w:r>
      <w:r w:rsidR="00CF2E07">
        <w:rPr>
          <w:rFonts w:ascii="Calibri" w:hAnsi="Calibri" w:cs="Calibri"/>
        </w:rPr>
        <w:t>implement</w:t>
      </w:r>
      <w:r w:rsidR="00921053">
        <w:rPr>
          <w:rFonts w:ascii="Calibri" w:hAnsi="Calibri" w:cs="Calibri"/>
        </w:rPr>
        <w:t>ing</w:t>
      </w:r>
      <w:r w:rsidR="00CF2E07">
        <w:rPr>
          <w:rFonts w:ascii="Calibri" w:hAnsi="Calibri" w:cs="Calibri"/>
        </w:rPr>
        <w:t xml:space="preserve"> or amend</w:t>
      </w:r>
      <w:r w:rsidR="008A1F32">
        <w:rPr>
          <w:rFonts w:ascii="Calibri" w:hAnsi="Calibri" w:cs="Calibri"/>
        </w:rPr>
        <w:t xml:space="preserve">ing, including 85 concerning gender-based violence, the rights of refugees and migrants, and protections for LGBTQIA+ individuals. </w:t>
      </w:r>
      <w:r w:rsidR="00CF2E07">
        <w:rPr>
          <w:rFonts w:ascii="Calibri" w:hAnsi="Calibri" w:cs="Calibri"/>
        </w:rPr>
        <w:t>.</w:t>
      </w:r>
      <w:r w:rsidR="00CF2E07">
        <w:rPr>
          <w:rStyle w:val="EndnoteReference"/>
          <w:rFonts w:ascii="Calibri" w:hAnsi="Calibri" w:cs="Calibri"/>
        </w:rPr>
        <w:endnoteReference w:id="19"/>
      </w:r>
      <w:r w:rsidR="00CF2E07">
        <w:rPr>
          <w:rFonts w:ascii="Calibri" w:hAnsi="Calibri" w:cs="Calibri"/>
        </w:rPr>
        <w:t xml:space="preserve"> </w:t>
      </w:r>
      <w:r w:rsidR="004D65C8">
        <w:rPr>
          <w:rFonts w:ascii="Calibri" w:hAnsi="Calibri" w:cs="Calibri"/>
        </w:rPr>
        <w:t>While these reforms cannot be attributed solely to CEDAW recommendations</w:t>
      </w:r>
      <w:r w:rsidR="00ED6FB4">
        <w:rPr>
          <w:rFonts w:ascii="Calibri" w:hAnsi="Calibri" w:cs="Calibri"/>
        </w:rPr>
        <w:t xml:space="preserve">, </w:t>
      </w:r>
      <w:r w:rsidR="004D65C8">
        <w:rPr>
          <w:rFonts w:ascii="Calibri" w:hAnsi="Calibri" w:cs="Calibri"/>
        </w:rPr>
        <w:t xml:space="preserve">they reflect areas where domestic legal change aligns with issues raised through the CEDAW review process. </w:t>
      </w:r>
    </w:p>
    <w:p w14:paraId="0FD97548" w14:textId="52F827C6" w:rsidR="00821CF6" w:rsidRDefault="00CF2E07" w:rsidP="000E4056">
      <w:pPr>
        <w:spacing w:line="276" w:lineRule="auto"/>
        <w:rPr>
          <w:rFonts w:ascii="Calibri" w:hAnsi="Calibri" w:cs="Calibri"/>
        </w:rPr>
      </w:pPr>
      <w:r>
        <w:rPr>
          <w:rFonts w:ascii="Calibri" w:hAnsi="Calibri" w:cs="Calibri"/>
        </w:rPr>
        <w:t>These findings challenge some common assumptions</w:t>
      </w:r>
      <w:r w:rsidR="004D65C8">
        <w:rPr>
          <w:rFonts w:ascii="Calibri" w:hAnsi="Calibri" w:cs="Calibri"/>
        </w:rPr>
        <w:t>. Implementation patterns were broadly similar across World Bank income groups (low-, lower-middle-, upper-middle-and high-income countries)</w:t>
      </w:r>
      <w:r w:rsidR="00C77037">
        <w:rPr>
          <w:rFonts w:ascii="Calibri" w:hAnsi="Calibri" w:cs="Calibri"/>
        </w:rPr>
        <w:t xml:space="preserve">. </w:t>
      </w:r>
      <w:r w:rsidR="000E1849">
        <w:rPr>
          <w:rFonts w:ascii="Calibri" w:hAnsi="Calibri" w:cs="Calibri"/>
        </w:rPr>
        <w:t>G</w:t>
      </w:r>
      <w:r>
        <w:rPr>
          <w:rFonts w:ascii="Calibri" w:hAnsi="Calibri" w:cs="Calibri"/>
        </w:rPr>
        <w:t xml:space="preserve">overnments facing resource constraints or humanitarian crises took meaningful steps though crisis-affected countries implemented 34% of </w:t>
      </w:r>
      <w:r>
        <w:rPr>
          <w:rFonts w:ascii="Calibri" w:hAnsi="Calibri" w:cs="Calibri"/>
        </w:rPr>
        <w:lastRenderedPageBreak/>
        <w:t xml:space="preserve">recommendations compared to 53% in non-crisis settings. </w:t>
      </w:r>
      <w:r w:rsidR="00821CF6">
        <w:rPr>
          <w:rFonts w:ascii="Calibri" w:hAnsi="Calibri" w:cs="Calibri"/>
        </w:rPr>
        <w:t xml:space="preserve">At the same time, the presence of legal change does not necessarily indicate effective implementation or improved outcomes for women. Many reforms are under-resourced or unevenly enforced, limiting their impact in practice. </w:t>
      </w:r>
    </w:p>
    <w:p w14:paraId="584DDF4B" w14:textId="151ABBC9" w:rsidR="00CF2E07" w:rsidRDefault="00CF2E07" w:rsidP="000E4056">
      <w:pPr>
        <w:spacing w:line="276" w:lineRule="auto"/>
        <w:rPr>
          <w:rFonts w:ascii="Calibri" w:hAnsi="Calibri" w:cs="Calibri"/>
        </w:rPr>
      </w:pPr>
      <w:r>
        <w:rPr>
          <w:rFonts w:ascii="Calibri" w:hAnsi="Calibri" w:cs="Calibri"/>
        </w:rPr>
        <w:t>By</w:t>
      </w:r>
      <w:r w:rsidR="00821CF6">
        <w:rPr>
          <w:rFonts w:ascii="Calibri" w:hAnsi="Calibri" w:cs="Calibri"/>
        </w:rPr>
        <w:t xml:space="preserve"> systematically</w:t>
      </w:r>
      <w:r>
        <w:rPr>
          <w:rFonts w:ascii="Calibri" w:hAnsi="Calibri" w:cs="Calibri"/>
        </w:rPr>
        <w:t xml:space="preserve"> </w:t>
      </w:r>
      <w:r w:rsidR="00821CF6">
        <w:rPr>
          <w:rFonts w:ascii="Calibri" w:hAnsi="Calibri" w:cs="Calibri"/>
        </w:rPr>
        <w:t xml:space="preserve">structuring and analysing these data, this approach highlights both the potential and limitations of existing accountability processes. It demonstrates how more coordinated </w:t>
      </w:r>
      <w:r w:rsidR="005A6820">
        <w:rPr>
          <w:rFonts w:ascii="Calibri" w:hAnsi="Calibri" w:cs="Calibri"/>
        </w:rPr>
        <w:t xml:space="preserve">monitoring can reveal patterns of response across contexts, while underscoring the need to interpret legal and policy change alongside evidence on implementation and lived experience. </w:t>
      </w:r>
    </w:p>
    <w:p w14:paraId="7CBD8DFC" w14:textId="77777777" w:rsidR="00157476" w:rsidRDefault="00157476" w:rsidP="000E4056">
      <w:pPr>
        <w:spacing w:line="276" w:lineRule="auto"/>
        <w:rPr>
          <w:rFonts w:ascii="Calibri" w:hAnsi="Calibri" w:cs="Calibri"/>
          <w:b/>
          <w:bCs/>
          <w:sz w:val="30"/>
          <w:szCs w:val="30"/>
        </w:rPr>
      </w:pPr>
    </w:p>
    <w:p w14:paraId="536706DF" w14:textId="6EACF846" w:rsidR="005A64F8" w:rsidRPr="008A11B1" w:rsidRDefault="00020456" w:rsidP="000E4056">
      <w:pPr>
        <w:spacing w:line="276" w:lineRule="auto"/>
        <w:rPr>
          <w:rFonts w:ascii="Calibri" w:hAnsi="Calibri" w:cs="Calibri"/>
          <w:b/>
          <w:bCs/>
          <w:sz w:val="30"/>
          <w:szCs w:val="30"/>
        </w:rPr>
      </w:pPr>
      <w:r w:rsidRPr="008A11B1">
        <w:rPr>
          <w:rFonts w:ascii="Calibri" w:hAnsi="Calibri" w:cs="Calibri"/>
          <w:b/>
          <w:bCs/>
          <w:sz w:val="30"/>
          <w:szCs w:val="30"/>
        </w:rPr>
        <w:t xml:space="preserve">The CEDAW Index: A </w:t>
      </w:r>
      <w:r w:rsidR="003A07DF" w:rsidRPr="008A11B1">
        <w:rPr>
          <w:rFonts w:ascii="Calibri" w:hAnsi="Calibri" w:cs="Calibri"/>
          <w:b/>
          <w:bCs/>
          <w:sz w:val="30"/>
          <w:szCs w:val="30"/>
        </w:rPr>
        <w:t>n</w:t>
      </w:r>
      <w:r w:rsidRPr="008A11B1">
        <w:rPr>
          <w:rFonts w:ascii="Calibri" w:hAnsi="Calibri" w:cs="Calibri"/>
          <w:b/>
          <w:bCs/>
          <w:sz w:val="30"/>
          <w:szCs w:val="30"/>
        </w:rPr>
        <w:t xml:space="preserve">ew </w:t>
      </w:r>
      <w:r w:rsidR="003A07DF" w:rsidRPr="008A11B1">
        <w:rPr>
          <w:rFonts w:ascii="Calibri" w:hAnsi="Calibri" w:cs="Calibri"/>
          <w:b/>
          <w:bCs/>
          <w:sz w:val="30"/>
          <w:szCs w:val="30"/>
        </w:rPr>
        <w:t>f</w:t>
      </w:r>
      <w:r w:rsidRPr="008A11B1">
        <w:rPr>
          <w:rFonts w:ascii="Calibri" w:hAnsi="Calibri" w:cs="Calibri"/>
          <w:b/>
          <w:bCs/>
          <w:sz w:val="30"/>
          <w:szCs w:val="30"/>
        </w:rPr>
        <w:t xml:space="preserve">ramework for </w:t>
      </w:r>
      <w:r w:rsidR="003A07DF" w:rsidRPr="008A11B1">
        <w:rPr>
          <w:rFonts w:ascii="Calibri" w:hAnsi="Calibri" w:cs="Calibri"/>
          <w:b/>
          <w:bCs/>
          <w:sz w:val="30"/>
          <w:szCs w:val="30"/>
        </w:rPr>
        <w:t>m</w:t>
      </w:r>
      <w:r w:rsidRPr="008A11B1">
        <w:rPr>
          <w:rFonts w:ascii="Calibri" w:hAnsi="Calibri" w:cs="Calibri"/>
          <w:b/>
          <w:bCs/>
          <w:sz w:val="30"/>
          <w:szCs w:val="30"/>
        </w:rPr>
        <w:t xml:space="preserve">onitoring </w:t>
      </w:r>
      <w:r w:rsidR="003A07DF" w:rsidRPr="008A11B1">
        <w:rPr>
          <w:rFonts w:ascii="Calibri" w:hAnsi="Calibri" w:cs="Calibri"/>
          <w:b/>
          <w:bCs/>
          <w:sz w:val="30"/>
          <w:szCs w:val="30"/>
        </w:rPr>
        <w:t>i</w:t>
      </w:r>
      <w:r w:rsidRPr="008A11B1">
        <w:rPr>
          <w:rFonts w:ascii="Calibri" w:hAnsi="Calibri" w:cs="Calibri"/>
          <w:b/>
          <w:bCs/>
          <w:sz w:val="30"/>
          <w:szCs w:val="30"/>
        </w:rPr>
        <w:t>mplementa</w:t>
      </w:r>
      <w:r w:rsidR="00897FCA" w:rsidRPr="008A11B1">
        <w:rPr>
          <w:rFonts w:ascii="Calibri" w:hAnsi="Calibri" w:cs="Calibri"/>
          <w:b/>
          <w:bCs/>
          <w:sz w:val="30"/>
          <w:szCs w:val="30"/>
        </w:rPr>
        <w:t>tion</w:t>
      </w:r>
    </w:p>
    <w:p w14:paraId="3431DB26" w14:textId="636A6FFD" w:rsidR="00E26B9D" w:rsidRDefault="00E26B9D" w:rsidP="000E4056">
      <w:pPr>
        <w:spacing w:line="276" w:lineRule="auto"/>
        <w:rPr>
          <w:rFonts w:ascii="Calibri" w:hAnsi="Calibri" w:cs="Calibri"/>
        </w:rPr>
      </w:pPr>
      <w:r>
        <w:rPr>
          <w:rFonts w:ascii="Calibri" w:hAnsi="Calibri" w:cs="Calibri"/>
        </w:rPr>
        <w:t xml:space="preserve">The CEDAW Index </w:t>
      </w:r>
      <w:r w:rsidR="004239BF">
        <w:rPr>
          <w:rFonts w:ascii="Calibri" w:hAnsi="Calibri" w:cs="Calibri"/>
        </w:rPr>
        <w:t xml:space="preserve">will </w:t>
      </w:r>
      <w:r>
        <w:rPr>
          <w:rFonts w:ascii="Calibri" w:hAnsi="Calibri" w:cs="Calibri"/>
        </w:rPr>
        <w:t xml:space="preserve">offer a systematic approach to tracking and analysing the </w:t>
      </w:r>
      <w:r w:rsidR="003A07DF">
        <w:rPr>
          <w:rFonts w:ascii="Calibri" w:hAnsi="Calibri" w:cs="Calibri"/>
        </w:rPr>
        <w:t xml:space="preserve">Committee’s </w:t>
      </w:r>
      <w:r>
        <w:rPr>
          <w:rFonts w:ascii="Calibri" w:hAnsi="Calibri" w:cs="Calibri"/>
        </w:rPr>
        <w:t xml:space="preserve">recommendations, government actions, and responses from CSOs. Findings </w:t>
      </w:r>
      <w:r w:rsidR="00637E70">
        <w:rPr>
          <w:rFonts w:ascii="Calibri" w:hAnsi="Calibri" w:cs="Calibri"/>
        </w:rPr>
        <w:t xml:space="preserve">will be </w:t>
      </w:r>
      <w:r>
        <w:rPr>
          <w:rFonts w:ascii="Calibri" w:hAnsi="Calibri" w:cs="Calibri"/>
        </w:rPr>
        <w:t xml:space="preserve">visualised through a digital dashboard that consolidates recommendations from periodic reviews, categorising them by nature, scope, and extent of implementation, while distilling key insights from local, regional, and global contexts. </w:t>
      </w:r>
    </w:p>
    <w:p w14:paraId="18C10B44" w14:textId="51521C17" w:rsidR="00AA16FD" w:rsidRPr="00CE0004" w:rsidRDefault="00AA16FD" w:rsidP="000E4056">
      <w:pPr>
        <w:spacing w:line="276" w:lineRule="auto"/>
        <w:rPr>
          <w:rFonts w:ascii="Calibri" w:hAnsi="Calibri" w:cs="Calibri"/>
        </w:rPr>
      </w:pPr>
      <w:r w:rsidRPr="00CE0004">
        <w:rPr>
          <w:rFonts w:ascii="Calibri" w:hAnsi="Calibri" w:cs="Calibri"/>
        </w:rPr>
        <w:t>Here, t</w:t>
      </w:r>
      <w:r w:rsidRPr="00D45509">
        <w:rPr>
          <w:rFonts w:ascii="Calibri" w:hAnsi="Calibri" w:cs="Calibri"/>
          <w:color w:val="212121"/>
          <w:lang w:eastAsia="en-GB"/>
        </w:rPr>
        <w:t>he</w:t>
      </w:r>
      <w:r w:rsidR="0001042D" w:rsidRPr="00D45509">
        <w:rPr>
          <w:rFonts w:ascii="Calibri" w:hAnsi="Calibri" w:cs="Calibri"/>
          <w:color w:val="212121"/>
          <w:lang w:eastAsia="en-GB"/>
        </w:rPr>
        <w:t xml:space="preserve"> </w:t>
      </w:r>
      <w:r w:rsidR="00FE51BA" w:rsidRPr="00D45509">
        <w:rPr>
          <w:rFonts w:ascii="Calibri" w:hAnsi="Calibri" w:cs="Calibri"/>
          <w:color w:val="212121"/>
          <w:lang w:eastAsia="en-GB"/>
        </w:rPr>
        <w:t>key unit of analysis is individual CEDAW recommendations. The</w:t>
      </w:r>
      <w:r w:rsidRPr="00D45509">
        <w:rPr>
          <w:rFonts w:ascii="Calibri" w:hAnsi="Calibri" w:cs="Calibri"/>
          <w:color w:val="212121"/>
          <w:lang w:eastAsia="en-GB"/>
        </w:rPr>
        <w:t xml:space="preserve"> term “Index” is used to denote a systematic framework for organising and analysing implementation data across multiple dimensions, rather than a composite indicator that aggregates performance into a single score.</w:t>
      </w:r>
    </w:p>
    <w:p w14:paraId="650CEAC3" w14:textId="3DA2D43A" w:rsidR="0066530F" w:rsidRDefault="0066530F" w:rsidP="000E4056">
      <w:pPr>
        <w:spacing w:line="276" w:lineRule="auto"/>
        <w:rPr>
          <w:rFonts w:ascii="Calibri" w:hAnsi="Calibri" w:cs="Calibri"/>
        </w:rPr>
      </w:pPr>
      <w:r>
        <w:rPr>
          <w:rFonts w:ascii="Calibri" w:hAnsi="Calibri" w:cs="Calibri"/>
        </w:rPr>
        <w:t xml:space="preserve">The CEDAW Index </w:t>
      </w:r>
      <w:r w:rsidR="001825BD">
        <w:rPr>
          <w:rFonts w:ascii="Calibri" w:hAnsi="Calibri" w:cs="Calibri"/>
        </w:rPr>
        <w:t xml:space="preserve">has been </w:t>
      </w:r>
      <w:r>
        <w:rPr>
          <w:rFonts w:ascii="Calibri" w:hAnsi="Calibri" w:cs="Calibri"/>
        </w:rPr>
        <w:t xml:space="preserve">designed for </w:t>
      </w:r>
      <w:r w:rsidR="00DE53C9">
        <w:rPr>
          <w:rFonts w:ascii="Calibri" w:hAnsi="Calibri" w:cs="Calibri"/>
        </w:rPr>
        <w:t xml:space="preserve">human rights </w:t>
      </w:r>
      <w:r>
        <w:rPr>
          <w:rFonts w:ascii="Calibri" w:hAnsi="Calibri" w:cs="Calibri"/>
        </w:rPr>
        <w:t>advocates, researchers, and</w:t>
      </w:r>
      <w:r w:rsidR="00DE53C9">
        <w:rPr>
          <w:rFonts w:ascii="Calibri" w:hAnsi="Calibri" w:cs="Calibri"/>
        </w:rPr>
        <w:t xml:space="preserve"> policy</w:t>
      </w:r>
      <w:r>
        <w:rPr>
          <w:rFonts w:ascii="Calibri" w:hAnsi="Calibri" w:cs="Calibri"/>
        </w:rPr>
        <w:t>makers</w:t>
      </w:r>
      <w:r w:rsidR="003A07DF">
        <w:rPr>
          <w:rFonts w:ascii="Calibri" w:hAnsi="Calibri" w:cs="Calibri"/>
        </w:rPr>
        <w:t>, as well as the CEDAW Committee itself</w:t>
      </w:r>
      <w:r>
        <w:rPr>
          <w:rFonts w:ascii="Calibri" w:hAnsi="Calibri" w:cs="Calibri"/>
        </w:rPr>
        <w:t>. It offers a unique opportunity to monitor government actions on women’s rights by providing robust data and insights</w:t>
      </w:r>
      <w:r w:rsidR="003101EA">
        <w:rPr>
          <w:rFonts w:ascii="Calibri" w:hAnsi="Calibri" w:cs="Calibri"/>
        </w:rPr>
        <w:t>.</w:t>
      </w:r>
      <w:r>
        <w:rPr>
          <w:rFonts w:ascii="Calibri" w:hAnsi="Calibri" w:cs="Calibri"/>
        </w:rPr>
        <w:t xml:space="preserve"> </w:t>
      </w:r>
      <w:r w:rsidR="003101EA">
        <w:rPr>
          <w:rFonts w:ascii="Calibri" w:hAnsi="Calibri" w:cs="Calibri"/>
        </w:rPr>
        <w:t>T</w:t>
      </w:r>
      <w:r>
        <w:rPr>
          <w:rFonts w:ascii="Calibri" w:hAnsi="Calibri" w:cs="Calibri"/>
        </w:rPr>
        <w:t xml:space="preserve">he Index </w:t>
      </w:r>
      <w:r w:rsidR="00637E70">
        <w:rPr>
          <w:rFonts w:ascii="Calibri" w:hAnsi="Calibri" w:cs="Calibri"/>
        </w:rPr>
        <w:t xml:space="preserve">will </w:t>
      </w:r>
      <w:r w:rsidR="00B90E61">
        <w:rPr>
          <w:rFonts w:ascii="Calibri" w:hAnsi="Calibri" w:cs="Calibri"/>
        </w:rPr>
        <w:t>provide</w:t>
      </w:r>
      <w:r>
        <w:rPr>
          <w:rFonts w:ascii="Calibri" w:hAnsi="Calibri" w:cs="Calibri"/>
        </w:rPr>
        <w:t xml:space="preserve"> advocates</w:t>
      </w:r>
      <w:r w:rsidR="00B90E61">
        <w:rPr>
          <w:rFonts w:ascii="Calibri" w:hAnsi="Calibri" w:cs="Calibri"/>
        </w:rPr>
        <w:t xml:space="preserve"> with the opportunity</w:t>
      </w:r>
      <w:r>
        <w:rPr>
          <w:rFonts w:ascii="Calibri" w:hAnsi="Calibri" w:cs="Calibri"/>
        </w:rPr>
        <w:t xml:space="preserve"> to communicate effectively, craft evidence-based arguments, and contribute to mobilising grassroots movements. </w:t>
      </w:r>
      <w:r w:rsidR="003101EA">
        <w:rPr>
          <w:rFonts w:ascii="Calibri" w:hAnsi="Calibri" w:cs="Calibri"/>
        </w:rPr>
        <w:t>We believe t</w:t>
      </w:r>
      <w:r>
        <w:rPr>
          <w:rFonts w:ascii="Calibri" w:hAnsi="Calibri" w:cs="Calibri"/>
        </w:rPr>
        <w:t xml:space="preserve">hese insights </w:t>
      </w:r>
      <w:r w:rsidR="003101EA">
        <w:rPr>
          <w:rFonts w:ascii="Calibri" w:hAnsi="Calibri" w:cs="Calibri"/>
        </w:rPr>
        <w:t>will be</w:t>
      </w:r>
      <w:r>
        <w:rPr>
          <w:rFonts w:ascii="Calibri" w:hAnsi="Calibri" w:cs="Calibri"/>
        </w:rPr>
        <w:t xml:space="preserve"> instrumental in </w:t>
      </w:r>
      <w:r w:rsidR="00147635">
        <w:rPr>
          <w:rFonts w:ascii="Calibri" w:hAnsi="Calibri" w:cs="Calibri"/>
        </w:rPr>
        <w:t>strengthening women’s rights advocacy, shaping global accountability processes, and driving systemic change.</w:t>
      </w:r>
      <w:r w:rsidR="00E16E0D">
        <w:rPr>
          <w:rFonts w:ascii="Calibri" w:hAnsi="Calibri" w:cs="Calibri"/>
        </w:rPr>
        <w:t xml:space="preserve"> </w:t>
      </w:r>
      <w:r w:rsidR="00EC6327">
        <w:rPr>
          <w:rFonts w:ascii="Calibri" w:hAnsi="Calibri" w:cs="Calibri"/>
        </w:rPr>
        <w:t xml:space="preserve">At the same time, it is important to note that the Index tracks reported State actions and patterns of response; it </w:t>
      </w:r>
      <w:r w:rsidR="001A112D">
        <w:rPr>
          <w:rFonts w:ascii="Calibri" w:hAnsi="Calibri" w:cs="Calibri"/>
        </w:rPr>
        <w:t>does</w:t>
      </w:r>
      <w:r w:rsidR="00EC6327">
        <w:rPr>
          <w:rFonts w:ascii="Calibri" w:hAnsi="Calibri" w:cs="Calibri"/>
        </w:rPr>
        <w:t xml:space="preserve"> not, on its own, measure the effectiveness of those actions or their impact on </w:t>
      </w:r>
      <w:proofErr w:type="gramStart"/>
      <w:r w:rsidR="00EC6327">
        <w:rPr>
          <w:rFonts w:ascii="Calibri" w:hAnsi="Calibri" w:cs="Calibri"/>
        </w:rPr>
        <w:t>women’s</w:t>
      </w:r>
      <w:proofErr w:type="gramEnd"/>
      <w:r w:rsidR="00EC6327">
        <w:rPr>
          <w:rFonts w:ascii="Calibri" w:hAnsi="Calibri" w:cs="Calibri"/>
        </w:rPr>
        <w:t xml:space="preserve"> lived experiences. Rather, it provides a foundation that can be complemented by qualitative insights and outcome-focused research. </w:t>
      </w:r>
    </w:p>
    <w:p w14:paraId="0C3293DB" w14:textId="51732053" w:rsidR="00994225" w:rsidRPr="008A11B1" w:rsidRDefault="00994225" w:rsidP="000E4056">
      <w:pPr>
        <w:spacing w:line="276" w:lineRule="auto"/>
        <w:rPr>
          <w:rFonts w:ascii="Calibri" w:hAnsi="Calibri" w:cs="Calibri"/>
          <w:i/>
          <w:iCs/>
        </w:rPr>
      </w:pPr>
      <w:r w:rsidRPr="008A11B1">
        <w:rPr>
          <w:rFonts w:ascii="Calibri" w:hAnsi="Calibri" w:cs="Calibri"/>
          <w:i/>
          <w:iCs/>
        </w:rPr>
        <w:t xml:space="preserve">Primary </w:t>
      </w:r>
      <w:r w:rsidR="003A07DF" w:rsidRPr="008A11B1">
        <w:rPr>
          <w:rFonts w:ascii="Calibri" w:hAnsi="Calibri" w:cs="Calibri"/>
          <w:i/>
          <w:iCs/>
        </w:rPr>
        <w:t>d</w:t>
      </w:r>
      <w:r w:rsidRPr="008A11B1">
        <w:rPr>
          <w:rFonts w:ascii="Calibri" w:hAnsi="Calibri" w:cs="Calibri"/>
          <w:i/>
          <w:iCs/>
        </w:rPr>
        <w:t xml:space="preserve">ata </w:t>
      </w:r>
      <w:r w:rsidR="003A07DF" w:rsidRPr="008A11B1">
        <w:rPr>
          <w:rFonts w:ascii="Calibri" w:hAnsi="Calibri" w:cs="Calibri"/>
          <w:i/>
          <w:iCs/>
        </w:rPr>
        <w:t>s</w:t>
      </w:r>
      <w:r w:rsidRPr="008A11B1">
        <w:rPr>
          <w:rFonts w:ascii="Calibri" w:hAnsi="Calibri" w:cs="Calibri"/>
          <w:i/>
          <w:iCs/>
        </w:rPr>
        <w:t>ources</w:t>
      </w:r>
    </w:p>
    <w:p w14:paraId="5A932A4C" w14:textId="7AA0D0C1" w:rsidR="00994225" w:rsidRDefault="00994225" w:rsidP="000E4056">
      <w:pPr>
        <w:spacing w:line="276" w:lineRule="auto"/>
        <w:rPr>
          <w:rFonts w:ascii="Calibri" w:hAnsi="Calibri" w:cs="Calibri"/>
        </w:rPr>
      </w:pPr>
      <w:r>
        <w:rPr>
          <w:rFonts w:ascii="Calibri" w:hAnsi="Calibri" w:cs="Calibri"/>
        </w:rPr>
        <w:t xml:space="preserve">The Index </w:t>
      </w:r>
      <w:r w:rsidR="006201BB">
        <w:rPr>
          <w:rFonts w:ascii="Calibri" w:hAnsi="Calibri" w:cs="Calibri"/>
        </w:rPr>
        <w:t xml:space="preserve">will </w:t>
      </w:r>
      <w:r w:rsidR="00E26B9D">
        <w:rPr>
          <w:rFonts w:ascii="Calibri" w:hAnsi="Calibri" w:cs="Calibri"/>
        </w:rPr>
        <w:t xml:space="preserve">draw from </w:t>
      </w:r>
      <w:r>
        <w:rPr>
          <w:rFonts w:ascii="Calibri" w:hAnsi="Calibri" w:cs="Calibri"/>
        </w:rPr>
        <w:t>three key data</w:t>
      </w:r>
      <w:r w:rsidR="00E26B9D">
        <w:rPr>
          <w:rFonts w:ascii="Calibri" w:hAnsi="Calibri" w:cs="Calibri"/>
        </w:rPr>
        <w:t xml:space="preserve"> sources</w:t>
      </w:r>
      <w:r>
        <w:rPr>
          <w:rFonts w:ascii="Calibri" w:hAnsi="Calibri" w:cs="Calibri"/>
        </w:rPr>
        <w:t>: periodic reports submitted to the CEDAW Committee by governments</w:t>
      </w:r>
      <w:r w:rsidR="009463BB">
        <w:rPr>
          <w:rFonts w:ascii="Calibri" w:hAnsi="Calibri" w:cs="Calibri"/>
        </w:rPr>
        <w:t xml:space="preserve"> (State reports)</w:t>
      </w:r>
      <w:r>
        <w:rPr>
          <w:rFonts w:ascii="Calibri" w:hAnsi="Calibri" w:cs="Calibri"/>
        </w:rPr>
        <w:t xml:space="preserve">, shadow reports submitted by civil society organisations, and the Concluding Observations </w:t>
      </w:r>
      <w:r w:rsidR="00E26B9D">
        <w:rPr>
          <w:rFonts w:ascii="Calibri" w:hAnsi="Calibri" w:cs="Calibri"/>
        </w:rPr>
        <w:t xml:space="preserve">issued after </w:t>
      </w:r>
      <w:r>
        <w:rPr>
          <w:rFonts w:ascii="Calibri" w:hAnsi="Calibri" w:cs="Calibri"/>
        </w:rPr>
        <w:t>review by the Committee.</w:t>
      </w:r>
      <w:r w:rsidR="00707E4E">
        <w:rPr>
          <w:rFonts w:ascii="Calibri" w:hAnsi="Calibri" w:cs="Calibri"/>
        </w:rPr>
        <w:t xml:space="preserve"> All reports </w:t>
      </w:r>
      <w:r w:rsidR="003A07DF">
        <w:rPr>
          <w:rFonts w:ascii="Calibri" w:hAnsi="Calibri" w:cs="Calibri"/>
        </w:rPr>
        <w:t xml:space="preserve">are </w:t>
      </w:r>
      <w:r w:rsidR="00707E4E">
        <w:rPr>
          <w:rFonts w:ascii="Calibri" w:hAnsi="Calibri" w:cs="Calibri"/>
        </w:rPr>
        <w:t>publi</w:t>
      </w:r>
      <w:r w:rsidR="00E26B9D">
        <w:rPr>
          <w:rFonts w:ascii="Calibri" w:hAnsi="Calibri" w:cs="Calibri"/>
        </w:rPr>
        <w:t>cly accessible through</w:t>
      </w:r>
      <w:r w:rsidR="00707E4E">
        <w:rPr>
          <w:rFonts w:ascii="Calibri" w:hAnsi="Calibri" w:cs="Calibri"/>
        </w:rPr>
        <w:t xml:space="preserve"> the UN Treaty Body Database</w:t>
      </w:r>
      <w:r w:rsidR="00E26B9D">
        <w:rPr>
          <w:rFonts w:ascii="Calibri" w:hAnsi="Calibri" w:cs="Calibri"/>
        </w:rPr>
        <w:t>,</w:t>
      </w:r>
      <w:r w:rsidR="00707E4E">
        <w:rPr>
          <w:rFonts w:ascii="Calibri" w:hAnsi="Calibri" w:cs="Calibri"/>
        </w:rPr>
        <w:t xml:space="preserve"> hosted by the UN Human Rights Office of the High Commissioner (OHCHR)</w:t>
      </w:r>
      <w:r w:rsidR="00E26B9D">
        <w:rPr>
          <w:rFonts w:ascii="Calibri" w:hAnsi="Calibri" w:cs="Calibri"/>
        </w:rPr>
        <w:t>.</w:t>
      </w:r>
      <w:r w:rsidR="00EE0730">
        <w:rPr>
          <w:rStyle w:val="EndnoteReference"/>
          <w:rFonts w:ascii="Calibri" w:hAnsi="Calibri" w:cs="Calibri"/>
        </w:rPr>
        <w:endnoteReference w:id="20"/>
      </w:r>
    </w:p>
    <w:p w14:paraId="409B0CBA" w14:textId="326B5A3B" w:rsidR="00C53B5A" w:rsidRDefault="00C53B5A" w:rsidP="000E4056">
      <w:pPr>
        <w:spacing w:line="276" w:lineRule="auto"/>
        <w:rPr>
          <w:rFonts w:ascii="Calibri" w:hAnsi="Calibri" w:cs="Calibri"/>
        </w:rPr>
      </w:pPr>
      <w:r>
        <w:rPr>
          <w:rFonts w:ascii="Calibri" w:hAnsi="Calibri" w:cs="Calibri"/>
        </w:rPr>
        <w:lastRenderedPageBreak/>
        <w:t xml:space="preserve">To analyse implementation, the Index links recommendations issued </w:t>
      </w:r>
      <w:proofErr w:type="gramStart"/>
      <w:r>
        <w:rPr>
          <w:rFonts w:ascii="Calibri" w:hAnsi="Calibri" w:cs="Calibri"/>
        </w:rPr>
        <w:t>in a given</w:t>
      </w:r>
      <w:proofErr w:type="gramEnd"/>
      <w:r>
        <w:rPr>
          <w:rFonts w:ascii="Calibri" w:hAnsi="Calibri" w:cs="Calibri"/>
        </w:rPr>
        <w:t xml:space="preserve"> review cycle with information reported in subsequent State and civil society submissions</w:t>
      </w:r>
      <w:r w:rsidR="00681C30">
        <w:rPr>
          <w:rFonts w:ascii="Calibri" w:hAnsi="Calibri" w:cs="Calibri"/>
        </w:rPr>
        <w:t xml:space="preserve"> (each country’s most recent report</w:t>
      </w:r>
      <w:r w:rsidR="007537DA">
        <w:rPr>
          <w:rFonts w:ascii="Calibri" w:hAnsi="Calibri" w:cs="Calibri"/>
        </w:rPr>
        <w:t>)</w:t>
      </w:r>
      <w:r>
        <w:rPr>
          <w:rFonts w:ascii="Calibri" w:hAnsi="Calibri" w:cs="Calibri"/>
        </w:rPr>
        <w:t xml:space="preserve">. State reports often describe legislative, policy, or programmatic developments since the previous review, while shadow reports provide additional context, including critiques of implementation gaps. By aligning these sources across reporting cycles, the Index identifies instances where governments report legal or policy changes in areas addressed by prior recommendations. This approach allows for systematic analysis of how reported actions correspond to issues raised through the CEDAW process. </w:t>
      </w:r>
    </w:p>
    <w:p w14:paraId="496D2500" w14:textId="3EB465A5" w:rsidR="00BD0B39" w:rsidRDefault="009463BB" w:rsidP="000E4056">
      <w:pPr>
        <w:spacing w:line="276" w:lineRule="auto"/>
        <w:rPr>
          <w:rFonts w:ascii="Calibri" w:hAnsi="Calibri" w:cs="Calibri"/>
          <w:i/>
          <w:iCs/>
        </w:rPr>
      </w:pPr>
      <w:r>
        <w:rPr>
          <w:rFonts w:ascii="Calibri" w:hAnsi="Calibri" w:cs="Calibri"/>
          <w:i/>
          <w:iCs/>
        </w:rPr>
        <w:t xml:space="preserve">Participatory development </w:t>
      </w:r>
    </w:p>
    <w:p w14:paraId="0A666EAC" w14:textId="44F2C6BC" w:rsidR="00BD0B39" w:rsidRDefault="00BD0B39" w:rsidP="003D3161">
      <w:pPr>
        <w:spacing w:line="276" w:lineRule="auto"/>
        <w:rPr>
          <w:rFonts w:ascii="Calibri" w:hAnsi="Calibri" w:cs="Calibri"/>
        </w:rPr>
      </w:pPr>
      <w:r>
        <w:rPr>
          <w:rFonts w:ascii="Calibri" w:hAnsi="Calibri" w:cs="Calibri"/>
        </w:rPr>
        <w:t xml:space="preserve">The development of the CEDAW Index </w:t>
      </w:r>
      <w:r w:rsidR="003D3161">
        <w:rPr>
          <w:rFonts w:ascii="Calibri" w:hAnsi="Calibri" w:cs="Calibri"/>
        </w:rPr>
        <w:t xml:space="preserve">followed an iterative, participatory design process involving researchers, data scientists, and CSOs to ensure both methodological rigour and utility for end users. In March 2024, two </w:t>
      </w:r>
      <w:r w:rsidR="009463BB">
        <w:rPr>
          <w:rFonts w:ascii="Calibri" w:hAnsi="Calibri" w:cs="Calibri"/>
        </w:rPr>
        <w:t xml:space="preserve">virtual </w:t>
      </w:r>
      <w:r w:rsidR="003D3161">
        <w:rPr>
          <w:rFonts w:ascii="Calibri" w:hAnsi="Calibri" w:cs="Calibri"/>
        </w:rPr>
        <w:t xml:space="preserve">workshops were held to test the dashboard’s design. The first, hosted by The George Institute for Global Health (TGI), focused on the needs of researchers; the second, co-hosted by TGI and the International Women’s Rights Action Watch Asia-Pacific (IWRAW), engaged CSOs from South Africa, Kenya, India, and Indonesia to explore how the Index could strengthen advocacy and accountability. </w:t>
      </w:r>
    </w:p>
    <w:p w14:paraId="08B48FA9" w14:textId="3E80B2C8" w:rsidR="003D3161" w:rsidRDefault="003D3161" w:rsidP="003D3161">
      <w:pPr>
        <w:spacing w:line="276" w:lineRule="auto"/>
        <w:rPr>
          <w:rFonts w:ascii="Calibri" w:hAnsi="Calibri" w:cs="Calibri"/>
        </w:rPr>
      </w:pPr>
      <w:r>
        <w:rPr>
          <w:rFonts w:ascii="Calibri" w:hAnsi="Calibri" w:cs="Calibri"/>
        </w:rPr>
        <w:t xml:space="preserve">Across both workshops, participants emphasised methods transparency, noting that the tool’s credibility depends on open access to data protocols, clear inclusion criteria, and acknowledgment of limitations. This led to the inclusion of a dedicated methods section </w:t>
      </w:r>
      <w:r w:rsidR="00B80AC0">
        <w:rPr>
          <w:rFonts w:ascii="Calibri" w:hAnsi="Calibri" w:cs="Calibri"/>
        </w:rPr>
        <w:t>within</w:t>
      </w:r>
      <w:r>
        <w:rPr>
          <w:rFonts w:ascii="Calibri" w:hAnsi="Calibri" w:cs="Calibri"/>
        </w:rPr>
        <w:t xml:space="preserve"> the dashboard, providing users with access to data sources, methodology, and the r</w:t>
      </w:r>
      <w:r w:rsidR="00966027">
        <w:rPr>
          <w:rFonts w:ascii="Calibri" w:hAnsi="Calibri" w:cs="Calibri"/>
        </w:rPr>
        <w:t>ationale</w:t>
      </w:r>
      <w:r>
        <w:rPr>
          <w:rFonts w:ascii="Calibri" w:hAnsi="Calibri" w:cs="Calibri"/>
        </w:rPr>
        <w:t xml:space="preserve"> </w:t>
      </w:r>
      <w:r w:rsidR="00966027">
        <w:rPr>
          <w:rFonts w:ascii="Calibri" w:hAnsi="Calibri" w:cs="Calibri"/>
        </w:rPr>
        <w:t>underpinning</w:t>
      </w:r>
      <w:r>
        <w:rPr>
          <w:rFonts w:ascii="Calibri" w:hAnsi="Calibri" w:cs="Calibri"/>
        </w:rPr>
        <w:t xml:space="preserve"> each classification</w:t>
      </w:r>
      <w:r w:rsidR="00687ACF">
        <w:rPr>
          <w:rFonts w:ascii="Calibri" w:hAnsi="Calibri" w:cs="Calibri"/>
        </w:rPr>
        <w:t>. This includes brief model-generated justifications alongside human analyst explanatory notes</w:t>
      </w:r>
      <w:r>
        <w:rPr>
          <w:rFonts w:ascii="Calibri" w:hAnsi="Calibri" w:cs="Calibri"/>
        </w:rPr>
        <w:t xml:space="preserve">. Each data point links back to its original UN report, ensuring traceability and building trust in the findings. </w:t>
      </w:r>
    </w:p>
    <w:p w14:paraId="265EA617" w14:textId="0C67BD02" w:rsidR="003D3161" w:rsidRDefault="003D3161" w:rsidP="003D3161">
      <w:pPr>
        <w:spacing w:line="276" w:lineRule="auto"/>
        <w:rPr>
          <w:rFonts w:ascii="Calibri" w:hAnsi="Calibri" w:cs="Calibri"/>
        </w:rPr>
      </w:pPr>
      <w:r>
        <w:rPr>
          <w:rFonts w:ascii="Calibri" w:hAnsi="Calibri" w:cs="Calibri"/>
        </w:rPr>
        <w:t>Accuracy and reliability were prioritised. Researchers recommended robust quality control systems for all AI-assisted processes</w:t>
      </w:r>
      <w:r w:rsidR="00F06456">
        <w:rPr>
          <w:rFonts w:ascii="Calibri" w:hAnsi="Calibri" w:cs="Calibri"/>
        </w:rPr>
        <w:t xml:space="preserve">. The Index will therefore use </w:t>
      </w:r>
      <w:r>
        <w:rPr>
          <w:rFonts w:ascii="Calibri" w:hAnsi="Calibri" w:cs="Calibri"/>
        </w:rPr>
        <w:t xml:space="preserve">a human-in-the-loop workflow where machine learning supports, but does not replace, expert review. All AI-generated outputs are </w:t>
      </w:r>
      <w:r w:rsidR="003F6B2E">
        <w:rPr>
          <w:rFonts w:ascii="Calibri" w:hAnsi="Calibri" w:cs="Calibri"/>
        </w:rPr>
        <w:t xml:space="preserve">reviewed </w:t>
      </w:r>
      <w:r w:rsidR="001C00B0">
        <w:rPr>
          <w:rFonts w:ascii="Calibri" w:hAnsi="Calibri" w:cs="Calibri"/>
        </w:rPr>
        <w:t>by human experts prior to inclusion, with particular attention given to cases where the classification of government action</w:t>
      </w:r>
      <w:r w:rsidR="00195E6D">
        <w:rPr>
          <w:rFonts w:ascii="Calibri" w:hAnsi="Calibri" w:cs="Calibri"/>
        </w:rPr>
        <w:t>s in relation to a recommendation is not straightforward</w:t>
      </w:r>
      <w:r>
        <w:rPr>
          <w:rFonts w:ascii="Calibri" w:hAnsi="Calibri" w:cs="Calibri"/>
        </w:rPr>
        <w:t xml:space="preserve">. </w:t>
      </w:r>
    </w:p>
    <w:p w14:paraId="6D3A549F" w14:textId="02CAB57F" w:rsidR="003D3161" w:rsidRDefault="003D3161" w:rsidP="003D3161">
      <w:pPr>
        <w:spacing w:line="276" w:lineRule="auto"/>
        <w:rPr>
          <w:rFonts w:ascii="Calibri" w:hAnsi="Calibri" w:cs="Calibri"/>
        </w:rPr>
      </w:pPr>
      <w:r>
        <w:rPr>
          <w:rFonts w:ascii="Calibri" w:hAnsi="Calibri" w:cs="Calibri"/>
        </w:rPr>
        <w:t xml:space="preserve">Participants also underscored the need for responsiveness to end users, recommending continuous engagement through usability testing and feedback channels. Collaboration with CSOs was viewed as essential by both researchers and CSOs for expanding coverage, particularly to spotlight populations and forms of violence underrepresented in human rights monitoring. </w:t>
      </w:r>
      <w:r w:rsidR="00F06456">
        <w:rPr>
          <w:rFonts w:ascii="Calibri" w:hAnsi="Calibri" w:cs="Calibri"/>
        </w:rPr>
        <w:t>T</w:t>
      </w:r>
      <w:r>
        <w:rPr>
          <w:rFonts w:ascii="Calibri" w:hAnsi="Calibri" w:cs="Calibri"/>
        </w:rPr>
        <w:t xml:space="preserve">he Index’s data model </w:t>
      </w:r>
      <w:r w:rsidR="00F06456">
        <w:rPr>
          <w:rFonts w:ascii="Calibri" w:hAnsi="Calibri" w:cs="Calibri"/>
        </w:rPr>
        <w:t xml:space="preserve">will therefore </w:t>
      </w:r>
      <w:r>
        <w:rPr>
          <w:rFonts w:ascii="Calibri" w:hAnsi="Calibri" w:cs="Calibri"/>
        </w:rPr>
        <w:t xml:space="preserve">accommodate dual perspectives from both government and civil society reports, and CSOs can </w:t>
      </w:r>
      <w:r w:rsidR="00E477F5">
        <w:rPr>
          <w:rFonts w:ascii="Calibri" w:hAnsi="Calibri" w:cs="Calibri"/>
        </w:rPr>
        <w:t>highlight</w:t>
      </w:r>
      <w:r>
        <w:rPr>
          <w:rFonts w:ascii="Calibri" w:hAnsi="Calibri" w:cs="Calibri"/>
        </w:rPr>
        <w:t xml:space="preserve"> implementation barriers and local context. </w:t>
      </w:r>
    </w:p>
    <w:p w14:paraId="3DF9D653" w14:textId="26B0457E" w:rsidR="007D7B11" w:rsidRDefault="007D7B11" w:rsidP="003D3161">
      <w:pPr>
        <w:spacing w:line="276" w:lineRule="auto"/>
        <w:rPr>
          <w:rFonts w:ascii="Calibri" w:hAnsi="Calibri" w:cs="Calibri"/>
          <w:b/>
          <w:bCs/>
          <w:sz w:val="30"/>
          <w:szCs w:val="30"/>
        </w:rPr>
      </w:pPr>
      <w:r>
        <w:rPr>
          <w:rFonts w:ascii="Calibri" w:hAnsi="Calibri" w:cs="Calibri"/>
        </w:rPr>
        <w:t xml:space="preserve">CSO partners highlighted the importance of going beyond implementation to measure the impact and effectiveness of the Index. This feedback informed the plan to integrate case </w:t>
      </w:r>
      <w:r>
        <w:rPr>
          <w:rFonts w:ascii="Calibri" w:hAnsi="Calibri" w:cs="Calibri"/>
        </w:rPr>
        <w:lastRenderedPageBreak/>
        <w:t xml:space="preserve">studies and qualitative insights from CSOs and researchers, positioning the Index not only as an accountability tool but as a learning platform on what drives and hinders reform. </w:t>
      </w:r>
    </w:p>
    <w:p w14:paraId="34D78C4A" w14:textId="3704ACFD" w:rsidR="00994225" w:rsidRPr="008A11B1" w:rsidRDefault="00994225" w:rsidP="000E4056">
      <w:pPr>
        <w:spacing w:line="276" w:lineRule="auto"/>
        <w:rPr>
          <w:rFonts w:ascii="Calibri" w:hAnsi="Calibri" w:cs="Calibri"/>
          <w:i/>
          <w:iCs/>
        </w:rPr>
      </w:pPr>
      <w:r w:rsidRPr="008A11B1">
        <w:rPr>
          <w:rFonts w:ascii="Calibri" w:hAnsi="Calibri" w:cs="Calibri"/>
          <w:i/>
          <w:iCs/>
        </w:rPr>
        <w:t xml:space="preserve">Key </w:t>
      </w:r>
      <w:r w:rsidR="003A07DF" w:rsidRPr="008A11B1">
        <w:rPr>
          <w:rFonts w:ascii="Calibri" w:hAnsi="Calibri" w:cs="Calibri"/>
          <w:i/>
          <w:iCs/>
        </w:rPr>
        <w:t>f</w:t>
      </w:r>
      <w:r w:rsidRPr="008A11B1">
        <w:rPr>
          <w:rFonts w:ascii="Calibri" w:hAnsi="Calibri" w:cs="Calibri"/>
          <w:i/>
          <w:iCs/>
        </w:rPr>
        <w:t xml:space="preserve">eatures of the CEDAW Index </w:t>
      </w:r>
      <w:r w:rsidR="003A07DF" w:rsidRPr="008A11B1">
        <w:rPr>
          <w:rFonts w:ascii="Calibri" w:hAnsi="Calibri" w:cs="Calibri"/>
          <w:i/>
          <w:iCs/>
        </w:rPr>
        <w:t>d</w:t>
      </w:r>
      <w:r w:rsidRPr="008A11B1">
        <w:rPr>
          <w:rFonts w:ascii="Calibri" w:hAnsi="Calibri" w:cs="Calibri"/>
          <w:i/>
          <w:iCs/>
        </w:rPr>
        <w:t>ashboard</w:t>
      </w:r>
    </w:p>
    <w:p w14:paraId="27705D58" w14:textId="77777777" w:rsidR="00891A0B" w:rsidRDefault="007D7B11" w:rsidP="000E4056">
      <w:pPr>
        <w:spacing w:line="276" w:lineRule="auto"/>
        <w:rPr>
          <w:rFonts w:ascii="Calibri" w:hAnsi="Calibri" w:cs="Calibri"/>
        </w:rPr>
      </w:pPr>
      <w:r>
        <w:rPr>
          <w:rFonts w:ascii="Calibri" w:hAnsi="Calibri" w:cs="Calibri"/>
        </w:rPr>
        <w:t xml:space="preserve">Building on the design principles developed through the </w:t>
      </w:r>
      <w:r w:rsidR="009463BB">
        <w:rPr>
          <w:rFonts w:ascii="Calibri" w:hAnsi="Calibri" w:cs="Calibri"/>
        </w:rPr>
        <w:t xml:space="preserve">participatory </w:t>
      </w:r>
      <w:r>
        <w:rPr>
          <w:rFonts w:ascii="Calibri" w:hAnsi="Calibri" w:cs="Calibri"/>
        </w:rPr>
        <w:t>design process, t</w:t>
      </w:r>
      <w:r w:rsidR="00C605D8">
        <w:rPr>
          <w:rFonts w:ascii="Calibri" w:hAnsi="Calibri" w:cs="Calibri"/>
        </w:rPr>
        <w:t xml:space="preserve">he Index </w:t>
      </w:r>
      <w:r w:rsidR="001825BD">
        <w:rPr>
          <w:rFonts w:ascii="Calibri" w:hAnsi="Calibri" w:cs="Calibri"/>
        </w:rPr>
        <w:t xml:space="preserve">will </w:t>
      </w:r>
      <w:r w:rsidR="00C605D8">
        <w:rPr>
          <w:rFonts w:ascii="Calibri" w:hAnsi="Calibri" w:cs="Calibri"/>
        </w:rPr>
        <w:t xml:space="preserve">provide both summary and raw data for each CEDAW </w:t>
      </w:r>
      <w:r w:rsidR="00BB4661">
        <w:rPr>
          <w:rFonts w:ascii="Calibri" w:hAnsi="Calibri" w:cs="Calibri"/>
        </w:rPr>
        <w:t xml:space="preserve">Committee </w:t>
      </w:r>
      <w:r w:rsidR="00C605D8">
        <w:rPr>
          <w:rFonts w:ascii="Calibri" w:hAnsi="Calibri" w:cs="Calibri"/>
        </w:rPr>
        <w:t>recommendation</w:t>
      </w:r>
      <w:r w:rsidR="00BC3F88">
        <w:rPr>
          <w:rFonts w:ascii="Calibri" w:hAnsi="Calibri" w:cs="Calibri"/>
        </w:rPr>
        <w:t xml:space="preserve"> and </w:t>
      </w:r>
      <w:r w:rsidR="00E26B9D">
        <w:rPr>
          <w:rFonts w:ascii="Calibri" w:hAnsi="Calibri" w:cs="Calibri"/>
        </w:rPr>
        <w:t xml:space="preserve">corresponding </w:t>
      </w:r>
      <w:r w:rsidR="00BC3F88">
        <w:rPr>
          <w:rFonts w:ascii="Calibri" w:hAnsi="Calibri" w:cs="Calibri"/>
        </w:rPr>
        <w:t xml:space="preserve">government action. </w:t>
      </w:r>
      <w:r w:rsidR="005E585E">
        <w:rPr>
          <w:rFonts w:ascii="Calibri" w:hAnsi="Calibri" w:cs="Calibri"/>
        </w:rPr>
        <w:t>Raw data consist of excerpts from State and civil society reports, which are often lengthy and heterogeneous in format. These are complemented by concise</w:t>
      </w:r>
      <w:r w:rsidR="00221A3F">
        <w:rPr>
          <w:rFonts w:ascii="Calibri" w:hAnsi="Calibri" w:cs="Calibri"/>
        </w:rPr>
        <w:t xml:space="preserve"> summaries that synthesise relevant information while preserving key details, enabling users to quickly interpret findings while retaining access to source material. Each data point is linked to its original periodic report via a direct hyperlink, allowing users to review the information</w:t>
      </w:r>
      <w:r w:rsidR="00891A0B">
        <w:rPr>
          <w:rFonts w:ascii="Calibri" w:hAnsi="Calibri" w:cs="Calibri"/>
        </w:rPr>
        <w:t xml:space="preserve"> in the context of the fully country submission where needed. </w:t>
      </w:r>
    </w:p>
    <w:p w14:paraId="0C38037F" w14:textId="35A16C5B" w:rsidR="00891A0B" w:rsidRDefault="00891A0B" w:rsidP="000E4056">
      <w:pPr>
        <w:spacing w:line="276" w:lineRule="auto"/>
        <w:rPr>
          <w:rFonts w:ascii="Calibri" w:hAnsi="Calibri" w:cs="Calibri"/>
        </w:rPr>
      </w:pPr>
      <w:r>
        <w:rPr>
          <w:rFonts w:ascii="Calibri" w:hAnsi="Calibri" w:cs="Calibri"/>
        </w:rPr>
        <w:t>Each recommendation is</w:t>
      </w:r>
      <w:r w:rsidR="00221A3F">
        <w:rPr>
          <w:rFonts w:ascii="Calibri" w:hAnsi="Calibri" w:cs="Calibri"/>
        </w:rPr>
        <w:t xml:space="preserve"> </w:t>
      </w:r>
      <w:r>
        <w:rPr>
          <w:rFonts w:ascii="Calibri" w:hAnsi="Calibri" w:cs="Calibri"/>
        </w:rPr>
        <w:t xml:space="preserve">assigned an </w:t>
      </w:r>
      <w:r w:rsidR="00C605D8" w:rsidRPr="00C605D8">
        <w:rPr>
          <w:rFonts w:ascii="Calibri" w:hAnsi="Calibri" w:cs="Calibri"/>
        </w:rPr>
        <w:t xml:space="preserve">implementation status </w:t>
      </w:r>
      <w:r>
        <w:rPr>
          <w:rFonts w:ascii="Calibri" w:hAnsi="Calibri" w:cs="Calibri"/>
        </w:rPr>
        <w:t>based on predefined criteria:</w:t>
      </w:r>
    </w:p>
    <w:p w14:paraId="25145014" w14:textId="77777777" w:rsidR="00891A0B" w:rsidRDefault="00891A0B" w:rsidP="00891A0B">
      <w:pPr>
        <w:pStyle w:val="ListParagraph"/>
        <w:numPr>
          <w:ilvl w:val="0"/>
          <w:numId w:val="36"/>
        </w:numPr>
        <w:spacing w:line="276" w:lineRule="auto"/>
        <w:rPr>
          <w:rFonts w:ascii="Calibri" w:hAnsi="Calibri" w:cs="Calibri"/>
        </w:rPr>
      </w:pPr>
      <w:r>
        <w:rPr>
          <w:rFonts w:ascii="Calibri" w:hAnsi="Calibri" w:cs="Calibri"/>
        </w:rPr>
        <w:t>F</w:t>
      </w:r>
      <w:r w:rsidRPr="00853FC1">
        <w:rPr>
          <w:rFonts w:ascii="Calibri" w:hAnsi="Calibri" w:cs="Calibri"/>
        </w:rPr>
        <w:t>ully implemented</w:t>
      </w:r>
      <w:r>
        <w:rPr>
          <w:rFonts w:ascii="Calibri" w:hAnsi="Calibri" w:cs="Calibri"/>
        </w:rPr>
        <w:t xml:space="preserve">: the action meets all elements of the recommendation. </w:t>
      </w:r>
    </w:p>
    <w:p w14:paraId="1750C2D2" w14:textId="77777777" w:rsidR="00891A0B" w:rsidRDefault="00891A0B" w:rsidP="00891A0B">
      <w:pPr>
        <w:pStyle w:val="ListParagraph"/>
        <w:numPr>
          <w:ilvl w:val="0"/>
          <w:numId w:val="36"/>
        </w:numPr>
        <w:spacing w:line="276" w:lineRule="auto"/>
        <w:rPr>
          <w:rFonts w:ascii="Calibri" w:hAnsi="Calibri" w:cs="Calibri"/>
        </w:rPr>
      </w:pPr>
      <w:r>
        <w:rPr>
          <w:rFonts w:ascii="Calibri" w:hAnsi="Calibri" w:cs="Calibri"/>
        </w:rPr>
        <w:t xml:space="preserve">Partially implemented: only some aspects are addressed. </w:t>
      </w:r>
    </w:p>
    <w:p w14:paraId="104EA492" w14:textId="77777777" w:rsidR="00891A0B" w:rsidRDefault="00891A0B" w:rsidP="00891A0B">
      <w:pPr>
        <w:pStyle w:val="ListParagraph"/>
        <w:numPr>
          <w:ilvl w:val="0"/>
          <w:numId w:val="36"/>
        </w:numPr>
        <w:spacing w:line="276" w:lineRule="auto"/>
        <w:rPr>
          <w:rFonts w:ascii="Calibri" w:hAnsi="Calibri" w:cs="Calibri"/>
        </w:rPr>
      </w:pPr>
      <w:r>
        <w:rPr>
          <w:rFonts w:ascii="Calibri" w:hAnsi="Calibri" w:cs="Calibri"/>
        </w:rPr>
        <w:t xml:space="preserve">Inadequate response: the action taken diverges from or falls short of what was recommended. </w:t>
      </w:r>
    </w:p>
    <w:p w14:paraId="340C23F2" w14:textId="77777777" w:rsidR="00891A0B" w:rsidRDefault="00891A0B" w:rsidP="00891A0B">
      <w:pPr>
        <w:pStyle w:val="ListParagraph"/>
        <w:numPr>
          <w:ilvl w:val="0"/>
          <w:numId w:val="36"/>
        </w:numPr>
        <w:spacing w:line="276" w:lineRule="auto"/>
        <w:rPr>
          <w:rFonts w:ascii="Calibri" w:hAnsi="Calibri" w:cs="Calibri"/>
        </w:rPr>
      </w:pPr>
      <w:r>
        <w:rPr>
          <w:rFonts w:ascii="Calibri" w:hAnsi="Calibri" w:cs="Calibri"/>
        </w:rPr>
        <w:t>Unacknowledged: the recommendation is not mentioned or acted upon.</w:t>
      </w:r>
    </w:p>
    <w:p w14:paraId="080A2A4B" w14:textId="60935F73" w:rsidR="003A07DF" w:rsidRDefault="008B42F3" w:rsidP="000E4056">
      <w:pPr>
        <w:spacing w:line="276" w:lineRule="auto"/>
        <w:rPr>
          <w:rFonts w:ascii="Calibri" w:hAnsi="Calibri" w:cs="Calibri"/>
        </w:rPr>
      </w:pPr>
      <w:r>
        <w:rPr>
          <w:rFonts w:ascii="Calibri" w:hAnsi="Calibri" w:cs="Calibri"/>
        </w:rPr>
        <w:t>R</w:t>
      </w:r>
      <w:r w:rsidR="00E26B9D">
        <w:rPr>
          <w:rFonts w:ascii="Calibri" w:hAnsi="Calibri" w:cs="Calibri"/>
        </w:rPr>
        <w:t>ecommendation</w:t>
      </w:r>
      <w:r>
        <w:rPr>
          <w:rFonts w:ascii="Calibri" w:hAnsi="Calibri" w:cs="Calibri"/>
        </w:rPr>
        <w:t>s</w:t>
      </w:r>
      <w:r w:rsidR="00E26B9D">
        <w:rPr>
          <w:rFonts w:ascii="Calibri" w:hAnsi="Calibri" w:cs="Calibri"/>
        </w:rPr>
        <w:t xml:space="preserve"> and </w:t>
      </w:r>
      <w:r>
        <w:rPr>
          <w:rFonts w:ascii="Calibri" w:hAnsi="Calibri" w:cs="Calibri"/>
        </w:rPr>
        <w:t xml:space="preserve">corresponding </w:t>
      </w:r>
      <w:r w:rsidR="00E26B9D">
        <w:rPr>
          <w:rFonts w:ascii="Calibri" w:hAnsi="Calibri" w:cs="Calibri"/>
        </w:rPr>
        <w:t>action</w:t>
      </w:r>
      <w:r>
        <w:rPr>
          <w:rFonts w:ascii="Calibri" w:hAnsi="Calibri" w:cs="Calibri"/>
        </w:rPr>
        <w:t>s</w:t>
      </w:r>
      <w:r w:rsidR="00E26B9D">
        <w:rPr>
          <w:rFonts w:ascii="Calibri" w:hAnsi="Calibri" w:cs="Calibri"/>
        </w:rPr>
        <w:t xml:space="preserve"> </w:t>
      </w:r>
      <w:r w:rsidR="00940B10">
        <w:rPr>
          <w:rFonts w:ascii="Calibri" w:hAnsi="Calibri" w:cs="Calibri"/>
        </w:rPr>
        <w:t>will be</w:t>
      </w:r>
      <w:r w:rsidR="00E26B9D">
        <w:rPr>
          <w:rFonts w:ascii="Calibri" w:hAnsi="Calibri" w:cs="Calibri"/>
        </w:rPr>
        <w:t xml:space="preserve"> tracked across multiple variables, including c</w:t>
      </w:r>
      <w:r w:rsidR="00E26B9D" w:rsidRPr="009C7165">
        <w:rPr>
          <w:rFonts w:ascii="Calibri" w:hAnsi="Calibri" w:cs="Calibri"/>
        </w:rPr>
        <w:t>ountry</w:t>
      </w:r>
      <w:r w:rsidR="00C7560E">
        <w:rPr>
          <w:rFonts w:ascii="Calibri" w:hAnsi="Calibri" w:cs="Calibri"/>
        </w:rPr>
        <w:t xml:space="preserve"> and </w:t>
      </w:r>
      <w:r w:rsidR="00E26B9D" w:rsidRPr="009C7165">
        <w:rPr>
          <w:rFonts w:ascii="Calibri" w:hAnsi="Calibri" w:cs="Calibri"/>
        </w:rPr>
        <w:t>region</w:t>
      </w:r>
      <w:r w:rsidR="00E26B9D">
        <w:rPr>
          <w:rFonts w:ascii="Calibri" w:hAnsi="Calibri" w:cs="Calibri"/>
        </w:rPr>
        <w:t xml:space="preserve">, </w:t>
      </w:r>
      <w:r w:rsidR="00C7560E">
        <w:rPr>
          <w:rFonts w:ascii="Calibri" w:hAnsi="Calibri" w:cs="Calibri"/>
        </w:rPr>
        <w:t xml:space="preserve">World Bank </w:t>
      </w:r>
      <w:r w:rsidR="00E26B9D">
        <w:rPr>
          <w:rFonts w:ascii="Calibri" w:hAnsi="Calibri" w:cs="Calibri"/>
        </w:rPr>
        <w:t>i</w:t>
      </w:r>
      <w:r w:rsidR="00E26B9D" w:rsidRPr="009C7165">
        <w:rPr>
          <w:rFonts w:ascii="Calibri" w:hAnsi="Calibri" w:cs="Calibri"/>
        </w:rPr>
        <w:t xml:space="preserve">ncome </w:t>
      </w:r>
      <w:r w:rsidR="00C7560E">
        <w:rPr>
          <w:rFonts w:ascii="Calibri" w:hAnsi="Calibri" w:cs="Calibri"/>
        </w:rPr>
        <w:t>group</w:t>
      </w:r>
      <w:r w:rsidR="00E26B9D">
        <w:rPr>
          <w:rFonts w:ascii="Calibri" w:hAnsi="Calibri" w:cs="Calibri"/>
        </w:rPr>
        <w:t>, h</w:t>
      </w:r>
      <w:r w:rsidR="00E26B9D" w:rsidRPr="009C7165">
        <w:rPr>
          <w:rFonts w:ascii="Calibri" w:hAnsi="Calibri" w:cs="Calibri"/>
        </w:rPr>
        <w:t>umanitarian crisis status</w:t>
      </w:r>
      <w:r w:rsidR="00E26B9D">
        <w:rPr>
          <w:rFonts w:ascii="Calibri" w:hAnsi="Calibri" w:cs="Calibri"/>
        </w:rPr>
        <w:t>, f</w:t>
      </w:r>
      <w:r w:rsidR="00E26B9D" w:rsidRPr="009C7165">
        <w:rPr>
          <w:rFonts w:ascii="Calibri" w:hAnsi="Calibri" w:cs="Calibri"/>
        </w:rPr>
        <w:t>orm of gender-based violence</w:t>
      </w:r>
      <w:r w:rsidR="00E025A5">
        <w:rPr>
          <w:rFonts w:ascii="Calibri" w:hAnsi="Calibri" w:cs="Calibri"/>
        </w:rPr>
        <w:t>,</w:t>
      </w:r>
      <w:r w:rsidR="00E26B9D" w:rsidRPr="009C7165">
        <w:rPr>
          <w:rFonts w:ascii="Calibri" w:hAnsi="Calibri" w:cs="Calibri"/>
        </w:rPr>
        <w:t xml:space="preserve"> </w:t>
      </w:r>
      <w:r w:rsidR="00E26B9D">
        <w:rPr>
          <w:rFonts w:ascii="Calibri" w:hAnsi="Calibri" w:cs="Calibri"/>
        </w:rPr>
        <w:t xml:space="preserve">and </w:t>
      </w:r>
      <w:r w:rsidR="00A53B7F">
        <w:rPr>
          <w:rFonts w:ascii="Calibri" w:hAnsi="Calibri" w:cs="Calibri"/>
        </w:rPr>
        <w:t xml:space="preserve">affected population </w:t>
      </w:r>
      <w:proofErr w:type="spellStart"/>
      <w:r w:rsidR="00A53B7F">
        <w:rPr>
          <w:rFonts w:ascii="Calibri" w:hAnsi="Calibri" w:cs="Calibri"/>
        </w:rPr>
        <w:t>groups</w:t>
      </w:r>
      <w:r w:rsidR="00E025A5">
        <w:rPr>
          <w:rFonts w:ascii="Calibri" w:hAnsi="Calibri" w:cs="Calibri"/>
        </w:rPr>
        <w:t>s</w:t>
      </w:r>
      <w:proofErr w:type="spellEnd"/>
      <w:r w:rsidR="00E26B9D">
        <w:rPr>
          <w:rFonts w:ascii="Calibri" w:hAnsi="Calibri" w:cs="Calibri"/>
        </w:rPr>
        <w:t>.</w:t>
      </w:r>
      <w:r w:rsidR="00E26B9D" w:rsidRPr="009C7165">
        <w:rPr>
          <w:rFonts w:ascii="Calibri" w:hAnsi="Calibri" w:cs="Calibri"/>
        </w:rPr>
        <w:t xml:space="preserve"> </w:t>
      </w:r>
    </w:p>
    <w:p w14:paraId="543D539F" w14:textId="77777777" w:rsidR="00AA7067" w:rsidRDefault="00AA7067" w:rsidP="00AA7067">
      <w:pPr>
        <w:spacing w:line="276" w:lineRule="auto"/>
        <w:rPr>
          <w:rFonts w:ascii="Calibri" w:hAnsi="Calibri" w:cs="Calibri"/>
        </w:rPr>
      </w:pPr>
      <w:r w:rsidRPr="00090BE8">
        <w:rPr>
          <w:rFonts w:ascii="Calibri" w:hAnsi="Calibri" w:cs="Calibri"/>
        </w:rPr>
        <w:t xml:space="preserve">Technologies such as Artificial Intelligence (AI) offer fresh opportunities to strengthen women’s movements by making information and solutions more accessible. Over the last two years, the annual United Nations Commission on the Status of Women (CSW) has convened global stakeholders to assess progress on gender equality through the lens of innovation, technology and digital education. UN Women and other groups have recognised AI’s vast potential to transform how employment, public services and education benefit women and girls. At the same time, they have highlighted the risks of AI, including its relatively unregulated nature, rapid pace of advancement, and inequities in access to the technology and opportunities to shape it.  UN Women has noted that the gender digital divide – where, for example, only 20% of people in low-income countries have internet access - creates a data gap that contributes to gender bias in AI. Who develops AI systems, and what assumptions or biases are embedded within them can either </w:t>
      </w:r>
      <w:proofErr w:type="gramStart"/>
      <w:r w:rsidRPr="00090BE8">
        <w:rPr>
          <w:rFonts w:ascii="Calibri" w:hAnsi="Calibri" w:cs="Calibri"/>
        </w:rPr>
        <w:t>perpetuate, or</w:t>
      </w:r>
      <w:proofErr w:type="gramEnd"/>
      <w:r w:rsidRPr="00090BE8">
        <w:rPr>
          <w:rFonts w:ascii="Calibri" w:hAnsi="Calibri" w:cs="Calibri"/>
        </w:rPr>
        <w:t xml:space="preserve"> reduce gender inequalities.  These biases manifest in multiple ways, including discriminatory hiring algorithms, stereotyping in digital assistants, and exclusion of women’s health data from training datasets.  Yet insufficient attention has been paid to how these biases can be addressed, as well as how we can harness the transformative potential of AI for women’s rights.</w:t>
      </w:r>
    </w:p>
    <w:p w14:paraId="6EC19BFF" w14:textId="1AEB2C73" w:rsidR="00C06AE5" w:rsidRDefault="004373F7" w:rsidP="000E4056">
      <w:pPr>
        <w:spacing w:line="276" w:lineRule="auto"/>
        <w:rPr>
          <w:rFonts w:ascii="Calibri" w:hAnsi="Calibri" w:cs="Calibri"/>
        </w:rPr>
      </w:pPr>
      <w:r>
        <w:rPr>
          <w:rFonts w:ascii="Calibri" w:hAnsi="Calibri" w:cs="Calibri"/>
        </w:rPr>
        <w:lastRenderedPageBreak/>
        <w:t xml:space="preserve">Analyses </w:t>
      </w:r>
      <w:r w:rsidR="00A06BB9">
        <w:rPr>
          <w:rFonts w:ascii="Calibri" w:hAnsi="Calibri" w:cs="Calibri"/>
        </w:rPr>
        <w:t xml:space="preserve">for the Index </w:t>
      </w:r>
      <w:r>
        <w:rPr>
          <w:rFonts w:ascii="Calibri" w:hAnsi="Calibri" w:cs="Calibri"/>
        </w:rPr>
        <w:t>will be undertaken</w:t>
      </w:r>
      <w:r w:rsidR="004239BF">
        <w:rPr>
          <w:rFonts w:ascii="Calibri" w:hAnsi="Calibri" w:cs="Calibri"/>
        </w:rPr>
        <w:t xml:space="preserve"> by health</w:t>
      </w:r>
      <w:r w:rsidR="005409D1">
        <w:rPr>
          <w:rFonts w:ascii="Calibri" w:hAnsi="Calibri" w:cs="Calibri"/>
        </w:rPr>
        <w:t>, policy</w:t>
      </w:r>
      <w:r w:rsidR="004239BF">
        <w:rPr>
          <w:rFonts w:ascii="Calibri" w:hAnsi="Calibri" w:cs="Calibri"/>
        </w:rPr>
        <w:t xml:space="preserve"> and human rights experts, supported by AI and </w:t>
      </w:r>
      <w:r w:rsidR="00F06456">
        <w:rPr>
          <w:rFonts w:ascii="Calibri" w:hAnsi="Calibri" w:cs="Calibri"/>
        </w:rPr>
        <w:t>large language</w:t>
      </w:r>
      <w:r w:rsidR="004239BF">
        <w:rPr>
          <w:rFonts w:ascii="Calibri" w:hAnsi="Calibri" w:cs="Calibri"/>
        </w:rPr>
        <w:t xml:space="preserve"> model</w:t>
      </w:r>
      <w:r w:rsidR="00147635">
        <w:rPr>
          <w:rFonts w:ascii="Calibri" w:hAnsi="Calibri" w:cs="Calibri"/>
        </w:rPr>
        <w:t>s</w:t>
      </w:r>
      <w:r w:rsidR="00ED6FB4">
        <w:rPr>
          <w:rFonts w:ascii="Calibri" w:hAnsi="Calibri" w:cs="Calibri"/>
        </w:rPr>
        <w:t xml:space="preserve"> (LLM)</w:t>
      </w:r>
      <w:r w:rsidR="004239BF">
        <w:rPr>
          <w:rFonts w:ascii="Calibri" w:hAnsi="Calibri" w:cs="Calibri"/>
        </w:rPr>
        <w:t>.</w:t>
      </w:r>
      <w:r>
        <w:rPr>
          <w:rFonts w:ascii="Calibri" w:hAnsi="Calibri" w:cs="Calibri"/>
        </w:rPr>
        <w:t xml:space="preserve"> </w:t>
      </w:r>
      <w:r w:rsidR="005409D1">
        <w:rPr>
          <w:rFonts w:ascii="Calibri" w:hAnsi="Calibri" w:cs="Calibri"/>
        </w:rPr>
        <w:t xml:space="preserve">This reflects the </w:t>
      </w:r>
      <w:proofErr w:type="spellStart"/>
      <w:r w:rsidR="003C50EF">
        <w:rPr>
          <w:rFonts w:ascii="Calibri" w:hAnsi="Calibri" w:cs="Calibri"/>
        </w:rPr>
        <w:t>the</w:t>
      </w:r>
      <w:proofErr w:type="spellEnd"/>
      <w:r w:rsidR="003C50EF">
        <w:rPr>
          <w:rFonts w:ascii="Calibri" w:hAnsi="Calibri" w:cs="Calibri"/>
        </w:rPr>
        <w:t xml:space="preserve"> analysis team’s </w:t>
      </w:r>
      <w:r w:rsidR="005409D1">
        <w:rPr>
          <w:rFonts w:ascii="Calibri" w:hAnsi="Calibri" w:cs="Calibri"/>
        </w:rPr>
        <w:t>grounding in global health research</w:t>
      </w:r>
      <w:r w:rsidR="00237ED9">
        <w:rPr>
          <w:rFonts w:ascii="Calibri" w:hAnsi="Calibri" w:cs="Calibri"/>
        </w:rPr>
        <w:t xml:space="preserve">, </w:t>
      </w:r>
      <w:r w:rsidR="005409D1">
        <w:rPr>
          <w:rFonts w:ascii="Calibri" w:hAnsi="Calibri" w:cs="Calibri"/>
        </w:rPr>
        <w:t>particularly in areas such as gender-based violence</w:t>
      </w:r>
      <w:r w:rsidR="00237ED9">
        <w:rPr>
          <w:rFonts w:ascii="Calibri" w:hAnsi="Calibri" w:cs="Calibri"/>
        </w:rPr>
        <w:t>,</w:t>
      </w:r>
      <w:r w:rsidR="005409D1">
        <w:rPr>
          <w:rFonts w:ascii="Calibri" w:hAnsi="Calibri" w:cs="Calibri"/>
        </w:rPr>
        <w:t xml:space="preserve"> while applying a framework that spans the full scope of CEDAW obligations. </w:t>
      </w:r>
    </w:p>
    <w:p w14:paraId="0D7CFD4A" w14:textId="7A0103EF" w:rsidR="00891A59" w:rsidRDefault="002904D1" w:rsidP="000E4056">
      <w:pPr>
        <w:spacing w:line="276" w:lineRule="auto"/>
        <w:rPr>
          <w:rFonts w:ascii="Calibri" w:hAnsi="Calibri" w:cs="Calibri"/>
        </w:rPr>
      </w:pPr>
      <w:r>
        <w:rPr>
          <w:rFonts w:ascii="Calibri" w:hAnsi="Calibri" w:cs="Calibri"/>
        </w:rPr>
        <w:t>To</w:t>
      </w:r>
      <w:r w:rsidR="004373F7">
        <w:rPr>
          <w:rFonts w:ascii="Calibri" w:hAnsi="Calibri" w:cs="Calibri"/>
        </w:rPr>
        <w:t xml:space="preserve"> </w:t>
      </w:r>
      <w:r>
        <w:rPr>
          <w:rFonts w:ascii="Calibri" w:hAnsi="Calibri" w:cs="Calibri"/>
        </w:rPr>
        <w:t xml:space="preserve">assess how well LLM perform across different tasks in the CEDAW reporting process, </w:t>
      </w:r>
      <w:r w:rsidR="009463BB">
        <w:rPr>
          <w:rFonts w:ascii="Calibri" w:hAnsi="Calibri" w:cs="Calibri"/>
        </w:rPr>
        <w:t xml:space="preserve">proof-of-concept </w:t>
      </w:r>
      <w:r w:rsidR="00147635">
        <w:rPr>
          <w:rFonts w:ascii="Calibri" w:hAnsi="Calibri" w:cs="Calibri"/>
        </w:rPr>
        <w:t>workflow (</w:t>
      </w:r>
      <w:r>
        <w:rPr>
          <w:rFonts w:ascii="Calibri" w:hAnsi="Calibri" w:cs="Calibri"/>
        </w:rPr>
        <w:t>Figure 1</w:t>
      </w:r>
      <w:r w:rsidR="00147635">
        <w:rPr>
          <w:rFonts w:ascii="Calibri" w:hAnsi="Calibri" w:cs="Calibri"/>
        </w:rPr>
        <w:t xml:space="preserve">) </w:t>
      </w:r>
      <w:r>
        <w:rPr>
          <w:rFonts w:ascii="Calibri" w:hAnsi="Calibri" w:cs="Calibri"/>
        </w:rPr>
        <w:t>comprises three components. First, using</w:t>
      </w:r>
      <w:r w:rsidR="00147635">
        <w:rPr>
          <w:rFonts w:ascii="Calibri" w:hAnsi="Calibri" w:cs="Calibri"/>
        </w:rPr>
        <w:t xml:space="preserve"> human-extracted CEDAW recommendation</w:t>
      </w:r>
      <w:r>
        <w:rPr>
          <w:rFonts w:ascii="Calibri" w:hAnsi="Calibri" w:cs="Calibri"/>
        </w:rPr>
        <w:t xml:space="preserve">s, a LLM, </w:t>
      </w:r>
      <w:r w:rsidR="00B165EE">
        <w:rPr>
          <w:rFonts w:ascii="Calibri" w:hAnsi="Calibri" w:cs="Calibri"/>
        </w:rPr>
        <w:t>prompted using structured instructions developed</w:t>
      </w:r>
      <w:r w:rsidR="00147635">
        <w:rPr>
          <w:rFonts w:ascii="Calibri" w:hAnsi="Calibri" w:cs="Calibri"/>
        </w:rPr>
        <w:t xml:space="preserve"> and validated by a team of data scientists (SZ and UA) </w:t>
      </w:r>
      <w:r>
        <w:rPr>
          <w:rFonts w:ascii="Calibri" w:hAnsi="Calibri" w:cs="Calibri"/>
        </w:rPr>
        <w:t xml:space="preserve">is </w:t>
      </w:r>
      <w:r w:rsidR="00147635">
        <w:rPr>
          <w:rFonts w:ascii="Calibri" w:hAnsi="Calibri" w:cs="Calibri"/>
        </w:rPr>
        <w:t>us</w:t>
      </w:r>
      <w:r>
        <w:rPr>
          <w:rFonts w:ascii="Calibri" w:hAnsi="Calibri" w:cs="Calibri"/>
        </w:rPr>
        <w:t>ed</w:t>
      </w:r>
      <w:r w:rsidR="00147635">
        <w:rPr>
          <w:rFonts w:ascii="Calibri" w:hAnsi="Calibri" w:cs="Calibri"/>
        </w:rPr>
        <w:t xml:space="preserve"> </w:t>
      </w:r>
      <w:r>
        <w:rPr>
          <w:rFonts w:ascii="Calibri" w:hAnsi="Calibri" w:cs="Calibri"/>
        </w:rPr>
        <w:t>to assign an implementation status. Second, based on the same inputs, the LLM is used to generate metadata tags by classifying recommendations and government actions by theme, facilitating systematic monitoring and comparative analysis. Third, using human-extracted recommendations paired with the original State reports, the LLM is used to extract relevant government actions for inclusion in the database</w:t>
      </w:r>
      <w:r w:rsidR="00CF2E07">
        <w:rPr>
          <w:rFonts w:ascii="Calibri" w:hAnsi="Calibri" w:cs="Calibri"/>
        </w:rPr>
        <w:t xml:space="preserve">. </w:t>
      </w:r>
    </w:p>
    <w:p w14:paraId="714E5691" w14:textId="77777777" w:rsidR="00924060" w:rsidRPr="008A6D60" w:rsidRDefault="00924060" w:rsidP="00924060">
      <w:pPr>
        <w:spacing w:line="276" w:lineRule="auto"/>
        <w:rPr>
          <w:rFonts w:ascii="Calibri" w:hAnsi="Calibri" w:cs="Calibri"/>
        </w:rPr>
      </w:pPr>
      <w:r w:rsidRPr="008A6D60">
        <w:rPr>
          <w:rFonts w:ascii="Calibri" w:hAnsi="Calibri" w:cs="Calibri"/>
        </w:rPr>
        <w:t>Preliminary analyses led by SZ evaluated recent, well-performing open-source LLMs (</w:t>
      </w:r>
      <w:proofErr w:type="spellStart"/>
      <w:r w:rsidRPr="008A6D60">
        <w:rPr>
          <w:rFonts w:ascii="Calibri" w:hAnsi="Calibri" w:cs="Calibri"/>
        </w:rPr>
        <w:t>LLaMA</w:t>
      </w:r>
      <w:proofErr w:type="spellEnd"/>
      <w:r w:rsidRPr="008A6D60">
        <w:rPr>
          <w:rFonts w:ascii="Calibri" w:hAnsi="Calibri" w:cs="Calibri"/>
        </w:rPr>
        <w:t xml:space="preserve"> 3 and </w:t>
      </w:r>
      <w:proofErr w:type="spellStart"/>
      <w:r w:rsidRPr="008A6D60">
        <w:rPr>
          <w:rFonts w:ascii="Calibri" w:hAnsi="Calibri" w:cs="Calibri"/>
        </w:rPr>
        <w:t>LLaMA</w:t>
      </w:r>
      <w:proofErr w:type="spellEnd"/>
      <w:r w:rsidRPr="008A6D60">
        <w:rPr>
          <w:rFonts w:ascii="Calibri" w:hAnsi="Calibri" w:cs="Calibri"/>
        </w:rPr>
        <w:t xml:space="preserve"> 3.1 series) at the time, and the best-performing configurations were selected for each task. As an initial feasibility assessment, the analysis was conducted using data from five countries (n = 36) to enable a focused and controlled evaluation prior to scaling up the approach. </w:t>
      </w:r>
      <w:r>
        <w:rPr>
          <w:rFonts w:ascii="Calibri" w:hAnsi="Calibri" w:cs="Calibri"/>
        </w:rPr>
        <w:t>All periodic reports used in this analysis are publicly available through the UN OHCHR database in English (as well as other official UN languages), and no additional translation was required for this study.</w:t>
      </w:r>
      <w:r>
        <w:rPr>
          <w:rFonts w:ascii="Calibri" w:hAnsi="Calibri" w:cs="Calibri" w:hint="eastAsia"/>
          <w:lang w:eastAsia="zh-CN"/>
        </w:rPr>
        <w:t xml:space="preserve"> </w:t>
      </w:r>
      <w:r w:rsidRPr="008A6D60">
        <w:rPr>
          <w:rFonts w:ascii="Calibri" w:hAnsi="Calibri" w:cs="Calibri"/>
        </w:rPr>
        <w:t>Given the limited sample size, a formal train–test split was not performed, as the objective was to assess feasibility and to examine whether the tasks could be effectively addressed under optimised prompting conditions.</w:t>
      </w:r>
    </w:p>
    <w:p w14:paraId="655BFCFF" w14:textId="77777777" w:rsidR="00924060" w:rsidRPr="008A6D60" w:rsidRDefault="00924060" w:rsidP="00924060">
      <w:pPr>
        <w:rPr>
          <w:rFonts w:ascii="Calibri" w:hAnsi="Calibri" w:cs="Calibri"/>
        </w:rPr>
      </w:pPr>
      <w:r w:rsidRPr="008A6D60">
        <w:rPr>
          <w:rFonts w:ascii="Calibri" w:hAnsi="Calibri" w:cs="Calibri"/>
        </w:rPr>
        <w:t>Model performance for the first two tasks was assessed using overall accuracy. The model (Llama-3.1-70B-Instruct with 4-bit quantisation) achieved high accuracy on the first task, correctly identifying implementation status in about 91.67% of cases. Meanwhile, the model (Llama3-8B-instruct) exhibited robust performance on the second task, accurately categorising recommendations across 15 themes such as forms of violence and population subgroups (e.g. women within lower socioeconomic communities or lower socioeconomic status), with an overall accuracy of 82.93%. While accuracy varied for categories with few data points, these results establish a baseline for future analyses.</w:t>
      </w:r>
    </w:p>
    <w:p w14:paraId="1505BA73" w14:textId="77777777" w:rsidR="00924060" w:rsidRPr="008A6D60" w:rsidRDefault="00924060" w:rsidP="00924060">
      <w:pPr>
        <w:rPr>
          <w:rFonts w:ascii="Calibri" w:hAnsi="Calibri" w:cs="Calibri"/>
        </w:rPr>
      </w:pPr>
      <w:r w:rsidRPr="008A6D60">
        <w:rPr>
          <w:rFonts w:ascii="Calibri" w:hAnsi="Calibri" w:cs="Calibri"/>
        </w:rPr>
        <w:t xml:space="preserve">For the third task, two context engineering approaches to providing context to the </w:t>
      </w:r>
      <w:r>
        <w:rPr>
          <w:rFonts w:ascii="Calibri" w:hAnsi="Calibri" w:cs="Calibri" w:hint="eastAsia"/>
          <w:lang w:eastAsia="zh-CN"/>
        </w:rPr>
        <w:t>LLM</w:t>
      </w:r>
      <w:r w:rsidRPr="008A6D60">
        <w:rPr>
          <w:rFonts w:ascii="Calibri" w:hAnsi="Calibri" w:cs="Calibri"/>
        </w:rPr>
        <w:t xml:space="preserve"> were explored. In a long-context </w:t>
      </w:r>
      <w:r>
        <w:rPr>
          <w:rFonts w:ascii="Calibri" w:hAnsi="Calibri" w:cs="Calibri" w:hint="eastAsia"/>
          <w:lang w:eastAsia="zh-CN"/>
        </w:rPr>
        <w:t>approach</w:t>
      </w:r>
      <w:r w:rsidRPr="008A6D60">
        <w:rPr>
          <w:rFonts w:ascii="Calibri" w:hAnsi="Calibri" w:cs="Calibri"/>
        </w:rPr>
        <w:t xml:space="preserve">, the full document is provided as input, allowing access to complete contextual information, although performance may be affected for longer or more complex documents. In a retrieval-augmented generation (RAG) </w:t>
      </w:r>
      <w:r>
        <w:rPr>
          <w:rFonts w:ascii="Calibri" w:hAnsi="Calibri" w:cs="Calibri" w:hint="eastAsia"/>
          <w:lang w:eastAsia="zh-CN"/>
        </w:rPr>
        <w:t>approach</w:t>
      </w:r>
      <w:r w:rsidRPr="008A6D60">
        <w:rPr>
          <w:rFonts w:ascii="Calibri" w:hAnsi="Calibri" w:cs="Calibri"/>
        </w:rPr>
        <w:t>, documents are segmented into smaller text units and encoded using an embedding model (</w:t>
      </w:r>
      <w:proofErr w:type="spellStart"/>
      <w:r w:rsidRPr="008A6D60">
        <w:rPr>
          <w:rFonts w:ascii="Calibri" w:hAnsi="Calibri" w:cs="Calibri"/>
          <w:i/>
          <w:iCs/>
        </w:rPr>
        <w:t>infloat</w:t>
      </w:r>
      <w:proofErr w:type="spellEnd"/>
      <w:r w:rsidRPr="008A6D60">
        <w:rPr>
          <w:rFonts w:ascii="Calibri" w:hAnsi="Calibri" w:cs="Calibri"/>
          <w:i/>
          <w:iCs/>
        </w:rPr>
        <w:t>/e5-mistral-7b-instruct</w:t>
      </w:r>
      <w:r w:rsidRPr="008A6D60">
        <w:rPr>
          <w:rFonts w:ascii="Calibri" w:hAnsi="Calibri" w:cs="Calibri"/>
        </w:rPr>
        <w:t xml:space="preserve">), and semantic similarity is used to retrieve the most relevant segments, which are then provided as context to the </w:t>
      </w:r>
      <w:r>
        <w:rPr>
          <w:rFonts w:ascii="Calibri" w:hAnsi="Calibri" w:cs="Calibri" w:hint="eastAsia"/>
          <w:lang w:eastAsia="zh-CN"/>
        </w:rPr>
        <w:t>LLM</w:t>
      </w:r>
      <w:r w:rsidRPr="008A6D60">
        <w:rPr>
          <w:rFonts w:ascii="Calibri" w:hAnsi="Calibri" w:cs="Calibri"/>
        </w:rPr>
        <w:t xml:space="preserve">. This approach focuses the </w:t>
      </w:r>
      <w:r>
        <w:rPr>
          <w:rFonts w:ascii="Calibri" w:hAnsi="Calibri" w:cs="Calibri" w:hint="eastAsia"/>
          <w:lang w:eastAsia="zh-CN"/>
        </w:rPr>
        <w:t>LLM</w:t>
      </w:r>
      <w:r w:rsidRPr="008A6D60">
        <w:rPr>
          <w:rFonts w:ascii="Calibri" w:hAnsi="Calibri" w:cs="Calibri"/>
        </w:rPr>
        <w:t xml:space="preserve"> on the most relevant portions of the text.</w:t>
      </w:r>
    </w:p>
    <w:p w14:paraId="17CE9244" w14:textId="77777777" w:rsidR="00924060" w:rsidRPr="008A6D60" w:rsidRDefault="00924060" w:rsidP="00924060">
      <w:pPr>
        <w:rPr>
          <w:rFonts w:ascii="Calibri" w:hAnsi="Calibri" w:cs="Calibri"/>
        </w:rPr>
      </w:pPr>
      <w:r w:rsidRPr="008A6D60">
        <w:rPr>
          <w:rFonts w:ascii="Calibri" w:hAnsi="Calibri" w:cs="Calibri"/>
        </w:rPr>
        <w:lastRenderedPageBreak/>
        <w:t>The performance of the third task was assessed using both an automated similarity measure (measured as the average cosine similarity between the model outputs and reference text, where values closer to 1 indicate higher similarity) and human validation. The long-context approach achieved higher cosine similarity than the RAG approach (0.69 vs 0.63), whereas human validation scores were higher for the RAG approach (63% vs 60%), indicating improved relevance and completeness. Across both approaches, the model (Llama-3.1-8B-Instruct) consistently achieved the strongest performance. Human validation was conducted by a data scientist (SZ) and a global health lawyer (JS), with agreement reached through consensus based on the proportion of extracted actions judged to be correct by both reviewers.</w:t>
      </w:r>
    </w:p>
    <w:p w14:paraId="3A2CB1FB" w14:textId="23D34E8C" w:rsidR="00924060" w:rsidRDefault="00924060" w:rsidP="00924060">
      <w:pPr>
        <w:rPr>
          <w:rFonts w:ascii="Calibri" w:hAnsi="Calibri" w:cs="Calibri"/>
          <w:lang w:eastAsia="zh-CN"/>
        </w:rPr>
      </w:pPr>
      <w:r w:rsidRPr="008A6D60">
        <w:rPr>
          <w:rFonts w:ascii="Calibri" w:hAnsi="Calibri" w:cs="Calibri"/>
        </w:rPr>
        <w:t xml:space="preserve">Additional analyses were conducted for the third task. </w:t>
      </w:r>
      <w:r w:rsidRPr="00BC7C19">
        <w:rPr>
          <w:rFonts w:ascii="Calibri" w:hAnsi="Calibri" w:cs="Calibri"/>
          <w:lang w:eastAsia="zh-CN"/>
        </w:rPr>
        <w:t>First, we assessed whether our solution introduced bias in the model’s ability to distinguish between cases where governments had acted and those where no action was taken. No statistically significant difference was observed between the two cases (</w:t>
      </w:r>
      <w:r w:rsidRPr="00BC7C19">
        <w:rPr>
          <w:rFonts w:ascii="Calibri" w:hAnsi="Calibri" w:cs="Calibri"/>
          <w:i/>
          <w:iCs/>
          <w:lang w:eastAsia="zh-CN"/>
        </w:rPr>
        <w:t>p</w:t>
      </w:r>
      <w:r w:rsidRPr="00BC7C19">
        <w:rPr>
          <w:rFonts w:ascii="Calibri" w:hAnsi="Calibri" w:cs="Calibri"/>
          <w:lang w:eastAsia="zh-CN"/>
        </w:rPr>
        <w:t xml:space="preserve"> &gt; 0.05, Two</w:t>
      </w:r>
      <w:r w:rsidRPr="00BC7C19">
        <w:rPr>
          <w:rFonts w:ascii="Calibri" w:hAnsi="Calibri" w:cs="Calibri"/>
          <w:lang w:eastAsia="zh-CN"/>
        </w:rPr>
        <w:noBreakHyphen/>
        <w:t xml:space="preserve">Proportion </w:t>
      </w:r>
      <w:r w:rsidRPr="00BC7C19">
        <w:rPr>
          <w:rFonts w:ascii="Calibri" w:hAnsi="Calibri" w:cs="Calibri"/>
          <w:i/>
          <w:iCs/>
          <w:lang w:eastAsia="zh-CN"/>
        </w:rPr>
        <w:t>Z</w:t>
      </w:r>
      <w:r w:rsidRPr="00BC7C19">
        <w:rPr>
          <w:rFonts w:ascii="Calibri" w:hAnsi="Calibri" w:cs="Calibri"/>
          <w:lang w:eastAsia="zh-CN"/>
        </w:rPr>
        <w:noBreakHyphen/>
        <w:t>test), suggesting that the method performs comparably across both scenarios without favouring one over the other.</w:t>
      </w:r>
      <w:r>
        <w:rPr>
          <w:rFonts w:ascii="Calibri" w:hAnsi="Calibri" w:cs="Calibri" w:hint="eastAsia"/>
          <w:lang w:eastAsia="zh-CN"/>
        </w:rPr>
        <w:t xml:space="preserve"> </w:t>
      </w:r>
      <w:r w:rsidRPr="008A6D60">
        <w:rPr>
          <w:rFonts w:ascii="Calibri" w:hAnsi="Calibri" w:cs="Calibri"/>
        </w:rPr>
        <w:t>Second, we assessed generalisability by applying the approach to an independent held-out external dataset (n = 19) from additional countries. When applied to new country reports, accuracy declined, with long-context and RAG approaches achieving approximately 0.41 and 0.39 (cosine similarity), and 35% and 42% (human validation), respectively, reflecting the diversity of reporting formats and the limited size of the development dataset. These results should be interpreted cautiously. The evaluation applies a strict binary criterion, where partially correct or semantically similar outputs may be classified as incorrect, making the metric inherently conservative. Notably, in several instances the model identified relevant government actions not captured in manual review, suggesting its value as a complementary analytical tool.</w:t>
      </w:r>
    </w:p>
    <w:p w14:paraId="1B1306A3" w14:textId="77777777" w:rsidR="00102685" w:rsidRDefault="00102685" w:rsidP="000E4056">
      <w:pPr>
        <w:spacing w:line="276" w:lineRule="auto"/>
        <w:rPr>
          <w:rFonts w:ascii="Calibri" w:hAnsi="Calibri" w:cs="Calibri"/>
        </w:rPr>
      </w:pPr>
    </w:p>
    <w:p w14:paraId="1AB3E71D" w14:textId="505AFDB9" w:rsidR="004373F7" w:rsidRDefault="00062AFD" w:rsidP="000E4056">
      <w:pPr>
        <w:spacing w:line="276" w:lineRule="auto"/>
        <w:rPr>
          <w:rFonts w:ascii="Calibri" w:hAnsi="Calibri" w:cs="Calibri"/>
        </w:rPr>
      </w:pPr>
      <w:r w:rsidRPr="00062AFD">
        <w:rPr>
          <w:rFonts w:ascii="Calibri" w:hAnsi="Calibri" w:cs="Calibri"/>
          <w:b/>
          <w:bCs/>
        </w:rPr>
        <w:t>Figure 1:</w:t>
      </w:r>
      <w:r>
        <w:rPr>
          <w:rFonts w:ascii="Calibri" w:hAnsi="Calibri" w:cs="Calibri"/>
        </w:rPr>
        <w:t xml:space="preserve"> Workflow of CEDAW Index </w:t>
      </w:r>
      <w:r w:rsidR="002F5F37">
        <w:rPr>
          <w:rFonts w:ascii="Calibri" w:hAnsi="Calibri" w:cs="Calibri"/>
        </w:rPr>
        <w:t xml:space="preserve">large </w:t>
      </w:r>
      <w:r>
        <w:rPr>
          <w:rFonts w:ascii="Calibri" w:hAnsi="Calibri" w:cs="Calibri"/>
        </w:rPr>
        <w:t xml:space="preserve">language models </w:t>
      </w:r>
      <w:r w:rsidR="002F5F37">
        <w:rPr>
          <w:rFonts w:ascii="Calibri" w:hAnsi="Calibri" w:cs="Calibri"/>
        </w:rPr>
        <w:t>(LLM)</w:t>
      </w:r>
    </w:p>
    <w:p w14:paraId="3892688F" w14:textId="0A4F7AF2" w:rsidR="000E4056" w:rsidRDefault="002F2015" w:rsidP="000E4056">
      <w:pPr>
        <w:spacing w:line="276" w:lineRule="auto"/>
        <w:rPr>
          <w:rFonts w:ascii="Calibri" w:hAnsi="Calibri" w:cs="Calibri"/>
        </w:rPr>
      </w:pPr>
      <w:r>
        <w:rPr>
          <w:noProof/>
        </w:rPr>
        <w:lastRenderedPageBreak/>
        <w:drawing>
          <wp:inline distT="0" distB="0" distL="0" distR="0" wp14:anchorId="2A7E9254" wp14:editId="1060AB24">
            <wp:extent cx="5731510" cy="4446270"/>
            <wp:effectExtent l="0" t="0" r="2540" b="0"/>
            <wp:docPr id="66519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4446270"/>
                    </a:xfrm>
                    <a:prstGeom prst="rect">
                      <a:avLst/>
                    </a:prstGeom>
                    <a:noFill/>
                    <a:ln>
                      <a:noFill/>
                    </a:ln>
                  </pic:spPr>
                </pic:pic>
              </a:graphicData>
            </a:graphic>
          </wp:inline>
        </w:drawing>
      </w:r>
    </w:p>
    <w:p w14:paraId="2571DF66" w14:textId="77777777" w:rsidR="002F2015" w:rsidRDefault="002F2015" w:rsidP="000E4056">
      <w:pPr>
        <w:spacing w:line="276" w:lineRule="auto"/>
        <w:rPr>
          <w:rFonts w:ascii="Calibri" w:hAnsi="Calibri" w:cs="Calibri"/>
        </w:rPr>
      </w:pPr>
    </w:p>
    <w:p w14:paraId="0A4C0866" w14:textId="018769A8" w:rsidR="00FF3F46" w:rsidRDefault="00102685" w:rsidP="000E4056">
      <w:pPr>
        <w:spacing w:line="276" w:lineRule="auto"/>
        <w:rPr>
          <w:rFonts w:ascii="Calibri" w:hAnsi="Calibri" w:cs="Calibri"/>
        </w:rPr>
      </w:pPr>
      <w:r>
        <w:rPr>
          <w:rFonts w:ascii="Calibri" w:hAnsi="Calibri" w:cs="Calibri"/>
        </w:rPr>
        <w:t>During the development of the dataset that will support the Index</w:t>
      </w:r>
      <w:r w:rsidR="00CF2E07">
        <w:rPr>
          <w:rFonts w:ascii="Calibri" w:hAnsi="Calibri" w:cs="Calibri"/>
        </w:rPr>
        <w:t xml:space="preserve">, we </w:t>
      </w:r>
      <w:r w:rsidR="004A77D1">
        <w:rPr>
          <w:rFonts w:ascii="Calibri" w:hAnsi="Calibri" w:cs="Calibri"/>
        </w:rPr>
        <w:t>recorded explanatory notes</w:t>
      </w:r>
      <w:r w:rsidR="00CF2E07">
        <w:rPr>
          <w:rFonts w:ascii="Calibri" w:hAnsi="Calibri" w:cs="Calibri"/>
        </w:rPr>
        <w:t xml:space="preserve"> for </w:t>
      </w:r>
      <w:r w:rsidR="004373F7">
        <w:rPr>
          <w:rFonts w:ascii="Calibri" w:hAnsi="Calibri" w:cs="Calibri"/>
        </w:rPr>
        <w:t>each</w:t>
      </w:r>
      <w:r w:rsidR="002F5F37">
        <w:rPr>
          <w:rFonts w:ascii="Calibri" w:hAnsi="Calibri" w:cs="Calibri"/>
        </w:rPr>
        <w:t xml:space="preserve"> Committee</w:t>
      </w:r>
      <w:r w:rsidR="004373F7">
        <w:rPr>
          <w:rFonts w:ascii="Calibri" w:hAnsi="Calibri" w:cs="Calibri"/>
        </w:rPr>
        <w:t xml:space="preserve"> recommendation, </w:t>
      </w:r>
      <w:r w:rsidR="00CF2E07">
        <w:rPr>
          <w:rFonts w:ascii="Calibri" w:hAnsi="Calibri" w:cs="Calibri"/>
        </w:rPr>
        <w:t xml:space="preserve">documenting the reasoning behind the assigned implementation status. </w:t>
      </w:r>
    </w:p>
    <w:p w14:paraId="2168BBDF" w14:textId="42ED0415" w:rsidR="00FF3F46" w:rsidRDefault="00FF3F46" w:rsidP="000E4056">
      <w:pPr>
        <w:spacing w:line="276" w:lineRule="auto"/>
        <w:rPr>
          <w:rFonts w:ascii="Calibri" w:hAnsi="Calibri" w:cs="Calibri"/>
        </w:rPr>
      </w:pPr>
      <w:r>
        <w:rPr>
          <w:rFonts w:ascii="Calibri" w:hAnsi="Calibri" w:cs="Calibri"/>
        </w:rPr>
        <w:t xml:space="preserve">The </w:t>
      </w:r>
      <w:r w:rsidR="004A77D1">
        <w:rPr>
          <w:rFonts w:ascii="Calibri" w:hAnsi="Calibri" w:cs="Calibri"/>
        </w:rPr>
        <w:t>explanatory notes provide</w:t>
      </w:r>
      <w:r>
        <w:rPr>
          <w:rFonts w:ascii="Calibri" w:hAnsi="Calibri" w:cs="Calibri"/>
        </w:rPr>
        <w:t xml:space="preserve"> an implementation assessment – a structured reasoning process that documents how each recommendation’s implementation status is determined. It ensures transparency, consistency, and traceability in the analyst’s judgement. </w:t>
      </w:r>
    </w:p>
    <w:p w14:paraId="1F7FCE59" w14:textId="55C3097C" w:rsidR="00FF3F46" w:rsidRDefault="00A049B1" w:rsidP="000E4056">
      <w:pPr>
        <w:spacing w:line="276" w:lineRule="auto"/>
        <w:rPr>
          <w:rFonts w:ascii="Calibri" w:hAnsi="Calibri" w:cs="Calibri"/>
        </w:rPr>
      </w:pPr>
      <w:r>
        <w:rPr>
          <w:rFonts w:ascii="Calibri" w:hAnsi="Calibri" w:cs="Calibri"/>
        </w:rPr>
        <w:t>As discussed earlier, e</w:t>
      </w:r>
      <w:r w:rsidR="00FF3F46">
        <w:rPr>
          <w:rFonts w:ascii="Calibri" w:hAnsi="Calibri" w:cs="Calibri"/>
        </w:rPr>
        <w:t xml:space="preserve">ach CEDAW Committee recommendation from Cycle 1 is compared against the government’s Cycle 2 report to assess what actions were taken.  Analysts first identify the corresponding </w:t>
      </w:r>
      <w:r w:rsidR="002F5F37">
        <w:rPr>
          <w:rFonts w:ascii="Calibri" w:hAnsi="Calibri" w:cs="Calibri"/>
        </w:rPr>
        <w:t>S</w:t>
      </w:r>
      <w:r w:rsidR="00FF3F46">
        <w:rPr>
          <w:rFonts w:ascii="Calibri" w:hAnsi="Calibri" w:cs="Calibri"/>
        </w:rPr>
        <w:t>tate actions and then evaluate the extent of implementation, classifying it as</w:t>
      </w:r>
      <w:r w:rsidR="00024748">
        <w:rPr>
          <w:rFonts w:ascii="Calibri" w:hAnsi="Calibri" w:cs="Calibri"/>
        </w:rPr>
        <w:t xml:space="preserve"> fully implemented, partially implemented, inadequate response, or unacknowledged.</w:t>
      </w:r>
      <w:r w:rsidR="00FF3F46">
        <w:rPr>
          <w:rFonts w:ascii="Calibri" w:hAnsi="Calibri" w:cs="Calibri"/>
        </w:rPr>
        <w:t xml:space="preserve"> </w:t>
      </w:r>
    </w:p>
    <w:p w14:paraId="3612D784" w14:textId="2C726918" w:rsidR="00FF3F46" w:rsidRDefault="00FF3F46" w:rsidP="00FF3F46">
      <w:pPr>
        <w:spacing w:line="276" w:lineRule="auto"/>
        <w:rPr>
          <w:rFonts w:ascii="Calibri" w:hAnsi="Calibri" w:cs="Calibri"/>
        </w:rPr>
      </w:pPr>
      <w:r>
        <w:rPr>
          <w:rFonts w:ascii="Calibri" w:hAnsi="Calibri" w:cs="Calibri"/>
        </w:rPr>
        <w:t xml:space="preserve">The </w:t>
      </w:r>
      <w:r w:rsidR="004A77D1">
        <w:rPr>
          <w:rFonts w:ascii="Calibri" w:hAnsi="Calibri" w:cs="Calibri"/>
        </w:rPr>
        <w:t>explanatory notes</w:t>
      </w:r>
      <w:r>
        <w:rPr>
          <w:rFonts w:ascii="Calibri" w:hAnsi="Calibri" w:cs="Calibri"/>
        </w:rPr>
        <w:t xml:space="preserve"> record the reasoning behind each classification, drawing on key interpretive dimensions that guide analysts in determining implementation quality and completeness including action specificity, timelines (when and over what period government action occurred), legal or institutional status (whether the measure is binding, adopted, and operational)</w:t>
      </w:r>
      <w:r w:rsidR="002B6E58">
        <w:rPr>
          <w:rFonts w:ascii="Calibri" w:hAnsi="Calibri" w:cs="Calibri"/>
        </w:rPr>
        <w:t xml:space="preserve"> and</w:t>
      </w:r>
      <w:r>
        <w:rPr>
          <w:rFonts w:ascii="Calibri" w:hAnsi="Calibri" w:cs="Calibri"/>
        </w:rPr>
        <w:t xml:space="preserve"> resourcing (evidence of budget allocation or implementation capacity)</w:t>
      </w:r>
      <w:r w:rsidR="002B6E58">
        <w:rPr>
          <w:rFonts w:ascii="Calibri" w:hAnsi="Calibri" w:cs="Calibri"/>
        </w:rPr>
        <w:t>.</w:t>
      </w:r>
    </w:p>
    <w:p w14:paraId="3EF61C09" w14:textId="7F2C77F8" w:rsidR="002B6E58" w:rsidRDefault="002B6E58" w:rsidP="00FF3F46">
      <w:pPr>
        <w:spacing w:line="276" w:lineRule="auto"/>
        <w:rPr>
          <w:rFonts w:ascii="Calibri" w:hAnsi="Calibri" w:cs="Calibri"/>
        </w:rPr>
      </w:pPr>
      <w:r>
        <w:rPr>
          <w:rFonts w:ascii="Calibri" w:hAnsi="Calibri" w:cs="Calibri"/>
        </w:rPr>
        <w:lastRenderedPageBreak/>
        <w:t xml:space="preserve">Analysts use these dimensions to explain why a particular implementation status was assigned, especially in ambiguous cases where </w:t>
      </w:r>
      <w:r w:rsidR="002F5F37">
        <w:rPr>
          <w:rFonts w:ascii="Calibri" w:hAnsi="Calibri" w:cs="Calibri"/>
        </w:rPr>
        <w:t>S</w:t>
      </w:r>
      <w:r>
        <w:rPr>
          <w:rFonts w:ascii="Calibri" w:hAnsi="Calibri" w:cs="Calibri"/>
        </w:rPr>
        <w:t xml:space="preserve">tate reporting is vague or incomplete. This reasoning is documented within the Index dataset as a transparent ‘audit trail’, enabling others to understand the interpretive logic behind each assessment, by connecting textual evidence, contextual understanding, and expert judgement to produce a reproducible implementation status. </w:t>
      </w:r>
    </w:p>
    <w:p w14:paraId="6CE129CE" w14:textId="69461D99" w:rsidR="004373F7" w:rsidRDefault="00CF2E07" w:rsidP="000E4056">
      <w:pPr>
        <w:spacing w:line="276" w:lineRule="auto"/>
        <w:rPr>
          <w:rFonts w:ascii="Calibri" w:hAnsi="Calibri" w:cs="Calibri"/>
        </w:rPr>
      </w:pPr>
      <w:r>
        <w:rPr>
          <w:rFonts w:ascii="Calibri" w:hAnsi="Calibri" w:cs="Calibri"/>
        </w:rPr>
        <w:t xml:space="preserve">These analyses allowed us to demonstrate, for example, how broad policy commitments without targeted measures were classified as only partially implemented, or how the absence of any </w:t>
      </w:r>
      <w:r w:rsidR="002F5F37">
        <w:rPr>
          <w:rFonts w:ascii="Calibri" w:hAnsi="Calibri" w:cs="Calibri"/>
        </w:rPr>
        <w:t>S</w:t>
      </w:r>
      <w:r>
        <w:rPr>
          <w:rFonts w:ascii="Calibri" w:hAnsi="Calibri" w:cs="Calibri"/>
        </w:rPr>
        <w:t xml:space="preserve">tate response was recorded as unacknowledged. By systematically applying this method across countries, our analysis highlighted where governments had taken meaningful action, where they had failed or declined to act, and where responses were inadequate. It also revealed recurring gaps in implementation, such as vague or generalised measures that did not address the specific focus of a recommendation, while situating these findings within wider global trends. </w:t>
      </w:r>
      <w:r w:rsidR="004A77D1">
        <w:rPr>
          <w:rFonts w:ascii="Calibri" w:hAnsi="Calibri" w:cs="Calibri"/>
        </w:rPr>
        <w:t>Table 1 below provides examples of CEDAW recommendations, government responses and their implementation status.</w:t>
      </w:r>
    </w:p>
    <w:p w14:paraId="747ABC24" w14:textId="77777777" w:rsidR="000E4056" w:rsidRDefault="000E4056" w:rsidP="000E4056">
      <w:pPr>
        <w:spacing w:line="276" w:lineRule="auto"/>
        <w:rPr>
          <w:rFonts w:ascii="Calibri" w:hAnsi="Calibri" w:cs="Calibri"/>
        </w:rPr>
      </w:pPr>
    </w:p>
    <w:p w14:paraId="41DCCBF9" w14:textId="3DCB83AB" w:rsidR="002B6068" w:rsidRDefault="00917781" w:rsidP="000E4056">
      <w:pPr>
        <w:spacing w:line="276" w:lineRule="auto"/>
        <w:rPr>
          <w:rFonts w:ascii="Calibri" w:hAnsi="Calibri" w:cs="Calibri"/>
        </w:rPr>
      </w:pPr>
      <w:r>
        <w:rPr>
          <w:rFonts w:ascii="Calibri" w:hAnsi="Calibri" w:cs="Calibri"/>
          <w:b/>
          <w:bCs/>
        </w:rPr>
        <w:t>Table</w:t>
      </w:r>
      <w:r w:rsidR="002B6068" w:rsidRPr="004373F7">
        <w:rPr>
          <w:rFonts w:ascii="Calibri" w:hAnsi="Calibri" w:cs="Calibri"/>
          <w:b/>
          <w:bCs/>
        </w:rPr>
        <w:t xml:space="preserve"> </w:t>
      </w:r>
      <w:r>
        <w:rPr>
          <w:rFonts w:ascii="Calibri" w:hAnsi="Calibri" w:cs="Calibri"/>
          <w:b/>
          <w:bCs/>
        </w:rPr>
        <w:t>1</w:t>
      </w:r>
      <w:r w:rsidR="002B6068">
        <w:rPr>
          <w:rFonts w:ascii="Calibri" w:hAnsi="Calibri" w:cs="Calibri"/>
        </w:rPr>
        <w:t xml:space="preserve"> – </w:t>
      </w:r>
      <w:r w:rsidR="0029304F">
        <w:rPr>
          <w:rFonts w:ascii="Calibri" w:hAnsi="Calibri" w:cs="Calibri"/>
        </w:rPr>
        <w:t>E</w:t>
      </w:r>
      <w:r w:rsidR="002B6068">
        <w:rPr>
          <w:rFonts w:ascii="Calibri" w:hAnsi="Calibri" w:cs="Calibri"/>
        </w:rPr>
        <w:t>xample</w:t>
      </w:r>
      <w:r w:rsidR="004C4B67">
        <w:rPr>
          <w:rFonts w:ascii="Calibri" w:hAnsi="Calibri" w:cs="Calibri"/>
        </w:rPr>
        <w:t>s</w:t>
      </w:r>
      <w:r w:rsidR="002B6068">
        <w:rPr>
          <w:rFonts w:ascii="Calibri" w:hAnsi="Calibri" w:cs="Calibri"/>
        </w:rPr>
        <w:t xml:space="preserve"> of </w:t>
      </w:r>
      <w:r w:rsidR="004373F7">
        <w:rPr>
          <w:rFonts w:ascii="Calibri" w:hAnsi="Calibri" w:cs="Calibri"/>
        </w:rPr>
        <w:t>CEDAW R</w:t>
      </w:r>
      <w:r w:rsidR="002B6068">
        <w:rPr>
          <w:rFonts w:ascii="Calibri" w:hAnsi="Calibri" w:cs="Calibri"/>
        </w:rPr>
        <w:t xml:space="preserve">ecommendation, </w:t>
      </w:r>
      <w:r w:rsidR="004373F7">
        <w:rPr>
          <w:rFonts w:ascii="Calibri" w:hAnsi="Calibri" w:cs="Calibri"/>
        </w:rPr>
        <w:t>G</w:t>
      </w:r>
      <w:r w:rsidR="002B6068">
        <w:rPr>
          <w:rFonts w:ascii="Calibri" w:hAnsi="Calibri" w:cs="Calibri"/>
        </w:rPr>
        <w:t xml:space="preserve">overnment </w:t>
      </w:r>
      <w:r w:rsidR="004373F7">
        <w:rPr>
          <w:rFonts w:ascii="Calibri" w:hAnsi="Calibri" w:cs="Calibri"/>
        </w:rPr>
        <w:t>Response,</w:t>
      </w:r>
      <w:r w:rsidR="002B6068">
        <w:rPr>
          <w:rFonts w:ascii="Calibri" w:hAnsi="Calibri" w:cs="Calibri"/>
        </w:rPr>
        <w:t xml:space="preserve"> and </w:t>
      </w:r>
      <w:r w:rsidR="004373F7">
        <w:rPr>
          <w:rFonts w:ascii="Calibri" w:hAnsi="Calibri" w:cs="Calibri"/>
        </w:rPr>
        <w:t>Applied Implementation Status</w:t>
      </w:r>
    </w:p>
    <w:tbl>
      <w:tblPr>
        <w:tblStyle w:val="TableGridLight"/>
        <w:tblW w:w="9351" w:type="dxa"/>
        <w:tblLook w:val="04A0" w:firstRow="1" w:lastRow="0" w:firstColumn="1" w:lastColumn="0" w:noHBand="0" w:noVBand="1"/>
      </w:tblPr>
      <w:tblGrid>
        <w:gridCol w:w="2080"/>
        <w:gridCol w:w="7271"/>
      </w:tblGrid>
      <w:tr w:rsidR="00A770F2" w14:paraId="39AABF28" w14:textId="77777777" w:rsidTr="000E631B">
        <w:tc>
          <w:tcPr>
            <w:tcW w:w="2080" w:type="dxa"/>
          </w:tcPr>
          <w:p w14:paraId="54CAC1FA" w14:textId="77777777" w:rsidR="00A770F2" w:rsidRPr="00CD3919" w:rsidRDefault="00A770F2" w:rsidP="000E631B">
            <w:pPr>
              <w:spacing w:line="276" w:lineRule="auto"/>
              <w:rPr>
                <w:rFonts w:ascii="Calibri" w:hAnsi="Calibri" w:cs="Calibri"/>
                <w:b/>
                <w:bCs/>
                <w:sz w:val="22"/>
                <w:szCs w:val="22"/>
              </w:rPr>
            </w:pPr>
            <w:r w:rsidRPr="00CD3919">
              <w:rPr>
                <w:rFonts w:ascii="Calibri" w:hAnsi="Calibri" w:cs="Calibri"/>
                <w:b/>
                <w:bCs/>
                <w:sz w:val="22"/>
                <w:szCs w:val="22"/>
              </w:rPr>
              <w:t>Summary recommendation by CEDAW Committee</w:t>
            </w:r>
          </w:p>
        </w:tc>
        <w:tc>
          <w:tcPr>
            <w:tcW w:w="7271" w:type="dxa"/>
          </w:tcPr>
          <w:p w14:paraId="01807F92" w14:textId="77777777" w:rsidR="00A770F2" w:rsidRPr="00CD3919" w:rsidRDefault="00A770F2" w:rsidP="000E631B">
            <w:pPr>
              <w:spacing w:line="276" w:lineRule="auto"/>
              <w:rPr>
                <w:rFonts w:ascii="Calibri" w:hAnsi="Calibri" w:cs="Calibri"/>
                <w:b/>
                <w:bCs/>
                <w:sz w:val="22"/>
                <w:szCs w:val="22"/>
              </w:rPr>
            </w:pPr>
            <w:r w:rsidRPr="00CD3919">
              <w:rPr>
                <w:rFonts w:ascii="Calibri" w:hAnsi="Calibri" w:cs="Calibri"/>
                <w:b/>
                <w:bCs/>
                <w:sz w:val="22"/>
                <w:szCs w:val="22"/>
              </w:rPr>
              <w:t>State action</w:t>
            </w:r>
          </w:p>
        </w:tc>
      </w:tr>
      <w:tr w:rsidR="00A770F2" w14:paraId="19CDB214" w14:textId="77777777" w:rsidTr="000E631B">
        <w:tc>
          <w:tcPr>
            <w:tcW w:w="2080" w:type="dxa"/>
          </w:tcPr>
          <w:p w14:paraId="6674476F" w14:textId="77777777" w:rsidR="00A770F2" w:rsidRPr="00CD3919" w:rsidRDefault="00A770F2" w:rsidP="000E631B">
            <w:pPr>
              <w:spacing w:line="276" w:lineRule="auto"/>
              <w:rPr>
                <w:rFonts w:ascii="Calibri" w:hAnsi="Calibri" w:cs="Calibri"/>
                <w:sz w:val="22"/>
                <w:szCs w:val="22"/>
              </w:rPr>
            </w:pPr>
            <w:r w:rsidRPr="00CD3919">
              <w:rPr>
                <w:rFonts w:ascii="Calibri" w:hAnsi="Calibri" w:cs="Calibri"/>
                <w:sz w:val="22"/>
                <w:szCs w:val="22"/>
              </w:rPr>
              <w:t xml:space="preserve">Develop strategies to prevent domestic violence-induced homelessness and support women affected by domestic and family violence. (Australia, 2010) </w:t>
            </w:r>
          </w:p>
        </w:tc>
        <w:tc>
          <w:tcPr>
            <w:tcW w:w="7271" w:type="dxa"/>
          </w:tcPr>
          <w:p w14:paraId="15E553D4" w14:textId="77777777" w:rsidR="00A770F2" w:rsidRPr="00CD3919" w:rsidRDefault="00A770F2" w:rsidP="000E631B">
            <w:pPr>
              <w:spacing w:line="276" w:lineRule="auto"/>
              <w:rPr>
                <w:rFonts w:ascii="Calibri" w:hAnsi="Calibri" w:cs="Calibri"/>
                <w:sz w:val="22"/>
                <w:szCs w:val="22"/>
              </w:rPr>
            </w:pPr>
            <w:r w:rsidRPr="00CD3919">
              <w:rPr>
                <w:rFonts w:ascii="Calibri" w:hAnsi="Calibri" w:cs="Calibri"/>
                <w:sz w:val="22"/>
                <w:szCs w:val="22"/>
              </w:rPr>
              <w:t xml:space="preserve">"In 2013, the Tasmanian Women’s Plan 2013-2018 was launched. It focuses on six priority areas: economic security and financial independence; education and training; health and wellbeing; housing and homelessness; leadership and community participation; and safety and justice". (2.38) "The Australian Government provides states and territories with approximately AUD $1.3 billion annually under the NAHA [National Affordable Housing Agreement], including approximately AUD $250 million to address homelessness". </w:t>
            </w:r>
          </w:p>
        </w:tc>
      </w:tr>
      <w:tr w:rsidR="00A770F2" w14:paraId="303F61B0" w14:textId="77777777" w:rsidTr="000E631B">
        <w:trPr>
          <w:trHeight w:val="533"/>
        </w:trPr>
        <w:tc>
          <w:tcPr>
            <w:tcW w:w="9351" w:type="dxa"/>
            <w:gridSpan w:val="2"/>
          </w:tcPr>
          <w:p w14:paraId="03355660" w14:textId="77777777" w:rsidR="00A770F2" w:rsidRPr="00CD3919" w:rsidRDefault="00A770F2" w:rsidP="000E631B">
            <w:pPr>
              <w:tabs>
                <w:tab w:val="left" w:pos="3110"/>
              </w:tabs>
              <w:spacing w:line="276" w:lineRule="auto"/>
              <w:rPr>
                <w:rFonts w:ascii="Calibri" w:hAnsi="Calibri" w:cs="Calibri"/>
                <w:sz w:val="22"/>
                <w:szCs w:val="22"/>
              </w:rPr>
            </w:pPr>
            <w:r w:rsidRPr="00CD3919">
              <w:rPr>
                <w:rFonts w:ascii="Calibri" w:hAnsi="Calibri" w:cs="Calibri"/>
                <w:b/>
                <w:bCs/>
                <w:sz w:val="22"/>
                <w:szCs w:val="22"/>
              </w:rPr>
              <w:t>Implementation status</w:t>
            </w:r>
            <w:r w:rsidRPr="00CD3919">
              <w:rPr>
                <w:rFonts w:ascii="Calibri" w:hAnsi="Calibri" w:cs="Calibri"/>
                <w:sz w:val="22"/>
                <w:szCs w:val="22"/>
              </w:rPr>
              <w:t>: Partial</w:t>
            </w:r>
            <w:r w:rsidRPr="00CD3919">
              <w:rPr>
                <w:rFonts w:ascii="Calibri" w:hAnsi="Calibri" w:cs="Calibri"/>
                <w:sz w:val="22"/>
                <w:szCs w:val="22"/>
              </w:rPr>
              <w:tab/>
            </w:r>
          </w:p>
        </w:tc>
      </w:tr>
      <w:tr w:rsidR="00A770F2" w14:paraId="4E006DBF" w14:textId="77777777" w:rsidTr="000E631B">
        <w:tc>
          <w:tcPr>
            <w:tcW w:w="9351" w:type="dxa"/>
            <w:gridSpan w:val="2"/>
          </w:tcPr>
          <w:p w14:paraId="0A937B5A" w14:textId="77777777" w:rsidR="00A770F2" w:rsidRPr="00CD3919" w:rsidRDefault="00A770F2" w:rsidP="000E631B">
            <w:pPr>
              <w:tabs>
                <w:tab w:val="left" w:pos="3110"/>
              </w:tabs>
              <w:spacing w:line="276" w:lineRule="auto"/>
              <w:rPr>
                <w:rFonts w:ascii="Calibri" w:hAnsi="Calibri" w:cs="Calibri"/>
                <w:b/>
                <w:bCs/>
                <w:sz w:val="22"/>
                <w:szCs w:val="22"/>
              </w:rPr>
            </w:pPr>
            <w:r w:rsidRPr="00CD3919">
              <w:rPr>
                <w:rFonts w:ascii="Calibri" w:hAnsi="Calibri" w:cs="Calibri"/>
                <w:b/>
                <w:bCs/>
                <w:sz w:val="22"/>
                <w:szCs w:val="22"/>
              </w:rPr>
              <w:t xml:space="preserve">Explanatory notes: </w:t>
            </w:r>
            <w:r w:rsidRPr="00CD3919">
              <w:rPr>
                <w:rFonts w:ascii="Calibri" w:hAnsi="Calibri" w:cs="Calibri"/>
                <w:sz w:val="22"/>
                <w:szCs w:val="22"/>
              </w:rPr>
              <w:t xml:space="preserve">While references are made to funding allocations and broad policy commitments related to homelessness, there is no evidence of specific strategies targeting domestic violence (DV) -induced homelessness. Moreover, the information provided does not address the impact or effectiveness of any initiatives, leaving the Committee without assurance that the Government is ensuring women affected by DV – and their children – receive appropriate, ongoing accommodation and integrated support. </w:t>
            </w:r>
          </w:p>
          <w:p w14:paraId="56EFF114" w14:textId="77777777" w:rsidR="00A770F2" w:rsidRPr="00CD3919" w:rsidRDefault="00A770F2" w:rsidP="000E631B">
            <w:pPr>
              <w:tabs>
                <w:tab w:val="left" w:pos="3110"/>
              </w:tabs>
              <w:spacing w:line="276" w:lineRule="auto"/>
              <w:rPr>
                <w:rFonts w:ascii="Calibri" w:hAnsi="Calibri" w:cs="Calibri"/>
                <w:b/>
                <w:bCs/>
                <w:sz w:val="22"/>
                <w:szCs w:val="22"/>
              </w:rPr>
            </w:pPr>
          </w:p>
        </w:tc>
      </w:tr>
    </w:tbl>
    <w:p w14:paraId="700DC174" w14:textId="77777777" w:rsidR="00FF42F7" w:rsidRDefault="00FF42F7" w:rsidP="000E4056">
      <w:pPr>
        <w:spacing w:line="276" w:lineRule="auto"/>
        <w:rPr>
          <w:rFonts w:ascii="Calibri" w:hAnsi="Calibri" w:cs="Calibri"/>
        </w:rPr>
      </w:pPr>
    </w:p>
    <w:tbl>
      <w:tblPr>
        <w:tblStyle w:val="TableGridLight"/>
        <w:tblW w:w="9351" w:type="dxa"/>
        <w:tblLook w:val="04A0" w:firstRow="1" w:lastRow="0" w:firstColumn="1" w:lastColumn="0" w:noHBand="0" w:noVBand="1"/>
      </w:tblPr>
      <w:tblGrid>
        <w:gridCol w:w="2080"/>
        <w:gridCol w:w="7271"/>
      </w:tblGrid>
      <w:tr w:rsidR="00A770F2" w:rsidRPr="0087746B" w14:paraId="2712C88E" w14:textId="77777777" w:rsidTr="000E631B">
        <w:tc>
          <w:tcPr>
            <w:tcW w:w="2080" w:type="dxa"/>
          </w:tcPr>
          <w:p w14:paraId="79A87348" w14:textId="77777777" w:rsidR="00A770F2" w:rsidRPr="00CD3919" w:rsidRDefault="00A770F2" w:rsidP="000E631B">
            <w:pPr>
              <w:spacing w:line="276" w:lineRule="auto"/>
              <w:rPr>
                <w:rFonts w:ascii="Calibri" w:hAnsi="Calibri" w:cs="Calibri"/>
                <w:b/>
                <w:bCs/>
                <w:sz w:val="22"/>
                <w:szCs w:val="22"/>
              </w:rPr>
            </w:pPr>
            <w:r w:rsidRPr="00CD3919">
              <w:rPr>
                <w:rFonts w:ascii="Calibri" w:hAnsi="Calibri" w:cs="Calibri"/>
                <w:b/>
                <w:bCs/>
                <w:sz w:val="22"/>
                <w:szCs w:val="22"/>
              </w:rPr>
              <w:lastRenderedPageBreak/>
              <w:t>Summary recommendation by CEDAW Committee</w:t>
            </w:r>
          </w:p>
        </w:tc>
        <w:tc>
          <w:tcPr>
            <w:tcW w:w="7271" w:type="dxa"/>
          </w:tcPr>
          <w:p w14:paraId="4E5B7E8D" w14:textId="77777777" w:rsidR="00A770F2" w:rsidRPr="00CD3919" w:rsidRDefault="00A770F2" w:rsidP="000E631B">
            <w:pPr>
              <w:spacing w:line="276" w:lineRule="auto"/>
              <w:rPr>
                <w:rFonts w:ascii="Calibri" w:hAnsi="Calibri" w:cs="Calibri"/>
                <w:b/>
                <w:bCs/>
                <w:sz w:val="22"/>
                <w:szCs w:val="22"/>
              </w:rPr>
            </w:pPr>
            <w:r w:rsidRPr="00CD3919">
              <w:rPr>
                <w:rFonts w:ascii="Calibri" w:hAnsi="Calibri" w:cs="Calibri"/>
                <w:b/>
                <w:bCs/>
                <w:sz w:val="22"/>
                <w:szCs w:val="22"/>
              </w:rPr>
              <w:t>State action</w:t>
            </w:r>
          </w:p>
        </w:tc>
      </w:tr>
      <w:tr w:rsidR="00A770F2" w:rsidRPr="0029304F" w14:paraId="6A5ED530" w14:textId="77777777" w:rsidTr="000E631B">
        <w:tc>
          <w:tcPr>
            <w:tcW w:w="2080" w:type="dxa"/>
          </w:tcPr>
          <w:p w14:paraId="16A4C78E" w14:textId="77777777" w:rsidR="00A770F2" w:rsidRPr="00CD3919" w:rsidRDefault="00A770F2" w:rsidP="000E631B">
            <w:pPr>
              <w:spacing w:line="276" w:lineRule="auto"/>
              <w:rPr>
                <w:rFonts w:ascii="Calibri" w:hAnsi="Calibri" w:cs="Calibri"/>
                <w:sz w:val="22"/>
                <w:szCs w:val="22"/>
              </w:rPr>
            </w:pPr>
            <w:r w:rsidRPr="00CD3919">
              <w:rPr>
                <w:rFonts w:ascii="Calibri" w:hAnsi="Calibri" w:cs="Calibri"/>
                <w:sz w:val="22"/>
                <w:szCs w:val="22"/>
              </w:rPr>
              <w:t>Widen the definition of rape in [India's] Penal Code and remove the exception for marital rape. Consult widely with women's groups in the process of reform. (India, 2007)</w:t>
            </w:r>
          </w:p>
        </w:tc>
        <w:tc>
          <w:tcPr>
            <w:tcW w:w="7271" w:type="dxa"/>
          </w:tcPr>
          <w:p w14:paraId="4A884F81" w14:textId="77777777" w:rsidR="00A770F2" w:rsidRPr="00CD3919" w:rsidRDefault="00A770F2" w:rsidP="000E631B">
            <w:pPr>
              <w:spacing w:line="276" w:lineRule="auto"/>
              <w:rPr>
                <w:rFonts w:ascii="Calibri" w:hAnsi="Calibri" w:cs="Calibri"/>
                <w:sz w:val="22"/>
                <w:szCs w:val="22"/>
              </w:rPr>
            </w:pPr>
            <w:r w:rsidRPr="00CD3919">
              <w:rPr>
                <w:rFonts w:ascii="Calibri" w:hAnsi="Calibri" w:cs="Calibri"/>
                <w:sz w:val="22"/>
                <w:szCs w:val="22"/>
              </w:rPr>
              <w:t>No state action taken.</w:t>
            </w:r>
          </w:p>
        </w:tc>
      </w:tr>
      <w:tr w:rsidR="00A770F2" w14:paraId="60529376" w14:textId="77777777" w:rsidTr="000E631B">
        <w:trPr>
          <w:trHeight w:val="533"/>
        </w:trPr>
        <w:tc>
          <w:tcPr>
            <w:tcW w:w="9351" w:type="dxa"/>
            <w:gridSpan w:val="2"/>
          </w:tcPr>
          <w:p w14:paraId="53257DA9" w14:textId="77777777" w:rsidR="00A770F2" w:rsidRPr="00CD3919" w:rsidRDefault="00A770F2" w:rsidP="000E631B">
            <w:pPr>
              <w:tabs>
                <w:tab w:val="left" w:pos="3110"/>
              </w:tabs>
              <w:spacing w:line="276" w:lineRule="auto"/>
              <w:rPr>
                <w:rFonts w:ascii="Calibri" w:hAnsi="Calibri" w:cs="Calibri"/>
                <w:sz w:val="22"/>
                <w:szCs w:val="22"/>
              </w:rPr>
            </w:pPr>
            <w:r w:rsidRPr="00CD3919">
              <w:rPr>
                <w:rFonts w:ascii="Calibri" w:hAnsi="Calibri" w:cs="Calibri"/>
                <w:b/>
                <w:bCs/>
                <w:sz w:val="22"/>
                <w:szCs w:val="22"/>
              </w:rPr>
              <w:t>Implementation status</w:t>
            </w:r>
            <w:r w:rsidRPr="00CD3919">
              <w:rPr>
                <w:rFonts w:ascii="Calibri" w:hAnsi="Calibri" w:cs="Calibri"/>
                <w:sz w:val="22"/>
                <w:szCs w:val="22"/>
              </w:rPr>
              <w:t>: Unacknowledged</w:t>
            </w:r>
            <w:r w:rsidRPr="00CD3919">
              <w:rPr>
                <w:rFonts w:ascii="Calibri" w:hAnsi="Calibri" w:cs="Calibri"/>
                <w:sz w:val="22"/>
                <w:szCs w:val="22"/>
              </w:rPr>
              <w:tab/>
            </w:r>
          </w:p>
        </w:tc>
      </w:tr>
      <w:tr w:rsidR="00A770F2" w:rsidRPr="0087746B" w14:paraId="66957345" w14:textId="77777777" w:rsidTr="000E631B">
        <w:tc>
          <w:tcPr>
            <w:tcW w:w="9351" w:type="dxa"/>
            <w:gridSpan w:val="2"/>
          </w:tcPr>
          <w:p w14:paraId="5AEFF241" w14:textId="77777777" w:rsidR="00A770F2" w:rsidRPr="00CD3919" w:rsidRDefault="00A770F2" w:rsidP="000E631B">
            <w:pPr>
              <w:tabs>
                <w:tab w:val="left" w:pos="3110"/>
              </w:tabs>
              <w:spacing w:line="276" w:lineRule="auto"/>
              <w:rPr>
                <w:rFonts w:ascii="Calibri" w:hAnsi="Calibri" w:cs="Calibri"/>
                <w:b/>
                <w:bCs/>
                <w:sz w:val="22"/>
                <w:szCs w:val="22"/>
              </w:rPr>
            </w:pPr>
            <w:r w:rsidRPr="00CD3919">
              <w:rPr>
                <w:rFonts w:ascii="Calibri" w:hAnsi="Calibri" w:cs="Calibri"/>
                <w:b/>
                <w:bCs/>
                <w:sz w:val="22"/>
                <w:szCs w:val="22"/>
              </w:rPr>
              <w:t xml:space="preserve">Explanatory notes: </w:t>
            </w:r>
            <w:r w:rsidRPr="00CD3919">
              <w:rPr>
                <w:rFonts w:ascii="Calibri" w:hAnsi="Calibri" w:cs="Calibri"/>
                <w:sz w:val="22"/>
                <w:szCs w:val="22"/>
              </w:rPr>
              <w:t>There is no reference to the intervention requested by the Committee in the State party report.</w:t>
            </w:r>
          </w:p>
          <w:p w14:paraId="422D8007" w14:textId="77777777" w:rsidR="00A770F2" w:rsidRPr="00CD3919" w:rsidRDefault="00A770F2" w:rsidP="000E631B">
            <w:pPr>
              <w:tabs>
                <w:tab w:val="left" w:pos="3110"/>
              </w:tabs>
              <w:spacing w:line="276" w:lineRule="auto"/>
              <w:rPr>
                <w:rFonts w:ascii="Calibri" w:hAnsi="Calibri" w:cs="Calibri"/>
                <w:b/>
                <w:bCs/>
                <w:sz w:val="22"/>
                <w:szCs w:val="22"/>
              </w:rPr>
            </w:pPr>
          </w:p>
        </w:tc>
      </w:tr>
    </w:tbl>
    <w:p w14:paraId="32AA38A9" w14:textId="77777777" w:rsidR="00A770F2" w:rsidRDefault="00A770F2" w:rsidP="000E4056">
      <w:pPr>
        <w:spacing w:line="276" w:lineRule="auto"/>
        <w:rPr>
          <w:rFonts w:ascii="Calibri" w:hAnsi="Calibri" w:cs="Calibri"/>
        </w:rPr>
      </w:pPr>
    </w:p>
    <w:tbl>
      <w:tblPr>
        <w:tblStyle w:val="TableGridLight"/>
        <w:tblW w:w="9351" w:type="dxa"/>
        <w:tblLook w:val="04A0" w:firstRow="1" w:lastRow="0" w:firstColumn="1" w:lastColumn="0" w:noHBand="0" w:noVBand="1"/>
      </w:tblPr>
      <w:tblGrid>
        <w:gridCol w:w="2080"/>
        <w:gridCol w:w="7271"/>
      </w:tblGrid>
      <w:tr w:rsidR="00A770F2" w14:paraId="3C64E8C1" w14:textId="77777777" w:rsidTr="000E631B">
        <w:tc>
          <w:tcPr>
            <w:tcW w:w="2080" w:type="dxa"/>
          </w:tcPr>
          <w:p w14:paraId="74C951E4" w14:textId="77777777" w:rsidR="00A770F2" w:rsidRPr="00CD3919" w:rsidRDefault="00A770F2" w:rsidP="000E631B">
            <w:pPr>
              <w:spacing w:line="276" w:lineRule="auto"/>
              <w:rPr>
                <w:rFonts w:ascii="Calibri" w:hAnsi="Calibri" w:cs="Calibri"/>
                <w:b/>
                <w:bCs/>
                <w:sz w:val="22"/>
                <w:szCs w:val="22"/>
              </w:rPr>
            </w:pPr>
            <w:r w:rsidRPr="00CD3919">
              <w:rPr>
                <w:rFonts w:ascii="Calibri" w:hAnsi="Calibri" w:cs="Calibri"/>
                <w:b/>
                <w:bCs/>
                <w:sz w:val="22"/>
                <w:szCs w:val="22"/>
              </w:rPr>
              <w:t>Summary recommendation by CEDAW Committee</w:t>
            </w:r>
          </w:p>
        </w:tc>
        <w:tc>
          <w:tcPr>
            <w:tcW w:w="7271" w:type="dxa"/>
          </w:tcPr>
          <w:p w14:paraId="6A57910F" w14:textId="77777777" w:rsidR="00A770F2" w:rsidRPr="00CD3919" w:rsidRDefault="00A770F2" w:rsidP="000E631B">
            <w:pPr>
              <w:spacing w:line="276" w:lineRule="auto"/>
              <w:rPr>
                <w:rFonts w:ascii="Calibri" w:hAnsi="Calibri" w:cs="Calibri"/>
                <w:b/>
                <w:bCs/>
                <w:sz w:val="22"/>
                <w:szCs w:val="22"/>
              </w:rPr>
            </w:pPr>
            <w:r w:rsidRPr="00CD3919">
              <w:rPr>
                <w:rFonts w:ascii="Calibri" w:hAnsi="Calibri" w:cs="Calibri"/>
                <w:b/>
                <w:bCs/>
                <w:sz w:val="22"/>
                <w:szCs w:val="22"/>
              </w:rPr>
              <w:t>State action</w:t>
            </w:r>
          </w:p>
        </w:tc>
      </w:tr>
      <w:tr w:rsidR="00A770F2" w14:paraId="132D0852" w14:textId="77777777" w:rsidTr="000E631B">
        <w:tc>
          <w:tcPr>
            <w:tcW w:w="2080" w:type="dxa"/>
          </w:tcPr>
          <w:p w14:paraId="06421B12" w14:textId="77777777" w:rsidR="00A770F2" w:rsidRPr="00CD3919" w:rsidRDefault="00A770F2" w:rsidP="000E631B">
            <w:pPr>
              <w:spacing w:line="276" w:lineRule="auto"/>
              <w:rPr>
                <w:rFonts w:ascii="Calibri" w:hAnsi="Calibri" w:cs="Calibri"/>
                <w:sz w:val="22"/>
                <w:szCs w:val="22"/>
              </w:rPr>
            </w:pPr>
            <w:r w:rsidRPr="00CD3919">
              <w:rPr>
                <w:rFonts w:ascii="Calibri" w:hAnsi="Calibri" w:cs="Calibri"/>
                <w:sz w:val="22"/>
                <w:szCs w:val="22"/>
              </w:rPr>
              <w:t>Establish support services to meet the health and psychosocial needs of victims of female genital mutilation. (Kenya, 2011)</w:t>
            </w:r>
          </w:p>
        </w:tc>
        <w:tc>
          <w:tcPr>
            <w:tcW w:w="7271" w:type="dxa"/>
          </w:tcPr>
          <w:p w14:paraId="311524AF" w14:textId="77777777" w:rsidR="00A770F2" w:rsidRPr="00CD3919" w:rsidRDefault="00A770F2" w:rsidP="000E631B">
            <w:pPr>
              <w:spacing w:line="276" w:lineRule="auto"/>
              <w:rPr>
                <w:rFonts w:ascii="Calibri" w:hAnsi="Calibri" w:cs="Calibri"/>
                <w:sz w:val="22"/>
                <w:szCs w:val="22"/>
              </w:rPr>
            </w:pPr>
            <w:r w:rsidRPr="00CD3919">
              <w:rPr>
                <w:rFonts w:ascii="Calibri" w:hAnsi="Calibri" w:cs="Calibri"/>
                <w:sz w:val="22"/>
                <w:szCs w:val="22"/>
              </w:rPr>
              <w:t xml:space="preserve">"A National Domestic </w:t>
            </w:r>
            <w:proofErr w:type="gramStart"/>
            <w:r w:rsidRPr="00CD3919">
              <w:rPr>
                <w:rFonts w:ascii="Calibri" w:hAnsi="Calibri" w:cs="Calibri"/>
                <w:sz w:val="22"/>
                <w:szCs w:val="22"/>
              </w:rPr>
              <w:t>Toll Free</w:t>
            </w:r>
            <w:proofErr w:type="gramEnd"/>
            <w:r w:rsidRPr="00CD3919">
              <w:rPr>
                <w:rFonts w:ascii="Calibri" w:hAnsi="Calibri" w:cs="Calibri"/>
                <w:sz w:val="22"/>
                <w:szCs w:val="22"/>
              </w:rPr>
              <w:t xml:space="preserve"> Short Code was allocated to Health-care Assistance Kenya by Communication Authority of Kenya and launched on 21st February 2013. The Toll-free helpline 1195 enhances support for survivors of rape, defilement, FGM and physical assault".</w:t>
            </w:r>
          </w:p>
        </w:tc>
      </w:tr>
      <w:tr w:rsidR="00A770F2" w14:paraId="70521879" w14:textId="77777777" w:rsidTr="000E631B">
        <w:trPr>
          <w:trHeight w:val="533"/>
        </w:trPr>
        <w:tc>
          <w:tcPr>
            <w:tcW w:w="9351" w:type="dxa"/>
            <w:gridSpan w:val="2"/>
          </w:tcPr>
          <w:p w14:paraId="41A4F4DA" w14:textId="77777777" w:rsidR="00A770F2" w:rsidRPr="00CD3919" w:rsidRDefault="00A770F2" w:rsidP="000E631B">
            <w:pPr>
              <w:tabs>
                <w:tab w:val="left" w:pos="3110"/>
              </w:tabs>
              <w:spacing w:line="276" w:lineRule="auto"/>
              <w:rPr>
                <w:rFonts w:ascii="Calibri" w:hAnsi="Calibri" w:cs="Calibri"/>
                <w:sz w:val="22"/>
                <w:szCs w:val="22"/>
              </w:rPr>
            </w:pPr>
            <w:r w:rsidRPr="00CD3919">
              <w:rPr>
                <w:rFonts w:ascii="Calibri" w:hAnsi="Calibri" w:cs="Calibri"/>
                <w:b/>
                <w:bCs/>
                <w:sz w:val="22"/>
                <w:szCs w:val="22"/>
              </w:rPr>
              <w:t>Implementation status</w:t>
            </w:r>
            <w:r w:rsidRPr="00CD3919">
              <w:rPr>
                <w:rFonts w:ascii="Calibri" w:hAnsi="Calibri" w:cs="Calibri"/>
                <w:sz w:val="22"/>
                <w:szCs w:val="22"/>
              </w:rPr>
              <w:t>: Partial</w:t>
            </w:r>
            <w:r w:rsidRPr="00CD3919">
              <w:rPr>
                <w:rFonts w:ascii="Calibri" w:hAnsi="Calibri" w:cs="Calibri"/>
                <w:sz w:val="22"/>
                <w:szCs w:val="22"/>
              </w:rPr>
              <w:tab/>
            </w:r>
          </w:p>
        </w:tc>
      </w:tr>
      <w:tr w:rsidR="00A770F2" w14:paraId="4690002E" w14:textId="77777777" w:rsidTr="000E631B">
        <w:tc>
          <w:tcPr>
            <w:tcW w:w="9351" w:type="dxa"/>
            <w:gridSpan w:val="2"/>
          </w:tcPr>
          <w:p w14:paraId="1881CC86" w14:textId="77777777" w:rsidR="00A770F2" w:rsidRPr="00CD3919" w:rsidRDefault="00A770F2" w:rsidP="000E631B">
            <w:pPr>
              <w:tabs>
                <w:tab w:val="left" w:pos="3110"/>
              </w:tabs>
              <w:spacing w:line="276" w:lineRule="auto"/>
              <w:rPr>
                <w:rFonts w:ascii="Calibri" w:hAnsi="Calibri" w:cs="Calibri"/>
                <w:b/>
                <w:bCs/>
                <w:sz w:val="22"/>
                <w:szCs w:val="22"/>
              </w:rPr>
            </w:pPr>
            <w:r w:rsidRPr="00CD3919">
              <w:rPr>
                <w:rFonts w:ascii="Calibri" w:hAnsi="Calibri" w:cs="Calibri"/>
                <w:b/>
                <w:bCs/>
                <w:sz w:val="22"/>
                <w:szCs w:val="22"/>
              </w:rPr>
              <w:t xml:space="preserve">Explanatory notes: </w:t>
            </w:r>
            <w:r w:rsidRPr="00CD3919">
              <w:rPr>
                <w:rFonts w:ascii="Calibri" w:hAnsi="Calibri" w:cs="Calibri"/>
                <w:sz w:val="22"/>
                <w:szCs w:val="22"/>
              </w:rPr>
              <w:t>While the Government's introduction of the toll-free helpline aligns with the committee's imprecise recommendation to 'establish support services', there is no indication in the State's response as to how this helpline "meets health and psychosocial needs". Additionally, it is a generalised helpline - not one tailored to the needs of victim-survivors of FGM. While the Committee's recommendation was imprecise, "support services" connotates a broader, more direct provision of care that potentially includes the health care workforce.</w:t>
            </w:r>
          </w:p>
        </w:tc>
      </w:tr>
    </w:tbl>
    <w:p w14:paraId="76EA5C0D" w14:textId="77777777" w:rsidR="00A770F2" w:rsidRDefault="00A770F2" w:rsidP="000E4056">
      <w:pPr>
        <w:spacing w:line="276" w:lineRule="auto"/>
        <w:rPr>
          <w:rFonts w:ascii="Calibri" w:hAnsi="Calibri" w:cs="Calibri"/>
        </w:rPr>
      </w:pPr>
    </w:p>
    <w:p w14:paraId="2D93EDAA" w14:textId="2B478674" w:rsidR="00BC7BF4" w:rsidRDefault="00C565CD" w:rsidP="000E4056">
      <w:pPr>
        <w:spacing w:line="276" w:lineRule="auto"/>
        <w:rPr>
          <w:rFonts w:ascii="Calibri" w:hAnsi="Calibri" w:cs="Calibri"/>
        </w:rPr>
      </w:pPr>
      <w:r>
        <w:rPr>
          <w:rFonts w:ascii="Calibri" w:hAnsi="Calibri" w:cs="Calibri"/>
        </w:rPr>
        <w:t>Findings</w:t>
      </w:r>
      <w:r w:rsidR="00102685">
        <w:rPr>
          <w:rFonts w:ascii="Calibri" w:hAnsi="Calibri" w:cs="Calibri"/>
        </w:rPr>
        <w:t xml:space="preserve"> of the analyses</w:t>
      </w:r>
      <w:r>
        <w:rPr>
          <w:rFonts w:ascii="Calibri" w:hAnsi="Calibri" w:cs="Calibri"/>
        </w:rPr>
        <w:t xml:space="preserve"> </w:t>
      </w:r>
      <w:r w:rsidR="0001536F">
        <w:rPr>
          <w:rFonts w:ascii="Calibri" w:hAnsi="Calibri" w:cs="Calibri"/>
        </w:rPr>
        <w:t>will be</w:t>
      </w:r>
      <w:r>
        <w:rPr>
          <w:rFonts w:ascii="Calibri" w:hAnsi="Calibri" w:cs="Calibri"/>
        </w:rPr>
        <w:t xml:space="preserve"> </w:t>
      </w:r>
      <w:r w:rsidR="000A0A01">
        <w:rPr>
          <w:rFonts w:ascii="Calibri" w:hAnsi="Calibri" w:cs="Calibri"/>
        </w:rPr>
        <w:t>presented</w:t>
      </w:r>
      <w:r>
        <w:rPr>
          <w:rFonts w:ascii="Calibri" w:hAnsi="Calibri" w:cs="Calibri"/>
        </w:rPr>
        <w:t xml:space="preserve"> </w:t>
      </w:r>
      <w:r w:rsidR="008221B5">
        <w:rPr>
          <w:rFonts w:ascii="Calibri" w:hAnsi="Calibri" w:cs="Calibri"/>
        </w:rPr>
        <w:t xml:space="preserve">on the </w:t>
      </w:r>
      <w:r w:rsidR="00062AFD">
        <w:rPr>
          <w:rFonts w:ascii="Calibri" w:hAnsi="Calibri" w:cs="Calibri"/>
        </w:rPr>
        <w:t>d</w:t>
      </w:r>
      <w:r w:rsidR="008221B5">
        <w:rPr>
          <w:rFonts w:ascii="Calibri" w:hAnsi="Calibri" w:cs="Calibri"/>
        </w:rPr>
        <w:t xml:space="preserve">ashboard </w:t>
      </w:r>
      <w:r>
        <w:rPr>
          <w:rFonts w:ascii="Calibri" w:hAnsi="Calibri" w:cs="Calibri"/>
        </w:rPr>
        <w:t>through data visualisations</w:t>
      </w:r>
      <w:r w:rsidR="000A0A01">
        <w:rPr>
          <w:rFonts w:ascii="Calibri" w:hAnsi="Calibri" w:cs="Calibri"/>
        </w:rPr>
        <w:t xml:space="preserve"> that </w:t>
      </w:r>
      <w:r>
        <w:rPr>
          <w:rFonts w:ascii="Calibri" w:hAnsi="Calibri" w:cs="Calibri"/>
        </w:rPr>
        <w:t>enhanc</w:t>
      </w:r>
      <w:r w:rsidR="000A0A01">
        <w:rPr>
          <w:rFonts w:ascii="Calibri" w:hAnsi="Calibri" w:cs="Calibri"/>
        </w:rPr>
        <w:t>e</w:t>
      </w:r>
      <w:r>
        <w:rPr>
          <w:rFonts w:ascii="Calibri" w:hAnsi="Calibri" w:cs="Calibri"/>
        </w:rPr>
        <w:t xml:space="preserve"> accessibility for advocates, researchers, and decision-makers</w:t>
      </w:r>
      <w:r w:rsidR="000A0A01">
        <w:rPr>
          <w:rFonts w:ascii="Calibri" w:hAnsi="Calibri" w:cs="Calibri"/>
        </w:rPr>
        <w:t>,</w:t>
      </w:r>
      <w:r>
        <w:rPr>
          <w:rFonts w:ascii="Calibri" w:hAnsi="Calibri" w:cs="Calibri"/>
        </w:rPr>
        <w:t xml:space="preserve"> enabling them to </w:t>
      </w:r>
      <w:r w:rsidR="000A0A01">
        <w:rPr>
          <w:rFonts w:ascii="Calibri" w:hAnsi="Calibri" w:cs="Calibri"/>
        </w:rPr>
        <w:t>easily identify</w:t>
      </w:r>
      <w:r>
        <w:rPr>
          <w:rFonts w:ascii="Calibri" w:hAnsi="Calibri" w:cs="Calibri"/>
        </w:rPr>
        <w:t xml:space="preserve"> patterns and trends. </w:t>
      </w:r>
      <w:r w:rsidR="000A0A01">
        <w:rPr>
          <w:rFonts w:ascii="Calibri" w:hAnsi="Calibri" w:cs="Calibri"/>
        </w:rPr>
        <w:t>These</w:t>
      </w:r>
      <w:r w:rsidR="00BC7BF4">
        <w:rPr>
          <w:rFonts w:ascii="Calibri" w:hAnsi="Calibri" w:cs="Calibri"/>
        </w:rPr>
        <w:t xml:space="preserve"> visualisations also aim to </w:t>
      </w:r>
      <w:r w:rsidR="000A0A01">
        <w:rPr>
          <w:rFonts w:ascii="Calibri" w:hAnsi="Calibri" w:cs="Calibri"/>
        </w:rPr>
        <w:t>foster</w:t>
      </w:r>
      <w:r w:rsidR="00BC7BF4">
        <w:rPr>
          <w:rFonts w:ascii="Calibri" w:hAnsi="Calibri" w:cs="Calibri"/>
        </w:rPr>
        <w:t xml:space="preserve"> collaborat</w:t>
      </w:r>
      <w:r w:rsidR="000A0A01">
        <w:rPr>
          <w:rFonts w:ascii="Calibri" w:hAnsi="Calibri" w:cs="Calibri"/>
        </w:rPr>
        <w:t>ion</w:t>
      </w:r>
      <w:r w:rsidR="00BC7BF4">
        <w:rPr>
          <w:rFonts w:ascii="Calibri" w:hAnsi="Calibri" w:cs="Calibri"/>
        </w:rPr>
        <w:t xml:space="preserve"> </w:t>
      </w:r>
      <w:r w:rsidR="000A0A01">
        <w:rPr>
          <w:rFonts w:ascii="Calibri" w:hAnsi="Calibri" w:cs="Calibri"/>
        </w:rPr>
        <w:t>between researchers and</w:t>
      </w:r>
      <w:r w:rsidR="00BC7BF4">
        <w:rPr>
          <w:rFonts w:ascii="Calibri" w:hAnsi="Calibri" w:cs="Calibri"/>
        </w:rPr>
        <w:t xml:space="preserve"> </w:t>
      </w:r>
      <w:r w:rsidR="00834AB3">
        <w:rPr>
          <w:rFonts w:ascii="Calibri" w:hAnsi="Calibri" w:cs="Calibri"/>
        </w:rPr>
        <w:t>CSOs</w:t>
      </w:r>
      <w:r w:rsidR="000A0A01">
        <w:rPr>
          <w:rFonts w:ascii="Calibri" w:hAnsi="Calibri" w:cs="Calibri"/>
        </w:rPr>
        <w:t>, facilitating the generation of</w:t>
      </w:r>
      <w:r w:rsidR="00BC7BF4">
        <w:rPr>
          <w:rFonts w:ascii="Calibri" w:hAnsi="Calibri" w:cs="Calibri"/>
        </w:rPr>
        <w:t xml:space="preserve"> empirical research findings</w:t>
      </w:r>
      <w:r w:rsidR="00BC7BF4" w:rsidRPr="00EB736F">
        <w:rPr>
          <w:rFonts w:ascii="Calibri" w:hAnsi="Calibri" w:cs="Calibri"/>
        </w:rPr>
        <w:t xml:space="preserve"> </w:t>
      </w:r>
      <w:r w:rsidR="00BC7BF4">
        <w:rPr>
          <w:rFonts w:ascii="Calibri" w:hAnsi="Calibri" w:cs="Calibri"/>
        </w:rPr>
        <w:t>t</w:t>
      </w:r>
      <w:r w:rsidR="00BC7BF4" w:rsidRPr="00EB736F">
        <w:rPr>
          <w:rFonts w:ascii="Calibri" w:hAnsi="Calibri" w:cs="Calibri"/>
        </w:rPr>
        <w:t xml:space="preserve">hat </w:t>
      </w:r>
      <w:r w:rsidR="00BC7BF4" w:rsidRPr="00EB736F">
        <w:rPr>
          <w:rFonts w:ascii="Calibri" w:hAnsi="Calibri" w:cs="Calibri"/>
        </w:rPr>
        <w:lastRenderedPageBreak/>
        <w:t>support advocacy</w:t>
      </w:r>
      <w:r w:rsidR="000A0A01">
        <w:rPr>
          <w:rFonts w:ascii="Calibri" w:hAnsi="Calibri" w:cs="Calibri"/>
        </w:rPr>
        <w:t xml:space="preserve"> efforts</w:t>
      </w:r>
      <w:r w:rsidR="00834AB3">
        <w:rPr>
          <w:rFonts w:ascii="Calibri" w:hAnsi="Calibri" w:cs="Calibri"/>
        </w:rPr>
        <w:t>,</w:t>
      </w:r>
      <w:r w:rsidR="00BC7BF4" w:rsidRPr="00EB736F">
        <w:rPr>
          <w:rFonts w:ascii="Calibri" w:hAnsi="Calibri" w:cs="Calibri"/>
        </w:rPr>
        <w:t xml:space="preserve"> while </w:t>
      </w:r>
      <w:r w:rsidR="000A0A01">
        <w:rPr>
          <w:rFonts w:ascii="Calibri" w:hAnsi="Calibri" w:cs="Calibri"/>
        </w:rPr>
        <w:t xml:space="preserve">providing </w:t>
      </w:r>
      <w:r w:rsidR="00BC7BF4" w:rsidRPr="00EB736F">
        <w:rPr>
          <w:rFonts w:ascii="Calibri" w:hAnsi="Calibri" w:cs="Calibri"/>
        </w:rPr>
        <w:t>valuable</w:t>
      </w:r>
      <w:r w:rsidR="00BC7BF4">
        <w:rPr>
          <w:rFonts w:ascii="Calibri" w:hAnsi="Calibri" w:cs="Calibri"/>
        </w:rPr>
        <w:t xml:space="preserve"> </w:t>
      </w:r>
      <w:r w:rsidR="00BC7BF4" w:rsidRPr="00EB736F">
        <w:rPr>
          <w:rFonts w:ascii="Calibri" w:hAnsi="Calibri" w:cs="Calibri"/>
        </w:rPr>
        <w:t>real-world insights into implementation challenges</w:t>
      </w:r>
      <w:r w:rsidR="00BC7BF4">
        <w:rPr>
          <w:rFonts w:ascii="Calibri" w:hAnsi="Calibri" w:cs="Calibri"/>
        </w:rPr>
        <w:t xml:space="preserve">. </w:t>
      </w:r>
    </w:p>
    <w:p w14:paraId="006AF820" w14:textId="4B7D39BE" w:rsidR="002B6068" w:rsidRDefault="00E025A5" w:rsidP="000E4056">
      <w:pPr>
        <w:spacing w:line="276" w:lineRule="auto"/>
        <w:rPr>
          <w:rFonts w:ascii="Calibri" w:hAnsi="Calibri" w:cs="Calibri"/>
        </w:rPr>
      </w:pPr>
      <w:r>
        <w:rPr>
          <w:rFonts w:ascii="Calibri" w:hAnsi="Calibri" w:cs="Calibri"/>
        </w:rPr>
        <w:t xml:space="preserve">By mapping implementation across countries, the Index </w:t>
      </w:r>
      <w:r w:rsidR="00A06BB9">
        <w:rPr>
          <w:rFonts w:ascii="Calibri" w:hAnsi="Calibri" w:cs="Calibri"/>
        </w:rPr>
        <w:t xml:space="preserve">will </w:t>
      </w:r>
      <w:r>
        <w:rPr>
          <w:rFonts w:ascii="Calibri" w:hAnsi="Calibri" w:cs="Calibri"/>
        </w:rPr>
        <w:t xml:space="preserve">reveal common </w:t>
      </w:r>
      <w:r w:rsidR="006957DD">
        <w:rPr>
          <w:rFonts w:ascii="Calibri" w:hAnsi="Calibri" w:cs="Calibri"/>
        </w:rPr>
        <w:t xml:space="preserve">enablers and barriers – political, fiscal, cultural and otherwise </w:t>
      </w:r>
      <w:r w:rsidR="008221B5">
        <w:rPr>
          <w:rFonts w:ascii="Calibri" w:hAnsi="Calibri" w:cs="Calibri"/>
        </w:rPr>
        <w:t>–</w:t>
      </w:r>
      <w:r w:rsidR="006957DD">
        <w:rPr>
          <w:rFonts w:ascii="Calibri" w:hAnsi="Calibri" w:cs="Calibri"/>
        </w:rPr>
        <w:t xml:space="preserve"> </w:t>
      </w:r>
      <w:r w:rsidR="008221B5">
        <w:rPr>
          <w:rFonts w:ascii="Calibri" w:hAnsi="Calibri" w:cs="Calibri"/>
        </w:rPr>
        <w:t>impacting governments</w:t>
      </w:r>
      <w:r w:rsidR="00834AB3">
        <w:rPr>
          <w:rFonts w:ascii="Calibri" w:hAnsi="Calibri" w:cs="Calibri"/>
        </w:rPr>
        <w:t>’</w:t>
      </w:r>
      <w:r w:rsidR="008221B5">
        <w:rPr>
          <w:rFonts w:ascii="Calibri" w:hAnsi="Calibri" w:cs="Calibri"/>
        </w:rPr>
        <w:t xml:space="preserve"> abilities</w:t>
      </w:r>
      <w:r w:rsidR="000A0A01">
        <w:rPr>
          <w:rFonts w:ascii="Calibri" w:hAnsi="Calibri" w:cs="Calibri"/>
        </w:rPr>
        <w:t xml:space="preserve"> </w:t>
      </w:r>
      <w:r w:rsidR="008221B5">
        <w:rPr>
          <w:rFonts w:ascii="Calibri" w:hAnsi="Calibri" w:cs="Calibri"/>
        </w:rPr>
        <w:t xml:space="preserve">to </w:t>
      </w:r>
      <w:r w:rsidR="000A0A01">
        <w:rPr>
          <w:rFonts w:ascii="Calibri" w:hAnsi="Calibri" w:cs="Calibri"/>
        </w:rPr>
        <w:t>fulfill their</w:t>
      </w:r>
      <w:r>
        <w:rPr>
          <w:rFonts w:ascii="Calibri" w:hAnsi="Calibri" w:cs="Calibri"/>
        </w:rPr>
        <w:t xml:space="preserve"> CEDAW obligations. </w:t>
      </w:r>
      <w:r w:rsidR="002B6068">
        <w:rPr>
          <w:rFonts w:ascii="Calibri" w:hAnsi="Calibri" w:cs="Calibri"/>
        </w:rPr>
        <w:t xml:space="preserve">For </w:t>
      </w:r>
      <w:r w:rsidR="000A0A01">
        <w:rPr>
          <w:rFonts w:ascii="Calibri" w:hAnsi="Calibri" w:cs="Calibri"/>
        </w:rPr>
        <w:t>instance</w:t>
      </w:r>
      <w:r w:rsidR="002B6068">
        <w:rPr>
          <w:rFonts w:ascii="Calibri" w:hAnsi="Calibri" w:cs="Calibri"/>
        </w:rPr>
        <w:t xml:space="preserve">, </w:t>
      </w:r>
      <w:r w:rsidR="000A0A01">
        <w:rPr>
          <w:rFonts w:ascii="Calibri" w:hAnsi="Calibri" w:cs="Calibri"/>
        </w:rPr>
        <w:t>prior analyses</w:t>
      </w:r>
      <w:r w:rsidR="002B6068">
        <w:rPr>
          <w:rFonts w:ascii="Calibri" w:hAnsi="Calibri" w:cs="Calibri"/>
        </w:rPr>
        <w:t xml:space="preserve"> using pilot data </w:t>
      </w:r>
      <w:r w:rsidR="000A0A01">
        <w:rPr>
          <w:rFonts w:ascii="Calibri" w:hAnsi="Calibri" w:cs="Calibri"/>
        </w:rPr>
        <w:t xml:space="preserve">distinguished between instances where governments required additional time to introduce GBV legislation and those where they refused to implement it. </w:t>
      </w:r>
      <w:r w:rsidR="00834AB3">
        <w:rPr>
          <w:rFonts w:ascii="Calibri" w:hAnsi="Calibri" w:cs="Calibri"/>
        </w:rPr>
        <w:t>Those analyses showed that i</w:t>
      </w:r>
      <w:r w:rsidR="000A0A01">
        <w:rPr>
          <w:rFonts w:ascii="Calibri" w:hAnsi="Calibri" w:cs="Calibri"/>
        </w:rPr>
        <w:t xml:space="preserve">n Haiti, </w:t>
      </w:r>
      <w:r w:rsidR="002B6068">
        <w:rPr>
          <w:rFonts w:ascii="Calibri" w:hAnsi="Calibri" w:cs="Calibri"/>
        </w:rPr>
        <w:t>a framework Act criminalising marital rape had been drafted and was awaiting inclusion in the next legislative agenda</w:t>
      </w:r>
      <w:r w:rsidR="006359F0">
        <w:rPr>
          <w:rFonts w:ascii="Calibri" w:hAnsi="Calibri" w:cs="Calibri"/>
        </w:rPr>
        <w:t>, while similar legislation</w:t>
      </w:r>
      <w:r w:rsidR="00476A49">
        <w:rPr>
          <w:rFonts w:ascii="Calibri" w:hAnsi="Calibri" w:cs="Calibri"/>
        </w:rPr>
        <w:t xml:space="preserve"> had been presented to the House of Representatives</w:t>
      </w:r>
      <w:r w:rsidR="006359F0">
        <w:rPr>
          <w:rFonts w:ascii="Calibri" w:hAnsi="Calibri" w:cs="Calibri"/>
        </w:rPr>
        <w:t xml:space="preserve"> in Uruguay</w:t>
      </w:r>
      <w:r w:rsidR="00476A49">
        <w:rPr>
          <w:rFonts w:ascii="Calibri" w:hAnsi="Calibri" w:cs="Calibri"/>
        </w:rPr>
        <w:t>.</w:t>
      </w:r>
      <w:r w:rsidR="006359F0">
        <w:rPr>
          <w:rFonts w:ascii="Calibri" w:hAnsi="Calibri" w:cs="Calibri"/>
        </w:rPr>
        <w:t xml:space="preserve"> Conversely</w:t>
      </w:r>
      <w:r w:rsidR="00476A49">
        <w:rPr>
          <w:rFonts w:ascii="Calibri" w:hAnsi="Calibri" w:cs="Calibri"/>
        </w:rPr>
        <w:t xml:space="preserve">, </w:t>
      </w:r>
      <w:r w:rsidR="006359F0">
        <w:rPr>
          <w:rFonts w:ascii="Calibri" w:hAnsi="Calibri" w:cs="Calibri"/>
        </w:rPr>
        <w:t>the governments of t</w:t>
      </w:r>
      <w:r w:rsidR="00476A49">
        <w:rPr>
          <w:rFonts w:ascii="Calibri" w:hAnsi="Calibri" w:cs="Calibri"/>
        </w:rPr>
        <w:t>he Democratic Republic of Congo</w:t>
      </w:r>
      <w:r w:rsidR="006359F0">
        <w:rPr>
          <w:rFonts w:ascii="Calibri" w:hAnsi="Calibri" w:cs="Calibri"/>
        </w:rPr>
        <w:t xml:space="preserve">, </w:t>
      </w:r>
      <w:r w:rsidR="00476A49">
        <w:rPr>
          <w:rFonts w:ascii="Calibri" w:hAnsi="Calibri" w:cs="Calibri"/>
        </w:rPr>
        <w:t>Malaysia</w:t>
      </w:r>
      <w:r w:rsidR="006359F0">
        <w:rPr>
          <w:rFonts w:ascii="Calibri" w:hAnsi="Calibri" w:cs="Calibri"/>
        </w:rPr>
        <w:t xml:space="preserve"> and Sri Lanka</w:t>
      </w:r>
      <w:r w:rsidR="00476A49">
        <w:rPr>
          <w:rFonts w:ascii="Calibri" w:hAnsi="Calibri" w:cs="Calibri"/>
        </w:rPr>
        <w:t xml:space="preserve"> </w:t>
      </w:r>
      <w:r w:rsidR="006359F0">
        <w:rPr>
          <w:rFonts w:ascii="Calibri" w:hAnsi="Calibri" w:cs="Calibri"/>
        </w:rPr>
        <w:t>defended their existing</w:t>
      </w:r>
      <w:r w:rsidR="00476A49">
        <w:rPr>
          <w:rFonts w:ascii="Calibri" w:hAnsi="Calibri" w:cs="Calibri"/>
        </w:rPr>
        <w:t xml:space="preserve"> legislative framework</w:t>
      </w:r>
      <w:r w:rsidR="006359F0">
        <w:rPr>
          <w:rFonts w:ascii="Calibri" w:hAnsi="Calibri" w:cs="Calibri"/>
        </w:rPr>
        <w:t>s,</w:t>
      </w:r>
      <w:r w:rsidR="00476A49">
        <w:rPr>
          <w:rFonts w:ascii="Calibri" w:hAnsi="Calibri" w:cs="Calibri"/>
        </w:rPr>
        <w:t xml:space="preserve"> which </w:t>
      </w:r>
      <w:r w:rsidR="006359F0">
        <w:rPr>
          <w:rFonts w:ascii="Calibri" w:hAnsi="Calibri" w:cs="Calibri"/>
        </w:rPr>
        <w:t xml:space="preserve">lacked </w:t>
      </w:r>
      <w:r w:rsidR="00476A49">
        <w:rPr>
          <w:rFonts w:ascii="Calibri" w:hAnsi="Calibri" w:cs="Calibri"/>
        </w:rPr>
        <w:t xml:space="preserve">specific </w:t>
      </w:r>
      <w:r w:rsidR="006359F0">
        <w:rPr>
          <w:rFonts w:ascii="Calibri" w:hAnsi="Calibri" w:cs="Calibri"/>
        </w:rPr>
        <w:t>provisions</w:t>
      </w:r>
      <w:r w:rsidR="00476A49">
        <w:rPr>
          <w:rFonts w:ascii="Calibri" w:hAnsi="Calibri" w:cs="Calibri"/>
        </w:rPr>
        <w:t xml:space="preserve"> criminalising domestic violence and marital rape</w:t>
      </w:r>
      <w:r w:rsidR="006359F0">
        <w:rPr>
          <w:rFonts w:ascii="Calibri" w:hAnsi="Calibri" w:cs="Calibri"/>
        </w:rPr>
        <w:t>.</w:t>
      </w:r>
      <w:r w:rsidR="00EE0730">
        <w:rPr>
          <w:rStyle w:val="EndnoteReference"/>
          <w:rFonts w:ascii="Calibri" w:hAnsi="Calibri" w:cs="Calibri"/>
        </w:rPr>
        <w:endnoteReference w:id="21"/>
      </w:r>
    </w:p>
    <w:p w14:paraId="21CDF3E2" w14:textId="733D75B0" w:rsidR="00242469" w:rsidRDefault="00242469" w:rsidP="000E4056">
      <w:pPr>
        <w:spacing w:line="276" w:lineRule="auto"/>
        <w:rPr>
          <w:rFonts w:ascii="Calibri" w:hAnsi="Calibri" w:cs="Calibri"/>
        </w:rPr>
      </w:pPr>
      <w:r w:rsidRPr="00857B97">
        <w:rPr>
          <w:rFonts w:ascii="Calibri" w:hAnsi="Calibri" w:cs="Calibri"/>
        </w:rPr>
        <w:t xml:space="preserve">Where </w:t>
      </w:r>
      <w:r>
        <w:rPr>
          <w:rFonts w:ascii="Calibri" w:hAnsi="Calibri" w:cs="Calibri"/>
        </w:rPr>
        <w:t xml:space="preserve">available, civil society </w:t>
      </w:r>
      <w:r w:rsidR="006957DD">
        <w:rPr>
          <w:rFonts w:ascii="Calibri" w:hAnsi="Calibri" w:cs="Calibri"/>
        </w:rPr>
        <w:t xml:space="preserve">insights </w:t>
      </w:r>
      <w:r w:rsidR="00834AB3">
        <w:rPr>
          <w:rFonts w:ascii="Calibri" w:hAnsi="Calibri" w:cs="Calibri"/>
        </w:rPr>
        <w:t>into</w:t>
      </w:r>
      <w:r>
        <w:rPr>
          <w:rFonts w:ascii="Calibri" w:hAnsi="Calibri" w:cs="Calibri"/>
        </w:rPr>
        <w:t xml:space="preserve"> government actions </w:t>
      </w:r>
      <w:r w:rsidR="00A06BB9">
        <w:rPr>
          <w:rFonts w:ascii="Calibri" w:hAnsi="Calibri" w:cs="Calibri"/>
        </w:rPr>
        <w:t xml:space="preserve">will </w:t>
      </w:r>
      <w:r>
        <w:rPr>
          <w:rFonts w:ascii="Calibri" w:hAnsi="Calibri" w:cs="Calibri"/>
        </w:rPr>
        <w:t>a</w:t>
      </w:r>
      <w:r w:rsidR="006957DD">
        <w:rPr>
          <w:rFonts w:ascii="Calibri" w:hAnsi="Calibri" w:cs="Calibri"/>
        </w:rPr>
        <w:t xml:space="preserve">ccompany each </w:t>
      </w:r>
      <w:r w:rsidR="00A06BB9">
        <w:rPr>
          <w:rFonts w:ascii="Calibri" w:hAnsi="Calibri" w:cs="Calibri"/>
        </w:rPr>
        <w:t xml:space="preserve">of the Index’s published </w:t>
      </w:r>
      <w:r w:rsidR="006957DD">
        <w:rPr>
          <w:rFonts w:ascii="Calibri" w:hAnsi="Calibri" w:cs="Calibri"/>
        </w:rPr>
        <w:t>recommendation</w:t>
      </w:r>
      <w:r w:rsidR="00A06BB9">
        <w:rPr>
          <w:rFonts w:ascii="Calibri" w:hAnsi="Calibri" w:cs="Calibri"/>
        </w:rPr>
        <w:t>s</w:t>
      </w:r>
      <w:r w:rsidR="006957DD">
        <w:rPr>
          <w:rFonts w:ascii="Calibri" w:hAnsi="Calibri" w:cs="Calibri"/>
        </w:rPr>
        <w:t xml:space="preserve"> and action</w:t>
      </w:r>
      <w:r w:rsidR="00A06BB9">
        <w:rPr>
          <w:rFonts w:ascii="Calibri" w:hAnsi="Calibri" w:cs="Calibri"/>
        </w:rPr>
        <w:t>s</w:t>
      </w:r>
      <w:r w:rsidR="006957DD">
        <w:rPr>
          <w:rFonts w:ascii="Calibri" w:hAnsi="Calibri" w:cs="Calibri"/>
        </w:rPr>
        <w:t xml:space="preserve">, capturing nuances related to the quality, scale, resources, and reasons for implementation failures that may not be reflected in official government reporting. This dual perspective offers a more comprehensive view of the implementation process and highlights persistent barriers to effective action. </w:t>
      </w:r>
      <w:r>
        <w:rPr>
          <w:rFonts w:ascii="Calibri" w:hAnsi="Calibri" w:cs="Calibri"/>
        </w:rPr>
        <w:t xml:space="preserve"> </w:t>
      </w:r>
      <w:r w:rsidR="004A77D1">
        <w:rPr>
          <w:rFonts w:ascii="Calibri" w:hAnsi="Calibri" w:cs="Calibri"/>
        </w:rPr>
        <w:t>Table 2 below provides a comparison of government and civil society reporting to the CEDAW Committee.</w:t>
      </w:r>
    </w:p>
    <w:p w14:paraId="3A2F8C11" w14:textId="77777777" w:rsidR="000E4056" w:rsidRDefault="000E4056" w:rsidP="000E4056">
      <w:pPr>
        <w:spacing w:line="276" w:lineRule="auto"/>
        <w:rPr>
          <w:rFonts w:ascii="Calibri" w:hAnsi="Calibri" w:cs="Calibri"/>
        </w:rPr>
      </w:pPr>
    </w:p>
    <w:p w14:paraId="71BB8E6E" w14:textId="0DD4307B" w:rsidR="004C4B67" w:rsidRDefault="00917781" w:rsidP="000E4056">
      <w:pPr>
        <w:spacing w:line="276" w:lineRule="auto"/>
        <w:rPr>
          <w:rFonts w:ascii="Calibri" w:hAnsi="Calibri" w:cs="Calibri"/>
        </w:rPr>
      </w:pPr>
      <w:r>
        <w:rPr>
          <w:rFonts w:ascii="Calibri" w:hAnsi="Calibri" w:cs="Calibri"/>
          <w:b/>
          <w:bCs/>
        </w:rPr>
        <w:t>Table</w:t>
      </w:r>
      <w:r w:rsidR="0013576C" w:rsidRPr="004C4B67">
        <w:rPr>
          <w:rFonts w:ascii="Calibri" w:hAnsi="Calibri" w:cs="Calibri"/>
          <w:b/>
          <w:bCs/>
        </w:rPr>
        <w:t xml:space="preserve"> </w:t>
      </w:r>
      <w:r>
        <w:rPr>
          <w:rFonts w:ascii="Calibri" w:hAnsi="Calibri" w:cs="Calibri"/>
          <w:b/>
          <w:bCs/>
        </w:rPr>
        <w:t>2</w:t>
      </w:r>
      <w:r w:rsidR="0013576C" w:rsidRPr="004C4B67">
        <w:rPr>
          <w:rFonts w:ascii="Calibri" w:hAnsi="Calibri" w:cs="Calibri"/>
          <w:b/>
          <w:bCs/>
        </w:rPr>
        <w:t>:</w:t>
      </w:r>
      <w:r w:rsidR="0013576C">
        <w:rPr>
          <w:rFonts w:ascii="Calibri" w:hAnsi="Calibri" w:cs="Calibri"/>
        </w:rPr>
        <w:t xml:space="preserve"> </w:t>
      </w:r>
      <w:r w:rsidR="004C4B67">
        <w:rPr>
          <w:rFonts w:ascii="Calibri" w:hAnsi="Calibri" w:cs="Calibri"/>
        </w:rPr>
        <w:t>Comparison of government and civil society reporting</w:t>
      </w:r>
      <w:r w:rsidR="00822B5E">
        <w:rPr>
          <w:rFonts w:ascii="Calibri" w:hAnsi="Calibri" w:cs="Calibri"/>
        </w:rPr>
        <w:t xml:space="preserve"> to the CEDAW Committee</w:t>
      </w:r>
    </w:p>
    <w:tbl>
      <w:tblPr>
        <w:tblStyle w:val="TableGridLight"/>
        <w:tblW w:w="0" w:type="auto"/>
        <w:tblLook w:val="04A0" w:firstRow="1" w:lastRow="0" w:firstColumn="1" w:lastColumn="0" w:noHBand="0" w:noVBand="1"/>
      </w:tblPr>
      <w:tblGrid>
        <w:gridCol w:w="3005"/>
        <w:gridCol w:w="6011"/>
      </w:tblGrid>
      <w:tr w:rsidR="00CD3919" w14:paraId="6C893500" w14:textId="77777777" w:rsidTr="00CD3919">
        <w:tc>
          <w:tcPr>
            <w:tcW w:w="3005" w:type="dxa"/>
          </w:tcPr>
          <w:p w14:paraId="4258DF00" w14:textId="77777777" w:rsidR="00CD3919" w:rsidRPr="00CD3919" w:rsidRDefault="00CD3919" w:rsidP="00CD3919">
            <w:pPr>
              <w:spacing w:line="276" w:lineRule="auto"/>
              <w:rPr>
                <w:rFonts w:ascii="Calibri" w:hAnsi="Calibri" w:cs="Calibri"/>
                <w:b/>
                <w:bCs/>
                <w:sz w:val="22"/>
                <w:szCs w:val="22"/>
              </w:rPr>
            </w:pPr>
            <w:r w:rsidRPr="00CD3919">
              <w:rPr>
                <w:rFonts w:ascii="Calibri" w:hAnsi="Calibri" w:cs="Calibri"/>
                <w:b/>
                <w:bCs/>
                <w:sz w:val="22"/>
                <w:szCs w:val="22"/>
              </w:rPr>
              <w:t>Summary recommendation by CEDAW Committee</w:t>
            </w:r>
          </w:p>
        </w:tc>
        <w:tc>
          <w:tcPr>
            <w:tcW w:w="6011" w:type="dxa"/>
          </w:tcPr>
          <w:p w14:paraId="666FDD49" w14:textId="77777777" w:rsidR="00CD3919" w:rsidRPr="00CD3919" w:rsidRDefault="00CD3919" w:rsidP="00CD3919">
            <w:pPr>
              <w:spacing w:line="276" w:lineRule="auto"/>
              <w:rPr>
                <w:rFonts w:ascii="Calibri" w:hAnsi="Calibri" w:cs="Calibri"/>
                <w:b/>
                <w:bCs/>
                <w:sz w:val="22"/>
                <w:szCs w:val="22"/>
              </w:rPr>
            </w:pPr>
            <w:r w:rsidRPr="00CD3919">
              <w:rPr>
                <w:rFonts w:ascii="Calibri" w:hAnsi="Calibri" w:cs="Calibri"/>
                <w:b/>
                <w:bCs/>
                <w:sz w:val="22"/>
                <w:szCs w:val="22"/>
              </w:rPr>
              <w:t>State action</w:t>
            </w:r>
          </w:p>
        </w:tc>
      </w:tr>
      <w:tr w:rsidR="00CD3919" w14:paraId="05AA1A60" w14:textId="77777777" w:rsidTr="00CD3919">
        <w:tc>
          <w:tcPr>
            <w:tcW w:w="3005" w:type="dxa"/>
          </w:tcPr>
          <w:p w14:paraId="66C32806" w14:textId="77777777" w:rsidR="00CD3919" w:rsidRPr="00CD3919" w:rsidRDefault="00CD3919" w:rsidP="00CD3919">
            <w:pPr>
              <w:spacing w:line="276" w:lineRule="auto"/>
              <w:rPr>
                <w:rFonts w:ascii="Calibri" w:hAnsi="Calibri" w:cs="Calibri"/>
                <w:sz w:val="22"/>
                <w:szCs w:val="22"/>
              </w:rPr>
            </w:pPr>
            <w:r w:rsidRPr="00CD3919">
              <w:rPr>
                <w:rFonts w:ascii="Calibri" w:hAnsi="Calibri" w:cs="Calibri"/>
                <w:sz w:val="22"/>
                <w:szCs w:val="22"/>
              </w:rPr>
              <w:t>Adopt, implement, and adequately fund the National Action Plan to Reduce Violence against Women and Their Children, incorporating an independent monitoring mechanism. (Australia, 2010)</w:t>
            </w:r>
          </w:p>
        </w:tc>
        <w:tc>
          <w:tcPr>
            <w:tcW w:w="6011" w:type="dxa"/>
          </w:tcPr>
          <w:p w14:paraId="67E36517" w14:textId="77777777" w:rsidR="00CD3919" w:rsidRPr="00CD3919" w:rsidRDefault="00CD3919" w:rsidP="00CD3919">
            <w:pPr>
              <w:spacing w:line="276" w:lineRule="auto"/>
              <w:rPr>
                <w:rFonts w:ascii="Calibri" w:hAnsi="Calibri" w:cs="Calibri"/>
                <w:sz w:val="22"/>
                <w:szCs w:val="22"/>
              </w:rPr>
            </w:pPr>
            <w:r w:rsidRPr="00CD3919">
              <w:rPr>
                <w:rFonts w:ascii="Calibri" w:hAnsi="Calibri" w:cs="Calibri"/>
                <w:sz w:val="22"/>
                <w:szCs w:val="22"/>
              </w:rPr>
              <w:t xml:space="preserve">"All governments in Australia are currently implementing the National Plan to Reduce Violence against Women and their Children 2010-2022...These efforts complement a $100 million women’s safety package"  </w:t>
            </w:r>
          </w:p>
          <w:p w14:paraId="19AA0750" w14:textId="77777777" w:rsidR="00CD3919" w:rsidRPr="00CD3919" w:rsidRDefault="00CD3919" w:rsidP="00CD3919">
            <w:pPr>
              <w:spacing w:line="276" w:lineRule="auto"/>
              <w:rPr>
                <w:rFonts w:ascii="Calibri" w:hAnsi="Calibri" w:cs="Calibri"/>
                <w:sz w:val="22"/>
                <w:szCs w:val="22"/>
              </w:rPr>
            </w:pPr>
          </w:p>
          <w:p w14:paraId="2AE74761" w14:textId="77777777" w:rsidR="00CD3919" w:rsidRPr="00CD3919" w:rsidRDefault="00CD3919" w:rsidP="00CD3919">
            <w:pPr>
              <w:spacing w:line="276" w:lineRule="auto"/>
              <w:rPr>
                <w:rFonts w:ascii="Calibri" w:hAnsi="Calibri" w:cs="Calibri"/>
                <w:sz w:val="22"/>
                <w:szCs w:val="22"/>
              </w:rPr>
            </w:pPr>
          </w:p>
        </w:tc>
      </w:tr>
      <w:tr w:rsidR="00CD3919" w14:paraId="6D955CA9" w14:textId="77777777" w:rsidTr="00CD3919">
        <w:tc>
          <w:tcPr>
            <w:tcW w:w="9016" w:type="dxa"/>
            <w:gridSpan w:val="2"/>
          </w:tcPr>
          <w:p w14:paraId="69C288F3" w14:textId="77777777" w:rsidR="00CD3919" w:rsidRPr="00CD3919" w:rsidRDefault="00CD3919" w:rsidP="00CD3919">
            <w:pPr>
              <w:spacing w:line="276" w:lineRule="auto"/>
              <w:rPr>
                <w:rFonts w:ascii="Calibri" w:hAnsi="Calibri" w:cs="Calibri"/>
                <w:b/>
                <w:bCs/>
                <w:sz w:val="22"/>
                <w:szCs w:val="22"/>
              </w:rPr>
            </w:pPr>
            <w:r w:rsidRPr="00CD3919">
              <w:rPr>
                <w:rFonts w:ascii="Calibri" w:hAnsi="Calibri" w:cs="Calibri"/>
                <w:b/>
                <w:bCs/>
                <w:sz w:val="22"/>
                <w:szCs w:val="22"/>
              </w:rPr>
              <w:t>CSO response:</w:t>
            </w:r>
          </w:p>
          <w:p w14:paraId="670CB555" w14:textId="77777777" w:rsidR="00CD3919" w:rsidRPr="00CD3919" w:rsidRDefault="00CD3919" w:rsidP="00CD3919">
            <w:pPr>
              <w:spacing w:line="276" w:lineRule="auto"/>
              <w:rPr>
                <w:rFonts w:ascii="Calibri" w:hAnsi="Calibri" w:cs="Calibri"/>
                <w:sz w:val="22"/>
                <w:szCs w:val="22"/>
              </w:rPr>
            </w:pPr>
            <w:r w:rsidRPr="00CD3919">
              <w:rPr>
                <w:rFonts w:ascii="Calibri" w:hAnsi="Calibri" w:cs="Calibri"/>
                <w:sz w:val="22"/>
                <w:szCs w:val="22"/>
              </w:rPr>
              <w:t>“There is no specific budget allocation for the implementation of the Australian NAP. It is assumed that planning for, and implementation and monitoring and evaluation of NAP responsibilities will take place within existing resources…The 1st Australian NAP lacks a robust monitoring and evaluation framework to assess progress, achievements and impacts. The descriptive nature of indicators only allows for a recounting of actions undertaken under each of the five strategies” (Women, Peace and Security)</w:t>
            </w:r>
          </w:p>
        </w:tc>
      </w:tr>
    </w:tbl>
    <w:p w14:paraId="6545F536" w14:textId="77777777" w:rsidR="00CD3919" w:rsidRDefault="00CD3919" w:rsidP="000E4056">
      <w:pPr>
        <w:spacing w:line="276" w:lineRule="auto"/>
        <w:rPr>
          <w:rFonts w:ascii="Calibri" w:hAnsi="Calibri" w:cs="Calibri"/>
        </w:rPr>
      </w:pPr>
    </w:p>
    <w:tbl>
      <w:tblPr>
        <w:tblStyle w:val="TableGridLight"/>
        <w:tblW w:w="0" w:type="auto"/>
        <w:tblLook w:val="04A0" w:firstRow="1" w:lastRow="0" w:firstColumn="1" w:lastColumn="0" w:noHBand="0" w:noVBand="1"/>
      </w:tblPr>
      <w:tblGrid>
        <w:gridCol w:w="3005"/>
        <w:gridCol w:w="6011"/>
      </w:tblGrid>
      <w:tr w:rsidR="00CD3919" w14:paraId="587842FE" w14:textId="77777777" w:rsidTr="000E631B">
        <w:tc>
          <w:tcPr>
            <w:tcW w:w="3005" w:type="dxa"/>
          </w:tcPr>
          <w:p w14:paraId="285E7002" w14:textId="77777777" w:rsidR="00CD3919" w:rsidRPr="00CD3919" w:rsidRDefault="00CD3919" w:rsidP="000E631B">
            <w:pPr>
              <w:spacing w:line="276" w:lineRule="auto"/>
              <w:rPr>
                <w:rFonts w:ascii="Calibri" w:hAnsi="Calibri" w:cs="Calibri"/>
                <w:b/>
                <w:bCs/>
                <w:sz w:val="22"/>
                <w:szCs w:val="22"/>
              </w:rPr>
            </w:pPr>
            <w:r w:rsidRPr="00CD3919">
              <w:rPr>
                <w:rFonts w:ascii="Calibri" w:hAnsi="Calibri" w:cs="Calibri"/>
                <w:b/>
                <w:bCs/>
                <w:sz w:val="22"/>
                <w:szCs w:val="22"/>
              </w:rPr>
              <w:t>Summary recommendation by CEDAW Committee</w:t>
            </w:r>
          </w:p>
        </w:tc>
        <w:tc>
          <w:tcPr>
            <w:tcW w:w="6011" w:type="dxa"/>
          </w:tcPr>
          <w:p w14:paraId="49FBB5BF" w14:textId="77777777" w:rsidR="00CD3919" w:rsidRPr="00CD3919" w:rsidRDefault="00CD3919" w:rsidP="000E631B">
            <w:pPr>
              <w:spacing w:line="276" w:lineRule="auto"/>
              <w:rPr>
                <w:rFonts w:ascii="Calibri" w:hAnsi="Calibri" w:cs="Calibri"/>
                <w:b/>
                <w:bCs/>
                <w:sz w:val="22"/>
                <w:szCs w:val="22"/>
              </w:rPr>
            </w:pPr>
            <w:r w:rsidRPr="00CD3919">
              <w:rPr>
                <w:rFonts w:ascii="Calibri" w:hAnsi="Calibri" w:cs="Calibri"/>
                <w:b/>
                <w:bCs/>
                <w:sz w:val="22"/>
                <w:szCs w:val="22"/>
              </w:rPr>
              <w:t>State action</w:t>
            </w:r>
          </w:p>
        </w:tc>
      </w:tr>
      <w:tr w:rsidR="00CD3919" w14:paraId="15AB9C3A" w14:textId="77777777" w:rsidTr="000E631B">
        <w:tc>
          <w:tcPr>
            <w:tcW w:w="3005" w:type="dxa"/>
          </w:tcPr>
          <w:p w14:paraId="18AEE59D" w14:textId="77777777" w:rsidR="00CD3919" w:rsidRPr="00CD3919" w:rsidRDefault="00CD3919" w:rsidP="000E631B">
            <w:pPr>
              <w:spacing w:line="276" w:lineRule="auto"/>
              <w:rPr>
                <w:rFonts w:ascii="Calibri" w:hAnsi="Calibri" w:cs="Calibri"/>
                <w:sz w:val="22"/>
                <w:szCs w:val="22"/>
              </w:rPr>
            </w:pPr>
            <w:r w:rsidRPr="00CD3919">
              <w:rPr>
                <w:rFonts w:ascii="Calibri" w:hAnsi="Calibri" w:cs="Calibri"/>
                <w:sz w:val="22"/>
                <w:szCs w:val="22"/>
              </w:rPr>
              <w:lastRenderedPageBreak/>
              <w:t>Widen the definition of rape in [India's] Penal Code and remove the exception for marital rape. Consult widely with women's groups in the process of reform.</w:t>
            </w:r>
          </w:p>
        </w:tc>
        <w:tc>
          <w:tcPr>
            <w:tcW w:w="6011" w:type="dxa"/>
          </w:tcPr>
          <w:p w14:paraId="08AB7BA0" w14:textId="77777777" w:rsidR="00CD3919" w:rsidRPr="00CD3919" w:rsidRDefault="00CD3919" w:rsidP="000E631B">
            <w:pPr>
              <w:spacing w:line="276" w:lineRule="auto"/>
              <w:rPr>
                <w:rFonts w:ascii="Calibri" w:hAnsi="Calibri" w:cs="Calibri"/>
                <w:sz w:val="22"/>
                <w:szCs w:val="22"/>
              </w:rPr>
            </w:pPr>
            <w:r w:rsidRPr="00CD3919">
              <w:rPr>
                <w:rFonts w:ascii="Calibri" w:hAnsi="Calibri" w:cs="Calibri"/>
                <w:sz w:val="22"/>
                <w:szCs w:val="22"/>
              </w:rPr>
              <w:t>No state action taken.</w:t>
            </w:r>
          </w:p>
          <w:p w14:paraId="35B25675" w14:textId="77777777" w:rsidR="00CD3919" w:rsidRPr="00CD3919" w:rsidRDefault="00CD3919" w:rsidP="000E631B">
            <w:pPr>
              <w:spacing w:line="276" w:lineRule="auto"/>
              <w:rPr>
                <w:rFonts w:ascii="Calibri" w:hAnsi="Calibri" w:cs="Calibri"/>
                <w:sz w:val="22"/>
                <w:szCs w:val="22"/>
              </w:rPr>
            </w:pPr>
          </w:p>
        </w:tc>
      </w:tr>
      <w:tr w:rsidR="00CD3919" w14:paraId="3EBE487E" w14:textId="77777777" w:rsidTr="000E631B">
        <w:tc>
          <w:tcPr>
            <w:tcW w:w="9016" w:type="dxa"/>
            <w:gridSpan w:val="2"/>
          </w:tcPr>
          <w:p w14:paraId="739508C0" w14:textId="77777777" w:rsidR="00CD3919" w:rsidRPr="00CD3919" w:rsidRDefault="00CD3919" w:rsidP="000E631B">
            <w:pPr>
              <w:spacing w:line="276" w:lineRule="auto"/>
              <w:rPr>
                <w:rFonts w:ascii="Calibri" w:hAnsi="Calibri" w:cs="Calibri"/>
                <w:b/>
                <w:bCs/>
                <w:sz w:val="22"/>
                <w:szCs w:val="22"/>
              </w:rPr>
            </w:pPr>
            <w:r w:rsidRPr="00CD3919">
              <w:rPr>
                <w:rFonts w:ascii="Calibri" w:hAnsi="Calibri" w:cs="Calibri"/>
                <w:b/>
                <w:bCs/>
                <w:sz w:val="22"/>
                <w:szCs w:val="22"/>
              </w:rPr>
              <w:t>CSO response:</w:t>
            </w:r>
          </w:p>
          <w:p w14:paraId="377DA9FB" w14:textId="77777777" w:rsidR="00CD3919" w:rsidRPr="00CD3919" w:rsidRDefault="00CD3919" w:rsidP="000E631B">
            <w:pPr>
              <w:spacing w:line="276" w:lineRule="auto"/>
              <w:rPr>
                <w:rFonts w:ascii="Calibri" w:hAnsi="Calibri" w:cs="Calibri"/>
                <w:sz w:val="22"/>
                <w:szCs w:val="22"/>
              </w:rPr>
            </w:pPr>
            <w:r w:rsidRPr="00CD3919">
              <w:rPr>
                <w:rFonts w:ascii="Calibri" w:hAnsi="Calibri" w:cs="Calibri"/>
                <w:sz w:val="22"/>
                <w:szCs w:val="22"/>
              </w:rPr>
              <w:t>The Indian Penal Code continues to retain a rape exception when committed by a man on a</w:t>
            </w:r>
          </w:p>
          <w:p w14:paraId="6AEEE250" w14:textId="77777777" w:rsidR="00CD3919" w:rsidRPr="00CD3919" w:rsidRDefault="00CD3919" w:rsidP="000E631B">
            <w:pPr>
              <w:spacing w:line="276" w:lineRule="auto"/>
              <w:rPr>
                <w:rFonts w:ascii="Calibri" w:hAnsi="Calibri" w:cs="Calibri"/>
                <w:sz w:val="22"/>
                <w:szCs w:val="22"/>
              </w:rPr>
            </w:pPr>
            <w:r w:rsidRPr="00CD3919">
              <w:rPr>
                <w:rFonts w:ascii="Calibri" w:hAnsi="Calibri" w:cs="Calibri"/>
                <w:sz w:val="22"/>
                <w:szCs w:val="22"/>
              </w:rPr>
              <w:t>wife who is over 15 years of age.  Only rape committed within a marriage when the spouses are living separately can be punished, and then with a lower sentence than that given to rape</w:t>
            </w:r>
          </w:p>
          <w:p w14:paraId="696D18FC" w14:textId="77777777" w:rsidR="00CD3919" w:rsidRPr="00CD3919" w:rsidRDefault="00CD3919" w:rsidP="000E631B">
            <w:pPr>
              <w:spacing w:line="276" w:lineRule="auto"/>
              <w:rPr>
                <w:rFonts w:ascii="Calibri" w:hAnsi="Calibri" w:cs="Calibri"/>
                <w:sz w:val="22"/>
                <w:szCs w:val="22"/>
              </w:rPr>
            </w:pPr>
            <w:r w:rsidRPr="00CD3919">
              <w:rPr>
                <w:rFonts w:ascii="Calibri" w:hAnsi="Calibri" w:cs="Calibri"/>
                <w:sz w:val="22"/>
                <w:szCs w:val="22"/>
              </w:rPr>
              <w:t>outside a marriage. Courts in India have used the exception provided in Section 375 to acquit men accused of committing marital rape. In May 2014, a ‘fast-track’ court in Delhi designated to hear cases</w:t>
            </w:r>
          </w:p>
          <w:p w14:paraId="19647A8E" w14:textId="77777777" w:rsidR="00CD3919" w:rsidRPr="00CD3919" w:rsidRDefault="00CD3919" w:rsidP="000E631B">
            <w:pPr>
              <w:spacing w:line="276" w:lineRule="auto"/>
              <w:rPr>
                <w:rFonts w:ascii="Calibri" w:hAnsi="Calibri" w:cs="Calibri"/>
                <w:b/>
                <w:bCs/>
                <w:sz w:val="22"/>
                <w:szCs w:val="22"/>
              </w:rPr>
            </w:pPr>
            <w:r w:rsidRPr="00CD3919">
              <w:rPr>
                <w:rFonts w:ascii="Calibri" w:hAnsi="Calibri" w:cs="Calibri"/>
                <w:sz w:val="22"/>
                <w:szCs w:val="22"/>
              </w:rPr>
              <w:t>of sexual assault against women relied on this exception to rule that sexual intercourse between a legally wedded husband and wife “even if forcible, is not rape.” (Amnesty International)</w:t>
            </w:r>
          </w:p>
        </w:tc>
      </w:tr>
    </w:tbl>
    <w:p w14:paraId="6073E778" w14:textId="77777777" w:rsidR="00CD3919" w:rsidRDefault="00CD3919" w:rsidP="000E4056">
      <w:pPr>
        <w:spacing w:line="276" w:lineRule="auto"/>
        <w:rPr>
          <w:rFonts w:ascii="Calibri" w:hAnsi="Calibri" w:cs="Calibri"/>
        </w:rPr>
      </w:pPr>
    </w:p>
    <w:p w14:paraId="304282AC" w14:textId="55CDBB2B" w:rsidR="00BC6EF9" w:rsidRDefault="006957DD" w:rsidP="000E4056">
      <w:pPr>
        <w:spacing w:line="276" w:lineRule="auto"/>
        <w:rPr>
          <w:rFonts w:ascii="Calibri" w:hAnsi="Calibri" w:cs="Calibri"/>
        </w:rPr>
      </w:pPr>
      <w:r>
        <w:rPr>
          <w:rFonts w:ascii="Calibri" w:hAnsi="Calibri" w:cs="Calibri"/>
        </w:rPr>
        <w:t xml:space="preserve">Additionally, the Index </w:t>
      </w:r>
      <w:r w:rsidR="00A06BB9">
        <w:rPr>
          <w:rFonts w:ascii="Calibri" w:hAnsi="Calibri" w:cs="Calibri"/>
        </w:rPr>
        <w:t xml:space="preserve">will </w:t>
      </w:r>
      <w:r>
        <w:rPr>
          <w:rFonts w:ascii="Calibri" w:hAnsi="Calibri" w:cs="Calibri"/>
        </w:rPr>
        <w:t xml:space="preserve">feature case studies that illustrate real-world examples of both successes and challenges in implementation. Informed by data from CSOs and empirical research findings, these case studies </w:t>
      </w:r>
      <w:r w:rsidR="00E16E0D">
        <w:rPr>
          <w:rFonts w:ascii="Calibri" w:hAnsi="Calibri" w:cs="Calibri"/>
        </w:rPr>
        <w:t xml:space="preserve">will </w:t>
      </w:r>
      <w:r>
        <w:rPr>
          <w:rFonts w:ascii="Calibri" w:hAnsi="Calibri" w:cs="Calibri"/>
        </w:rPr>
        <w:t>provide detailed insights into the impact of policies, programs, and laws</w:t>
      </w:r>
      <w:r w:rsidR="001742CD">
        <w:rPr>
          <w:rFonts w:ascii="Calibri" w:hAnsi="Calibri" w:cs="Calibri"/>
        </w:rPr>
        <w:t xml:space="preserve">, </w:t>
      </w:r>
      <w:r w:rsidR="00BC6EF9">
        <w:rPr>
          <w:rFonts w:ascii="Calibri" w:hAnsi="Calibri" w:cs="Calibri"/>
        </w:rPr>
        <w:t xml:space="preserve">enabling </w:t>
      </w:r>
      <w:r w:rsidR="001742CD">
        <w:rPr>
          <w:rFonts w:ascii="Calibri" w:hAnsi="Calibri" w:cs="Calibri"/>
        </w:rPr>
        <w:t xml:space="preserve">the Index </w:t>
      </w:r>
      <w:r w:rsidR="00BC6EF9">
        <w:rPr>
          <w:rFonts w:ascii="Calibri" w:hAnsi="Calibri" w:cs="Calibri"/>
        </w:rPr>
        <w:t>to be used to</w:t>
      </w:r>
      <w:r w:rsidR="001742CD">
        <w:rPr>
          <w:rFonts w:ascii="Calibri" w:hAnsi="Calibri" w:cs="Calibri"/>
        </w:rPr>
        <w:t xml:space="preserve"> identify successfully implemented legislative and policy models (as reported by governments)</w:t>
      </w:r>
      <w:r w:rsidR="00504244">
        <w:rPr>
          <w:rFonts w:ascii="Calibri" w:hAnsi="Calibri" w:cs="Calibri"/>
        </w:rPr>
        <w:t xml:space="preserve"> </w:t>
      </w:r>
      <w:r w:rsidR="001742CD">
        <w:rPr>
          <w:rFonts w:ascii="Calibri" w:hAnsi="Calibri" w:cs="Calibri"/>
        </w:rPr>
        <w:t xml:space="preserve">that can be replicated or scaled in other jurisdictions. </w:t>
      </w:r>
      <w:r w:rsidR="00BD0768">
        <w:rPr>
          <w:rFonts w:ascii="Calibri" w:hAnsi="Calibri" w:cs="Calibri"/>
        </w:rPr>
        <w:t>It is hoped that o</w:t>
      </w:r>
      <w:r>
        <w:rPr>
          <w:rFonts w:ascii="Calibri" w:hAnsi="Calibri" w:cs="Calibri"/>
        </w:rPr>
        <w:t xml:space="preserve">ver time, </w:t>
      </w:r>
      <w:r w:rsidR="001742CD">
        <w:rPr>
          <w:rFonts w:ascii="Calibri" w:hAnsi="Calibri" w:cs="Calibri"/>
        </w:rPr>
        <w:t xml:space="preserve">showcasing the ongoing effectiveness and acceptability of interventions years after their introduction </w:t>
      </w:r>
      <w:r w:rsidR="00822B5E">
        <w:rPr>
          <w:rFonts w:ascii="Calibri" w:hAnsi="Calibri" w:cs="Calibri"/>
        </w:rPr>
        <w:t xml:space="preserve">can help to </w:t>
      </w:r>
      <w:r>
        <w:rPr>
          <w:rFonts w:ascii="Calibri" w:hAnsi="Calibri" w:cs="Calibri"/>
        </w:rPr>
        <w:t>ensure that implementation is not treated as a final goal, but rather as an ongoing process</w:t>
      </w:r>
      <w:r w:rsidR="001742CD">
        <w:rPr>
          <w:rFonts w:ascii="Calibri" w:hAnsi="Calibri" w:cs="Calibri"/>
        </w:rPr>
        <w:t xml:space="preserve"> requiring evaluation and refinement. </w:t>
      </w:r>
    </w:p>
    <w:p w14:paraId="515630D8" w14:textId="6A74B4A7" w:rsidR="001742CD" w:rsidRPr="00DE1833" w:rsidRDefault="00504244" w:rsidP="000E4056">
      <w:pPr>
        <w:spacing w:line="276" w:lineRule="auto"/>
        <w:rPr>
          <w:rFonts w:ascii="Calibri" w:hAnsi="Calibri" w:cs="Calibri"/>
        </w:rPr>
      </w:pPr>
      <w:r>
        <w:rPr>
          <w:rFonts w:ascii="Calibri" w:hAnsi="Calibri" w:cs="Calibri"/>
        </w:rPr>
        <w:t>As an exampl</w:t>
      </w:r>
      <w:r w:rsidR="003B7676">
        <w:rPr>
          <w:rFonts w:ascii="Calibri" w:hAnsi="Calibri" w:cs="Calibri"/>
        </w:rPr>
        <w:t>e, following its 2007 review of Brazil, the CEDAW Committee recommended the systematic monitoring of the Maria da Penha Law on domestic violence. While the Brazilian Government highlighted at its</w:t>
      </w:r>
      <w:r w:rsidR="00491888">
        <w:rPr>
          <w:rFonts w:ascii="Calibri" w:hAnsi="Calibri" w:cs="Calibri"/>
        </w:rPr>
        <w:t xml:space="preserve"> subsequent</w:t>
      </w:r>
      <w:r w:rsidR="003B7676">
        <w:rPr>
          <w:rFonts w:ascii="Calibri" w:hAnsi="Calibri" w:cs="Calibri"/>
        </w:rPr>
        <w:t xml:space="preserve"> review that the law had led to over 300,000 prosecutions and 100,000 judgements, CSOs have highlighted that its benefits remain largely concentrated in urban areas</w:t>
      </w:r>
      <w:r w:rsidR="00127A23">
        <w:rPr>
          <w:rFonts w:ascii="Calibri" w:hAnsi="Calibri" w:cs="Calibri"/>
        </w:rPr>
        <w:t>. This uneven implementation raises concerns in relation to Article 14 of CEDAW, which obliges States to ensure that rural women enjoy equal access to legal protections and services</w:t>
      </w:r>
      <w:r w:rsidR="003B7676" w:rsidRPr="00DE1833">
        <w:rPr>
          <w:rFonts w:ascii="Calibri" w:hAnsi="Calibri" w:cs="Calibri"/>
        </w:rPr>
        <w:t>.</w:t>
      </w:r>
      <w:r w:rsidR="00BD0768">
        <w:rPr>
          <w:rFonts w:ascii="Calibri" w:hAnsi="Calibri" w:cs="Calibri"/>
        </w:rPr>
        <w:t xml:space="preserve"> The ongoing CEDAW review process will allow for continued refinement of legal and policy models over time.</w:t>
      </w:r>
      <w:r w:rsidR="00EE0730">
        <w:rPr>
          <w:rStyle w:val="EndnoteReference"/>
          <w:rFonts w:ascii="Calibri" w:hAnsi="Calibri" w:cs="Calibri"/>
        </w:rPr>
        <w:endnoteReference w:id="22"/>
      </w:r>
      <w:r w:rsidR="00BD0768">
        <w:rPr>
          <w:rFonts w:ascii="Calibri" w:hAnsi="Calibri" w:cs="Calibri"/>
        </w:rPr>
        <w:t xml:space="preserve"> </w:t>
      </w:r>
      <w:r w:rsidR="003B7676" w:rsidRPr="00DE1833">
        <w:rPr>
          <w:rFonts w:ascii="Calibri" w:hAnsi="Calibri" w:cs="Calibri"/>
        </w:rPr>
        <w:t xml:space="preserve"> </w:t>
      </w:r>
    </w:p>
    <w:p w14:paraId="7811B5CD" w14:textId="11C450F9" w:rsidR="00DE1833" w:rsidRDefault="00DE1833" w:rsidP="000E4056">
      <w:pPr>
        <w:spacing w:line="276" w:lineRule="auto"/>
        <w:rPr>
          <w:rFonts w:ascii="Calibri" w:hAnsi="Calibri" w:cs="Calibri"/>
        </w:rPr>
      </w:pPr>
      <w:r w:rsidRPr="00DE1833">
        <w:rPr>
          <w:rFonts w:ascii="Calibri" w:hAnsi="Calibri" w:cs="Calibri"/>
        </w:rPr>
        <w:t>Ultimately, at a systems level, the CEDAW Index could enhance the CEDAW</w:t>
      </w:r>
      <w:r w:rsidR="008144D9">
        <w:rPr>
          <w:rFonts w:ascii="Calibri" w:hAnsi="Calibri" w:cs="Calibri"/>
        </w:rPr>
        <w:t xml:space="preserve"> review</w:t>
      </w:r>
      <w:r w:rsidRPr="00DE1833">
        <w:rPr>
          <w:rFonts w:ascii="Calibri" w:hAnsi="Calibri" w:cs="Calibri"/>
        </w:rPr>
        <w:t xml:space="preserve"> process in several ways. Firstly, by providing historical data on previous periodic reports submitted by the </w:t>
      </w:r>
      <w:r w:rsidR="00822B5E">
        <w:rPr>
          <w:rFonts w:ascii="Calibri" w:hAnsi="Calibri" w:cs="Calibri"/>
        </w:rPr>
        <w:t>S</w:t>
      </w:r>
      <w:r w:rsidRPr="00DE1833">
        <w:rPr>
          <w:rFonts w:ascii="Calibri" w:hAnsi="Calibri" w:cs="Calibri"/>
        </w:rPr>
        <w:t>tate</w:t>
      </w:r>
      <w:r w:rsidR="0036177E">
        <w:rPr>
          <w:rFonts w:ascii="Calibri" w:hAnsi="Calibri" w:cs="Calibri"/>
        </w:rPr>
        <w:t>s</w:t>
      </w:r>
      <w:r w:rsidRPr="00DE1833">
        <w:rPr>
          <w:rFonts w:ascii="Calibri" w:hAnsi="Calibri" w:cs="Calibri"/>
        </w:rPr>
        <w:t xml:space="preserve"> part</w:t>
      </w:r>
      <w:r w:rsidR="00434009">
        <w:rPr>
          <w:rFonts w:ascii="Calibri" w:hAnsi="Calibri" w:cs="Calibri"/>
        </w:rPr>
        <w:t>ies</w:t>
      </w:r>
      <w:r w:rsidRPr="00DE1833">
        <w:rPr>
          <w:rFonts w:ascii="Calibri" w:hAnsi="Calibri" w:cs="Calibri"/>
        </w:rPr>
        <w:t>, highlighting areas where recommendations were made but not implemented. Secondly, by providing implementation insights to inform constructive dialogue and the design of new recommendations</w:t>
      </w:r>
      <w:r w:rsidR="00C80ADD">
        <w:rPr>
          <w:rFonts w:ascii="Calibri" w:hAnsi="Calibri" w:cs="Calibri"/>
        </w:rPr>
        <w:t>;</w:t>
      </w:r>
      <w:r w:rsidRPr="00DE1833">
        <w:rPr>
          <w:rFonts w:ascii="Calibri" w:hAnsi="Calibri" w:cs="Calibri"/>
        </w:rPr>
        <w:t xml:space="preserve"> and </w:t>
      </w:r>
      <w:r w:rsidR="00102685">
        <w:rPr>
          <w:rFonts w:ascii="Calibri" w:hAnsi="Calibri" w:cs="Calibri"/>
        </w:rPr>
        <w:t>finally,</w:t>
      </w:r>
      <w:r w:rsidRPr="00DE1833">
        <w:rPr>
          <w:rFonts w:ascii="Calibri" w:hAnsi="Calibri" w:cs="Calibri"/>
        </w:rPr>
        <w:t xml:space="preserve"> by providing research and information regarding best</w:t>
      </w:r>
      <w:r w:rsidR="00C80ADD">
        <w:rPr>
          <w:rFonts w:ascii="Calibri" w:hAnsi="Calibri" w:cs="Calibri"/>
        </w:rPr>
        <w:t>-</w:t>
      </w:r>
      <w:r w:rsidRPr="00DE1833">
        <w:rPr>
          <w:rFonts w:ascii="Calibri" w:hAnsi="Calibri" w:cs="Calibri"/>
        </w:rPr>
        <w:t>practice interventions that can be used by the Committee and CSOs in the follow-up process at the national level.</w:t>
      </w:r>
    </w:p>
    <w:p w14:paraId="5EFF089A" w14:textId="77777777" w:rsidR="000E4056" w:rsidRPr="00DE1833" w:rsidRDefault="000E4056" w:rsidP="000E4056">
      <w:pPr>
        <w:spacing w:line="276" w:lineRule="auto"/>
        <w:rPr>
          <w:rFonts w:ascii="Calibri" w:hAnsi="Calibri" w:cs="Calibri"/>
        </w:rPr>
      </w:pPr>
    </w:p>
    <w:p w14:paraId="624A138E" w14:textId="79EB6A31" w:rsidR="00AF29FB" w:rsidRPr="008A11B1" w:rsidRDefault="00AF29FB" w:rsidP="000E4056">
      <w:pPr>
        <w:spacing w:line="276" w:lineRule="auto"/>
        <w:rPr>
          <w:rFonts w:ascii="Calibri" w:hAnsi="Calibri" w:cs="Calibri"/>
          <w:b/>
          <w:bCs/>
          <w:sz w:val="30"/>
          <w:szCs w:val="30"/>
        </w:rPr>
      </w:pPr>
      <w:r w:rsidRPr="008A11B1">
        <w:rPr>
          <w:rFonts w:ascii="Calibri" w:hAnsi="Calibri" w:cs="Calibri"/>
          <w:b/>
          <w:bCs/>
          <w:sz w:val="30"/>
          <w:szCs w:val="30"/>
        </w:rPr>
        <w:t>Challenges associated with the CEDAW Index</w:t>
      </w:r>
    </w:p>
    <w:p w14:paraId="4CB9162C" w14:textId="5E872374" w:rsidR="00F23EEA" w:rsidRDefault="003C5925" w:rsidP="000E4056">
      <w:pPr>
        <w:spacing w:line="276" w:lineRule="auto"/>
        <w:rPr>
          <w:rFonts w:ascii="Calibri" w:hAnsi="Calibri" w:cs="Calibri"/>
        </w:rPr>
      </w:pPr>
      <w:r>
        <w:rPr>
          <w:rFonts w:ascii="Calibri" w:hAnsi="Calibri" w:cs="Calibri"/>
        </w:rPr>
        <w:t>Despite</w:t>
      </w:r>
      <w:r w:rsidR="00AF29FB">
        <w:rPr>
          <w:rFonts w:ascii="Calibri" w:hAnsi="Calibri" w:cs="Calibri"/>
        </w:rPr>
        <w:t xml:space="preserve"> </w:t>
      </w:r>
      <w:r>
        <w:rPr>
          <w:rFonts w:ascii="Calibri" w:hAnsi="Calibri" w:cs="Calibri"/>
        </w:rPr>
        <w:t>its</w:t>
      </w:r>
      <w:r w:rsidR="00AF29FB">
        <w:rPr>
          <w:rFonts w:ascii="Calibri" w:hAnsi="Calibri" w:cs="Calibri"/>
        </w:rPr>
        <w:t xml:space="preserve"> potential, </w:t>
      </w:r>
      <w:r>
        <w:rPr>
          <w:rFonts w:ascii="Calibri" w:hAnsi="Calibri" w:cs="Calibri"/>
        </w:rPr>
        <w:t xml:space="preserve">the CEDAW Index faces several challenges. </w:t>
      </w:r>
      <w:r w:rsidR="00F23EEA">
        <w:rPr>
          <w:rFonts w:ascii="Calibri" w:hAnsi="Calibri" w:cs="Calibri"/>
        </w:rPr>
        <w:t xml:space="preserve">Firstly, governments largely control the narrative surrounding their human rights records and </w:t>
      </w:r>
      <w:r w:rsidR="00E01B29">
        <w:rPr>
          <w:rFonts w:ascii="Calibri" w:hAnsi="Calibri" w:cs="Calibri"/>
        </w:rPr>
        <w:t>have been known to engage in practices that may obscure the reality of their actions, particularly when there are perceived political consequences to human rights failures.</w:t>
      </w:r>
      <w:r w:rsidR="00EE0730">
        <w:rPr>
          <w:rStyle w:val="EndnoteReference"/>
          <w:rFonts w:ascii="Calibri" w:hAnsi="Calibri" w:cs="Calibri"/>
        </w:rPr>
        <w:endnoteReference w:id="23"/>
      </w:r>
      <w:r w:rsidR="00E01B29">
        <w:rPr>
          <w:rFonts w:ascii="Calibri" w:hAnsi="Calibri" w:cs="Calibri"/>
        </w:rPr>
        <w:t xml:space="preserve"> Where governments are not forthcoming about their implementation of recommendations, this can hinder the Index’s ability to present an accurate picture of global progress in addressing GBV.</w:t>
      </w:r>
      <w:r w:rsidR="00FF42F7">
        <w:rPr>
          <w:rFonts w:ascii="Calibri" w:hAnsi="Calibri" w:cs="Calibri"/>
        </w:rPr>
        <w:t xml:space="preserve"> </w:t>
      </w:r>
      <w:r w:rsidR="00C50E81">
        <w:rPr>
          <w:rFonts w:ascii="Calibri" w:hAnsi="Calibri" w:cs="Calibri"/>
        </w:rPr>
        <w:t xml:space="preserve">Here, the voice of civil society is essential: shadow reports, advocacy, and independent monitoring can counterbalance </w:t>
      </w:r>
      <w:r w:rsidR="002F5F37">
        <w:rPr>
          <w:rFonts w:ascii="Calibri" w:hAnsi="Calibri" w:cs="Calibri"/>
        </w:rPr>
        <w:t>S</w:t>
      </w:r>
      <w:r w:rsidR="00C50E81">
        <w:rPr>
          <w:rFonts w:ascii="Calibri" w:hAnsi="Calibri" w:cs="Calibri"/>
        </w:rPr>
        <w:t xml:space="preserve">tate narratives and provide a reality check that strengthens the accuracy and legitimacy of the Index. </w:t>
      </w:r>
    </w:p>
    <w:p w14:paraId="36708A81" w14:textId="25FAAF1C" w:rsidR="003D371E" w:rsidRDefault="00D71EE8" w:rsidP="000E4056">
      <w:pPr>
        <w:spacing w:line="276" w:lineRule="auto"/>
        <w:rPr>
          <w:rFonts w:ascii="Calibri" w:hAnsi="Calibri" w:cs="Calibri"/>
        </w:rPr>
      </w:pPr>
      <w:r>
        <w:rPr>
          <w:rFonts w:ascii="Calibri" w:hAnsi="Calibri" w:cs="Calibri"/>
        </w:rPr>
        <w:t>A</w:t>
      </w:r>
      <w:r w:rsidR="00FC1E98">
        <w:rPr>
          <w:rFonts w:ascii="Calibri" w:hAnsi="Calibri" w:cs="Calibri"/>
        </w:rPr>
        <w:t xml:space="preserve">nother major hurdle </w:t>
      </w:r>
      <w:r w:rsidR="003D371E">
        <w:rPr>
          <w:rFonts w:ascii="Calibri" w:hAnsi="Calibri" w:cs="Calibri"/>
        </w:rPr>
        <w:t xml:space="preserve">is </w:t>
      </w:r>
      <w:r w:rsidR="00FC1E98">
        <w:rPr>
          <w:rFonts w:ascii="Calibri" w:hAnsi="Calibri" w:cs="Calibri"/>
        </w:rPr>
        <w:t xml:space="preserve">the </w:t>
      </w:r>
      <w:r w:rsidR="00C50E81">
        <w:rPr>
          <w:rFonts w:ascii="Calibri" w:hAnsi="Calibri" w:cs="Calibri"/>
        </w:rPr>
        <w:t>involvement</w:t>
      </w:r>
      <w:r>
        <w:rPr>
          <w:rFonts w:ascii="Calibri" w:hAnsi="Calibri" w:cs="Calibri"/>
        </w:rPr>
        <w:t xml:space="preserve"> of AI. </w:t>
      </w:r>
      <w:r w:rsidR="00C50E81">
        <w:rPr>
          <w:rFonts w:ascii="Calibri" w:hAnsi="Calibri" w:cs="Calibri"/>
        </w:rPr>
        <w:t xml:space="preserve">While </w:t>
      </w:r>
      <w:r w:rsidR="00FC1E98">
        <w:rPr>
          <w:rFonts w:ascii="Calibri" w:hAnsi="Calibri" w:cs="Calibri"/>
        </w:rPr>
        <w:t>AI</w:t>
      </w:r>
      <w:r w:rsidR="00C50E81">
        <w:rPr>
          <w:rFonts w:ascii="Calibri" w:hAnsi="Calibri" w:cs="Calibri"/>
        </w:rPr>
        <w:t xml:space="preserve"> can enhance efficiency, automating data extraction and enabling large-scale comparative analysis, it also carries inherent limitations. Effective use demands human oversight, rigorous data curation, and a commitment to ensuring data quality, completeness, and objectivity in model training. AI may be constrained in addressing the complex and context-dependent nature of women’s rights, since local </w:t>
      </w:r>
      <w:r w:rsidR="003D371E">
        <w:rPr>
          <w:rFonts w:ascii="Calibri" w:hAnsi="Calibri" w:cs="Calibri"/>
        </w:rPr>
        <w:t xml:space="preserve">gender norms, religious beliefs, and political power structures </w:t>
      </w:r>
      <w:r w:rsidR="00C50E81">
        <w:rPr>
          <w:rFonts w:ascii="Calibri" w:hAnsi="Calibri" w:cs="Calibri"/>
        </w:rPr>
        <w:t xml:space="preserve">shape implementation </w:t>
      </w:r>
      <w:r w:rsidR="003D371E">
        <w:rPr>
          <w:rFonts w:ascii="Calibri" w:hAnsi="Calibri" w:cs="Calibri"/>
        </w:rPr>
        <w:t>in ways that AI models may not adequately capture. Moreover, the “</w:t>
      </w:r>
      <w:proofErr w:type="gramStart"/>
      <w:r w:rsidR="003D371E">
        <w:rPr>
          <w:rFonts w:ascii="Calibri" w:hAnsi="Calibri" w:cs="Calibri"/>
        </w:rPr>
        <w:t>black-box</w:t>
      </w:r>
      <w:proofErr w:type="gramEnd"/>
      <w:r w:rsidR="003D371E">
        <w:rPr>
          <w:rFonts w:ascii="Calibri" w:hAnsi="Calibri" w:cs="Calibri"/>
        </w:rPr>
        <w:t xml:space="preserve">” nature of </w:t>
      </w:r>
      <w:r w:rsidR="00C50E81">
        <w:rPr>
          <w:rFonts w:ascii="Calibri" w:hAnsi="Calibri" w:cs="Calibri"/>
        </w:rPr>
        <w:t>deep learning models can hinder transparency in decision-making. To mitigate these risks, the Index combines machine learning with expert human assessment: models are trained only on approved datasets and are required to produce a replicable reasoning pathway (</w:t>
      </w:r>
      <w:r w:rsidR="004A77D1">
        <w:rPr>
          <w:rFonts w:ascii="Calibri" w:hAnsi="Calibri" w:cs="Calibri"/>
        </w:rPr>
        <w:t>explanatory notes</w:t>
      </w:r>
      <w:r w:rsidR="00C50E81">
        <w:rPr>
          <w:rFonts w:ascii="Calibri" w:hAnsi="Calibri" w:cs="Calibri"/>
        </w:rPr>
        <w:t xml:space="preserve">) that is reviewed by human experts before findings are finalised. In this way, AI augments rather than replaces human judgement. </w:t>
      </w:r>
    </w:p>
    <w:p w14:paraId="06080E3E" w14:textId="58711CD3" w:rsidR="00C80ADD" w:rsidRDefault="00E01B29" w:rsidP="000E4056">
      <w:pPr>
        <w:spacing w:line="276" w:lineRule="auto"/>
        <w:rPr>
          <w:rFonts w:ascii="Calibri" w:hAnsi="Calibri" w:cs="Calibri"/>
        </w:rPr>
      </w:pPr>
      <w:r>
        <w:rPr>
          <w:rFonts w:ascii="Calibri" w:hAnsi="Calibri" w:cs="Calibri"/>
        </w:rPr>
        <w:t xml:space="preserve">A </w:t>
      </w:r>
      <w:r w:rsidR="00C50E81">
        <w:rPr>
          <w:rFonts w:ascii="Calibri" w:hAnsi="Calibri" w:cs="Calibri"/>
        </w:rPr>
        <w:t>further</w:t>
      </w:r>
      <w:r>
        <w:rPr>
          <w:rFonts w:ascii="Calibri" w:hAnsi="Calibri" w:cs="Calibri"/>
        </w:rPr>
        <w:t xml:space="preserve"> challenge </w:t>
      </w:r>
      <w:r w:rsidR="00C50E81">
        <w:rPr>
          <w:rFonts w:ascii="Calibri" w:hAnsi="Calibri" w:cs="Calibri"/>
        </w:rPr>
        <w:t xml:space="preserve">arises in </w:t>
      </w:r>
      <w:r>
        <w:rPr>
          <w:rFonts w:ascii="Calibri" w:hAnsi="Calibri" w:cs="Calibri"/>
        </w:rPr>
        <w:t xml:space="preserve">visualising human rights data can facilitate international collaboration and shared </w:t>
      </w:r>
      <w:r w:rsidR="00102685">
        <w:rPr>
          <w:rFonts w:ascii="Calibri" w:hAnsi="Calibri" w:cs="Calibri"/>
        </w:rPr>
        <w:t>understanding;</w:t>
      </w:r>
      <w:r>
        <w:rPr>
          <w:rFonts w:ascii="Calibri" w:hAnsi="Calibri" w:cs="Calibri"/>
        </w:rPr>
        <w:t xml:space="preserve"> it also has drawbacks. Applying a status to complex women’s rights issues </w:t>
      </w:r>
      <w:r w:rsidR="00FE3EC1">
        <w:rPr>
          <w:rFonts w:ascii="Calibri" w:hAnsi="Calibri" w:cs="Calibri"/>
        </w:rPr>
        <w:t>may</w:t>
      </w:r>
      <w:r>
        <w:rPr>
          <w:rFonts w:ascii="Calibri" w:hAnsi="Calibri" w:cs="Calibri"/>
        </w:rPr>
        <w:t xml:space="preserve"> oversimplify </w:t>
      </w:r>
      <w:r w:rsidR="00784DCB">
        <w:rPr>
          <w:rFonts w:ascii="Calibri" w:hAnsi="Calibri" w:cs="Calibri"/>
        </w:rPr>
        <w:t xml:space="preserve">social phenomena and obscure rich contextual factors that are </w:t>
      </w:r>
      <w:r w:rsidR="00FE3EC1">
        <w:rPr>
          <w:rFonts w:ascii="Calibri" w:hAnsi="Calibri" w:cs="Calibri"/>
        </w:rPr>
        <w:t xml:space="preserve">needed </w:t>
      </w:r>
      <w:r w:rsidR="00784DCB">
        <w:rPr>
          <w:rFonts w:ascii="Calibri" w:hAnsi="Calibri" w:cs="Calibri"/>
        </w:rPr>
        <w:t>for a comprehensive analysis</w:t>
      </w:r>
      <w:r>
        <w:rPr>
          <w:rFonts w:ascii="Calibri" w:hAnsi="Calibri" w:cs="Calibri"/>
        </w:rPr>
        <w:t>.</w:t>
      </w:r>
      <w:r w:rsidR="00A75AFD">
        <w:rPr>
          <w:rStyle w:val="EndnoteReference"/>
          <w:rFonts w:ascii="Calibri" w:hAnsi="Calibri" w:cs="Calibri"/>
        </w:rPr>
        <w:endnoteReference w:id="24"/>
      </w:r>
      <w:r w:rsidR="00D72E64">
        <w:rPr>
          <w:rFonts w:ascii="Calibri" w:hAnsi="Calibri" w:cs="Calibri"/>
        </w:rPr>
        <w:t xml:space="preserve"> For example,</w:t>
      </w:r>
      <w:r>
        <w:rPr>
          <w:rFonts w:ascii="Calibri" w:hAnsi="Calibri" w:cs="Calibri"/>
        </w:rPr>
        <w:t xml:space="preserve"> </w:t>
      </w:r>
      <w:r w:rsidR="00D72E64">
        <w:rPr>
          <w:rFonts w:ascii="Calibri" w:hAnsi="Calibri" w:cs="Calibri"/>
        </w:rPr>
        <w:t>c</w:t>
      </w:r>
      <w:r>
        <w:rPr>
          <w:rFonts w:ascii="Calibri" w:hAnsi="Calibri" w:cs="Calibri"/>
        </w:rPr>
        <w:t xml:space="preserve">ountries making significant </w:t>
      </w:r>
      <w:r w:rsidR="00D72E64">
        <w:rPr>
          <w:rFonts w:ascii="Calibri" w:hAnsi="Calibri" w:cs="Calibri"/>
        </w:rPr>
        <w:t xml:space="preserve">legislative reforms </w:t>
      </w:r>
      <w:r>
        <w:rPr>
          <w:rFonts w:ascii="Calibri" w:hAnsi="Calibri" w:cs="Calibri"/>
        </w:rPr>
        <w:t xml:space="preserve">may appear to have </w:t>
      </w:r>
      <w:r w:rsidR="00D72E64">
        <w:rPr>
          <w:rFonts w:ascii="Calibri" w:hAnsi="Calibri" w:cs="Calibri"/>
        </w:rPr>
        <w:t xml:space="preserve">higher </w:t>
      </w:r>
      <w:r>
        <w:rPr>
          <w:rFonts w:ascii="Calibri" w:hAnsi="Calibri" w:cs="Calibri"/>
        </w:rPr>
        <w:t xml:space="preserve">implementation </w:t>
      </w:r>
      <w:r w:rsidR="00D72E64">
        <w:rPr>
          <w:rFonts w:ascii="Calibri" w:hAnsi="Calibri" w:cs="Calibri"/>
        </w:rPr>
        <w:t>rates s</w:t>
      </w:r>
      <w:r>
        <w:rPr>
          <w:rFonts w:ascii="Calibri" w:hAnsi="Calibri" w:cs="Calibri"/>
        </w:rPr>
        <w:t xml:space="preserve">imply because they have more ground to cover, while </w:t>
      </w:r>
      <w:r w:rsidR="00D72E64">
        <w:rPr>
          <w:rFonts w:ascii="Calibri" w:hAnsi="Calibri" w:cs="Calibri"/>
        </w:rPr>
        <w:t>countries</w:t>
      </w:r>
      <w:r>
        <w:rPr>
          <w:rFonts w:ascii="Calibri" w:hAnsi="Calibri" w:cs="Calibri"/>
        </w:rPr>
        <w:t xml:space="preserve"> with already higher levels of gender equality may re</w:t>
      </w:r>
      <w:r w:rsidR="00D72E64">
        <w:rPr>
          <w:rFonts w:ascii="Calibri" w:hAnsi="Calibri" w:cs="Calibri"/>
        </w:rPr>
        <w:t>gister fewer new reforms – a phenomenon often described as “the last mile”</w:t>
      </w:r>
      <w:r w:rsidR="00B4075C">
        <w:rPr>
          <w:rFonts w:ascii="Calibri" w:hAnsi="Calibri" w:cs="Calibri"/>
        </w:rPr>
        <w:t>.</w:t>
      </w:r>
      <w:r w:rsidR="00A75AFD">
        <w:rPr>
          <w:rStyle w:val="EndnoteReference"/>
          <w:rFonts w:ascii="Calibri" w:hAnsi="Calibri" w:cs="Calibri"/>
        </w:rPr>
        <w:endnoteReference w:id="25"/>
      </w:r>
      <w:r w:rsidR="00D72E64">
        <w:rPr>
          <w:rFonts w:ascii="Calibri" w:hAnsi="Calibri" w:cs="Calibri"/>
        </w:rPr>
        <w:t xml:space="preserve"> </w:t>
      </w:r>
      <w:r w:rsidR="00957A8B">
        <w:rPr>
          <w:rFonts w:ascii="Calibri" w:hAnsi="Calibri" w:cs="Calibri"/>
        </w:rPr>
        <w:t xml:space="preserve">To avoid the impression of a ranking exercise, the Index does not assign comparative “scores”. Instead, it classifies implementation status and provides contextualised analyses that situate country actions within their specific political, legal, and social contexts. While the current dataset is cross-sectional, future iterations of the Index may incorporate historical data to track change over time. </w:t>
      </w:r>
      <w:r w:rsidR="003101EA">
        <w:rPr>
          <w:rFonts w:ascii="Calibri" w:hAnsi="Calibri" w:cs="Calibri"/>
        </w:rPr>
        <w:t xml:space="preserve"> </w:t>
      </w:r>
    </w:p>
    <w:p w14:paraId="507D8247" w14:textId="405D5656" w:rsidR="00BC26BE" w:rsidRDefault="003101EA" w:rsidP="000E4056">
      <w:pPr>
        <w:spacing w:line="276" w:lineRule="auto"/>
        <w:rPr>
          <w:rFonts w:ascii="Calibri" w:hAnsi="Calibri" w:cs="Calibri"/>
        </w:rPr>
      </w:pPr>
      <w:r>
        <w:rPr>
          <w:rFonts w:ascii="Calibri" w:hAnsi="Calibri" w:cs="Calibri"/>
        </w:rPr>
        <w:t xml:space="preserve">As an </w:t>
      </w:r>
      <w:r w:rsidR="00957A8B">
        <w:rPr>
          <w:rFonts w:ascii="Calibri" w:hAnsi="Calibri" w:cs="Calibri"/>
        </w:rPr>
        <w:t>illustration</w:t>
      </w:r>
      <w:r>
        <w:rPr>
          <w:rFonts w:ascii="Calibri" w:hAnsi="Calibri" w:cs="Calibri"/>
        </w:rPr>
        <w:t>,</w:t>
      </w:r>
      <w:r w:rsidR="00957A8B">
        <w:rPr>
          <w:rFonts w:ascii="Calibri" w:hAnsi="Calibri" w:cs="Calibri"/>
        </w:rPr>
        <w:t xml:space="preserve"> our pilot report using </w:t>
      </w:r>
      <w:r w:rsidR="007E1DF7">
        <w:rPr>
          <w:rFonts w:ascii="Calibri" w:hAnsi="Calibri" w:cs="Calibri"/>
        </w:rPr>
        <w:t>cross-sectional</w:t>
      </w:r>
      <w:r>
        <w:rPr>
          <w:rFonts w:ascii="Calibri" w:hAnsi="Calibri" w:cs="Calibri"/>
        </w:rPr>
        <w:t xml:space="preserve"> data in the Asia Pacific region showed that Afghanistan </w:t>
      </w:r>
      <w:r w:rsidR="00195FAA">
        <w:rPr>
          <w:rFonts w:ascii="Calibri" w:hAnsi="Calibri" w:cs="Calibri"/>
        </w:rPr>
        <w:t xml:space="preserve">– a context in which women have been prohibited from speaking in public, and more recently praying aloud in front of other women - </w:t>
      </w:r>
      <w:r>
        <w:rPr>
          <w:rFonts w:ascii="Calibri" w:hAnsi="Calibri" w:cs="Calibri"/>
        </w:rPr>
        <w:t xml:space="preserve">had fully implemented 63% and </w:t>
      </w:r>
      <w:r>
        <w:rPr>
          <w:rFonts w:ascii="Calibri" w:hAnsi="Calibri" w:cs="Calibri"/>
        </w:rPr>
        <w:lastRenderedPageBreak/>
        <w:t>partially implemented 21% of the Committee’s recommendations</w:t>
      </w:r>
      <w:r w:rsidR="00195FAA">
        <w:rPr>
          <w:rFonts w:ascii="Calibri" w:hAnsi="Calibri" w:cs="Calibri"/>
        </w:rPr>
        <w:t>.</w:t>
      </w:r>
      <w:r w:rsidR="00A75AFD">
        <w:rPr>
          <w:rStyle w:val="EndnoteReference"/>
          <w:rFonts w:ascii="Calibri" w:hAnsi="Calibri" w:cs="Calibri"/>
        </w:rPr>
        <w:endnoteReference w:id="26"/>
      </w:r>
      <w:r w:rsidR="007E431E">
        <w:rPr>
          <w:rFonts w:ascii="Calibri" w:hAnsi="Calibri" w:cs="Calibri"/>
        </w:rPr>
        <w:t xml:space="preserve"> </w:t>
      </w:r>
      <w:r w:rsidR="00195FAA">
        <w:rPr>
          <w:rFonts w:ascii="Calibri" w:hAnsi="Calibri" w:cs="Calibri"/>
        </w:rPr>
        <w:t xml:space="preserve">These </w:t>
      </w:r>
      <w:r w:rsidR="007E1DF7">
        <w:rPr>
          <w:rFonts w:ascii="Calibri" w:hAnsi="Calibri" w:cs="Calibri"/>
        </w:rPr>
        <w:t xml:space="preserve">results were </w:t>
      </w:r>
      <w:r>
        <w:rPr>
          <w:rFonts w:ascii="Calibri" w:hAnsi="Calibri" w:cs="Calibri"/>
        </w:rPr>
        <w:t xml:space="preserve">higher than </w:t>
      </w:r>
      <w:r w:rsidR="00957A8B">
        <w:rPr>
          <w:rFonts w:ascii="Calibri" w:hAnsi="Calibri" w:cs="Calibri"/>
        </w:rPr>
        <w:t xml:space="preserve">those recorded for </w:t>
      </w:r>
      <w:r>
        <w:rPr>
          <w:rFonts w:ascii="Calibri" w:hAnsi="Calibri" w:cs="Calibri"/>
        </w:rPr>
        <w:t>Australia and New Zealand</w:t>
      </w:r>
      <w:r w:rsidR="00C80ADD">
        <w:rPr>
          <w:rFonts w:ascii="Calibri" w:hAnsi="Calibri" w:cs="Calibri"/>
        </w:rPr>
        <w:t>,</w:t>
      </w:r>
      <w:r w:rsidR="007E1DF7">
        <w:rPr>
          <w:rFonts w:ascii="Calibri" w:hAnsi="Calibri" w:cs="Calibri"/>
        </w:rPr>
        <w:t xml:space="preserve"> </w:t>
      </w:r>
      <w:r w:rsidR="00957A8B">
        <w:rPr>
          <w:rFonts w:ascii="Calibri" w:hAnsi="Calibri" w:cs="Calibri"/>
        </w:rPr>
        <w:t>underscoring t</w:t>
      </w:r>
      <w:r w:rsidR="007E1DF7">
        <w:rPr>
          <w:rFonts w:ascii="Calibri" w:hAnsi="Calibri" w:cs="Calibri"/>
        </w:rPr>
        <w:t>hat the Index</w:t>
      </w:r>
      <w:r w:rsidR="00BC26BE">
        <w:rPr>
          <w:rFonts w:ascii="Calibri" w:hAnsi="Calibri" w:cs="Calibri"/>
        </w:rPr>
        <w:t xml:space="preserve"> </w:t>
      </w:r>
      <w:r w:rsidR="00195FAA">
        <w:rPr>
          <w:rFonts w:ascii="Calibri" w:hAnsi="Calibri" w:cs="Calibri"/>
        </w:rPr>
        <w:t>measures willingness and capacity to</w:t>
      </w:r>
      <w:r w:rsidR="00957A8B">
        <w:rPr>
          <w:rFonts w:ascii="Calibri" w:hAnsi="Calibri" w:cs="Calibri"/>
        </w:rPr>
        <w:t xml:space="preserve"> respond to</w:t>
      </w:r>
      <w:r w:rsidR="00195FAA">
        <w:rPr>
          <w:rFonts w:ascii="Calibri" w:hAnsi="Calibri" w:cs="Calibri"/>
        </w:rPr>
        <w:t xml:space="preserve"> the Committee’s recommendations</w:t>
      </w:r>
      <w:r w:rsidR="00BC26BE">
        <w:rPr>
          <w:rFonts w:ascii="Calibri" w:hAnsi="Calibri" w:cs="Calibri"/>
        </w:rPr>
        <w:t>, rather than overall progress</w:t>
      </w:r>
      <w:r w:rsidR="00AA1674">
        <w:rPr>
          <w:rFonts w:ascii="Calibri" w:hAnsi="Calibri" w:cs="Calibri"/>
        </w:rPr>
        <w:t xml:space="preserve"> in achieving gender equality</w:t>
      </w:r>
      <w:r w:rsidR="00BC26BE">
        <w:rPr>
          <w:rFonts w:ascii="Calibri" w:hAnsi="Calibri" w:cs="Calibri"/>
        </w:rPr>
        <w:t xml:space="preserve">. </w:t>
      </w:r>
      <w:r w:rsidR="007E1DF7">
        <w:rPr>
          <w:rFonts w:ascii="Calibri" w:hAnsi="Calibri" w:cs="Calibri"/>
        </w:rPr>
        <w:t xml:space="preserve">To provide a more </w:t>
      </w:r>
      <w:r w:rsidR="00BC26BE">
        <w:rPr>
          <w:rFonts w:ascii="Calibri" w:hAnsi="Calibri" w:cs="Calibri"/>
        </w:rPr>
        <w:t xml:space="preserve">nuanced </w:t>
      </w:r>
      <w:r w:rsidR="007E1DF7">
        <w:rPr>
          <w:rFonts w:ascii="Calibri" w:hAnsi="Calibri" w:cs="Calibri"/>
        </w:rPr>
        <w:t xml:space="preserve">picture beyond the limited scope of the four-year review cycle, </w:t>
      </w:r>
      <w:r w:rsidR="00957A8B">
        <w:rPr>
          <w:rFonts w:ascii="Calibri" w:hAnsi="Calibri" w:cs="Calibri"/>
        </w:rPr>
        <w:t xml:space="preserve">forthcoming </w:t>
      </w:r>
      <w:r w:rsidR="00BC26BE">
        <w:rPr>
          <w:rFonts w:ascii="Calibri" w:hAnsi="Calibri" w:cs="Calibri"/>
        </w:rPr>
        <w:t xml:space="preserve">country </w:t>
      </w:r>
      <w:r w:rsidR="007E1DF7">
        <w:rPr>
          <w:rFonts w:ascii="Calibri" w:hAnsi="Calibri" w:cs="Calibri"/>
        </w:rPr>
        <w:t>case studies</w:t>
      </w:r>
      <w:r w:rsidR="00DA77E0">
        <w:rPr>
          <w:rFonts w:ascii="Calibri" w:hAnsi="Calibri" w:cs="Calibri"/>
        </w:rPr>
        <w:t xml:space="preserve"> will </w:t>
      </w:r>
      <w:r w:rsidR="00957A8B">
        <w:rPr>
          <w:rFonts w:ascii="Calibri" w:hAnsi="Calibri" w:cs="Calibri"/>
        </w:rPr>
        <w:t xml:space="preserve">integrate </w:t>
      </w:r>
      <w:r w:rsidR="00DA77E0">
        <w:rPr>
          <w:rFonts w:ascii="Calibri" w:hAnsi="Calibri" w:cs="Calibri"/>
        </w:rPr>
        <w:t xml:space="preserve">historical </w:t>
      </w:r>
      <w:r w:rsidR="00957A8B">
        <w:rPr>
          <w:rFonts w:ascii="Calibri" w:hAnsi="Calibri" w:cs="Calibri"/>
        </w:rPr>
        <w:t xml:space="preserve">data to identify patterns of progress and </w:t>
      </w:r>
      <w:r w:rsidR="00DA77E0">
        <w:rPr>
          <w:rFonts w:ascii="Calibri" w:hAnsi="Calibri" w:cs="Calibri"/>
        </w:rPr>
        <w:t>regression</w:t>
      </w:r>
      <w:r w:rsidR="00957A8B">
        <w:rPr>
          <w:rFonts w:ascii="Calibri" w:hAnsi="Calibri" w:cs="Calibri"/>
        </w:rPr>
        <w:t xml:space="preserve">. </w:t>
      </w:r>
      <w:r w:rsidR="00DA77E0">
        <w:rPr>
          <w:rFonts w:ascii="Calibri" w:hAnsi="Calibri" w:cs="Calibri"/>
        </w:rPr>
        <w:t xml:space="preserve">By incorporating these perspectives, we hope to </w:t>
      </w:r>
      <w:r w:rsidR="00BC26BE">
        <w:rPr>
          <w:rFonts w:ascii="Calibri" w:hAnsi="Calibri" w:cs="Calibri"/>
        </w:rPr>
        <w:t>contribute to</w:t>
      </w:r>
      <w:r w:rsidR="00DA77E0">
        <w:rPr>
          <w:rFonts w:ascii="Calibri" w:hAnsi="Calibri" w:cs="Calibri"/>
        </w:rPr>
        <w:t xml:space="preserve"> a more constructive and transparent dialogue between the Committee and government representatives. </w:t>
      </w:r>
    </w:p>
    <w:p w14:paraId="58E8ED53" w14:textId="7DC97EDC" w:rsidR="005F2D46" w:rsidRDefault="005F2D46" w:rsidP="000E4056">
      <w:pPr>
        <w:spacing w:line="276" w:lineRule="auto"/>
        <w:rPr>
          <w:rFonts w:ascii="Calibri" w:hAnsi="Calibri" w:cs="Calibri"/>
        </w:rPr>
      </w:pPr>
      <w:r>
        <w:rPr>
          <w:rFonts w:ascii="Calibri" w:hAnsi="Calibri" w:cs="Calibri"/>
        </w:rPr>
        <w:t xml:space="preserve">Another challenge lies in the ongoing push for sex-based frameworks within women’s rights advocacy and UN processes. These frameworks, while presented as protective, often intentionally exclude trans, non-binary, and gender non-conforming people from effective protections. For the Index, resisting this narrowing of rights is essential: the tool is designed to reflect the diverse ways violence manifests across relational dynamics, geopolitical privilege, and economic disparities, and to avoid perpetuating epistemic violence. </w:t>
      </w:r>
    </w:p>
    <w:p w14:paraId="3D584807" w14:textId="2AE983E2" w:rsidR="00164095" w:rsidRDefault="00D07071" w:rsidP="000E4056">
      <w:pPr>
        <w:spacing w:line="276" w:lineRule="auto"/>
        <w:rPr>
          <w:rFonts w:ascii="Calibri" w:hAnsi="Calibri" w:cs="Calibri"/>
        </w:rPr>
      </w:pPr>
      <w:r>
        <w:rPr>
          <w:rFonts w:ascii="Calibri" w:hAnsi="Calibri" w:cs="Calibri"/>
        </w:rPr>
        <w:t>A final</w:t>
      </w:r>
      <w:r w:rsidR="003264D4">
        <w:rPr>
          <w:rFonts w:ascii="Calibri" w:hAnsi="Calibri" w:cs="Calibri"/>
        </w:rPr>
        <w:t xml:space="preserve"> </w:t>
      </w:r>
      <w:r>
        <w:rPr>
          <w:rFonts w:ascii="Calibri" w:hAnsi="Calibri" w:cs="Calibri"/>
        </w:rPr>
        <w:t xml:space="preserve">challenge in </w:t>
      </w:r>
      <w:r w:rsidR="00164095">
        <w:rPr>
          <w:rFonts w:ascii="Calibri" w:hAnsi="Calibri" w:cs="Calibri"/>
        </w:rPr>
        <w:t xml:space="preserve">leveraging </w:t>
      </w:r>
      <w:r>
        <w:rPr>
          <w:rFonts w:ascii="Calibri" w:hAnsi="Calibri" w:cs="Calibri"/>
        </w:rPr>
        <w:t xml:space="preserve">the Index to </w:t>
      </w:r>
      <w:r w:rsidR="00164095">
        <w:rPr>
          <w:rFonts w:ascii="Calibri" w:hAnsi="Calibri" w:cs="Calibri"/>
        </w:rPr>
        <w:t xml:space="preserve">drive change is the persistent issue of government inaction. Despite CEDAW imposing legal obligations on </w:t>
      </w:r>
      <w:r w:rsidR="003F49D8">
        <w:rPr>
          <w:rFonts w:ascii="Calibri" w:hAnsi="Calibri" w:cs="Calibri"/>
        </w:rPr>
        <w:t>S</w:t>
      </w:r>
      <w:r w:rsidR="00164095">
        <w:rPr>
          <w:rFonts w:ascii="Calibri" w:hAnsi="Calibri" w:cs="Calibri"/>
        </w:rPr>
        <w:t>tate</w:t>
      </w:r>
      <w:r w:rsidR="003F49D8">
        <w:rPr>
          <w:rFonts w:ascii="Calibri" w:hAnsi="Calibri" w:cs="Calibri"/>
        </w:rPr>
        <w:t>s</w:t>
      </w:r>
      <w:r w:rsidR="00164095">
        <w:rPr>
          <w:rFonts w:ascii="Calibri" w:hAnsi="Calibri" w:cs="Calibri"/>
        </w:rPr>
        <w:t xml:space="preserve"> </w:t>
      </w:r>
      <w:r w:rsidR="003F49D8">
        <w:rPr>
          <w:rFonts w:ascii="Calibri" w:hAnsi="Calibri" w:cs="Calibri"/>
        </w:rPr>
        <w:t>P</w:t>
      </w:r>
      <w:r w:rsidR="00164095">
        <w:rPr>
          <w:rFonts w:ascii="Calibri" w:hAnsi="Calibri" w:cs="Calibri"/>
        </w:rPr>
        <w:t xml:space="preserve">arties, the Committee </w:t>
      </w:r>
      <w:r w:rsidR="00784DCB">
        <w:rPr>
          <w:rFonts w:ascii="Calibri" w:hAnsi="Calibri" w:cs="Calibri"/>
        </w:rPr>
        <w:t>lacks the ability</w:t>
      </w:r>
      <w:r w:rsidR="00164095">
        <w:rPr>
          <w:rFonts w:ascii="Calibri" w:hAnsi="Calibri" w:cs="Calibri"/>
        </w:rPr>
        <w:t xml:space="preserve"> to </w:t>
      </w:r>
      <w:r w:rsidR="00784DCB">
        <w:rPr>
          <w:rFonts w:ascii="Calibri" w:hAnsi="Calibri" w:cs="Calibri"/>
        </w:rPr>
        <w:t xml:space="preserve">compel </w:t>
      </w:r>
      <w:r w:rsidR="00957A8B">
        <w:rPr>
          <w:rFonts w:ascii="Calibri" w:hAnsi="Calibri" w:cs="Calibri"/>
        </w:rPr>
        <w:t>S</w:t>
      </w:r>
      <w:r w:rsidR="00784DCB">
        <w:rPr>
          <w:rFonts w:ascii="Calibri" w:hAnsi="Calibri" w:cs="Calibri"/>
        </w:rPr>
        <w:t xml:space="preserve">tates to </w:t>
      </w:r>
      <w:r w:rsidR="00164095">
        <w:rPr>
          <w:rFonts w:ascii="Calibri" w:hAnsi="Calibri" w:cs="Calibri"/>
        </w:rPr>
        <w:t xml:space="preserve">address repeated </w:t>
      </w:r>
      <w:r w:rsidR="00784DCB">
        <w:rPr>
          <w:rFonts w:ascii="Calibri" w:hAnsi="Calibri" w:cs="Calibri"/>
        </w:rPr>
        <w:t xml:space="preserve">implementation </w:t>
      </w:r>
      <w:r w:rsidR="00164095">
        <w:rPr>
          <w:rFonts w:ascii="Calibri" w:hAnsi="Calibri" w:cs="Calibri"/>
        </w:rPr>
        <w:t>failure</w:t>
      </w:r>
      <w:r w:rsidR="00957A8B">
        <w:rPr>
          <w:rFonts w:ascii="Calibri" w:hAnsi="Calibri" w:cs="Calibri"/>
        </w:rPr>
        <w:t>s</w:t>
      </w:r>
      <w:r w:rsidR="00164095">
        <w:rPr>
          <w:rFonts w:ascii="Calibri" w:hAnsi="Calibri" w:cs="Calibri"/>
        </w:rPr>
        <w:t>.</w:t>
      </w:r>
      <w:r w:rsidR="00A75AFD">
        <w:rPr>
          <w:rStyle w:val="EndnoteReference"/>
          <w:rFonts w:ascii="Calibri" w:hAnsi="Calibri" w:cs="Calibri"/>
        </w:rPr>
        <w:endnoteReference w:id="27"/>
      </w:r>
      <w:r w:rsidR="00164095">
        <w:rPr>
          <w:rFonts w:ascii="Calibri" w:hAnsi="Calibri" w:cs="Calibri"/>
        </w:rPr>
        <w:t xml:space="preserve"> </w:t>
      </w:r>
      <w:r w:rsidR="00957A8B">
        <w:rPr>
          <w:rFonts w:ascii="Calibri" w:hAnsi="Calibri" w:cs="Calibri"/>
        </w:rPr>
        <w:t>W</w:t>
      </w:r>
      <w:r w:rsidR="000B3B05">
        <w:rPr>
          <w:rFonts w:ascii="Calibri" w:hAnsi="Calibri" w:cs="Calibri"/>
        </w:rPr>
        <w:t xml:space="preserve">hile the Index cannot enforce compliance, it can expose gaps, mobilise civil society, and equip advocates with the data needed to push for meaningful reform. By amplifying the </w:t>
      </w:r>
      <w:r w:rsidR="00957A8B">
        <w:rPr>
          <w:rFonts w:ascii="Calibri" w:hAnsi="Calibri" w:cs="Calibri"/>
        </w:rPr>
        <w:t xml:space="preserve">work of the </w:t>
      </w:r>
      <w:r w:rsidR="000B3B05">
        <w:rPr>
          <w:rFonts w:ascii="Calibri" w:hAnsi="Calibri" w:cs="Calibri"/>
        </w:rPr>
        <w:t>Committee and CSOs</w:t>
      </w:r>
      <w:r w:rsidR="00957A8B">
        <w:rPr>
          <w:rFonts w:ascii="Calibri" w:hAnsi="Calibri" w:cs="Calibri"/>
        </w:rPr>
        <w:t xml:space="preserve">, and by combining data transparency with independent voices, the Index aims to </w:t>
      </w:r>
      <w:r w:rsidR="000B3B05">
        <w:rPr>
          <w:rFonts w:ascii="Calibri" w:hAnsi="Calibri" w:cs="Calibri"/>
        </w:rPr>
        <w:t>strengthen accountability through visibility</w:t>
      </w:r>
      <w:r w:rsidR="00957A8B">
        <w:rPr>
          <w:rFonts w:ascii="Calibri" w:hAnsi="Calibri" w:cs="Calibri"/>
        </w:rPr>
        <w:t xml:space="preserve"> and </w:t>
      </w:r>
      <w:r w:rsidR="000B3B05">
        <w:rPr>
          <w:rFonts w:ascii="Calibri" w:hAnsi="Calibri" w:cs="Calibri"/>
        </w:rPr>
        <w:t>evidence</w:t>
      </w:r>
      <w:r w:rsidR="00957A8B">
        <w:rPr>
          <w:rFonts w:ascii="Calibri" w:hAnsi="Calibri" w:cs="Calibri"/>
        </w:rPr>
        <w:t>.</w:t>
      </w:r>
    </w:p>
    <w:p w14:paraId="61B7A7C6" w14:textId="77777777" w:rsidR="000E4056" w:rsidRDefault="000E4056" w:rsidP="000E4056">
      <w:pPr>
        <w:spacing w:line="276" w:lineRule="auto"/>
        <w:rPr>
          <w:rFonts w:ascii="Calibri" w:hAnsi="Calibri" w:cs="Calibri"/>
        </w:rPr>
      </w:pPr>
    </w:p>
    <w:p w14:paraId="6B536554" w14:textId="5277CFFD" w:rsidR="00A96200" w:rsidRPr="000E4056" w:rsidRDefault="00EE2F32" w:rsidP="000E4056">
      <w:pPr>
        <w:spacing w:line="276" w:lineRule="auto"/>
        <w:rPr>
          <w:rFonts w:ascii="Calibri" w:hAnsi="Calibri" w:cs="Calibri"/>
          <w:sz w:val="30"/>
          <w:szCs w:val="30"/>
        </w:rPr>
      </w:pPr>
      <w:r w:rsidRPr="000E4056">
        <w:rPr>
          <w:rFonts w:ascii="Calibri" w:hAnsi="Calibri" w:cs="Calibri"/>
          <w:sz w:val="30"/>
          <w:szCs w:val="30"/>
        </w:rPr>
        <w:t>Conclu</w:t>
      </w:r>
      <w:r w:rsidR="008A11B1">
        <w:rPr>
          <w:rFonts w:ascii="Calibri" w:hAnsi="Calibri" w:cs="Calibri"/>
          <w:sz w:val="30"/>
          <w:szCs w:val="30"/>
        </w:rPr>
        <w:t>sion</w:t>
      </w:r>
    </w:p>
    <w:p w14:paraId="1B92B003" w14:textId="3253F0E2" w:rsidR="00BB7035" w:rsidRDefault="00DA77E0" w:rsidP="000E4056">
      <w:pPr>
        <w:spacing w:line="276" w:lineRule="auto"/>
        <w:rPr>
          <w:rFonts w:ascii="Calibri" w:hAnsi="Calibri" w:cs="Calibri"/>
        </w:rPr>
      </w:pPr>
      <w:r>
        <w:rPr>
          <w:rFonts w:ascii="Calibri" w:hAnsi="Calibri" w:cs="Calibri"/>
        </w:rPr>
        <w:t xml:space="preserve">The fight for gender equality is at a crossroads. Despite the significant strides made over recent decades, stagnation and backsliding on women’s rights remains a formidable challenge. While mechanisms such as the </w:t>
      </w:r>
      <w:r w:rsidR="008221B5">
        <w:rPr>
          <w:rFonts w:ascii="Calibri" w:hAnsi="Calibri" w:cs="Calibri"/>
        </w:rPr>
        <w:t xml:space="preserve">UN </w:t>
      </w:r>
      <w:r>
        <w:rPr>
          <w:rFonts w:ascii="Calibri" w:hAnsi="Calibri" w:cs="Calibri"/>
        </w:rPr>
        <w:t>CEDAW review</w:t>
      </w:r>
      <w:r w:rsidR="008221B5">
        <w:rPr>
          <w:rFonts w:ascii="Calibri" w:hAnsi="Calibri" w:cs="Calibri"/>
        </w:rPr>
        <w:t xml:space="preserve"> process</w:t>
      </w:r>
      <w:r>
        <w:rPr>
          <w:rFonts w:ascii="Calibri" w:hAnsi="Calibri" w:cs="Calibri"/>
        </w:rPr>
        <w:t xml:space="preserve"> provide a framework for accountability, the lack of systematic and accessible monitoring </w:t>
      </w:r>
      <w:r w:rsidR="008212DB">
        <w:rPr>
          <w:rFonts w:ascii="Calibri" w:hAnsi="Calibri" w:cs="Calibri"/>
        </w:rPr>
        <w:t>continues to hinder efforts to hold governments to account.</w:t>
      </w:r>
    </w:p>
    <w:p w14:paraId="42ADA0AE" w14:textId="0F2E72D6" w:rsidR="00BB7035" w:rsidRDefault="00DA77E0" w:rsidP="000E4056">
      <w:pPr>
        <w:spacing w:line="276" w:lineRule="auto"/>
        <w:rPr>
          <w:rFonts w:ascii="Calibri" w:hAnsi="Calibri" w:cs="Calibri"/>
        </w:rPr>
      </w:pPr>
      <w:r>
        <w:rPr>
          <w:rFonts w:ascii="Calibri" w:hAnsi="Calibri" w:cs="Calibri"/>
        </w:rPr>
        <w:t xml:space="preserve">The CEDAW Index </w:t>
      </w:r>
      <w:r w:rsidR="00075C65">
        <w:rPr>
          <w:rFonts w:ascii="Calibri" w:hAnsi="Calibri" w:cs="Calibri"/>
        </w:rPr>
        <w:t>described here</w:t>
      </w:r>
      <w:r w:rsidR="00BB7035">
        <w:rPr>
          <w:rFonts w:ascii="Calibri" w:hAnsi="Calibri" w:cs="Calibri"/>
        </w:rPr>
        <w:t xml:space="preserve"> aims to address these challenges by providing a comprehensive, systematic approach to tracking and analysing the Committee’s recommendations, government actions, and civil society reporting. </w:t>
      </w:r>
      <w:r w:rsidR="00075C65">
        <w:rPr>
          <w:rFonts w:ascii="Calibri" w:hAnsi="Calibri" w:cs="Calibri"/>
        </w:rPr>
        <w:t>In its pilot form, t</w:t>
      </w:r>
      <w:r w:rsidR="00BB7035">
        <w:rPr>
          <w:rFonts w:ascii="Calibri" w:hAnsi="Calibri" w:cs="Calibri"/>
        </w:rPr>
        <w:t xml:space="preserve">his tool offers a unique opportunity to evaluate how well </w:t>
      </w:r>
      <w:r w:rsidR="002F5F37">
        <w:rPr>
          <w:rFonts w:ascii="Calibri" w:hAnsi="Calibri" w:cs="Calibri"/>
        </w:rPr>
        <w:t>S</w:t>
      </w:r>
      <w:r w:rsidR="00BB7035">
        <w:rPr>
          <w:rFonts w:ascii="Calibri" w:hAnsi="Calibri" w:cs="Calibri"/>
        </w:rPr>
        <w:t xml:space="preserve">tates are meeting their CEDAW obligations relating to </w:t>
      </w:r>
      <w:r w:rsidR="00075C65">
        <w:rPr>
          <w:rFonts w:ascii="Calibri" w:hAnsi="Calibri" w:cs="Calibri"/>
        </w:rPr>
        <w:t>GBV</w:t>
      </w:r>
      <w:r w:rsidR="00BB7035">
        <w:rPr>
          <w:rFonts w:ascii="Calibri" w:hAnsi="Calibri" w:cs="Calibri"/>
        </w:rPr>
        <w:t xml:space="preserve">. </w:t>
      </w:r>
      <w:r w:rsidR="00980263">
        <w:rPr>
          <w:rFonts w:ascii="Calibri" w:hAnsi="Calibri" w:cs="Calibri"/>
        </w:rPr>
        <w:t xml:space="preserve">Despite </w:t>
      </w:r>
      <w:r w:rsidR="00B87177">
        <w:rPr>
          <w:rFonts w:ascii="Calibri" w:hAnsi="Calibri" w:cs="Calibri"/>
        </w:rPr>
        <w:t>the</w:t>
      </w:r>
      <w:r w:rsidR="00980263">
        <w:rPr>
          <w:rFonts w:ascii="Calibri" w:hAnsi="Calibri" w:cs="Calibri"/>
        </w:rPr>
        <w:t xml:space="preserve"> challenges</w:t>
      </w:r>
      <w:r w:rsidR="008212DB">
        <w:rPr>
          <w:rFonts w:ascii="Calibri" w:hAnsi="Calibri" w:cs="Calibri"/>
        </w:rPr>
        <w:t xml:space="preserve"> outlined earlier</w:t>
      </w:r>
      <w:r w:rsidR="00B87177">
        <w:rPr>
          <w:rFonts w:ascii="Calibri" w:hAnsi="Calibri" w:cs="Calibri"/>
        </w:rPr>
        <w:t>,</w:t>
      </w:r>
      <w:r w:rsidR="00980263">
        <w:rPr>
          <w:rFonts w:ascii="Calibri" w:hAnsi="Calibri" w:cs="Calibri"/>
        </w:rPr>
        <w:t xml:space="preserve"> </w:t>
      </w:r>
      <w:r w:rsidR="008212DB">
        <w:rPr>
          <w:rFonts w:ascii="Calibri" w:hAnsi="Calibri" w:cs="Calibri"/>
        </w:rPr>
        <w:t>the Index offers a pathway to strengthening transparency and accountability in international women’s rights implementation.</w:t>
      </w:r>
      <w:r w:rsidR="00980263">
        <w:rPr>
          <w:rFonts w:ascii="Calibri" w:hAnsi="Calibri" w:cs="Calibri"/>
        </w:rPr>
        <w:t xml:space="preserve"> </w:t>
      </w:r>
    </w:p>
    <w:p w14:paraId="2CB82343" w14:textId="76D6EA2F" w:rsidR="00980263" w:rsidRDefault="00980263" w:rsidP="000E4056">
      <w:pPr>
        <w:spacing w:line="276" w:lineRule="auto"/>
        <w:rPr>
          <w:rFonts w:ascii="Calibri" w:hAnsi="Calibri" w:cs="Calibri"/>
        </w:rPr>
      </w:pPr>
      <w:r>
        <w:rPr>
          <w:rFonts w:ascii="Calibri" w:hAnsi="Calibri" w:cs="Calibri"/>
        </w:rPr>
        <w:t>While the CEDAW review process may often represent a tipping point</w:t>
      </w:r>
      <w:r w:rsidR="00715D26">
        <w:rPr>
          <w:rFonts w:ascii="Calibri" w:hAnsi="Calibri" w:cs="Calibri"/>
        </w:rPr>
        <w:t xml:space="preserve"> - </w:t>
      </w:r>
      <w:r>
        <w:rPr>
          <w:rFonts w:ascii="Calibri" w:hAnsi="Calibri" w:cs="Calibri"/>
        </w:rPr>
        <w:t>spurring governments to act</w:t>
      </w:r>
      <w:r w:rsidR="00B87177">
        <w:rPr>
          <w:rFonts w:ascii="Calibri" w:hAnsi="Calibri" w:cs="Calibri"/>
        </w:rPr>
        <w:t xml:space="preserve"> only</w:t>
      </w:r>
      <w:r>
        <w:rPr>
          <w:rFonts w:ascii="Calibri" w:hAnsi="Calibri" w:cs="Calibri"/>
        </w:rPr>
        <w:t xml:space="preserve"> after extended periods</w:t>
      </w:r>
      <w:r w:rsidR="004711A0">
        <w:rPr>
          <w:rFonts w:ascii="Calibri" w:hAnsi="Calibri" w:cs="Calibri"/>
        </w:rPr>
        <w:t xml:space="preserve"> of </w:t>
      </w:r>
      <w:r w:rsidR="004711A0" w:rsidRPr="00CF747D">
        <w:rPr>
          <w:rFonts w:ascii="Calibri" w:hAnsi="Calibri" w:cs="Calibri"/>
        </w:rPr>
        <w:t>advocacy</w:t>
      </w:r>
      <w:r w:rsidR="00715D26" w:rsidRPr="00CF747D">
        <w:rPr>
          <w:rFonts w:ascii="Calibri" w:hAnsi="Calibri" w:cs="Calibri"/>
        </w:rPr>
        <w:t xml:space="preserve"> -</w:t>
      </w:r>
      <w:r w:rsidRPr="00CF747D">
        <w:rPr>
          <w:rFonts w:ascii="Calibri" w:hAnsi="Calibri" w:cs="Calibri"/>
        </w:rPr>
        <w:t xml:space="preserve"> it remains </w:t>
      </w:r>
      <w:r w:rsidR="00715D26" w:rsidRPr="00CF747D">
        <w:rPr>
          <w:rFonts w:ascii="Calibri" w:hAnsi="Calibri" w:cs="Calibri"/>
        </w:rPr>
        <w:t xml:space="preserve">one of the strongest </w:t>
      </w:r>
      <w:r w:rsidR="00715D26" w:rsidRPr="00CF747D">
        <w:rPr>
          <w:rFonts w:ascii="Calibri" w:hAnsi="Calibri" w:cs="Calibri"/>
        </w:rPr>
        <w:lastRenderedPageBreak/>
        <w:t>global</w:t>
      </w:r>
      <w:r w:rsidRPr="00CF747D">
        <w:rPr>
          <w:rFonts w:ascii="Calibri" w:hAnsi="Calibri" w:cs="Calibri"/>
        </w:rPr>
        <w:t xml:space="preserve"> mechanism</w:t>
      </w:r>
      <w:r w:rsidR="00715D26" w:rsidRPr="00CF747D">
        <w:rPr>
          <w:rFonts w:ascii="Calibri" w:hAnsi="Calibri" w:cs="Calibri"/>
        </w:rPr>
        <w:t>s</w:t>
      </w:r>
      <w:r w:rsidRPr="00CF747D">
        <w:rPr>
          <w:rFonts w:ascii="Calibri" w:hAnsi="Calibri" w:cs="Calibri"/>
        </w:rPr>
        <w:t xml:space="preserve"> </w:t>
      </w:r>
      <w:r w:rsidR="00715D26" w:rsidRPr="00CF747D">
        <w:rPr>
          <w:rFonts w:ascii="Calibri" w:hAnsi="Calibri" w:cs="Calibri"/>
        </w:rPr>
        <w:t>available to leverage</w:t>
      </w:r>
      <w:r w:rsidR="00CF747D" w:rsidRPr="00CF747D">
        <w:rPr>
          <w:rFonts w:ascii="Calibri" w:hAnsi="Calibri" w:cs="Calibri"/>
        </w:rPr>
        <w:t xml:space="preserve"> international</w:t>
      </w:r>
      <w:r w:rsidR="00715D26" w:rsidRPr="00CF747D">
        <w:rPr>
          <w:rFonts w:ascii="Calibri" w:hAnsi="Calibri" w:cs="Calibri"/>
        </w:rPr>
        <w:t xml:space="preserve"> legal obligations</w:t>
      </w:r>
      <w:r w:rsidR="00CF747D" w:rsidRPr="00CF747D">
        <w:rPr>
          <w:rFonts w:ascii="Calibri" w:hAnsi="Calibri" w:cs="Calibri"/>
        </w:rPr>
        <w:t xml:space="preserve"> for women’s rights.</w:t>
      </w:r>
      <w:r w:rsidRPr="00CF747D">
        <w:rPr>
          <w:rFonts w:ascii="Calibri" w:hAnsi="Calibri" w:cs="Calibri"/>
        </w:rPr>
        <w:t xml:space="preserve"> </w:t>
      </w:r>
      <w:r>
        <w:rPr>
          <w:rFonts w:ascii="Calibri" w:hAnsi="Calibri" w:cs="Calibri"/>
        </w:rPr>
        <w:t>Our review of laws implemented following CEDAW reviews demonstrated that 47% of law-related recommendations were implemented in low-income countries, 48% in lower-middle and upper-middle income countries, and 53% in high income countries.</w:t>
      </w:r>
      <w:r w:rsidR="00A75AFD">
        <w:rPr>
          <w:rStyle w:val="EndnoteReference"/>
          <w:rFonts w:ascii="Calibri" w:hAnsi="Calibri" w:cs="Calibri"/>
        </w:rPr>
        <w:endnoteReference w:id="28"/>
      </w:r>
      <w:r>
        <w:rPr>
          <w:rFonts w:ascii="Calibri" w:hAnsi="Calibri" w:cs="Calibri"/>
        </w:rPr>
        <w:t xml:space="preserve"> Additionally</w:t>
      </w:r>
      <w:r w:rsidR="0001503B">
        <w:rPr>
          <w:rFonts w:ascii="Calibri" w:hAnsi="Calibri" w:cs="Calibri"/>
        </w:rPr>
        <w:t xml:space="preserve">, </w:t>
      </w:r>
      <w:r>
        <w:rPr>
          <w:rFonts w:ascii="Calibri" w:hAnsi="Calibri" w:cs="Calibri"/>
        </w:rPr>
        <w:t xml:space="preserve">we found that 14 countries had implemented or amended laws after initially failing to acknowledge the Committee’s recommendations during their reviews. For example, in Nepal, penalties for marital rape were increased from up to six months to five years, while Angola updated its Penal Code to criminalise female genital mutilation. Bolivia legalised the termination of pregnancy in cases of rape, and Lesotho introduced a Counter Domestic Violence Bill. </w:t>
      </w:r>
      <w:r w:rsidR="004711A0">
        <w:rPr>
          <w:rFonts w:ascii="Calibri" w:hAnsi="Calibri" w:cs="Calibri"/>
        </w:rPr>
        <w:t>These examples highlight that while the process of women’s rights implementation is often non-linear and drawn out, the strategic actions of advocates</w:t>
      </w:r>
      <w:r w:rsidR="003B7676">
        <w:rPr>
          <w:rFonts w:ascii="Calibri" w:hAnsi="Calibri" w:cs="Calibri"/>
        </w:rPr>
        <w:t xml:space="preserve"> and women’s movements</w:t>
      </w:r>
      <w:r w:rsidR="004711A0">
        <w:rPr>
          <w:rFonts w:ascii="Calibri" w:hAnsi="Calibri" w:cs="Calibri"/>
        </w:rPr>
        <w:t xml:space="preserve"> </w:t>
      </w:r>
      <w:r w:rsidR="001A68BF">
        <w:rPr>
          <w:rFonts w:ascii="Calibri" w:hAnsi="Calibri" w:cs="Calibri"/>
        </w:rPr>
        <w:t xml:space="preserve">have and continue to </w:t>
      </w:r>
      <w:r w:rsidR="004711A0">
        <w:rPr>
          <w:rFonts w:ascii="Calibri" w:hAnsi="Calibri" w:cs="Calibri"/>
        </w:rPr>
        <w:t>play a critical role in getting GBV reforms and essential program</w:t>
      </w:r>
      <w:r w:rsidR="00190FE8">
        <w:rPr>
          <w:rFonts w:ascii="Calibri" w:hAnsi="Calibri" w:cs="Calibri"/>
        </w:rPr>
        <w:t>s</w:t>
      </w:r>
      <w:r w:rsidR="004711A0">
        <w:rPr>
          <w:rFonts w:ascii="Calibri" w:hAnsi="Calibri" w:cs="Calibri"/>
        </w:rPr>
        <w:t xml:space="preserve"> and services over the line.</w:t>
      </w:r>
      <w:r w:rsidR="00A75AFD">
        <w:rPr>
          <w:rStyle w:val="EndnoteReference"/>
          <w:rFonts w:ascii="Calibri" w:hAnsi="Calibri" w:cs="Calibri"/>
        </w:rPr>
        <w:endnoteReference w:id="29"/>
      </w:r>
      <w:r w:rsidR="004711A0">
        <w:rPr>
          <w:rFonts w:ascii="Calibri" w:hAnsi="Calibri" w:cs="Calibri"/>
        </w:rPr>
        <w:t xml:space="preserve"> </w:t>
      </w:r>
    </w:p>
    <w:p w14:paraId="20765863" w14:textId="2ECCB8D5" w:rsidR="00BB7035" w:rsidRPr="009D12CB" w:rsidRDefault="00190FE8" w:rsidP="000E4056">
      <w:pPr>
        <w:spacing w:line="276" w:lineRule="auto"/>
        <w:rPr>
          <w:rFonts w:ascii="Calibri" w:hAnsi="Calibri" w:cs="Calibri"/>
        </w:rPr>
      </w:pPr>
      <w:r>
        <w:rPr>
          <w:rFonts w:ascii="Calibri" w:hAnsi="Calibri" w:cs="Calibri"/>
        </w:rPr>
        <w:t>Ultimately, t</w:t>
      </w:r>
      <w:r w:rsidR="009D12CB">
        <w:rPr>
          <w:rFonts w:ascii="Calibri" w:hAnsi="Calibri" w:cs="Calibri"/>
        </w:rPr>
        <w:t xml:space="preserve">he development of tools </w:t>
      </w:r>
      <w:r w:rsidR="00B87177">
        <w:rPr>
          <w:rFonts w:ascii="Calibri" w:hAnsi="Calibri" w:cs="Calibri"/>
        </w:rPr>
        <w:t>such as</w:t>
      </w:r>
      <w:r w:rsidR="009D12CB">
        <w:rPr>
          <w:rFonts w:ascii="Calibri" w:hAnsi="Calibri" w:cs="Calibri"/>
        </w:rPr>
        <w:t xml:space="preserve"> the CEDAW Index</w:t>
      </w:r>
      <w:r w:rsidR="00075C65">
        <w:rPr>
          <w:rFonts w:ascii="Calibri" w:hAnsi="Calibri" w:cs="Calibri"/>
        </w:rPr>
        <w:t>,</w:t>
      </w:r>
      <w:r w:rsidR="009D12CB">
        <w:rPr>
          <w:rFonts w:ascii="Calibri" w:hAnsi="Calibri" w:cs="Calibri"/>
        </w:rPr>
        <w:t xml:space="preserve"> c</w:t>
      </w:r>
      <w:r w:rsidR="004B1BF9">
        <w:rPr>
          <w:rFonts w:ascii="Calibri" w:hAnsi="Calibri" w:cs="Calibri"/>
        </w:rPr>
        <w:t>oupled</w:t>
      </w:r>
      <w:r w:rsidR="009D12CB">
        <w:rPr>
          <w:rFonts w:ascii="Calibri" w:hAnsi="Calibri" w:cs="Calibri"/>
        </w:rPr>
        <w:t xml:space="preserve"> with sustain</w:t>
      </w:r>
      <w:r w:rsidR="00A114F8">
        <w:rPr>
          <w:rFonts w:ascii="Calibri" w:hAnsi="Calibri" w:cs="Calibri"/>
        </w:rPr>
        <w:t>ed</w:t>
      </w:r>
      <w:r w:rsidR="009D12CB">
        <w:rPr>
          <w:rFonts w:ascii="Calibri" w:hAnsi="Calibri" w:cs="Calibri"/>
        </w:rPr>
        <w:t xml:space="preserve"> advocacy efforts</w:t>
      </w:r>
      <w:r w:rsidR="004B1BF9">
        <w:rPr>
          <w:rFonts w:ascii="Calibri" w:hAnsi="Calibri" w:cs="Calibri"/>
        </w:rPr>
        <w:t>, offer</w:t>
      </w:r>
      <w:r w:rsidR="009D12CB">
        <w:rPr>
          <w:rFonts w:ascii="Calibri" w:hAnsi="Calibri" w:cs="Calibri"/>
        </w:rPr>
        <w:t xml:space="preserve"> </w:t>
      </w:r>
      <w:r w:rsidR="004B1BF9">
        <w:rPr>
          <w:rFonts w:ascii="Calibri" w:hAnsi="Calibri" w:cs="Calibri"/>
        </w:rPr>
        <w:t>a powerful pathway to enhancing</w:t>
      </w:r>
      <w:r w:rsidR="009D12CB">
        <w:rPr>
          <w:rFonts w:ascii="Calibri" w:hAnsi="Calibri" w:cs="Calibri"/>
        </w:rPr>
        <w:t xml:space="preserve"> the transparency, accountability, and </w:t>
      </w:r>
      <w:r w:rsidR="004B1BF9">
        <w:rPr>
          <w:rFonts w:ascii="Calibri" w:hAnsi="Calibri" w:cs="Calibri"/>
        </w:rPr>
        <w:t>impact</w:t>
      </w:r>
      <w:r w:rsidR="009D12CB">
        <w:rPr>
          <w:rFonts w:ascii="Calibri" w:hAnsi="Calibri" w:cs="Calibri"/>
        </w:rPr>
        <w:t xml:space="preserve"> of government actions on women’s rights. By providing</w:t>
      </w:r>
      <w:r w:rsidR="004B1BF9">
        <w:rPr>
          <w:rFonts w:ascii="Calibri" w:hAnsi="Calibri" w:cs="Calibri"/>
        </w:rPr>
        <w:t xml:space="preserve"> robust</w:t>
      </w:r>
      <w:r w:rsidR="00B87177">
        <w:rPr>
          <w:rFonts w:ascii="Calibri" w:hAnsi="Calibri" w:cs="Calibri"/>
        </w:rPr>
        <w:t>,</w:t>
      </w:r>
      <w:r w:rsidR="009D12CB">
        <w:rPr>
          <w:rFonts w:ascii="Calibri" w:hAnsi="Calibri" w:cs="Calibri"/>
        </w:rPr>
        <w:t xml:space="preserve"> data</w:t>
      </w:r>
      <w:r w:rsidR="004B1BF9">
        <w:rPr>
          <w:rFonts w:ascii="Calibri" w:hAnsi="Calibri" w:cs="Calibri"/>
        </w:rPr>
        <w:t>-driven insights</w:t>
      </w:r>
      <w:r w:rsidR="009D12CB">
        <w:rPr>
          <w:rFonts w:ascii="Calibri" w:hAnsi="Calibri" w:cs="Calibri"/>
        </w:rPr>
        <w:t>, fostering collaboration</w:t>
      </w:r>
      <w:r w:rsidR="004B1BF9">
        <w:rPr>
          <w:rFonts w:ascii="Calibri" w:hAnsi="Calibri" w:cs="Calibri"/>
        </w:rPr>
        <w:t xml:space="preserve"> across sectors,</w:t>
      </w:r>
      <w:r w:rsidR="009D12CB">
        <w:rPr>
          <w:rFonts w:ascii="Calibri" w:hAnsi="Calibri" w:cs="Calibri"/>
        </w:rPr>
        <w:t xml:space="preserve"> and ensuring th</w:t>
      </w:r>
      <w:r w:rsidR="004B1BF9">
        <w:rPr>
          <w:rFonts w:ascii="Calibri" w:hAnsi="Calibri" w:cs="Calibri"/>
        </w:rPr>
        <w:t>at diverse voices – particularly those of civil society – are amplified in the process</w:t>
      </w:r>
      <w:r w:rsidR="009D12CB">
        <w:rPr>
          <w:rFonts w:ascii="Calibri" w:hAnsi="Calibri" w:cs="Calibri"/>
        </w:rPr>
        <w:t>, we can move closer to realising the global commitment to gender equality</w:t>
      </w:r>
      <w:r w:rsidR="004B1BF9">
        <w:rPr>
          <w:rFonts w:ascii="Calibri" w:hAnsi="Calibri" w:cs="Calibri"/>
        </w:rPr>
        <w:t xml:space="preserve"> and advancing the rights of women and girls everywhere. </w:t>
      </w:r>
    </w:p>
    <w:p w14:paraId="18869B96" w14:textId="77777777" w:rsidR="00675FE0" w:rsidRDefault="00675FE0" w:rsidP="000E4056">
      <w:pPr>
        <w:spacing w:line="276" w:lineRule="auto"/>
        <w:rPr>
          <w:rFonts w:ascii="Calibri" w:hAnsi="Calibri" w:cs="Calibri"/>
        </w:rPr>
      </w:pPr>
    </w:p>
    <w:p w14:paraId="66D07B61" w14:textId="514F0172" w:rsidR="000023CA" w:rsidRPr="000023CA" w:rsidRDefault="002A7536" w:rsidP="000E4056">
      <w:pPr>
        <w:spacing w:line="276" w:lineRule="auto"/>
        <w:rPr>
          <w:rFonts w:ascii="Calibri" w:hAnsi="Calibri" w:cs="Calibri"/>
        </w:rPr>
      </w:pPr>
      <w:r>
        <w:rPr>
          <w:rFonts w:ascii="Calibri" w:hAnsi="Calibri" w:cs="Calibri"/>
        </w:rPr>
        <w:t>References</w:t>
      </w:r>
    </w:p>
    <w:sectPr w:rsidR="000023CA" w:rsidRPr="000023CA" w:rsidSect="008577E7">
      <w:headerReference w:type="default" r:id="rId9"/>
      <w:footerReference w:type="default" r:id="rId10"/>
      <w:endnotePr>
        <w:numFmt w:val="decimal"/>
      </w:endnotePr>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B2263D" w14:textId="77777777" w:rsidR="00C70AC6" w:rsidRDefault="00C70AC6" w:rsidP="00030512">
      <w:pPr>
        <w:spacing w:after="0" w:line="240" w:lineRule="auto"/>
      </w:pPr>
      <w:r>
        <w:separator/>
      </w:r>
    </w:p>
  </w:endnote>
  <w:endnote w:type="continuationSeparator" w:id="0">
    <w:p w14:paraId="740ED9D8" w14:textId="77777777" w:rsidR="00C70AC6" w:rsidRDefault="00C70AC6" w:rsidP="00030512">
      <w:pPr>
        <w:spacing w:after="0" w:line="240" w:lineRule="auto"/>
      </w:pPr>
      <w:r>
        <w:continuationSeparator/>
      </w:r>
    </w:p>
  </w:endnote>
  <w:endnote w:type="continuationNotice" w:id="1">
    <w:p w14:paraId="2F34901E" w14:textId="77777777" w:rsidR="00C70AC6" w:rsidRDefault="00C70AC6">
      <w:pPr>
        <w:spacing w:after="0" w:line="240" w:lineRule="auto"/>
      </w:pPr>
    </w:p>
  </w:endnote>
  <w:endnote w:id="2">
    <w:p w14:paraId="2A618788" w14:textId="52DA3BB9" w:rsidR="00FA374E" w:rsidRDefault="00FA374E" w:rsidP="007E431E">
      <w:pPr>
        <w:pStyle w:val="EndnoteText"/>
        <w:spacing w:line="276" w:lineRule="auto"/>
      </w:pPr>
      <w:r>
        <w:rPr>
          <w:rStyle w:val="EndnoteReference"/>
        </w:rPr>
        <w:endnoteRef/>
      </w:r>
      <w:r>
        <w:t xml:space="preserve"> </w:t>
      </w:r>
      <w:r w:rsidRPr="00FA374E">
        <w:t xml:space="preserve">UN Women, </w:t>
      </w:r>
      <w:r w:rsidRPr="00FA374E">
        <w:rPr>
          <w:i/>
          <w:iCs/>
        </w:rPr>
        <w:t>Progress on the Sustainable Development Goals: The Gender Snapshot 2024</w:t>
      </w:r>
      <w:r w:rsidRPr="00FA374E">
        <w:t xml:space="preserve"> (</w:t>
      </w:r>
      <w:r w:rsidR="00BE2A76">
        <w:t>UN Women</w:t>
      </w:r>
      <w:r w:rsidRPr="00FA374E">
        <w:t xml:space="preserve"> 2024). </w:t>
      </w:r>
      <w:r w:rsidR="00F516BC">
        <w:t>New York: UN Women.</w:t>
      </w:r>
    </w:p>
  </w:endnote>
  <w:endnote w:id="3">
    <w:p w14:paraId="3771E552" w14:textId="0FECA072" w:rsidR="00FA374E" w:rsidRDefault="00FA374E" w:rsidP="007E431E">
      <w:pPr>
        <w:pStyle w:val="EndnoteText"/>
        <w:spacing w:line="276" w:lineRule="auto"/>
      </w:pPr>
      <w:r>
        <w:rPr>
          <w:rStyle w:val="EndnoteReference"/>
        </w:rPr>
        <w:endnoteRef/>
      </w:r>
      <w:r>
        <w:t xml:space="preserve"> </w:t>
      </w:r>
      <w:r w:rsidRPr="00FA374E">
        <w:t>Equal Measures 2030</w:t>
      </w:r>
      <w:r w:rsidR="00F516BC">
        <w:t xml:space="preserve"> (2024)</w:t>
      </w:r>
      <w:r w:rsidRPr="00FA374E">
        <w:t xml:space="preserve">, </w:t>
      </w:r>
      <w:r w:rsidRPr="00FA374E">
        <w:rPr>
          <w:i/>
          <w:iCs/>
        </w:rPr>
        <w:t>2024 SDG Gender Index</w:t>
      </w:r>
      <w:r w:rsidR="00F516BC">
        <w:t>. Available at:</w:t>
      </w:r>
      <w:r w:rsidRPr="00FA374E">
        <w:t xml:space="preserve"> </w:t>
      </w:r>
      <w:r w:rsidRPr="00BE2A76">
        <w:t>https://equalmeasures2030.org/2024-sdg-gender-index/</w:t>
      </w:r>
      <w:r w:rsidRPr="00FA374E">
        <w:t>.</w:t>
      </w:r>
    </w:p>
  </w:endnote>
  <w:endnote w:id="4">
    <w:p w14:paraId="0BDAF683" w14:textId="1CB9CD84" w:rsidR="00FA374E" w:rsidRDefault="00FA374E" w:rsidP="007E431E">
      <w:pPr>
        <w:pStyle w:val="EndnoteText"/>
        <w:spacing w:line="276" w:lineRule="auto"/>
      </w:pPr>
      <w:r>
        <w:rPr>
          <w:rStyle w:val="EndnoteReference"/>
        </w:rPr>
        <w:endnoteRef/>
      </w:r>
      <w:r>
        <w:t xml:space="preserve"> </w:t>
      </w:r>
      <w:r w:rsidRPr="00FA374E">
        <w:t>World Health Organization</w:t>
      </w:r>
      <w:r w:rsidR="00F516BC">
        <w:t xml:space="preserve"> (2018)</w:t>
      </w:r>
      <w:r w:rsidRPr="00FA374E">
        <w:t xml:space="preserve">, </w:t>
      </w:r>
      <w:r w:rsidRPr="00FA374E">
        <w:rPr>
          <w:i/>
          <w:iCs/>
        </w:rPr>
        <w:t>Global Status Report on Alcohol and Health 2018</w:t>
      </w:r>
      <w:r w:rsidR="00F516BC">
        <w:rPr>
          <w:i/>
          <w:iCs/>
        </w:rPr>
        <w:t>. Geneva: WHO.</w:t>
      </w:r>
      <w:r w:rsidRPr="00FA374E">
        <w:t xml:space="preserve">  </w:t>
      </w:r>
    </w:p>
  </w:endnote>
  <w:endnote w:id="5">
    <w:p w14:paraId="2CADD169" w14:textId="01396131" w:rsidR="00FA374E" w:rsidRDefault="00FA374E" w:rsidP="007E431E">
      <w:pPr>
        <w:pStyle w:val="EndnoteText"/>
        <w:spacing w:line="276" w:lineRule="auto"/>
      </w:pPr>
      <w:r>
        <w:rPr>
          <w:rStyle w:val="EndnoteReference"/>
        </w:rPr>
        <w:endnoteRef/>
      </w:r>
      <w:r>
        <w:t xml:space="preserve"> </w:t>
      </w:r>
      <w:r w:rsidR="00BE2A76">
        <w:t xml:space="preserve">United Nations Office on Drugs and Crime (UNODC) and </w:t>
      </w:r>
      <w:r w:rsidR="00F516BC">
        <w:t>UN Women (2023)</w:t>
      </w:r>
      <w:r w:rsidRPr="00FA374E">
        <w:t xml:space="preserve">, </w:t>
      </w:r>
      <w:r w:rsidRPr="00FA374E">
        <w:rPr>
          <w:i/>
          <w:iCs/>
        </w:rPr>
        <w:t xml:space="preserve">Gender-related Killings of Women and Girls (Femicide/Feminicide): Global Estimates </w:t>
      </w:r>
      <w:r w:rsidR="002A43FA">
        <w:rPr>
          <w:i/>
          <w:iCs/>
        </w:rPr>
        <w:t xml:space="preserve">of Female Partner/Family-related Homicides in </w:t>
      </w:r>
      <w:r w:rsidRPr="00FA374E">
        <w:rPr>
          <w:i/>
          <w:iCs/>
        </w:rPr>
        <w:t>2022</w:t>
      </w:r>
      <w:r w:rsidR="00F516BC">
        <w:rPr>
          <w:i/>
          <w:iCs/>
        </w:rPr>
        <w:t xml:space="preserve">. </w:t>
      </w:r>
      <w:r w:rsidR="00F516BC">
        <w:t>Vienna:</w:t>
      </w:r>
      <w:r w:rsidRPr="00FA374E">
        <w:t xml:space="preserve"> </w:t>
      </w:r>
      <w:r w:rsidR="00BE2A76">
        <w:t>UNODC</w:t>
      </w:r>
      <w:r w:rsidR="00F516BC">
        <w:t>.</w:t>
      </w:r>
    </w:p>
  </w:endnote>
  <w:endnote w:id="6">
    <w:p w14:paraId="4234F0BF" w14:textId="6476CCB7" w:rsidR="00FA374E" w:rsidRDefault="00FA374E" w:rsidP="007E431E">
      <w:pPr>
        <w:pStyle w:val="EndnoteText"/>
        <w:spacing w:line="276" w:lineRule="auto"/>
      </w:pPr>
      <w:r>
        <w:rPr>
          <w:rStyle w:val="EndnoteReference"/>
        </w:rPr>
        <w:endnoteRef/>
      </w:r>
      <w:r>
        <w:t xml:space="preserve"> </w:t>
      </w:r>
      <w:r w:rsidR="00CE0B8F" w:rsidRPr="00CE0B8F">
        <w:t>World Health Organization</w:t>
      </w:r>
      <w:r w:rsidR="00F516BC">
        <w:t xml:space="preserve"> (2021)</w:t>
      </w:r>
      <w:r w:rsidR="00CE0B8F" w:rsidRPr="00CE0B8F">
        <w:t xml:space="preserve">, </w:t>
      </w:r>
      <w:r w:rsidR="00CE0B8F" w:rsidRPr="00CE0B8F">
        <w:rPr>
          <w:i/>
          <w:iCs/>
        </w:rPr>
        <w:t>Violence Against Women Prevalence Estimates, 2018</w:t>
      </w:r>
      <w:r w:rsidR="00F516BC">
        <w:t xml:space="preserve">: </w:t>
      </w:r>
      <w:r w:rsidR="00F516BC">
        <w:rPr>
          <w:i/>
          <w:iCs/>
        </w:rPr>
        <w:t>Global, Regional, and National Prevalence Estimates for Intimate Partner Violence Against Women and Global and Regional Prevalance Estimates for Non-partner Sexual Violence Against Women.</w:t>
      </w:r>
      <w:r w:rsidR="00CE0B8F" w:rsidRPr="00CE0B8F">
        <w:t xml:space="preserve"> </w:t>
      </w:r>
      <w:r w:rsidR="00F516BC">
        <w:t>Geneva: WHO.</w:t>
      </w:r>
    </w:p>
  </w:endnote>
  <w:endnote w:id="7">
    <w:p w14:paraId="28E7EA3B" w14:textId="589A12D3" w:rsidR="00CE0B8F" w:rsidRDefault="00CE0B8F" w:rsidP="007E431E">
      <w:pPr>
        <w:pStyle w:val="EndnoteText"/>
        <w:spacing w:line="276" w:lineRule="auto"/>
      </w:pPr>
      <w:r>
        <w:rPr>
          <w:rStyle w:val="EndnoteReference"/>
        </w:rPr>
        <w:endnoteRef/>
      </w:r>
      <w:r>
        <w:t xml:space="preserve"> </w:t>
      </w:r>
      <w:r w:rsidRPr="00CE0B8F">
        <w:t>U</w:t>
      </w:r>
      <w:r w:rsidR="00BE2A76">
        <w:t>nited Nations Population Fund (U</w:t>
      </w:r>
      <w:r w:rsidRPr="00CE0B8F">
        <w:t>NFPA</w:t>
      </w:r>
      <w:r w:rsidR="00BE2A76">
        <w:t>)</w:t>
      </w:r>
      <w:r w:rsidR="00F516BC">
        <w:t xml:space="preserve"> (2020)</w:t>
      </w:r>
      <w:r w:rsidRPr="00CE0B8F">
        <w:t xml:space="preserve">, </w:t>
      </w:r>
      <w:r w:rsidRPr="00CE0B8F">
        <w:rPr>
          <w:i/>
          <w:iCs/>
        </w:rPr>
        <w:t xml:space="preserve">State of the World Population 2020: Against </w:t>
      </w:r>
      <w:r w:rsidR="00AE79EF">
        <w:rPr>
          <w:i/>
          <w:iCs/>
        </w:rPr>
        <w:t xml:space="preserve">My Will – Defying the Practices that Harm Women and Girls and Undermine Equality. </w:t>
      </w:r>
      <w:r w:rsidR="00F516BC" w:rsidRPr="00F516BC">
        <w:t>New York: UNFPA</w:t>
      </w:r>
      <w:r w:rsidRPr="00CE0B8F">
        <w:t xml:space="preserve">. </w:t>
      </w:r>
    </w:p>
  </w:endnote>
  <w:endnote w:id="8">
    <w:p w14:paraId="648ADC83" w14:textId="2AB29271" w:rsidR="00CE0B8F" w:rsidRDefault="00CE0B8F" w:rsidP="007E431E">
      <w:pPr>
        <w:pStyle w:val="EndnoteText"/>
        <w:spacing w:line="276" w:lineRule="auto"/>
      </w:pPr>
      <w:r>
        <w:rPr>
          <w:rStyle w:val="EndnoteReference"/>
        </w:rPr>
        <w:endnoteRef/>
      </w:r>
      <w:r>
        <w:t xml:space="preserve"> </w:t>
      </w:r>
      <w:r w:rsidRPr="00CE0B8F">
        <w:t>World Bank</w:t>
      </w:r>
      <w:r w:rsidR="00AE79EF">
        <w:t xml:space="preserve"> (201</w:t>
      </w:r>
      <w:r w:rsidR="00876432">
        <w:t>5</w:t>
      </w:r>
      <w:r w:rsidR="00AE79EF">
        <w:t>)</w:t>
      </w:r>
      <w:r w:rsidRPr="00CE0B8F">
        <w:t xml:space="preserve">, </w:t>
      </w:r>
      <w:r w:rsidRPr="00CE0B8F">
        <w:rPr>
          <w:i/>
          <w:iCs/>
        </w:rPr>
        <w:t>Violence Against Women and Girls</w:t>
      </w:r>
      <w:r w:rsidR="00876432">
        <w:rPr>
          <w:i/>
          <w:iCs/>
        </w:rPr>
        <w:t xml:space="preserve"> Resource Guide</w:t>
      </w:r>
      <w:r w:rsidR="00AE79EF">
        <w:rPr>
          <w:i/>
          <w:iCs/>
        </w:rPr>
        <w:t xml:space="preserve">. </w:t>
      </w:r>
      <w:r w:rsidR="00AE79EF" w:rsidRPr="00AE79EF">
        <w:t>Washington, DC: World Bank</w:t>
      </w:r>
      <w:r w:rsidRPr="00CE0B8F">
        <w:t xml:space="preserve">. </w:t>
      </w:r>
    </w:p>
  </w:endnote>
  <w:endnote w:id="9">
    <w:p w14:paraId="17006AD2" w14:textId="317C0A87" w:rsidR="00CE0B8F" w:rsidRDefault="00CE0B8F" w:rsidP="007E431E">
      <w:pPr>
        <w:pStyle w:val="EndnoteText"/>
        <w:spacing w:line="276" w:lineRule="auto"/>
      </w:pPr>
      <w:r>
        <w:rPr>
          <w:rStyle w:val="EndnoteReference"/>
        </w:rPr>
        <w:endnoteRef/>
      </w:r>
      <w:r>
        <w:t xml:space="preserve"> </w:t>
      </w:r>
      <w:r w:rsidRPr="00CE0B8F">
        <w:t>J. Klugman</w:t>
      </w:r>
      <w:r w:rsidR="00AE79EF">
        <w:t xml:space="preserve"> (2017)</w:t>
      </w:r>
      <w:r w:rsidRPr="00CE0B8F">
        <w:t xml:space="preserve">, </w:t>
      </w:r>
      <w:r w:rsidRPr="00BE2A76">
        <w:rPr>
          <w:i/>
          <w:iCs/>
        </w:rPr>
        <w:t>Gender based violence and the law</w:t>
      </w:r>
      <w:r w:rsidR="00AE79EF">
        <w:rPr>
          <w:i/>
          <w:iCs/>
        </w:rPr>
        <w:t xml:space="preserve">. </w:t>
      </w:r>
      <w:r w:rsidR="00AE79EF">
        <w:t>Washington, DC: World Bank.</w:t>
      </w:r>
    </w:p>
  </w:endnote>
  <w:endnote w:id="10">
    <w:p w14:paraId="2CA7FD83" w14:textId="3DCB4C79" w:rsidR="00CE0B8F" w:rsidRDefault="00CE0B8F" w:rsidP="007E431E">
      <w:pPr>
        <w:pStyle w:val="EndnoteText"/>
        <w:spacing w:line="276" w:lineRule="auto"/>
      </w:pPr>
      <w:r>
        <w:rPr>
          <w:rStyle w:val="EndnoteReference"/>
        </w:rPr>
        <w:endnoteRef/>
      </w:r>
      <w:r>
        <w:t xml:space="preserve"> </w:t>
      </w:r>
      <w:r w:rsidRPr="00CE0B8F">
        <w:t>International Women’s Rights Action Watch Asia Pacific (IWRAW)</w:t>
      </w:r>
      <w:r w:rsidR="00AE79EF">
        <w:t>(2024)</w:t>
      </w:r>
      <w:r w:rsidRPr="00CE0B8F">
        <w:t xml:space="preserve">, </w:t>
      </w:r>
      <w:r w:rsidRPr="00CE0B8F">
        <w:rPr>
          <w:i/>
          <w:iCs/>
        </w:rPr>
        <w:t>Annual Report 2023</w:t>
      </w:r>
      <w:r w:rsidR="00AE79EF">
        <w:t>. Kuala Lumpur: IWRAW.</w:t>
      </w:r>
    </w:p>
  </w:endnote>
  <w:endnote w:id="11">
    <w:p w14:paraId="3A0B8293" w14:textId="24F064AC" w:rsidR="00CE0B8F" w:rsidRDefault="00CE0B8F" w:rsidP="007E431E">
      <w:pPr>
        <w:pStyle w:val="EndnoteText"/>
        <w:spacing w:line="276" w:lineRule="auto"/>
      </w:pPr>
      <w:r>
        <w:rPr>
          <w:rStyle w:val="EndnoteReference"/>
        </w:rPr>
        <w:endnoteRef/>
      </w:r>
      <w:r>
        <w:t xml:space="preserve"> </w:t>
      </w:r>
      <w:r w:rsidRPr="00CE0B8F">
        <w:t>J. Shanthosh</w:t>
      </w:r>
      <w:r w:rsidR="00AE79EF">
        <w:t xml:space="preserve"> (2023)</w:t>
      </w:r>
      <w:r w:rsidRPr="00CE0B8F">
        <w:t xml:space="preserve">, </w:t>
      </w:r>
      <w:r w:rsidRPr="00CE0B8F">
        <w:rPr>
          <w:i/>
          <w:iCs/>
        </w:rPr>
        <w:t xml:space="preserve">Redressing the Balance: </w:t>
      </w:r>
      <w:r w:rsidR="00BE2A76">
        <w:rPr>
          <w:i/>
          <w:iCs/>
        </w:rPr>
        <w:t>Using Human Rights Law to Improve Health for Women Everywhere</w:t>
      </w:r>
      <w:r w:rsidR="00AE79EF">
        <w:rPr>
          <w:i/>
          <w:iCs/>
        </w:rPr>
        <w:t xml:space="preserve">. </w:t>
      </w:r>
      <w:r w:rsidR="00AE79EF">
        <w:t>Sydney:</w:t>
      </w:r>
      <w:r w:rsidR="00AE79EF">
        <w:rPr>
          <w:i/>
          <w:iCs/>
        </w:rPr>
        <w:t xml:space="preserve"> </w:t>
      </w:r>
      <w:r w:rsidR="00BE2A76">
        <w:t>The George Institute for Global Health</w:t>
      </w:r>
      <w:r w:rsidR="00AE79EF">
        <w:t>.</w:t>
      </w:r>
    </w:p>
  </w:endnote>
  <w:endnote w:id="12">
    <w:p w14:paraId="0F84522C" w14:textId="0EB222B4" w:rsidR="00CE0B8F" w:rsidRDefault="00CE0B8F" w:rsidP="007E431E">
      <w:pPr>
        <w:pStyle w:val="EndnoteText"/>
        <w:spacing w:line="276" w:lineRule="auto"/>
      </w:pPr>
      <w:r>
        <w:rPr>
          <w:rStyle w:val="EndnoteReference"/>
        </w:rPr>
        <w:endnoteRef/>
      </w:r>
      <w:r>
        <w:t xml:space="preserve"> </w:t>
      </w:r>
      <w:r w:rsidRPr="00CE0B8F">
        <w:t>M. L. Satterthwaite and A. Rosga</w:t>
      </w:r>
      <w:r w:rsidR="00AE79EF">
        <w:t xml:space="preserve"> (201</w:t>
      </w:r>
      <w:r w:rsidR="00876432">
        <w:t>3</w:t>
      </w:r>
      <w:r w:rsidR="00AE79EF">
        <w:t>)</w:t>
      </w:r>
      <w:r w:rsidRPr="00CE0B8F">
        <w:t xml:space="preserve">, </w:t>
      </w:r>
      <w:r w:rsidRPr="004B30D4">
        <w:rPr>
          <w:i/>
          <w:iCs/>
        </w:rPr>
        <w:t>Measuring human rights: UN indicators in critical perspective</w:t>
      </w:r>
      <w:r w:rsidRPr="00CE0B8F">
        <w:t xml:space="preserve">, in K. Davis et al. (eds), </w:t>
      </w:r>
      <w:r w:rsidRPr="00CE0B8F">
        <w:rPr>
          <w:i/>
          <w:iCs/>
        </w:rPr>
        <w:t>Governance by Indicators: Global Power through Quantification and Rankings</w:t>
      </w:r>
      <w:r w:rsidR="00AE79EF">
        <w:rPr>
          <w:i/>
          <w:iCs/>
        </w:rPr>
        <w:t xml:space="preserve">. </w:t>
      </w:r>
      <w:r w:rsidR="00AE79EF">
        <w:t>Oxford University Press, pp. 2</w:t>
      </w:r>
      <w:r w:rsidR="000702C4">
        <w:t>19-222</w:t>
      </w:r>
      <w:r w:rsidR="00AE79EF">
        <w:t>.</w:t>
      </w:r>
      <w:r w:rsidRPr="00CE0B8F">
        <w:t xml:space="preserve"> </w:t>
      </w:r>
    </w:p>
  </w:endnote>
  <w:endnote w:id="13">
    <w:p w14:paraId="3E71CB4A" w14:textId="20E5365D" w:rsidR="00CE0B8F" w:rsidRDefault="00CE0B8F" w:rsidP="007E431E">
      <w:pPr>
        <w:pStyle w:val="EndnoteText"/>
        <w:spacing w:line="276" w:lineRule="auto"/>
      </w:pPr>
      <w:r>
        <w:rPr>
          <w:rStyle w:val="EndnoteReference"/>
        </w:rPr>
        <w:endnoteRef/>
      </w:r>
      <w:r>
        <w:t xml:space="preserve"> </w:t>
      </w:r>
      <w:r w:rsidRPr="00CE0B8F">
        <w:t>M. A. Freeman</w:t>
      </w:r>
      <w:r w:rsidR="00AE79EF">
        <w:t xml:space="preserve"> (2010)</w:t>
      </w:r>
      <w:r w:rsidRPr="00CE0B8F">
        <w:t xml:space="preserve">, “The Committee on the Elimination of Discrimination Against Women and the Role of Civil Society in Implementing International Women's Human Rights Norms,” </w:t>
      </w:r>
      <w:r w:rsidRPr="00CE0B8F">
        <w:rPr>
          <w:i/>
          <w:iCs/>
        </w:rPr>
        <w:t>New England Journal of International and Comparative Law</w:t>
      </w:r>
      <w:r w:rsidRPr="00CE0B8F">
        <w:t xml:space="preserve"> </w:t>
      </w:r>
      <w:r w:rsidR="00AE79EF">
        <w:t>,</w:t>
      </w:r>
      <w:r w:rsidRPr="00CE0B8F">
        <w:t>16</w:t>
      </w:r>
      <w:r w:rsidR="00AE79EF">
        <w:t xml:space="preserve">(1), pp. </w:t>
      </w:r>
      <w:r w:rsidR="00C037A4">
        <w:t>25</w:t>
      </w:r>
      <w:r w:rsidRPr="00CE0B8F">
        <w:t>.</w:t>
      </w:r>
    </w:p>
  </w:endnote>
  <w:endnote w:id="14">
    <w:p w14:paraId="55F0E065" w14:textId="0C666217" w:rsidR="00CE0B8F" w:rsidRDefault="00CE0B8F" w:rsidP="007E431E">
      <w:pPr>
        <w:pStyle w:val="EndnoteText"/>
        <w:spacing w:line="276" w:lineRule="auto"/>
      </w:pPr>
      <w:r>
        <w:rPr>
          <w:rStyle w:val="EndnoteReference"/>
        </w:rPr>
        <w:endnoteRef/>
      </w:r>
      <w:r>
        <w:t xml:space="preserve"> </w:t>
      </w:r>
      <w:r w:rsidR="00BE2A76">
        <w:t>Shanthosh</w:t>
      </w:r>
      <w:r>
        <w:t xml:space="preserve"> </w:t>
      </w:r>
      <w:r w:rsidR="00BE2A76">
        <w:t>(s</w:t>
      </w:r>
      <w:r>
        <w:t>ee note 1</w:t>
      </w:r>
      <w:r w:rsidR="000E6D01">
        <w:t>0</w:t>
      </w:r>
      <w:r w:rsidR="00BE2A76">
        <w:t>)</w:t>
      </w:r>
      <w:r>
        <w:t>.</w:t>
      </w:r>
    </w:p>
  </w:endnote>
  <w:endnote w:id="15">
    <w:p w14:paraId="6F4800CE" w14:textId="605CA689" w:rsidR="00CE0B8F" w:rsidRDefault="00CE0B8F" w:rsidP="007E431E">
      <w:pPr>
        <w:pStyle w:val="EndnoteText"/>
        <w:spacing w:line="276" w:lineRule="auto"/>
      </w:pPr>
      <w:r>
        <w:rPr>
          <w:rStyle w:val="EndnoteReference"/>
        </w:rPr>
        <w:endnoteRef/>
      </w:r>
      <w:r>
        <w:t xml:space="preserve"> </w:t>
      </w:r>
      <w:r w:rsidRPr="00CE0B8F">
        <w:t>R. Vijeyarasa</w:t>
      </w:r>
      <w:r w:rsidR="00AE79EF">
        <w:t xml:space="preserve"> (2021)</w:t>
      </w:r>
      <w:r w:rsidRPr="00CE0B8F">
        <w:t xml:space="preserve">, “Quantifying CEDAW: Concrete Tools for Enhancing Accountability for Women's Rights,” </w:t>
      </w:r>
      <w:r w:rsidRPr="00CE0B8F">
        <w:rPr>
          <w:i/>
          <w:iCs/>
        </w:rPr>
        <w:t>Harvard Human Rights Journal</w:t>
      </w:r>
      <w:r w:rsidR="00AE79EF">
        <w:rPr>
          <w:i/>
          <w:iCs/>
        </w:rPr>
        <w:t>,</w:t>
      </w:r>
      <w:r w:rsidRPr="00CE0B8F">
        <w:t xml:space="preserve"> 34</w:t>
      </w:r>
      <w:r w:rsidR="00AE79EF">
        <w:t xml:space="preserve">, pp. </w:t>
      </w:r>
      <w:r w:rsidR="000702C4">
        <w:t>37</w:t>
      </w:r>
      <w:r w:rsidR="004B30D4">
        <w:t>.</w:t>
      </w:r>
    </w:p>
  </w:endnote>
  <w:endnote w:id="16">
    <w:p w14:paraId="4A921558" w14:textId="33985165" w:rsidR="002B6FF6" w:rsidRDefault="002B6FF6">
      <w:pPr>
        <w:pStyle w:val="EndnoteText"/>
      </w:pPr>
      <w:r>
        <w:rPr>
          <w:rStyle w:val="EndnoteReference"/>
        </w:rPr>
        <w:endnoteRef/>
      </w:r>
      <w:r>
        <w:t xml:space="preserve"> </w:t>
      </w:r>
      <w:r w:rsidRPr="002B6FF6">
        <w:t>Gender Law Index</w:t>
      </w:r>
      <w:r w:rsidR="00AE79EF">
        <w:t xml:space="preserve"> (n.d.)</w:t>
      </w:r>
      <w:r w:rsidRPr="002B6FF6">
        <w:t xml:space="preserve">, </w:t>
      </w:r>
      <w:r w:rsidRPr="00AE79EF">
        <w:rPr>
          <w:i/>
          <w:iCs/>
        </w:rPr>
        <w:t>Gender Legislative Index (CEDAW-based</w:t>
      </w:r>
      <w:r w:rsidRPr="002B6FF6">
        <w:t>).</w:t>
      </w:r>
      <w:r w:rsidR="00102685">
        <w:t xml:space="preserve"> Available at </w:t>
      </w:r>
      <w:hyperlink r:id="rId1" w:history="1">
        <w:r w:rsidR="00102685" w:rsidRPr="00D7480E">
          <w:rPr>
            <w:rStyle w:val="Hyperlink"/>
          </w:rPr>
          <w:t>https://www.genderlawindex.org/</w:t>
        </w:r>
      </w:hyperlink>
    </w:p>
  </w:endnote>
  <w:endnote w:id="17">
    <w:p w14:paraId="398C318A" w14:textId="23FA4EC3" w:rsidR="002B6FF6" w:rsidRDefault="002B6FF6">
      <w:pPr>
        <w:pStyle w:val="EndnoteText"/>
      </w:pPr>
      <w:r>
        <w:rPr>
          <w:rStyle w:val="EndnoteReference"/>
        </w:rPr>
        <w:endnoteRef/>
      </w:r>
      <w:r>
        <w:t xml:space="preserve"> </w:t>
      </w:r>
      <w:r w:rsidRPr="002B6FF6">
        <w:t>Danish Institute for Human Rights</w:t>
      </w:r>
      <w:r w:rsidR="00AE79EF">
        <w:t xml:space="preserve"> (n.d.)</w:t>
      </w:r>
      <w:r w:rsidRPr="002B6FF6">
        <w:t xml:space="preserve">, </w:t>
      </w:r>
      <w:r w:rsidRPr="00AE79EF">
        <w:rPr>
          <w:i/>
          <w:iCs/>
        </w:rPr>
        <w:t>SDG – Human Rights Data Explorer</w:t>
      </w:r>
      <w:r w:rsidR="00AE79EF">
        <w:t>.</w:t>
      </w:r>
      <w:r w:rsidRPr="002B6FF6">
        <w:t xml:space="preserve"> </w:t>
      </w:r>
      <w:r w:rsidR="00102685">
        <w:t>Available at</w:t>
      </w:r>
      <w:r w:rsidRPr="002B6FF6">
        <w:t xml:space="preserve"> </w:t>
      </w:r>
      <w:hyperlink r:id="rId2" w:history="1">
        <w:r w:rsidRPr="002B6FF6">
          <w:rPr>
            <w:rStyle w:val="Hyperlink"/>
          </w:rPr>
          <w:t>https://sdgdata.humanrights.dk/en</w:t>
        </w:r>
      </w:hyperlink>
      <w:r w:rsidRPr="002B6FF6">
        <w:t>.</w:t>
      </w:r>
    </w:p>
  </w:endnote>
  <w:endnote w:id="18">
    <w:p w14:paraId="077F0067" w14:textId="207978C0" w:rsidR="002B6FF6" w:rsidRDefault="002B6FF6">
      <w:pPr>
        <w:pStyle w:val="EndnoteText"/>
      </w:pPr>
      <w:r>
        <w:rPr>
          <w:rStyle w:val="EndnoteReference"/>
        </w:rPr>
        <w:endnoteRef/>
      </w:r>
      <w:r>
        <w:t xml:space="preserve"> </w:t>
      </w:r>
      <w:r w:rsidRPr="002B6FF6">
        <w:t>UN Women</w:t>
      </w:r>
      <w:r w:rsidR="00AE79EF">
        <w:t xml:space="preserve"> (n.d.)</w:t>
      </w:r>
      <w:r w:rsidRPr="002B6FF6">
        <w:t xml:space="preserve">, </w:t>
      </w:r>
      <w:r w:rsidRPr="00AE79EF">
        <w:rPr>
          <w:i/>
          <w:iCs/>
        </w:rPr>
        <w:t>Global Database on Violence against Women</w:t>
      </w:r>
      <w:r w:rsidRPr="002B6FF6">
        <w:t>.</w:t>
      </w:r>
      <w:r w:rsidR="00102685">
        <w:t xml:space="preserve"> Available at</w:t>
      </w:r>
      <w:r w:rsidRPr="002B6FF6">
        <w:t xml:space="preserve"> </w:t>
      </w:r>
      <w:hyperlink r:id="rId3" w:history="1">
        <w:r w:rsidRPr="002B6FF6">
          <w:rPr>
            <w:rStyle w:val="Hyperlink"/>
          </w:rPr>
          <w:t>https://data.unwomen.org/global-database-on-violence-against-women</w:t>
        </w:r>
      </w:hyperlink>
    </w:p>
  </w:endnote>
  <w:endnote w:id="19">
    <w:p w14:paraId="3CC78FB9" w14:textId="4ECDCB72" w:rsidR="00CF2E07" w:rsidRDefault="00CF2E07" w:rsidP="00CF2E07">
      <w:pPr>
        <w:pStyle w:val="EndnoteText"/>
        <w:spacing w:line="276" w:lineRule="auto"/>
      </w:pPr>
      <w:r>
        <w:rPr>
          <w:rStyle w:val="EndnoteReference"/>
        </w:rPr>
        <w:endnoteRef/>
      </w:r>
      <w:r>
        <w:t xml:space="preserve"> Shanthosh (see note 1</w:t>
      </w:r>
      <w:r w:rsidR="000E6D01">
        <w:t>0</w:t>
      </w:r>
      <w:r>
        <w:t>).</w:t>
      </w:r>
    </w:p>
  </w:endnote>
  <w:endnote w:id="20">
    <w:p w14:paraId="6D6CA800" w14:textId="0E2CDDCC" w:rsidR="00EE0730" w:rsidRDefault="00EE0730" w:rsidP="007E431E">
      <w:pPr>
        <w:pStyle w:val="EndnoteText"/>
        <w:spacing w:line="276" w:lineRule="auto"/>
      </w:pPr>
      <w:r>
        <w:rPr>
          <w:rStyle w:val="EndnoteReference"/>
        </w:rPr>
        <w:endnoteRef/>
      </w:r>
      <w:r>
        <w:t xml:space="preserve"> </w:t>
      </w:r>
      <w:r w:rsidRPr="00EE0730">
        <w:t>J. Shanthosh, K. Muvva, M. Woodward, R. Vijeyarasa, and A. Palagyi</w:t>
      </w:r>
      <w:r w:rsidR="00AE79EF">
        <w:t xml:space="preserve"> (2022)</w:t>
      </w:r>
      <w:r w:rsidRPr="00EE0730">
        <w:t xml:space="preserve">, “Assessing the reach, scope and outcomes of government action on women’s health and human rights: A protocol for the development of an international women’s rights dataset,” </w:t>
      </w:r>
      <w:r w:rsidRPr="00EE0730">
        <w:rPr>
          <w:i/>
          <w:iCs/>
        </w:rPr>
        <w:t>International Journal of Qualitative Methods</w:t>
      </w:r>
      <w:r w:rsidR="00AE79EF">
        <w:rPr>
          <w:i/>
          <w:iCs/>
        </w:rPr>
        <w:t>,</w:t>
      </w:r>
      <w:r w:rsidRPr="00EE0730">
        <w:t xml:space="preserve"> 21</w:t>
      </w:r>
      <w:r w:rsidR="00AE79EF">
        <w:t>, pp.1-10</w:t>
      </w:r>
      <w:r w:rsidRPr="00EE0730">
        <w:t xml:space="preserve">. </w:t>
      </w:r>
    </w:p>
  </w:endnote>
  <w:endnote w:id="21">
    <w:p w14:paraId="42FBAF19" w14:textId="4802AC01" w:rsidR="00EE0730" w:rsidRDefault="00EE0730" w:rsidP="007E431E">
      <w:pPr>
        <w:pStyle w:val="EndnoteText"/>
        <w:spacing w:line="276" w:lineRule="auto"/>
      </w:pPr>
      <w:r>
        <w:rPr>
          <w:rStyle w:val="EndnoteReference"/>
        </w:rPr>
        <w:endnoteRef/>
      </w:r>
      <w:r>
        <w:t xml:space="preserve"> </w:t>
      </w:r>
      <w:r w:rsidR="00BE2A76">
        <w:t>Shanthosh (see note 1</w:t>
      </w:r>
      <w:r w:rsidR="000E6D01">
        <w:t>0</w:t>
      </w:r>
      <w:r w:rsidR="00BE2A76">
        <w:t>).</w:t>
      </w:r>
    </w:p>
  </w:endnote>
  <w:endnote w:id="22">
    <w:p w14:paraId="55DD7D1D" w14:textId="298D892B" w:rsidR="00EE0730" w:rsidRDefault="00EE0730" w:rsidP="007E431E">
      <w:pPr>
        <w:pStyle w:val="EndnoteText"/>
        <w:spacing w:line="276" w:lineRule="auto"/>
      </w:pPr>
      <w:r>
        <w:rPr>
          <w:rStyle w:val="EndnoteReference"/>
        </w:rPr>
        <w:endnoteRef/>
      </w:r>
      <w:r>
        <w:t xml:space="preserve"> </w:t>
      </w:r>
      <w:r w:rsidR="00BE2A76">
        <w:t>Shanthosh (see note 1</w:t>
      </w:r>
      <w:r w:rsidR="000E6D01">
        <w:t>0</w:t>
      </w:r>
      <w:r w:rsidR="00BE2A76">
        <w:t>).</w:t>
      </w:r>
    </w:p>
  </w:endnote>
  <w:endnote w:id="23">
    <w:p w14:paraId="059A3577" w14:textId="7A52DE0F" w:rsidR="00EE0730" w:rsidRDefault="00EE0730" w:rsidP="007E431E">
      <w:pPr>
        <w:pStyle w:val="EndnoteText"/>
        <w:spacing w:line="276" w:lineRule="auto"/>
      </w:pPr>
      <w:r>
        <w:rPr>
          <w:rStyle w:val="EndnoteReference"/>
        </w:rPr>
        <w:endnoteRef/>
      </w:r>
      <w:r>
        <w:t xml:space="preserve"> </w:t>
      </w:r>
      <w:r w:rsidRPr="00EE0730">
        <w:t>H. Charlesworth and E. Larking (eds)</w:t>
      </w:r>
      <w:r w:rsidR="00AE79EF">
        <w:t xml:space="preserve"> (2015)</w:t>
      </w:r>
      <w:r w:rsidRPr="00EE0730">
        <w:t xml:space="preserve">, </w:t>
      </w:r>
      <w:r w:rsidRPr="00EE0730">
        <w:rPr>
          <w:i/>
          <w:iCs/>
        </w:rPr>
        <w:t>Human Rights and the Universal Periodic Review: Rituals and Ritualism</w:t>
      </w:r>
      <w:r w:rsidR="00C037A4">
        <w:t xml:space="preserve">. </w:t>
      </w:r>
      <w:r w:rsidRPr="00EE0730">
        <w:t>Cambridge: Cambridge University Press.</w:t>
      </w:r>
    </w:p>
  </w:endnote>
  <w:endnote w:id="24">
    <w:p w14:paraId="0D176166" w14:textId="61DDFEC0" w:rsidR="00A75AFD" w:rsidRDefault="00A75AFD" w:rsidP="007E431E">
      <w:pPr>
        <w:pStyle w:val="EndnoteText"/>
        <w:spacing w:line="276" w:lineRule="auto"/>
      </w:pPr>
      <w:r>
        <w:rPr>
          <w:rStyle w:val="EndnoteReference"/>
        </w:rPr>
        <w:endnoteRef/>
      </w:r>
      <w:r>
        <w:t xml:space="preserve"> </w:t>
      </w:r>
      <w:r w:rsidRPr="00A75AFD">
        <w:t>S. E. Merry</w:t>
      </w:r>
      <w:r w:rsidR="00C037A4">
        <w:t xml:space="preserve"> (2016)</w:t>
      </w:r>
      <w:r w:rsidRPr="00A75AFD">
        <w:t xml:space="preserve">, </w:t>
      </w:r>
      <w:r w:rsidRPr="00A75AFD">
        <w:rPr>
          <w:i/>
          <w:iCs/>
        </w:rPr>
        <w:t>The Seductions of Quantification: Measuring Human Rights, Gender Violence, and Sex Trafficking</w:t>
      </w:r>
      <w:r w:rsidR="00C037A4">
        <w:rPr>
          <w:i/>
          <w:iCs/>
        </w:rPr>
        <w:t>.</w:t>
      </w:r>
      <w:r w:rsidRPr="00A75AFD">
        <w:t xml:space="preserve"> Chicago: University of Chicago Press.</w:t>
      </w:r>
    </w:p>
  </w:endnote>
  <w:endnote w:id="25">
    <w:p w14:paraId="62EE4317" w14:textId="4B9CFFE5" w:rsidR="00A75AFD" w:rsidRDefault="00A75AFD" w:rsidP="007E431E">
      <w:pPr>
        <w:pStyle w:val="EndnoteText"/>
        <w:spacing w:line="276" w:lineRule="auto"/>
      </w:pPr>
      <w:r>
        <w:rPr>
          <w:rStyle w:val="EndnoteReference"/>
        </w:rPr>
        <w:endnoteRef/>
      </w:r>
      <w:r>
        <w:t xml:space="preserve"> </w:t>
      </w:r>
      <w:r w:rsidRPr="00A75AFD">
        <w:t>P. Alston (ed)</w:t>
      </w:r>
      <w:r w:rsidR="00C037A4">
        <w:t xml:space="preserve"> (2024)</w:t>
      </w:r>
      <w:r w:rsidRPr="00A75AFD">
        <w:t xml:space="preserve">, </w:t>
      </w:r>
      <w:r w:rsidRPr="00A75AFD">
        <w:rPr>
          <w:i/>
          <w:iCs/>
        </w:rPr>
        <w:t>The Complexity of Human Rights: From Vernacularization to Quantification</w:t>
      </w:r>
      <w:r w:rsidR="00C037A4">
        <w:t xml:space="preserve">. </w:t>
      </w:r>
      <w:r w:rsidRPr="00A75AFD">
        <w:t>London: Bloomsbury Publishing.</w:t>
      </w:r>
    </w:p>
  </w:endnote>
  <w:endnote w:id="26">
    <w:p w14:paraId="5BD2B147" w14:textId="0C41DFD1" w:rsidR="00A75AFD" w:rsidRDefault="00A75AFD" w:rsidP="007E431E">
      <w:pPr>
        <w:pStyle w:val="EndnoteText"/>
        <w:spacing w:line="276" w:lineRule="auto"/>
      </w:pPr>
      <w:r>
        <w:rPr>
          <w:rStyle w:val="EndnoteReference"/>
        </w:rPr>
        <w:endnoteRef/>
      </w:r>
      <w:r>
        <w:t xml:space="preserve"> </w:t>
      </w:r>
      <w:r w:rsidRPr="00A75AFD">
        <w:t>OECD</w:t>
      </w:r>
      <w:r w:rsidR="00C037A4">
        <w:t xml:space="preserve"> (2018)</w:t>
      </w:r>
      <w:r w:rsidRPr="00A75AFD">
        <w:t xml:space="preserve">, </w:t>
      </w:r>
      <w:r w:rsidRPr="00A75AFD">
        <w:rPr>
          <w:i/>
          <w:iCs/>
        </w:rPr>
        <w:t>Is the Last Mile the Longest? Economic Gains from Gender Equality in Nordic Countries</w:t>
      </w:r>
      <w:r w:rsidR="00C037A4">
        <w:t>. Paris: OECD Publishing.</w:t>
      </w:r>
    </w:p>
  </w:endnote>
  <w:endnote w:id="27">
    <w:p w14:paraId="071D822A" w14:textId="69274FC9" w:rsidR="00A75AFD" w:rsidRDefault="00A75AFD" w:rsidP="007E431E">
      <w:pPr>
        <w:pStyle w:val="EndnoteText"/>
        <w:spacing w:line="276" w:lineRule="auto"/>
      </w:pPr>
      <w:r>
        <w:rPr>
          <w:rStyle w:val="EndnoteReference"/>
        </w:rPr>
        <w:endnoteRef/>
      </w:r>
      <w:r>
        <w:t xml:space="preserve"> </w:t>
      </w:r>
      <w:r w:rsidRPr="00A75AFD">
        <w:t>J. Shanthosh</w:t>
      </w:r>
      <w:r w:rsidR="00C037A4">
        <w:t xml:space="preserve"> (2021)</w:t>
      </w:r>
      <w:r w:rsidRPr="00A75AFD">
        <w:t xml:space="preserve">, </w:t>
      </w:r>
      <w:r w:rsidRPr="00A75AFD">
        <w:rPr>
          <w:i/>
          <w:iCs/>
        </w:rPr>
        <w:t>Launching the CEDAW Implementation Map on Women’s Health: Progress on the Journey Towards Health and Human Rights for All Women</w:t>
      </w:r>
      <w:r w:rsidR="00C037A4">
        <w:rPr>
          <w:i/>
          <w:iCs/>
        </w:rPr>
        <w:t xml:space="preserve">. </w:t>
      </w:r>
      <w:r w:rsidR="00C037A4">
        <w:t>Sydney:</w:t>
      </w:r>
      <w:r w:rsidRPr="00A75AFD">
        <w:t xml:space="preserve"> </w:t>
      </w:r>
      <w:r w:rsidR="004B30D4">
        <w:t>The George Institute for Global Health</w:t>
      </w:r>
      <w:r w:rsidR="00C037A4">
        <w:t>.</w:t>
      </w:r>
      <w:r w:rsidRPr="00A75AFD">
        <w:t xml:space="preserve"> </w:t>
      </w:r>
    </w:p>
  </w:endnote>
  <w:endnote w:id="28">
    <w:p w14:paraId="769A2C82" w14:textId="35D3F231" w:rsidR="00A75AFD" w:rsidRDefault="00A75AFD" w:rsidP="007E431E">
      <w:pPr>
        <w:pStyle w:val="EndnoteText"/>
        <w:spacing w:line="276" w:lineRule="auto"/>
      </w:pPr>
      <w:r>
        <w:rPr>
          <w:rStyle w:val="EndnoteReference"/>
        </w:rPr>
        <w:endnoteRef/>
      </w:r>
      <w:r>
        <w:t xml:space="preserve"> </w:t>
      </w:r>
      <w:r w:rsidR="00BE2A76">
        <w:t>Shanthosh (see note 1</w:t>
      </w:r>
      <w:r w:rsidR="000E6D01">
        <w:t>0</w:t>
      </w:r>
      <w:r w:rsidR="00BE2A76">
        <w:t>).</w:t>
      </w:r>
    </w:p>
  </w:endnote>
  <w:endnote w:id="29">
    <w:p w14:paraId="70B19A5D" w14:textId="4CE6AD7B" w:rsidR="00A75AFD" w:rsidRDefault="00A75AFD" w:rsidP="007E431E">
      <w:pPr>
        <w:pStyle w:val="EndnoteText"/>
        <w:spacing w:line="276" w:lineRule="auto"/>
      </w:pPr>
      <w:r>
        <w:rPr>
          <w:rStyle w:val="EndnoteReference"/>
        </w:rPr>
        <w:endnoteRef/>
      </w:r>
      <w:r>
        <w:t xml:space="preserve"> </w:t>
      </w:r>
      <w:r w:rsidRPr="00A75AFD">
        <w:t>S. E. Merry</w:t>
      </w:r>
      <w:r w:rsidR="00C037A4">
        <w:t xml:space="preserve"> (2006)</w:t>
      </w:r>
      <w:r w:rsidRPr="00A75AFD">
        <w:t xml:space="preserve">, “Transnational Human Rights and Local Activism: Mapping the Middle,” </w:t>
      </w:r>
      <w:r w:rsidR="00C037A4">
        <w:rPr>
          <w:i/>
          <w:iCs/>
        </w:rPr>
        <w:t>American Anthropologist,</w:t>
      </w:r>
      <w:r w:rsidRPr="00A75AFD">
        <w:t xml:space="preserve"> </w:t>
      </w:r>
      <w:r w:rsidR="00C037A4">
        <w:t>10</w:t>
      </w:r>
      <w:r w:rsidRPr="00A75AFD">
        <w:t>8</w:t>
      </w:r>
      <w:r w:rsidR="00C037A4">
        <w:t>(1), pp. 38-51.</w:t>
      </w:r>
    </w:p>
    <w:p w14:paraId="51CD58EC" w14:textId="77777777" w:rsidR="007E431E" w:rsidRDefault="007E431E">
      <w:pPr>
        <w:pStyle w:val="EndnoteText"/>
      </w:pPr>
    </w:p>
    <w:p w14:paraId="1E7BFDAA" w14:textId="77777777" w:rsidR="007E431E" w:rsidRDefault="007E431E">
      <w:pPr>
        <w:pStyle w:val="EndnoteText"/>
      </w:pPr>
    </w:p>
    <w:p w14:paraId="623465E5" w14:textId="77777777" w:rsidR="007E431E" w:rsidRDefault="007E431E">
      <w:pPr>
        <w:pStyle w:val="EndnoteText"/>
      </w:pPr>
    </w:p>
    <w:p w14:paraId="20F368D2" w14:textId="77777777" w:rsidR="007E431E" w:rsidRDefault="007E431E">
      <w:pPr>
        <w:pStyle w:val="EndnoteText"/>
      </w:pPr>
    </w:p>
    <w:p w14:paraId="369B93EC" w14:textId="77777777" w:rsidR="007E431E" w:rsidRDefault="007E431E">
      <w:pPr>
        <w:pStyle w:val="EndnoteText"/>
      </w:pPr>
    </w:p>
    <w:p w14:paraId="0D3636CD" w14:textId="77777777" w:rsidR="007E431E" w:rsidRDefault="007E431E">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458644"/>
      <w:docPartObj>
        <w:docPartGallery w:val="Page Numbers (Bottom of Page)"/>
        <w:docPartUnique/>
      </w:docPartObj>
    </w:sdtPr>
    <w:sdtEndPr>
      <w:rPr>
        <w:noProof/>
      </w:rPr>
    </w:sdtEndPr>
    <w:sdtContent>
      <w:p w14:paraId="19791A53" w14:textId="2061ADF7" w:rsidR="00030512" w:rsidRDefault="0003051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F1D43C5" w14:textId="77777777" w:rsidR="00030512" w:rsidRDefault="000305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57FBE1" w14:textId="77777777" w:rsidR="00C70AC6" w:rsidRDefault="00C70AC6" w:rsidP="00030512">
      <w:pPr>
        <w:spacing w:after="0" w:line="240" w:lineRule="auto"/>
      </w:pPr>
      <w:r>
        <w:separator/>
      </w:r>
    </w:p>
  </w:footnote>
  <w:footnote w:type="continuationSeparator" w:id="0">
    <w:p w14:paraId="39FA4D59" w14:textId="77777777" w:rsidR="00C70AC6" w:rsidRDefault="00C70AC6" w:rsidP="00030512">
      <w:pPr>
        <w:spacing w:after="0" w:line="240" w:lineRule="auto"/>
      </w:pPr>
      <w:r>
        <w:continuationSeparator/>
      </w:r>
    </w:p>
  </w:footnote>
  <w:footnote w:type="continuationNotice" w:id="1">
    <w:p w14:paraId="1ACB6683" w14:textId="77777777" w:rsidR="00C70AC6" w:rsidRDefault="00C70AC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5850E8" w14:textId="2EE024D2" w:rsidR="00CD4494" w:rsidRDefault="00CD4494">
    <w:pPr>
      <w:pStyle w:val="Header"/>
    </w:pPr>
    <w:r>
      <w:t xml:space="preserve">Health and Human Rights Journal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90B8E"/>
    <w:multiLevelType w:val="hybridMultilevel"/>
    <w:tmpl w:val="07C2F26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11297FE4"/>
    <w:multiLevelType w:val="hybridMultilevel"/>
    <w:tmpl w:val="3CFCF57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 w15:restartNumberingAfterBreak="0">
    <w:nsid w:val="117D2630"/>
    <w:multiLevelType w:val="hybridMultilevel"/>
    <w:tmpl w:val="5B36833E"/>
    <w:lvl w:ilvl="0" w:tplc="21A299CE">
      <w:numFmt w:val="bullet"/>
      <w:lvlText w:val="-"/>
      <w:lvlJc w:val="left"/>
      <w:pPr>
        <w:ind w:left="720" w:hanging="36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2A15924"/>
    <w:multiLevelType w:val="hybridMultilevel"/>
    <w:tmpl w:val="21029D1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C1507BB"/>
    <w:multiLevelType w:val="hybridMultilevel"/>
    <w:tmpl w:val="96C2048C"/>
    <w:lvl w:ilvl="0" w:tplc="D664790E">
      <w:start w:val="1"/>
      <w:numFmt w:val="decimal"/>
      <w:lvlText w:val="%1)"/>
      <w:lvlJc w:val="left"/>
      <w:pPr>
        <w:ind w:left="1740" w:hanging="360"/>
      </w:pPr>
    </w:lvl>
    <w:lvl w:ilvl="1" w:tplc="9DB6DA36">
      <w:start w:val="1"/>
      <w:numFmt w:val="decimal"/>
      <w:lvlText w:val="%2)"/>
      <w:lvlJc w:val="left"/>
      <w:pPr>
        <w:ind w:left="1740" w:hanging="360"/>
      </w:pPr>
    </w:lvl>
    <w:lvl w:ilvl="2" w:tplc="078CD538">
      <w:start w:val="1"/>
      <w:numFmt w:val="decimal"/>
      <w:lvlText w:val="%3)"/>
      <w:lvlJc w:val="left"/>
      <w:pPr>
        <w:ind w:left="1740" w:hanging="360"/>
      </w:pPr>
    </w:lvl>
    <w:lvl w:ilvl="3" w:tplc="3FC0001A">
      <w:start w:val="1"/>
      <w:numFmt w:val="decimal"/>
      <w:lvlText w:val="%4)"/>
      <w:lvlJc w:val="left"/>
      <w:pPr>
        <w:ind w:left="1740" w:hanging="360"/>
      </w:pPr>
    </w:lvl>
    <w:lvl w:ilvl="4" w:tplc="4A8EAA0A">
      <w:start w:val="1"/>
      <w:numFmt w:val="decimal"/>
      <w:lvlText w:val="%5)"/>
      <w:lvlJc w:val="left"/>
      <w:pPr>
        <w:ind w:left="1740" w:hanging="360"/>
      </w:pPr>
    </w:lvl>
    <w:lvl w:ilvl="5" w:tplc="EAE884C4">
      <w:start w:val="1"/>
      <w:numFmt w:val="decimal"/>
      <w:lvlText w:val="%6)"/>
      <w:lvlJc w:val="left"/>
      <w:pPr>
        <w:ind w:left="1740" w:hanging="360"/>
      </w:pPr>
    </w:lvl>
    <w:lvl w:ilvl="6" w:tplc="C66E160A">
      <w:start w:val="1"/>
      <w:numFmt w:val="decimal"/>
      <w:lvlText w:val="%7)"/>
      <w:lvlJc w:val="left"/>
      <w:pPr>
        <w:ind w:left="1740" w:hanging="360"/>
      </w:pPr>
    </w:lvl>
    <w:lvl w:ilvl="7" w:tplc="C890C032">
      <w:start w:val="1"/>
      <w:numFmt w:val="decimal"/>
      <w:lvlText w:val="%8)"/>
      <w:lvlJc w:val="left"/>
      <w:pPr>
        <w:ind w:left="1740" w:hanging="360"/>
      </w:pPr>
    </w:lvl>
    <w:lvl w:ilvl="8" w:tplc="EFBCB7E2">
      <w:start w:val="1"/>
      <w:numFmt w:val="decimal"/>
      <w:lvlText w:val="%9)"/>
      <w:lvlJc w:val="left"/>
      <w:pPr>
        <w:ind w:left="1740" w:hanging="360"/>
      </w:pPr>
    </w:lvl>
  </w:abstractNum>
  <w:abstractNum w:abstractNumId="5" w15:restartNumberingAfterBreak="0">
    <w:nsid w:val="1FF51FB0"/>
    <w:multiLevelType w:val="hybridMultilevel"/>
    <w:tmpl w:val="B510C7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0870457"/>
    <w:multiLevelType w:val="hybridMultilevel"/>
    <w:tmpl w:val="6FB2793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24726C2"/>
    <w:multiLevelType w:val="hybridMultilevel"/>
    <w:tmpl w:val="3C5CE32E"/>
    <w:lvl w:ilvl="0" w:tplc="107CBDA0">
      <w:start w:val="1"/>
      <w:numFmt w:val="bullet"/>
      <w:lvlText w:val="•"/>
      <w:lvlJc w:val="left"/>
      <w:pPr>
        <w:tabs>
          <w:tab w:val="num" w:pos="720"/>
        </w:tabs>
        <w:ind w:left="720" w:hanging="360"/>
      </w:pPr>
      <w:rPr>
        <w:rFonts w:ascii="Arial" w:hAnsi="Arial" w:hint="default"/>
      </w:rPr>
    </w:lvl>
    <w:lvl w:ilvl="1" w:tplc="335A4E5C" w:tentative="1">
      <w:start w:val="1"/>
      <w:numFmt w:val="bullet"/>
      <w:lvlText w:val="•"/>
      <w:lvlJc w:val="left"/>
      <w:pPr>
        <w:tabs>
          <w:tab w:val="num" w:pos="1440"/>
        </w:tabs>
        <w:ind w:left="1440" w:hanging="360"/>
      </w:pPr>
      <w:rPr>
        <w:rFonts w:ascii="Arial" w:hAnsi="Arial" w:hint="default"/>
      </w:rPr>
    </w:lvl>
    <w:lvl w:ilvl="2" w:tplc="B1103466" w:tentative="1">
      <w:start w:val="1"/>
      <w:numFmt w:val="bullet"/>
      <w:lvlText w:val="•"/>
      <w:lvlJc w:val="left"/>
      <w:pPr>
        <w:tabs>
          <w:tab w:val="num" w:pos="2160"/>
        </w:tabs>
        <w:ind w:left="2160" w:hanging="360"/>
      </w:pPr>
      <w:rPr>
        <w:rFonts w:ascii="Arial" w:hAnsi="Arial" w:hint="default"/>
      </w:rPr>
    </w:lvl>
    <w:lvl w:ilvl="3" w:tplc="7A601328" w:tentative="1">
      <w:start w:val="1"/>
      <w:numFmt w:val="bullet"/>
      <w:lvlText w:val="•"/>
      <w:lvlJc w:val="left"/>
      <w:pPr>
        <w:tabs>
          <w:tab w:val="num" w:pos="2880"/>
        </w:tabs>
        <w:ind w:left="2880" w:hanging="360"/>
      </w:pPr>
      <w:rPr>
        <w:rFonts w:ascii="Arial" w:hAnsi="Arial" w:hint="default"/>
      </w:rPr>
    </w:lvl>
    <w:lvl w:ilvl="4" w:tplc="4F7C9D06" w:tentative="1">
      <w:start w:val="1"/>
      <w:numFmt w:val="bullet"/>
      <w:lvlText w:val="•"/>
      <w:lvlJc w:val="left"/>
      <w:pPr>
        <w:tabs>
          <w:tab w:val="num" w:pos="3600"/>
        </w:tabs>
        <w:ind w:left="3600" w:hanging="360"/>
      </w:pPr>
      <w:rPr>
        <w:rFonts w:ascii="Arial" w:hAnsi="Arial" w:hint="default"/>
      </w:rPr>
    </w:lvl>
    <w:lvl w:ilvl="5" w:tplc="67708F76" w:tentative="1">
      <w:start w:val="1"/>
      <w:numFmt w:val="bullet"/>
      <w:lvlText w:val="•"/>
      <w:lvlJc w:val="left"/>
      <w:pPr>
        <w:tabs>
          <w:tab w:val="num" w:pos="4320"/>
        </w:tabs>
        <w:ind w:left="4320" w:hanging="360"/>
      </w:pPr>
      <w:rPr>
        <w:rFonts w:ascii="Arial" w:hAnsi="Arial" w:hint="default"/>
      </w:rPr>
    </w:lvl>
    <w:lvl w:ilvl="6" w:tplc="311C8A48" w:tentative="1">
      <w:start w:val="1"/>
      <w:numFmt w:val="bullet"/>
      <w:lvlText w:val="•"/>
      <w:lvlJc w:val="left"/>
      <w:pPr>
        <w:tabs>
          <w:tab w:val="num" w:pos="5040"/>
        </w:tabs>
        <w:ind w:left="5040" w:hanging="360"/>
      </w:pPr>
      <w:rPr>
        <w:rFonts w:ascii="Arial" w:hAnsi="Arial" w:hint="default"/>
      </w:rPr>
    </w:lvl>
    <w:lvl w:ilvl="7" w:tplc="6C9656E6" w:tentative="1">
      <w:start w:val="1"/>
      <w:numFmt w:val="bullet"/>
      <w:lvlText w:val="•"/>
      <w:lvlJc w:val="left"/>
      <w:pPr>
        <w:tabs>
          <w:tab w:val="num" w:pos="5760"/>
        </w:tabs>
        <w:ind w:left="5760" w:hanging="360"/>
      </w:pPr>
      <w:rPr>
        <w:rFonts w:ascii="Arial" w:hAnsi="Arial" w:hint="default"/>
      </w:rPr>
    </w:lvl>
    <w:lvl w:ilvl="8" w:tplc="236E8EA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3FA5ED1"/>
    <w:multiLevelType w:val="hybridMultilevel"/>
    <w:tmpl w:val="68EE0F5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6357AD8"/>
    <w:multiLevelType w:val="hybridMultilevel"/>
    <w:tmpl w:val="E3221106"/>
    <w:lvl w:ilvl="0" w:tplc="6D3E4018">
      <w:start w:val="1"/>
      <w:numFmt w:val="bullet"/>
      <w:lvlText w:val="-"/>
      <w:lvlJc w:val="left"/>
      <w:pPr>
        <w:tabs>
          <w:tab w:val="num" w:pos="720"/>
        </w:tabs>
        <w:ind w:left="720" w:hanging="360"/>
      </w:pPr>
      <w:rPr>
        <w:rFonts w:ascii="Calibri" w:hAnsi="Calibri" w:hint="default"/>
      </w:rPr>
    </w:lvl>
    <w:lvl w:ilvl="1" w:tplc="47AAC086" w:tentative="1">
      <w:start w:val="1"/>
      <w:numFmt w:val="bullet"/>
      <w:lvlText w:val="-"/>
      <w:lvlJc w:val="left"/>
      <w:pPr>
        <w:tabs>
          <w:tab w:val="num" w:pos="1440"/>
        </w:tabs>
        <w:ind w:left="1440" w:hanging="360"/>
      </w:pPr>
      <w:rPr>
        <w:rFonts w:ascii="Calibri" w:hAnsi="Calibri" w:hint="default"/>
      </w:rPr>
    </w:lvl>
    <w:lvl w:ilvl="2" w:tplc="6720B664" w:tentative="1">
      <w:start w:val="1"/>
      <w:numFmt w:val="bullet"/>
      <w:lvlText w:val="-"/>
      <w:lvlJc w:val="left"/>
      <w:pPr>
        <w:tabs>
          <w:tab w:val="num" w:pos="2160"/>
        </w:tabs>
        <w:ind w:left="2160" w:hanging="360"/>
      </w:pPr>
      <w:rPr>
        <w:rFonts w:ascii="Calibri" w:hAnsi="Calibri" w:hint="default"/>
      </w:rPr>
    </w:lvl>
    <w:lvl w:ilvl="3" w:tplc="989E8B0C" w:tentative="1">
      <w:start w:val="1"/>
      <w:numFmt w:val="bullet"/>
      <w:lvlText w:val="-"/>
      <w:lvlJc w:val="left"/>
      <w:pPr>
        <w:tabs>
          <w:tab w:val="num" w:pos="2880"/>
        </w:tabs>
        <w:ind w:left="2880" w:hanging="360"/>
      </w:pPr>
      <w:rPr>
        <w:rFonts w:ascii="Calibri" w:hAnsi="Calibri" w:hint="default"/>
      </w:rPr>
    </w:lvl>
    <w:lvl w:ilvl="4" w:tplc="C706AD3A" w:tentative="1">
      <w:start w:val="1"/>
      <w:numFmt w:val="bullet"/>
      <w:lvlText w:val="-"/>
      <w:lvlJc w:val="left"/>
      <w:pPr>
        <w:tabs>
          <w:tab w:val="num" w:pos="3600"/>
        </w:tabs>
        <w:ind w:left="3600" w:hanging="360"/>
      </w:pPr>
      <w:rPr>
        <w:rFonts w:ascii="Calibri" w:hAnsi="Calibri" w:hint="default"/>
      </w:rPr>
    </w:lvl>
    <w:lvl w:ilvl="5" w:tplc="3552E882" w:tentative="1">
      <w:start w:val="1"/>
      <w:numFmt w:val="bullet"/>
      <w:lvlText w:val="-"/>
      <w:lvlJc w:val="left"/>
      <w:pPr>
        <w:tabs>
          <w:tab w:val="num" w:pos="4320"/>
        </w:tabs>
        <w:ind w:left="4320" w:hanging="360"/>
      </w:pPr>
      <w:rPr>
        <w:rFonts w:ascii="Calibri" w:hAnsi="Calibri" w:hint="default"/>
      </w:rPr>
    </w:lvl>
    <w:lvl w:ilvl="6" w:tplc="400C7262" w:tentative="1">
      <w:start w:val="1"/>
      <w:numFmt w:val="bullet"/>
      <w:lvlText w:val="-"/>
      <w:lvlJc w:val="left"/>
      <w:pPr>
        <w:tabs>
          <w:tab w:val="num" w:pos="5040"/>
        </w:tabs>
        <w:ind w:left="5040" w:hanging="360"/>
      </w:pPr>
      <w:rPr>
        <w:rFonts w:ascii="Calibri" w:hAnsi="Calibri" w:hint="default"/>
      </w:rPr>
    </w:lvl>
    <w:lvl w:ilvl="7" w:tplc="A2343B04" w:tentative="1">
      <w:start w:val="1"/>
      <w:numFmt w:val="bullet"/>
      <w:lvlText w:val="-"/>
      <w:lvlJc w:val="left"/>
      <w:pPr>
        <w:tabs>
          <w:tab w:val="num" w:pos="5760"/>
        </w:tabs>
        <w:ind w:left="5760" w:hanging="360"/>
      </w:pPr>
      <w:rPr>
        <w:rFonts w:ascii="Calibri" w:hAnsi="Calibri" w:hint="default"/>
      </w:rPr>
    </w:lvl>
    <w:lvl w:ilvl="8" w:tplc="56E4BA4E" w:tentative="1">
      <w:start w:val="1"/>
      <w:numFmt w:val="bullet"/>
      <w:lvlText w:val="-"/>
      <w:lvlJc w:val="left"/>
      <w:pPr>
        <w:tabs>
          <w:tab w:val="num" w:pos="6480"/>
        </w:tabs>
        <w:ind w:left="6480" w:hanging="360"/>
      </w:pPr>
      <w:rPr>
        <w:rFonts w:ascii="Calibri" w:hAnsi="Calibri" w:hint="default"/>
      </w:rPr>
    </w:lvl>
  </w:abstractNum>
  <w:abstractNum w:abstractNumId="10" w15:restartNumberingAfterBreak="0">
    <w:nsid w:val="266F3173"/>
    <w:multiLevelType w:val="hybridMultilevel"/>
    <w:tmpl w:val="ADC297B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7040149"/>
    <w:multiLevelType w:val="hybridMultilevel"/>
    <w:tmpl w:val="197E3C6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BA627DD"/>
    <w:multiLevelType w:val="hybridMultilevel"/>
    <w:tmpl w:val="13B0B178"/>
    <w:lvl w:ilvl="0" w:tplc="E286C1CC">
      <w:start w:val="1"/>
      <w:numFmt w:val="decimal"/>
      <w:lvlText w:val="%1)"/>
      <w:lvlJc w:val="left"/>
      <w:pPr>
        <w:ind w:left="1740" w:hanging="360"/>
      </w:pPr>
    </w:lvl>
    <w:lvl w:ilvl="1" w:tplc="4EDCE6B2">
      <w:start w:val="1"/>
      <w:numFmt w:val="decimal"/>
      <w:lvlText w:val="%2)"/>
      <w:lvlJc w:val="left"/>
      <w:pPr>
        <w:ind w:left="1740" w:hanging="360"/>
      </w:pPr>
    </w:lvl>
    <w:lvl w:ilvl="2" w:tplc="BE20752C">
      <w:start w:val="1"/>
      <w:numFmt w:val="decimal"/>
      <w:lvlText w:val="%3)"/>
      <w:lvlJc w:val="left"/>
      <w:pPr>
        <w:ind w:left="1740" w:hanging="360"/>
      </w:pPr>
    </w:lvl>
    <w:lvl w:ilvl="3" w:tplc="B64C1D2E">
      <w:start w:val="1"/>
      <w:numFmt w:val="decimal"/>
      <w:lvlText w:val="%4)"/>
      <w:lvlJc w:val="left"/>
      <w:pPr>
        <w:ind w:left="1740" w:hanging="360"/>
      </w:pPr>
    </w:lvl>
    <w:lvl w:ilvl="4" w:tplc="BD36485E">
      <w:start w:val="1"/>
      <w:numFmt w:val="decimal"/>
      <w:lvlText w:val="%5)"/>
      <w:lvlJc w:val="left"/>
      <w:pPr>
        <w:ind w:left="1740" w:hanging="360"/>
      </w:pPr>
    </w:lvl>
    <w:lvl w:ilvl="5" w:tplc="96060B84">
      <w:start w:val="1"/>
      <w:numFmt w:val="decimal"/>
      <w:lvlText w:val="%6)"/>
      <w:lvlJc w:val="left"/>
      <w:pPr>
        <w:ind w:left="1740" w:hanging="360"/>
      </w:pPr>
    </w:lvl>
    <w:lvl w:ilvl="6" w:tplc="0D62BEE0">
      <w:start w:val="1"/>
      <w:numFmt w:val="decimal"/>
      <w:lvlText w:val="%7)"/>
      <w:lvlJc w:val="left"/>
      <w:pPr>
        <w:ind w:left="1740" w:hanging="360"/>
      </w:pPr>
    </w:lvl>
    <w:lvl w:ilvl="7" w:tplc="151E9766">
      <w:start w:val="1"/>
      <w:numFmt w:val="decimal"/>
      <w:lvlText w:val="%8)"/>
      <w:lvlJc w:val="left"/>
      <w:pPr>
        <w:ind w:left="1740" w:hanging="360"/>
      </w:pPr>
    </w:lvl>
    <w:lvl w:ilvl="8" w:tplc="9E663378">
      <w:start w:val="1"/>
      <w:numFmt w:val="decimal"/>
      <w:lvlText w:val="%9)"/>
      <w:lvlJc w:val="left"/>
      <w:pPr>
        <w:ind w:left="1740" w:hanging="360"/>
      </w:pPr>
    </w:lvl>
  </w:abstractNum>
  <w:abstractNum w:abstractNumId="13" w15:restartNumberingAfterBreak="0">
    <w:nsid w:val="2E9A791A"/>
    <w:multiLevelType w:val="hybridMultilevel"/>
    <w:tmpl w:val="B6B8576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F3A0B51"/>
    <w:multiLevelType w:val="hybridMultilevel"/>
    <w:tmpl w:val="0BC28E3C"/>
    <w:lvl w:ilvl="0" w:tplc="21A299CE">
      <w:numFmt w:val="bullet"/>
      <w:lvlText w:val="-"/>
      <w:lvlJc w:val="left"/>
      <w:pPr>
        <w:ind w:left="720" w:hanging="36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3E93092"/>
    <w:multiLevelType w:val="hybridMultilevel"/>
    <w:tmpl w:val="EB62CE7A"/>
    <w:lvl w:ilvl="0" w:tplc="D8303F76">
      <w:numFmt w:val="bullet"/>
      <w:lvlText w:val="-"/>
      <w:lvlJc w:val="left"/>
      <w:pPr>
        <w:ind w:left="1080" w:hanging="360"/>
      </w:pPr>
      <w:rPr>
        <w:rFonts w:ascii="Calibri" w:eastAsiaTheme="minorHAnsi" w:hAnsi="Calibri" w:cs="Calibri"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6" w15:restartNumberingAfterBreak="0">
    <w:nsid w:val="34DC166C"/>
    <w:multiLevelType w:val="hybridMultilevel"/>
    <w:tmpl w:val="A03A5F9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8083EE5"/>
    <w:multiLevelType w:val="hybridMultilevel"/>
    <w:tmpl w:val="D684308E"/>
    <w:lvl w:ilvl="0" w:tplc="0C090003">
      <w:start w:val="1"/>
      <w:numFmt w:val="bullet"/>
      <w:lvlText w:val="o"/>
      <w:lvlJc w:val="left"/>
      <w:pPr>
        <w:ind w:left="1440" w:hanging="360"/>
      </w:pPr>
      <w:rPr>
        <w:rFonts w:ascii="Courier New" w:hAnsi="Courier New" w:cs="Courier New"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8" w15:restartNumberingAfterBreak="0">
    <w:nsid w:val="38764E10"/>
    <w:multiLevelType w:val="hybridMultilevel"/>
    <w:tmpl w:val="F23C8346"/>
    <w:lvl w:ilvl="0" w:tplc="CA76958E">
      <w:numFmt w:val="bullet"/>
      <w:lvlText w:val="-"/>
      <w:lvlJc w:val="left"/>
      <w:pPr>
        <w:ind w:left="720" w:hanging="36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D8F46E2"/>
    <w:multiLevelType w:val="hybridMultilevel"/>
    <w:tmpl w:val="B6B8576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F670321"/>
    <w:multiLevelType w:val="hybridMultilevel"/>
    <w:tmpl w:val="646E3C3A"/>
    <w:lvl w:ilvl="0" w:tplc="0C090003">
      <w:start w:val="1"/>
      <w:numFmt w:val="bullet"/>
      <w:lvlText w:val="o"/>
      <w:lvlJc w:val="left"/>
      <w:pPr>
        <w:ind w:left="1800" w:hanging="360"/>
      </w:pPr>
      <w:rPr>
        <w:rFonts w:ascii="Courier New" w:hAnsi="Courier New" w:cs="Courier New" w:hint="default"/>
      </w:rPr>
    </w:lvl>
    <w:lvl w:ilvl="1" w:tplc="0C090003" w:tentative="1">
      <w:start w:val="1"/>
      <w:numFmt w:val="bullet"/>
      <w:lvlText w:val="o"/>
      <w:lvlJc w:val="left"/>
      <w:pPr>
        <w:ind w:left="2520" w:hanging="360"/>
      </w:pPr>
      <w:rPr>
        <w:rFonts w:ascii="Courier New" w:hAnsi="Courier New" w:cs="Courier New" w:hint="default"/>
      </w:rPr>
    </w:lvl>
    <w:lvl w:ilvl="2" w:tplc="0C090005" w:tentative="1">
      <w:start w:val="1"/>
      <w:numFmt w:val="bullet"/>
      <w:lvlText w:val=""/>
      <w:lvlJc w:val="left"/>
      <w:pPr>
        <w:ind w:left="3240" w:hanging="360"/>
      </w:pPr>
      <w:rPr>
        <w:rFonts w:ascii="Wingdings" w:hAnsi="Wingdings" w:hint="default"/>
      </w:rPr>
    </w:lvl>
    <w:lvl w:ilvl="3" w:tplc="0C090001" w:tentative="1">
      <w:start w:val="1"/>
      <w:numFmt w:val="bullet"/>
      <w:lvlText w:val=""/>
      <w:lvlJc w:val="left"/>
      <w:pPr>
        <w:ind w:left="3960" w:hanging="360"/>
      </w:pPr>
      <w:rPr>
        <w:rFonts w:ascii="Symbol" w:hAnsi="Symbol" w:hint="default"/>
      </w:rPr>
    </w:lvl>
    <w:lvl w:ilvl="4" w:tplc="0C090003" w:tentative="1">
      <w:start w:val="1"/>
      <w:numFmt w:val="bullet"/>
      <w:lvlText w:val="o"/>
      <w:lvlJc w:val="left"/>
      <w:pPr>
        <w:ind w:left="4680" w:hanging="360"/>
      </w:pPr>
      <w:rPr>
        <w:rFonts w:ascii="Courier New" w:hAnsi="Courier New" w:cs="Courier New" w:hint="default"/>
      </w:rPr>
    </w:lvl>
    <w:lvl w:ilvl="5" w:tplc="0C090005" w:tentative="1">
      <w:start w:val="1"/>
      <w:numFmt w:val="bullet"/>
      <w:lvlText w:val=""/>
      <w:lvlJc w:val="left"/>
      <w:pPr>
        <w:ind w:left="5400" w:hanging="360"/>
      </w:pPr>
      <w:rPr>
        <w:rFonts w:ascii="Wingdings" w:hAnsi="Wingdings" w:hint="default"/>
      </w:rPr>
    </w:lvl>
    <w:lvl w:ilvl="6" w:tplc="0C090001" w:tentative="1">
      <w:start w:val="1"/>
      <w:numFmt w:val="bullet"/>
      <w:lvlText w:val=""/>
      <w:lvlJc w:val="left"/>
      <w:pPr>
        <w:ind w:left="6120" w:hanging="360"/>
      </w:pPr>
      <w:rPr>
        <w:rFonts w:ascii="Symbol" w:hAnsi="Symbol" w:hint="default"/>
      </w:rPr>
    </w:lvl>
    <w:lvl w:ilvl="7" w:tplc="0C090003" w:tentative="1">
      <w:start w:val="1"/>
      <w:numFmt w:val="bullet"/>
      <w:lvlText w:val="o"/>
      <w:lvlJc w:val="left"/>
      <w:pPr>
        <w:ind w:left="6840" w:hanging="360"/>
      </w:pPr>
      <w:rPr>
        <w:rFonts w:ascii="Courier New" w:hAnsi="Courier New" w:cs="Courier New" w:hint="default"/>
      </w:rPr>
    </w:lvl>
    <w:lvl w:ilvl="8" w:tplc="0C090005" w:tentative="1">
      <w:start w:val="1"/>
      <w:numFmt w:val="bullet"/>
      <w:lvlText w:val=""/>
      <w:lvlJc w:val="left"/>
      <w:pPr>
        <w:ind w:left="7560" w:hanging="360"/>
      </w:pPr>
      <w:rPr>
        <w:rFonts w:ascii="Wingdings" w:hAnsi="Wingdings" w:hint="default"/>
      </w:rPr>
    </w:lvl>
  </w:abstractNum>
  <w:abstractNum w:abstractNumId="21" w15:restartNumberingAfterBreak="0">
    <w:nsid w:val="44326352"/>
    <w:multiLevelType w:val="hybridMultilevel"/>
    <w:tmpl w:val="5700319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51D2944"/>
    <w:multiLevelType w:val="hybridMultilevel"/>
    <w:tmpl w:val="8F124E16"/>
    <w:lvl w:ilvl="0" w:tplc="0AA0DB7C">
      <w:start w:val="1"/>
      <w:numFmt w:val="decimal"/>
      <w:lvlText w:val="%1)"/>
      <w:lvlJc w:val="left"/>
      <w:pPr>
        <w:ind w:left="1740" w:hanging="360"/>
      </w:pPr>
    </w:lvl>
    <w:lvl w:ilvl="1" w:tplc="AA12F828">
      <w:start w:val="1"/>
      <w:numFmt w:val="decimal"/>
      <w:lvlText w:val="%2)"/>
      <w:lvlJc w:val="left"/>
      <w:pPr>
        <w:ind w:left="1740" w:hanging="360"/>
      </w:pPr>
    </w:lvl>
    <w:lvl w:ilvl="2" w:tplc="9E2470B2">
      <w:start w:val="1"/>
      <w:numFmt w:val="decimal"/>
      <w:lvlText w:val="%3)"/>
      <w:lvlJc w:val="left"/>
      <w:pPr>
        <w:ind w:left="1740" w:hanging="360"/>
      </w:pPr>
    </w:lvl>
    <w:lvl w:ilvl="3" w:tplc="FFBEDC86">
      <w:start w:val="1"/>
      <w:numFmt w:val="decimal"/>
      <w:lvlText w:val="%4)"/>
      <w:lvlJc w:val="left"/>
      <w:pPr>
        <w:ind w:left="1740" w:hanging="360"/>
      </w:pPr>
    </w:lvl>
    <w:lvl w:ilvl="4" w:tplc="BA68A28C">
      <w:start w:val="1"/>
      <w:numFmt w:val="decimal"/>
      <w:lvlText w:val="%5)"/>
      <w:lvlJc w:val="left"/>
      <w:pPr>
        <w:ind w:left="1740" w:hanging="360"/>
      </w:pPr>
    </w:lvl>
    <w:lvl w:ilvl="5" w:tplc="6ACEDE94">
      <w:start w:val="1"/>
      <w:numFmt w:val="decimal"/>
      <w:lvlText w:val="%6)"/>
      <w:lvlJc w:val="left"/>
      <w:pPr>
        <w:ind w:left="1740" w:hanging="360"/>
      </w:pPr>
    </w:lvl>
    <w:lvl w:ilvl="6" w:tplc="72A22A62">
      <w:start w:val="1"/>
      <w:numFmt w:val="decimal"/>
      <w:lvlText w:val="%7)"/>
      <w:lvlJc w:val="left"/>
      <w:pPr>
        <w:ind w:left="1740" w:hanging="360"/>
      </w:pPr>
    </w:lvl>
    <w:lvl w:ilvl="7" w:tplc="7DF484AA">
      <w:start w:val="1"/>
      <w:numFmt w:val="decimal"/>
      <w:lvlText w:val="%8)"/>
      <w:lvlJc w:val="left"/>
      <w:pPr>
        <w:ind w:left="1740" w:hanging="360"/>
      </w:pPr>
    </w:lvl>
    <w:lvl w:ilvl="8" w:tplc="E43A48C4">
      <w:start w:val="1"/>
      <w:numFmt w:val="decimal"/>
      <w:lvlText w:val="%9)"/>
      <w:lvlJc w:val="left"/>
      <w:pPr>
        <w:ind w:left="1740" w:hanging="360"/>
      </w:pPr>
    </w:lvl>
  </w:abstractNum>
  <w:abstractNum w:abstractNumId="23" w15:restartNumberingAfterBreak="0">
    <w:nsid w:val="476E06E9"/>
    <w:multiLevelType w:val="hybridMultilevel"/>
    <w:tmpl w:val="A17452FE"/>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4" w15:restartNumberingAfterBreak="0">
    <w:nsid w:val="4809487C"/>
    <w:multiLevelType w:val="hybridMultilevel"/>
    <w:tmpl w:val="00CAC41C"/>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5" w15:restartNumberingAfterBreak="0">
    <w:nsid w:val="485935C9"/>
    <w:multiLevelType w:val="hybridMultilevel"/>
    <w:tmpl w:val="5EA419E2"/>
    <w:lvl w:ilvl="0" w:tplc="45FA021C">
      <w:start w:val="1"/>
      <w:numFmt w:val="bullet"/>
      <w:lvlText w:val="-"/>
      <w:lvlJc w:val="left"/>
      <w:pPr>
        <w:tabs>
          <w:tab w:val="num" w:pos="720"/>
        </w:tabs>
        <w:ind w:left="720" w:hanging="360"/>
      </w:pPr>
      <w:rPr>
        <w:rFonts w:ascii="Calibri" w:hAnsi="Calibri" w:hint="default"/>
      </w:rPr>
    </w:lvl>
    <w:lvl w:ilvl="1" w:tplc="5150CBB2" w:tentative="1">
      <w:start w:val="1"/>
      <w:numFmt w:val="bullet"/>
      <w:lvlText w:val="-"/>
      <w:lvlJc w:val="left"/>
      <w:pPr>
        <w:tabs>
          <w:tab w:val="num" w:pos="1440"/>
        </w:tabs>
        <w:ind w:left="1440" w:hanging="360"/>
      </w:pPr>
      <w:rPr>
        <w:rFonts w:ascii="Calibri" w:hAnsi="Calibri" w:hint="default"/>
      </w:rPr>
    </w:lvl>
    <w:lvl w:ilvl="2" w:tplc="17F6BB68" w:tentative="1">
      <w:start w:val="1"/>
      <w:numFmt w:val="bullet"/>
      <w:lvlText w:val="-"/>
      <w:lvlJc w:val="left"/>
      <w:pPr>
        <w:tabs>
          <w:tab w:val="num" w:pos="2160"/>
        </w:tabs>
        <w:ind w:left="2160" w:hanging="360"/>
      </w:pPr>
      <w:rPr>
        <w:rFonts w:ascii="Calibri" w:hAnsi="Calibri" w:hint="default"/>
      </w:rPr>
    </w:lvl>
    <w:lvl w:ilvl="3" w:tplc="2CE6FBD2" w:tentative="1">
      <w:start w:val="1"/>
      <w:numFmt w:val="bullet"/>
      <w:lvlText w:val="-"/>
      <w:lvlJc w:val="left"/>
      <w:pPr>
        <w:tabs>
          <w:tab w:val="num" w:pos="2880"/>
        </w:tabs>
        <w:ind w:left="2880" w:hanging="360"/>
      </w:pPr>
      <w:rPr>
        <w:rFonts w:ascii="Calibri" w:hAnsi="Calibri" w:hint="default"/>
      </w:rPr>
    </w:lvl>
    <w:lvl w:ilvl="4" w:tplc="441AED0A" w:tentative="1">
      <w:start w:val="1"/>
      <w:numFmt w:val="bullet"/>
      <w:lvlText w:val="-"/>
      <w:lvlJc w:val="left"/>
      <w:pPr>
        <w:tabs>
          <w:tab w:val="num" w:pos="3600"/>
        </w:tabs>
        <w:ind w:left="3600" w:hanging="360"/>
      </w:pPr>
      <w:rPr>
        <w:rFonts w:ascii="Calibri" w:hAnsi="Calibri" w:hint="default"/>
      </w:rPr>
    </w:lvl>
    <w:lvl w:ilvl="5" w:tplc="57FE25DE" w:tentative="1">
      <w:start w:val="1"/>
      <w:numFmt w:val="bullet"/>
      <w:lvlText w:val="-"/>
      <w:lvlJc w:val="left"/>
      <w:pPr>
        <w:tabs>
          <w:tab w:val="num" w:pos="4320"/>
        </w:tabs>
        <w:ind w:left="4320" w:hanging="360"/>
      </w:pPr>
      <w:rPr>
        <w:rFonts w:ascii="Calibri" w:hAnsi="Calibri" w:hint="default"/>
      </w:rPr>
    </w:lvl>
    <w:lvl w:ilvl="6" w:tplc="206042CC" w:tentative="1">
      <w:start w:val="1"/>
      <w:numFmt w:val="bullet"/>
      <w:lvlText w:val="-"/>
      <w:lvlJc w:val="left"/>
      <w:pPr>
        <w:tabs>
          <w:tab w:val="num" w:pos="5040"/>
        </w:tabs>
        <w:ind w:left="5040" w:hanging="360"/>
      </w:pPr>
      <w:rPr>
        <w:rFonts w:ascii="Calibri" w:hAnsi="Calibri" w:hint="default"/>
      </w:rPr>
    </w:lvl>
    <w:lvl w:ilvl="7" w:tplc="1F3A3914" w:tentative="1">
      <w:start w:val="1"/>
      <w:numFmt w:val="bullet"/>
      <w:lvlText w:val="-"/>
      <w:lvlJc w:val="left"/>
      <w:pPr>
        <w:tabs>
          <w:tab w:val="num" w:pos="5760"/>
        </w:tabs>
        <w:ind w:left="5760" w:hanging="360"/>
      </w:pPr>
      <w:rPr>
        <w:rFonts w:ascii="Calibri" w:hAnsi="Calibri" w:hint="default"/>
      </w:rPr>
    </w:lvl>
    <w:lvl w:ilvl="8" w:tplc="0D10857E" w:tentative="1">
      <w:start w:val="1"/>
      <w:numFmt w:val="bullet"/>
      <w:lvlText w:val="-"/>
      <w:lvlJc w:val="left"/>
      <w:pPr>
        <w:tabs>
          <w:tab w:val="num" w:pos="6480"/>
        </w:tabs>
        <w:ind w:left="6480" w:hanging="360"/>
      </w:pPr>
      <w:rPr>
        <w:rFonts w:ascii="Calibri" w:hAnsi="Calibri" w:hint="default"/>
      </w:rPr>
    </w:lvl>
  </w:abstractNum>
  <w:abstractNum w:abstractNumId="26" w15:restartNumberingAfterBreak="0">
    <w:nsid w:val="4868747F"/>
    <w:multiLevelType w:val="hybridMultilevel"/>
    <w:tmpl w:val="FFA8916A"/>
    <w:lvl w:ilvl="0" w:tplc="32BCE1D6">
      <w:start w:val="1"/>
      <w:numFmt w:val="bullet"/>
      <w:lvlText w:val="•"/>
      <w:lvlJc w:val="left"/>
      <w:pPr>
        <w:tabs>
          <w:tab w:val="num" w:pos="720"/>
        </w:tabs>
        <w:ind w:left="720" w:hanging="360"/>
      </w:pPr>
      <w:rPr>
        <w:rFonts w:ascii="Arial" w:hAnsi="Arial" w:hint="default"/>
      </w:rPr>
    </w:lvl>
    <w:lvl w:ilvl="1" w:tplc="77043F14" w:tentative="1">
      <w:start w:val="1"/>
      <w:numFmt w:val="bullet"/>
      <w:lvlText w:val="•"/>
      <w:lvlJc w:val="left"/>
      <w:pPr>
        <w:tabs>
          <w:tab w:val="num" w:pos="1440"/>
        </w:tabs>
        <w:ind w:left="1440" w:hanging="360"/>
      </w:pPr>
      <w:rPr>
        <w:rFonts w:ascii="Arial" w:hAnsi="Arial" w:hint="default"/>
      </w:rPr>
    </w:lvl>
    <w:lvl w:ilvl="2" w:tplc="640213CC" w:tentative="1">
      <w:start w:val="1"/>
      <w:numFmt w:val="bullet"/>
      <w:lvlText w:val="•"/>
      <w:lvlJc w:val="left"/>
      <w:pPr>
        <w:tabs>
          <w:tab w:val="num" w:pos="2160"/>
        </w:tabs>
        <w:ind w:left="2160" w:hanging="360"/>
      </w:pPr>
      <w:rPr>
        <w:rFonts w:ascii="Arial" w:hAnsi="Arial" w:hint="default"/>
      </w:rPr>
    </w:lvl>
    <w:lvl w:ilvl="3" w:tplc="D7D6D854" w:tentative="1">
      <w:start w:val="1"/>
      <w:numFmt w:val="bullet"/>
      <w:lvlText w:val="•"/>
      <w:lvlJc w:val="left"/>
      <w:pPr>
        <w:tabs>
          <w:tab w:val="num" w:pos="2880"/>
        </w:tabs>
        <w:ind w:left="2880" w:hanging="360"/>
      </w:pPr>
      <w:rPr>
        <w:rFonts w:ascii="Arial" w:hAnsi="Arial" w:hint="default"/>
      </w:rPr>
    </w:lvl>
    <w:lvl w:ilvl="4" w:tplc="8B24546A" w:tentative="1">
      <w:start w:val="1"/>
      <w:numFmt w:val="bullet"/>
      <w:lvlText w:val="•"/>
      <w:lvlJc w:val="left"/>
      <w:pPr>
        <w:tabs>
          <w:tab w:val="num" w:pos="3600"/>
        </w:tabs>
        <w:ind w:left="3600" w:hanging="360"/>
      </w:pPr>
      <w:rPr>
        <w:rFonts w:ascii="Arial" w:hAnsi="Arial" w:hint="default"/>
      </w:rPr>
    </w:lvl>
    <w:lvl w:ilvl="5" w:tplc="C27480E4" w:tentative="1">
      <w:start w:val="1"/>
      <w:numFmt w:val="bullet"/>
      <w:lvlText w:val="•"/>
      <w:lvlJc w:val="left"/>
      <w:pPr>
        <w:tabs>
          <w:tab w:val="num" w:pos="4320"/>
        </w:tabs>
        <w:ind w:left="4320" w:hanging="360"/>
      </w:pPr>
      <w:rPr>
        <w:rFonts w:ascii="Arial" w:hAnsi="Arial" w:hint="default"/>
      </w:rPr>
    </w:lvl>
    <w:lvl w:ilvl="6" w:tplc="42ECE50A" w:tentative="1">
      <w:start w:val="1"/>
      <w:numFmt w:val="bullet"/>
      <w:lvlText w:val="•"/>
      <w:lvlJc w:val="left"/>
      <w:pPr>
        <w:tabs>
          <w:tab w:val="num" w:pos="5040"/>
        </w:tabs>
        <w:ind w:left="5040" w:hanging="360"/>
      </w:pPr>
      <w:rPr>
        <w:rFonts w:ascii="Arial" w:hAnsi="Arial" w:hint="default"/>
      </w:rPr>
    </w:lvl>
    <w:lvl w:ilvl="7" w:tplc="3C6A27CA" w:tentative="1">
      <w:start w:val="1"/>
      <w:numFmt w:val="bullet"/>
      <w:lvlText w:val="•"/>
      <w:lvlJc w:val="left"/>
      <w:pPr>
        <w:tabs>
          <w:tab w:val="num" w:pos="5760"/>
        </w:tabs>
        <w:ind w:left="5760" w:hanging="360"/>
      </w:pPr>
      <w:rPr>
        <w:rFonts w:ascii="Arial" w:hAnsi="Arial" w:hint="default"/>
      </w:rPr>
    </w:lvl>
    <w:lvl w:ilvl="8" w:tplc="CBC27618"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48A10F67"/>
    <w:multiLevelType w:val="hybridMultilevel"/>
    <w:tmpl w:val="4AD89C12"/>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8" w15:restartNumberingAfterBreak="0">
    <w:nsid w:val="4CAF26E5"/>
    <w:multiLevelType w:val="hybridMultilevel"/>
    <w:tmpl w:val="B50AD922"/>
    <w:lvl w:ilvl="0" w:tplc="702A85D4">
      <w:start w:val="1"/>
      <w:numFmt w:val="bullet"/>
      <w:lvlText w:val="•"/>
      <w:lvlJc w:val="left"/>
      <w:pPr>
        <w:tabs>
          <w:tab w:val="num" w:pos="720"/>
        </w:tabs>
        <w:ind w:left="720" w:hanging="360"/>
      </w:pPr>
      <w:rPr>
        <w:rFonts w:ascii="Arial" w:hAnsi="Arial" w:hint="default"/>
      </w:rPr>
    </w:lvl>
    <w:lvl w:ilvl="1" w:tplc="B8A8AB1E" w:tentative="1">
      <w:start w:val="1"/>
      <w:numFmt w:val="bullet"/>
      <w:lvlText w:val="•"/>
      <w:lvlJc w:val="left"/>
      <w:pPr>
        <w:tabs>
          <w:tab w:val="num" w:pos="1440"/>
        </w:tabs>
        <w:ind w:left="1440" w:hanging="360"/>
      </w:pPr>
      <w:rPr>
        <w:rFonts w:ascii="Arial" w:hAnsi="Arial" w:hint="default"/>
      </w:rPr>
    </w:lvl>
    <w:lvl w:ilvl="2" w:tplc="314461AC" w:tentative="1">
      <w:start w:val="1"/>
      <w:numFmt w:val="bullet"/>
      <w:lvlText w:val="•"/>
      <w:lvlJc w:val="left"/>
      <w:pPr>
        <w:tabs>
          <w:tab w:val="num" w:pos="2160"/>
        </w:tabs>
        <w:ind w:left="2160" w:hanging="360"/>
      </w:pPr>
      <w:rPr>
        <w:rFonts w:ascii="Arial" w:hAnsi="Arial" w:hint="default"/>
      </w:rPr>
    </w:lvl>
    <w:lvl w:ilvl="3" w:tplc="74F4477A" w:tentative="1">
      <w:start w:val="1"/>
      <w:numFmt w:val="bullet"/>
      <w:lvlText w:val="•"/>
      <w:lvlJc w:val="left"/>
      <w:pPr>
        <w:tabs>
          <w:tab w:val="num" w:pos="2880"/>
        </w:tabs>
        <w:ind w:left="2880" w:hanging="360"/>
      </w:pPr>
      <w:rPr>
        <w:rFonts w:ascii="Arial" w:hAnsi="Arial" w:hint="default"/>
      </w:rPr>
    </w:lvl>
    <w:lvl w:ilvl="4" w:tplc="74A2F384" w:tentative="1">
      <w:start w:val="1"/>
      <w:numFmt w:val="bullet"/>
      <w:lvlText w:val="•"/>
      <w:lvlJc w:val="left"/>
      <w:pPr>
        <w:tabs>
          <w:tab w:val="num" w:pos="3600"/>
        </w:tabs>
        <w:ind w:left="3600" w:hanging="360"/>
      </w:pPr>
      <w:rPr>
        <w:rFonts w:ascii="Arial" w:hAnsi="Arial" w:hint="default"/>
      </w:rPr>
    </w:lvl>
    <w:lvl w:ilvl="5" w:tplc="D6D68D3C" w:tentative="1">
      <w:start w:val="1"/>
      <w:numFmt w:val="bullet"/>
      <w:lvlText w:val="•"/>
      <w:lvlJc w:val="left"/>
      <w:pPr>
        <w:tabs>
          <w:tab w:val="num" w:pos="4320"/>
        </w:tabs>
        <w:ind w:left="4320" w:hanging="360"/>
      </w:pPr>
      <w:rPr>
        <w:rFonts w:ascii="Arial" w:hAnsi="Arial" w:hint="default"/>
      </w:rPr>
    </w:lvl>
    <w:lvl w:ilvl="6" w:tplc="AF9A327C" w:tentative="1">
      <w:start w:val="1"/>
      <w:numFmt w:val="bullet"/>
      <w:lvlText w:val="•"/>
      <w:lvlJc w:val="left"/>
      <w:pPr>
        <w:tabs>
          <w:tab w:val="num" w:pos="5040"/>
        </w:tabs>
        <w:ind w:left="5040" w:hanging="360"/>
      </w:pPr>
      <w:rPr>
        <w:rFonts w:ascii="Arial" w:hAnsi="Arial" w:hint="default"/>
      </w:rPr>
    </w:lvl>
    <w:lvl w:ilvl="7" w:tplc="4CD2864A" w:tentative="1">
      <w:start w:val="1"/>
      <w:numFmt w:val="bullet"/>
      <w:lvlText w:val="•"/>
      <w:lvlJc w:val="left"/>
      <w:pPr>
        <w:tabs>
          <w:tab w:val="num" w:pos="5760"/>
        </w:tabs>
        <w:ind w:left="5760" w:hanging="360"/>
      </w:pPr>
      <w:rPr>
        <w:rFonts w:ascii="Arial" w:hAnsi="Arial" w:hint="default"/>
      </w:rPr>
    </w:lvl>
    <w:lvl w:ilvl="8" w:tplc="3FB6BE02"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4D8A65E9"/>
    <w:multiLevelType w:val="hybridMultilevel"/>
    <w:tmpl w:val="AA7CE628"/>
    <w:lvl w:ilvl="0" w:tplc="287207E6">
      <w:start w:val="1"/>
      <w:numFmt w:val="bullet"/>
      <w:lvlText w:val="•"/>
      <w:lvlJc w:val="left"/>
      <w:pPr>
        <w:tabs>
          <w:tab w:val="num" w:pos="720"/>
        </w:tabs>
        <w:ind w:left="720" w:hanging="360"/>
      </w:pPr>
      <w:rPr>
        <w:rFonts w:ascii="Arial" w:hAnsi="Arial" w:hint="default"/>
      </w:rPr>
    </w:lvl>
    <w:lvl w:ilvl="1" w:tplc="866C7834" w:tentative="1">
      <w:start w:val="1"/>
      <w:numFmt w:val="bullet"/>
      <w:lvlText w:val="•"/>
      <w:lvlJc w:val="left"/>
      <w:pPr>
        <w:tabs>
          <w:tab w:val="num" w:pos="1440"/>
        </w:tabs>
        <w:ind w:left="1440" w:hanging="360"/>
      </w:pPr>
      <w:rPr>
        <w:rFonts w:ascii="Arial" w:hAnsi="Arial" w:hint="default"/>
      </w:rPr>
    </w:lvl>
    <w:lvl w:ilvl="2" w:tplc="CBBA2C96" w:tentative="1">
      <w:start w:val="1"/>
      <w:numFmt w:val="bullet"/>
      <w:lvlText w:val="•"/>
      <w:lvlJc w:val="left"/>
      <w:pPr>
        <w:tabs>
          <w:tab w:val="num" w:pos="2160"/>
        </w:tabs>
        <w:ind w:left="2160" w:hanging="360"/>
      </w:pPr>
      <w:rPr>
        <w:rFonts w:ascii="Arial" w:hAnsi="Arial" w:hint="default"/>
      </w:rPr>
    </w:lvl>
    <w:lvl w:ilvl="3" w:tplc="DE3089F6" w:tentative="1">
      <w:start w:val="1"/>
      <w:numFmt w:val="bullet"/>
      <w:lvlText w:val="•"/>
      <w:lvlJc w:val="left"/>
      <w:pPr>
        <w:tabs>
          <w:tab w:val="num" w:pos="2880"/>
        </w:tabs>
        <w:ind w:left="2880" w:hanging="360"/>
      </w:pPr>
      <w:rPr>
        <w:rFonts w:ascii="Arial" w:hAnsi="Arial" w:hint="default"/>
      </w:rPr>
    </w:lvl>
    <w:lvl w:ilvl="4" w:tplc="043E3BBE" w:tentative="1">
      <w:start w:val="1"/>
      <w:numFmt w:val="bullet"/>
      <w:lvlText w:val="•"/>
      <w:lvlJc w:val="left"/>
      <w:pPr>
        <w:tabs>
          <w:tab w:val="num" w:pos="3600"/>
        </w:tabs>
        <w:ind w:left="3600" w:hanging="360"/>
      </w:pPr>
      <w:rPr>
        <w:rFonts w:ascii="Arial" w:hAnsi="Arial" w:hint="default"/>
      </w:rPr>
    </w:lvl>
    <w:lvl w:ilvl="5" w:tplc="322AFC08" w:tentative="1">
      <w:start w:val="1"/>
      <w:numFmt w:val="bullet"/>
      <w:lvlText w:val="•"/>
      <w:lvlJc w:val="left"/>
      <w:pPr>
        <w:tabs>
          <w:tab w:val="num" w:pos="4320"/>
        </w:tabs>
        <w:ind w:left="4320" w:hanging="360"/>
      </w:pPr>
      <w:rPr>
        <w:rFonts w:ascii="Arial" w:hAnsi="Arial" w:hint="default"/>
      </w:rPr>
    </w:lvl>
    <w:lvl w:ilvl="6" w:tplc="6502578E" w:tentative="1">
      <w:start w:val="1"/>
      <w:numFmt w:val="bullet"/>
      <w:lvlText w:val="•"/>
      <w:lvlJc w:val="left"/>
      <w:pPr>
        <w:tabs>
          <w:tab w:val="num" w:pos="5040"/>
        </w:tabs>
        <w:ind w:left="5040" w:hanging="360"/>
      </w:pPr>
      <w:rPr>
        <w:rFonts w:ascii="Arial" w:hAnsi="Arial" w:hint="default"/>
      </w:rPr>
    </w:lvl>
    <w:lvl w:ilvl="7" w:tplc="4418DBCA" w:tentative="1">
      <w:start w:val="1"/>
      <w:numFmt w:val="bullet"/>
      <w:lvlText w:val="•"/>
      <w:lvlJc w:val="left"/>
      <w:pPr>
        <w:tabs>
          <w:tab w:val="num" w:pos="5760"/>
        </w:tabs>
        <w:ind w:left="5760" w:hanging="360"/>
      </w:pPr>
      <w:rPr>
        <w:rFonts w:ascii="Arial" w:hAnsi="Arial" w:hint="default"/>
      </w:rPr>
    </w:lvl>
    <w:lvl w:ilvl="8" w:tplc="5F5CE7B2"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51A44DA5"/>
    <w:multiLevelType w:val="hybridMultilevel"/>
    <w:tmpl w:val="EFC27858"/>
    <w:lvl w:ilvl="0" w:tplc="4548314A">
      <w:start w:val="1"/>
      <w:numFmt w:val="decimal"/>
      <w:lvlText w:val="%1)"/>
      <w:lvlJc w:val="left"/>
      <w:pPr>
        <w:ind w:left="1740" w:hanging="360"/>
      </w:pPr>
    </w:lvl>
    <w:lvl w:ilvl="1" w:tplc="3C1EC536">
      <w:start w:val="1"/>
      <w:numFmt w:val="decimal"/>
      <w:lvlText w:val="%2)"/>
      <w:lvlJc w:val="left"/>
      <w:pPr>
        <w:ind w:left="1740" w:hanging="360"/>
      </w:pPr>
    </w:lvl>
    <w:lvl w:ilvl="2" w:tplc="27F8BEF8">
      <w:start w:val="1"/>
      <w:numFmt w:val="decimal"/>
      <w:lvlText w:val="%3)"/>
      <w:lvlJc w:val="left"/>
      <w:pPr>
        <w:ind w:left="1740" w:hanging="360"/>
      </w:pPr>
    </w:lvl>
    <w:lvl w:ilvl="3" w:tplc="B4243D94">
      <w:start w:val="1"/>
      <w:numFmt w:val="decimal"/>
      <w:lvlText w:val="%4)"/>
      <w:lvlJc w:val="left"/>
      <w:pPr>
        <w:ind w:left="1740" w:hanging="360"/>
      </w:pPr>
    </w:lvl>
    <w:lvl w:ilvl="4" w:tplc="E9368364">
      <w:start w:val="1"/>
      <w:numFmt w:val="decimal"/>
      <w:lvlText w:val="%5)"/>
      <w:lvlJc w:val="left"/>
      <w:pPr>
        <w:ind w:left="1740" w:hanging="360"/>
      </w:pPr>
    </w:lvl>
    <w:lvl w:ilvl="5" w:tplc="1D56BEB2">
      <w:start w:val="1"/>
      <w:numFmt w:val="decimal"/>
      <w:lvlText w:val="%6)"/>
      <w:lvlJc w:val="left"/>
      <w:pPr>
        <w:ind w:left="1740" w:hanging="360"/>
      </w:pPr>
    </w:lvl>
    <w:lvl w:ilvl="6" w:tplc="4B5ECEF6">
      <w:start w:val="1"/>
      <w:numFmt w:val="decimal"/>
      <w:lvlText w:val="%7)"/>
      <w:lvlJc w:val="left"/>
      <w:pPr>
        <w:ind w:left="1740" w:hanging="360"/>
      </w:pPr>
    </w:lvl>
    <w:lvl w:ilvl="7" w:tplc="6096BF24">
      <w:start w:val="1"/>
      <w:numFmt w:val="decimal"/>
      <w:lvlText w:val="%8)"/>
      <w:lvlJc w:val="left"/>
      <w:pPr>
        <w:ind w:left="1740" w:hanging="360"/>
      </w:pPr>
    </w:lvl>
    <w:lvl w:ilvl="8" w:tplc="63120516">
      <w:start w:val="1"/>
      <w:numFmt w:val="decimal"/>
      <w:lvlText w:val="%9)"/>
      <w:lvlJc w:val="left"/>
      <w:pPr>
        <w:ind w:left="1740" w:hanging="360"/>
      </w:pPr>
    </w:lvl>
  </w:abstractNum>
  <w:abstractNum w:abstractNumId="31" w15:restartNumberingAfterBreak="0">
    <w:nsid w:val="575D5D45"/>
    <w:multiLevelType w:val="hybridMultilevel"/>
    <w:tmpl w:val="6F2ECA6A"/>
    <w:lvl w:ilvl="0" w:tplc="3C7E32B4">
      <w:numFmt w:val="bullet"/>
      <w:lvlText w:val="-"/>
      <w:lvlJc w:val="left"/>
      <w:pPr>
        <w:ind w:left="1080" w:hanging="360"/>
      </w:pPr>
      <w:rPr>
        <w:rFonts w:ascii="Calibri" w:eastAsiaTheme="minorHAnsi" w:hAnsi="Calibri" w:cs="Calibri"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2" w15:restartNumberingAfterBreak="0">
    <w:nsid w:val="62232C97"/>
    <w:multiLevelType w:val="hybridMultilevel"/>
    <w:tmpl w:val="D6EA5108"/>
    <w:lvl w:ilvl="0" w:tplc="FFFFFFF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626E62DE"/>
    <w:multiLevelType w:val="hybridMultilevel"/>
    <w:tmpl w:val="A770EBF2"/>
    <w:lvl w:ilvl="0" w:tplc="2B32859E">
      <w:numFmt w:val="bullet"/>
      <w:lvlText w:val="-"/>
      <w:lvlJc w:val="left"/>
      <w:pPr>
        <w:ind w:left="720" w:hanging="36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62C274F3"/>
    <w:multiLevelType w:val="hybridMultilevel"/>
    <w:tmpl w:val="9ED82C78"/>
    <w:lvl w:ilvl="0" w:tplc="0C090003">
      <w:start w:val="1"/>
      <w:numFmt w:val="bullet"/>
      <w:lvlText w:val="o"/>
      <w:lvlJc w:val="left"/>
      <w:pPr>
        <w:ind w:left="1800" w:hanging="360"/>
      </w:pPr>
      <w:rPr>
        <w:rFonts w:ascii="Courier New" w:hAnsi="Courier New" w:cs="Courier New" w:hint="default"/>
      </w:rPr>
    </w:lvl>
    <w:lvl w:ilvl="1" w:tplc="0C090003" w:tentative="1">
      <w:start w:val="1"/>
      <w:numFmt w:val="bullet"/>
      <w:lvlText w:val="o"/>
      <w:lvlJc w:val="left"/>
      <w:pPr>
        <w:ind w:left="2520" w:hanging="360"/>
      </w:pPr>
      <w:rPr>
        <w:rFonts w:ascii="Courier New" w:hAnsi="Courier New" w:cs="Courier New" w:hint="default"/>
      </w:rPr>
    </w:lvl>
    <w:lvl w:ilvl="2" w:tplc="0C090005" w:tentative="1">
      <w:start w:val="1"/>
      <w:numFmt w:val="bullet"/>
      <w:lvlText w:val=""/>
      <w:lvlJc w:val="left"/>
      <w:pPr>
        <w:ind w:left="3240" w:hanging="360"/>
      </w:pPr>
      <w:rPr>
        <w:rFonts w:ascii="Wingdings" w:hAnsi="Wingdings" w:hint="default"/>
      </w:rPr>
    </w:lvl>
    <w:lvl w:ilvl="3" w:tplc="0C090001" w:tentative="1">
      <w:start w:val="1"/>
      <w:numFmt w:val="bullet"/>
      <w:lvlText w:val=""/>
      <w:lvlJc w:val="left"/>
      <w:pPr>
        <w:ind w:left="3960" w:hanging="360"/>
      </w:pPr>
      <w:rPr>
        <w:rFonts w:ascii="Symbol" w:hAnsi="Symbol" w:hint="default"/>
      </w:rPr>
    </w:lvl>
    <w:lvl w:ilvl="4" w:tplc="0C090003" w:tentative="1">
      <w:start w:val="1"/>
      <w:numFmt w:val="bullet"/>
      <w:lvlText w:val="o"/>
      <w:lvlJc w:val="left"/>
      <w:pPr>
        <w:ind w:left="4680" w:hanging="360"/>
      </w:pPr>
      <w:rPr>
        <w:rFonts w:ascii="Courier New" w:hAnsi="Courier New" w:cs="Courier New" w:hint="default"/>
      </w:rPr>
    </w:lvl>
    <w:lvl w:ilvl="5" w:tplc="0C090005" w:tentative="1">
      <w:start w:val="1"/>
      <w:numFmt w:val="bullet"/>
      <w:lvlText w:val=""/>
      <w:lvlJc w:val="left"/>
      <w:pPr>
        <w:ind w:left="5400" w:hanging="360"/>
      </w:pPr>
      <w:rPr>
        <w:rFonts w:ascii="Wingdings" w:hAnsi="Wingdings" w:hint="default"/>
      </w:rPr>
    </w:lvl>
    <w:lvl w:ilvl="6" w:tplc="0C090001" w:tentative="1">
      <w:start w:val="1"/>
      <w:numFmt w:val="bullet"/>
      <w:lvlText w:val=""/>
      <w:lvlJc w:val="left"/>
      <w:pPr>
        <w:ind w:left="6120" w:hanging="360"/>
      </w:pPr>
      <w:rPr>
        <w:rFonts w:ascii="Symbol" w:hAnsi="Symbol" w:hint="default"/>
      </w:rPr>
    </w:lvl>
    <w:lvl w:ilvl="7" w:tplc="0C090003" w:tentative="1">
      <w:start w:val="1"/>
      <w:numFmt w:val="bullet"/>
      <w:lvlText w:val="o"/>
      <w:lvlJc w:val="left"/>
      <w:pPr>
        <w:ind w:left="6840" w:hanging="360"/>
      </w:pPr>
      <w:rPr>
        <w:rFonts w:ascii="Courier New" w:hAnsi="Courier New" w:cs="Courier New" w:hint="default"/>
      </w:rPr>
    </w:lvl>
    <w:lvl w:ilvl="8" w:tplc="0C090005" w:tentative="1">
      <w:start w:val="1"/>
      <w:numFmt w:val="bullet"/>
      <w:lvlText w:val=""/>
      <w:lvlJc w:val="left"/>
      <w:pPr>
        <w:ind w:left="7560" w:hanging="360"/>
      </w:pPr>
      <w:rPr>
        <w:rFonts w:ascii="Wingdings" w:hAnsi="Wingdings" w:hint="default"/>
      </w:rPr>
    </w:lvl>
  </w:abstractNum>
  <w:abstractNum w:abstractNumId="35" w15:restartNumberingAfterBreak="0">
    <w:nsid w:val="63E76817"/>
    <w:multiLevelType w:val="hybridMultilevel"/>
    <w:tmpl w:val="12DCFCDE"/>
    <w:lvl w:ilvl="0" w:tplc="973E8CDA">
      <w:start w:val="1"/>
      <w:numFmt w:val="decimal"/>
      <w:lvlText w:val="%1)"/>
      <w:lvlJc w:val="left"/>
      <w:pPr>
        <w:ind w:left="1740" w:hanging="360"/>
      </w:pPr>
    </w:lvl>
    <w:lvl w:ilvl="1" w:tplc="EB18A77E">
      <w:start w:val="1"/>
      <w:numFmt w:val="decimal"/>
      <w:lvlText w:val="%2)"/>
      <w:lvlJc w:val="left"/>
      <w:pPr>
        <w:ind w:left="1740" w:hanging="360"/>
      </w:pPr>
    </w:lvl>
    <w:lvl w:ilvl="2" w:tplc="202CC37C">
      <w:start w:val="1"/>
      <w:numFmt w:val="decimal"/>
      <w:lvlText w:val="%3)"/>
      <w:lvlJc w:val="left"/>
      <w:pPr>
        <w:ind w:left="1740" w:hanging="360"/>
      </w:pPr>
    </w:lvl>
    <w:lvl w:ilvl="3" w:tplc="1D547164">
      <w:start w:val="1"/>
      <w:numFmt w:val="decimal"/>
      <w:lvlText w:val="%4)"/>
      <w:lvlJc w:val="left"/>
      <w:pPr>
        <w:ind w:left="1740" w:hanging="360"/>
      </w:pPr>
    </w:lvl>
    <w:lvl w:ilvl="4" w:tplc="76A86DCA">
      <w:start w:val="1"/>
      <w:numFmt w:val="decimal"/>
      <w:lvlText w:val="%5)"/>
      <w:lvlJc w:val="left"/>
      <w:pPr>
        <w:ind w:left="1740" w:hanging="360"/>
      </w:pPr>
    </w:lvl>
    <w:lvl w:ilvl="5" w:tplc="51A8E8DE">
      <w:start w:val="1"/>
      <w:numFmt w:val="decimal"/>
      <w:lvlText w:val="%6)"/>
      <w:lvlJc w:val="left"/>
      <w:pPr>
        <w:ind w:left="1740" w:hanging="360"/>
      </w:pPr>
    </w:lvl>
    <w:lvl w:ilvl="6" w:tplc="36D2A2BC">
      <w:start w:val="1"/>
      <w:numFmt w:val="decimal"/>
      <w:lvlText w:val="%7)"/>
      <w:lvlJc w:val="left"/>
      <w:pPr>
        <w:ind w:left="1740" w:hanging="360"/>
      </w:pPr>
    </w:lvl>
    <w:lvl w:ilvl="7" w:tplc="A0C4FAB6">
      <w:start w:val="1"/>
      <w:numFmt w:val="decimal"/>
      <w:lvlText w:val="%8)"/>
      <w:lvlJc w:val="left"/>
      <w:pPr>
        <w:ind w:left="1740" w:hanging="360"/>
      </w:pPr>
    </w:lvl>
    <w:lvl w:ilvl="8" w:tplc="9FE47330">
      <w:start w:val="1"/>
      <w:numFmt w:val="decimal"/>
      <w:lvlText w:val="%9)"/>
      <w:lvlJc w:val="left"/>
      <w:pPr>
        <w:ind w:left="1740" w:hanging="360"/>
      </w:pPr>
    </w:lvl>
  </w:abstractNum>
  <w:abstractNum w:abstractNumId="36" w15:restartNumberingAfterBreak="0">
    <w:nsid w:val="66576856"/>
    <w:multiLevelType w:val="hybridMultilevel"/>
    <w:tmpl w:val="011001BC"/>
    <w:lvl w:ilvl="0" w:tplc="0C090003">
      <w:start w:val="1"/>
      <w:numFmt w:val="bullet"/>
      <w:lvlText w:val="o"/>
      <w:lvlJc w:val="left"/>
      <w:pPr>
        <w:ind w:left="1800" w:hanging="360"/>
      </w:pPr>
      <w:rPr>
        <w:rFonts w:ascii="Courier New" w:hAnsi="Courier New" w:cs="Courier New" w:hint="default"/>
      </w:rPr>
    </w:lvl>
    <w:lvl w:ilvl="1" w:tplc="0C090003" w:tentative="1">
      <w:start w:val="1"/>
      <w:numFmt w:val="bullet"/>
      <w:lvlText w:val="o"/>
      <w:lvlJc w:val="left"/>
      <w:pPr>
        <w:ind w:left="2520" w:hanging="360"/>
      </w:pPr>
      <w:rPr>
        <w:rFonts w:ascii="Courier New" w:hAnsi="Courier New" w:cs="Courier New" w:hint="default"/>
      </w:rPr>
    </w:lvl>
    <w:lvl w:ilvl="2" w:tplc="0C090005" w:tentative="1">
      <w:start w:val="1"/>
      <w:numFmt w:val="bullet"/>
      <w:lvlText w:val=""/>
      <w:lvlJc w:val="left"/>
      <w:pPr>
        <w:ind w:left="3240" w:hanging="360"/>
      </w:pPr>
      <w:rPr>
        <w:rFonts w:ascii="Wingdings" w:hAnsi="Wingdings" w:hint="default"/>
      </w:rPr>
    </w:lvl>
    <w:lvl w:ilvl="3" w:tplc="0C090001" w:tentative="1">
      <w:start w:val="1"/>
      <w:numFmt w:val="bullet"/>
      <w:lvlText w:val=""/>
      <w:lvlJc w:val="left"/>
      <w:pPr>
        <w:ind w:left="3960" w:hanging="360"/>
      </w:pPr>
      <w:rPr>
        <w:rFonts w:ascii="Symbol" w:hAnsi="Symbol" w:hint="default"/>
      </w:rPr>
    </w:lvl>
    <w:lvl w:ilvl="4" w:tplc="0C090003" w:tentative="1">
      <w:start w:val="1"/>
      <w:numFmt w:val="bullet"/>
      <w:lvlText w:val="o"/>
      <w:lvlJc w:val="left"/>
      <w:pPr>
        <w:ind w:left="4680" w:hanging="360"/>
      </w:pPr>
      <w:rPr>
        <w:rFonts w:ascii="Courier New" w:hAnsi="Courier New" w:cs="Courier New" w:hint="default"/>
      </w:rPr>
    </w:lvl>
    <w:lvl w:ilvl="5" w:tplc="0C090005" w:tentative="1">
      <w:start w:val="1"/>
      <w:numFmt w:val="bullet"/>
      <w:lvlText w:val=""/>
      <w:lvlJc w:val="left"/>
      <w:pPr>
        <w:ind w:left="5400" w:hanging="360"/>
      </w:pPr>
      <w:rPr>
        <w:rFonts w:ascii="Wingdings" w:hAnsi="Wingdings" w:hint="default"/>
      </w:rPr>
    </w:lvl>
    <w:lvl w:ilvl="6" w:tplc="0C090001" w:tentative="1">
      <w:start w:val="1"/>
      <w:numFmt w:val="bullet"/>
      <w:lvlText w:val=""/>
      <w:lvlJc w:val="left"/>
      <w:pPr>
        <w:ind w:left="6120" w:hanging="360"/>
      </w:pPr>
      <w:rPr>
        <w:rFonts w:ascii="Symbol" w:hAnsi="Symbol" w:hint="default"/>
      </w:rPr>
    </w:lvl>
    <w:lvl w:ilvl="7" w:tplc="0C090003" w:tentative="1">
      <w:start w:val="1"/>
      <w:numFmt w:val="bullet"/>
      <w:lvlText w:val="o"/>
      <w:lvlJc w:val="left"/>
      <w:pPr>
        <w:ind w:left="6840" w:hanging="360"/>
      </w:pPr>
      <w:rPr>
        <w:rFonts w:ascii="Courier New" w:hAnsi="Courier New" w:cs="Courier New" w:hint="default"/>
      </w:rPr>
    </w:lvl>
    <w:lvl w:ilvl="8" w:tplc="0C090005" w:tentative="1">
      <w:start w:val="1"/>
      <w:numFmt w:val="bullet"/>
      <w:lvlText w:val=""/>
      <w:lvlJc w:val="left"/>
      <w:pPr>
        <w:ind w:left="7560" w:hanging="360"/>
      </w:pPr>
      <w:rPr>
        <w:rFonts w:ascii="Wingdings" w:hAnsi="Wingdings" w:hint="default"/>
      </w:rPr>
    </w:lvl>
  </w:abstractNum>
  <w:abstractNum w:abstractNumId="37" w15:restartNumberingAfterBreak="0">
    <w:nsid w:val="708314EB"/>
    <w:multiLevelType w:val="hybridMultilevel"/>
    <w:tmpl w:val="48845FD0"/>
    <w:lvl w:ilvl="0" w:tplc="24F64E72">
      <w:start w:val="1"/>
      <w:numFmt w:val="bullet"/>
      <w:lvlText w:val="•"/>
      <w:lvlJc w:val="left"/>
      <w:pPr>
        <w:tabs>
          <w:tab w:val="num" w:pos="720"/>
        </w:tabs>
        <w:ind w:left="720" w:hanging="360"/>
      </w:pPr>
      <w:rPr>
        <w:rFonts w:ascii="Arial" w:hAnsi="Arial" w:hint="default"/>
      </w:rPr>
    </w:lvl>
    <w:lvl w:ilvl="1" w:tplc="CB4A5D1C" w:tentative="1">
      <w:start w:val="1"/>
      <w:numFmt w:val="bullet"/>
      <w:lvlText w:val="•"/>
      <w:lvlJc w:val="left"/>
      <w:pPr>
        <w:tabs>
          <w:tab w:val="num" w:pos="1440"/>
        </w:tabs>
        <w:ind w:left="1440" w:hanging="360"/>
      </w:pPr>
      <w:rPr>
        <w:rFonts w:ascii="Arial" w:hAnsi="Arial" w:hint="default"/>
      </w:rPr>
    </w:lvl>
    <w:lvl w:ilvl="2" w:tplc="4F4432F4" w:tentative="1">
      <w:start w:val="1"/>
      <w:numFmt w:val="bullet"/>
      <w:lvlText w:val="•"/>
      <w:lvlJc w:val="left"/>
      <w:pPr>
        <w:tabs>
          <w:tab w:val="num" w:pos="2160"/>
        </w:tabs>
        <w:ind w:left="2160" w:hanging="360"/>
      </w:pPr>
      <w:rPr>
        <w:rFonts w:ascii="Arial" w:hAnsi="Arial" w:hint="default"/>
      </w:rPr>
    </w:lvl>
    <w:lvl w:ilvl="3" w:tplc="002CDA7E" w:tentative="1">
      <w:start w:val="1"/>
      <w:numFmt w:val="bullet"/>
      <w:lvlText w:val="•"/>
      <w:lvlJc w:val="left"/>
      <w:pPr>
        <w:tabs>
          <w:tab w:val="num" w:pos="2880"/>
        </w:tabs>
        <w:ind w:left="2880" w:hanging="360"/>
      </w:pPr>
      <w:rPr>
        <w:rFonts w:ascii="Arial" w:hAnsi="Arial" w:hint="default"/>
      </w:rPr>
    </w:lvl>
    <w:lvl w:ilvl="4" w:tplc="BC6853C8" w:tentative="1">
      <w:start w:val="1"/>
      <w:numFmt w:val="bullet"/>
      <w:lvlText w:val="•"/>
      <w:lvlJc w:val="left"/>
      <w:pPr>
        <w:tabs>
          <w:tab w:val="num" w:pos="3600"/>
        </w:tabs>
        <w:ind w:left="3600" w:hanging="360"/>
      </w:pPr>
      <w:rPr>
        <w:rFonts w:ascii="Arial" w:hAnsi="Arial" w:hint="default"/>
      </w:rPr>
    </w:lvl>
    <w:lvl w:ilvl="5" w:tplc="A0C0796C" w:tentative="1">
      <w:start w:val="1"/>
      <w:numFmt w:val="bullet"/>
      <w:lvlText w:val="•"/>
      <w:lvlJc w:val="left"/>
      <w:pPr>
        <w:tabs>
          <w:tab w:val="num" w:pos="4320"/>
        </w:tabs>
        <w:ind w:left="4320" w:hanging="360"/>
      </w:pPr>
      <w:rPr>
        <w:rFonts w:ascii="Arial" w:hAnsi="Arial" w:hint="default"/>
      </w:rPr>
    </w:lvl>
    <w:lvl w:ilvl="6" w:tplc="9800CC70" w:tentative="1">
      <w:start w:val="1"/>
      <w:numFmt w:val="bullet"/>
      <w:lvlText w:val="•"/>
      <w:lvlJc w:val="left"/>
      <w:pPr>
        <w:tabs>
          <w:tab w:val="num" w:pos="5040"/>
        </w:tabs>
        <w:ind w:left="5040" w:hanging="360"/>
      </w:pPr>
      <w:rPr>
        <w:rFonts w:ascii="Arial" w:hAnsi="Arial" w:hint="default"/>
      </w:rPr>
    </w:lvl>
    <w:lvl w:ilvl="7" w:tplc="6DFE46C2" w:tentative="1">
      <w:start w:val="1"/>
      <w:numFmt w:val="bullet"/>
      <w:lvlText w:val="•"/>
      <w:lvlJc w:val="left"/>
      <w:pPr>
        <w:tabs>
          <w:tab w:val="num" w:pos="5760"/>
        </w:tabs>
        <w:ind w:left="5760" w:hanging="360"/>
      </w:pPr>
      <w:rPr>
        <w:rFonts w:ascii="Arial" w:hAnsi="Arial" w:hint="default"/>
      </w:rPr>
    </w:lvl>
    <w:lvl w:ilvl="8" w:tplc="080E587A"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70A70272"/>
    <w:multiLevelType w:val="hybridMultilevel"/>
    <w:tmpl w:val="76CAB7F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714375AA"/>
    <w:multiLevelType w:val="hybridMultilevel"/>
    <w:tmpl w:val="B4965CC0"/>
    <w:lvl w:ilvl="0" w:tplc="21A299CE">
      <w:numFmt w:val="bullet"/>
      <w:lvlText w:val="-"/>
      <w:lvlJc w:val="left"/>
      <w:pPr>
        <w:ind w:left="720" w:hanging="36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73D61A9F"/>
    <w:multiLevelType w:val="hybridMultilevel"/>
    <w:tmpl w:val="1DF23456"/>
    <w:lvl w:ilvl="0" w:tplc="1D50D3F6">
      <w:start w:val="1"/>
      <w:numFmt w:val="decimal"/>
      <w:lvlText w:val="%1)"/>
      <w:lvlJc w:val="left"/>
      <w:pPr>
        <w:ind w:left="1740" w:hanging="360"/>
      </w:pPr>
    </w:lvl>
    <w:lvl w:ilvl="1" w:tplc="0B60D446">
      <w:start w:val="1"/>
      <w:numFmt w:val="decimal"/>
      <w:lvlText w:val="%2)"/>
      <w:lvlJc w:val="left"/>
      <w:pPr>
        <w:ind w:left="1740" w:hanging="360"/>
      </w:pPr>
    </w:lvl>
    <w:lvl w:ilvl="2" w:tplc="1F042036">
      <w:start w:val="1"/>
      <w:numFmt w:val="decimal"/>
      <w:lvlText w:val="%3)"/>
      <w:lvlJc w:val="left"/>
      <w:pPr>
        <w:ind w:left="1740" w:hanging="360"/>
      </w:pPr>
    </w:lvl>
    <w:lvl w:ilvl="3" w:tplc="3C18CF5C">
      <w:start w:val="1"/>
      <w:numFmt w:val="decimal"/>
      <w:lvlText w:val="%4)"/>
      <w:lvlJc w:val="left"/>
      <w:pPr>
        <w:ind w:left="1740" w:hanging="360"/>
      </w:pPr>
    </w:lvl>
    <w:lvl w:ilvl="4" w:tplc="921A608E">
      <w:start w:val="1"/>
      <w:numFmt w:val="decimal"/>
      <w:lvlText w:val="%5)"/>
      <w:lvlJc w:val="left"/>
      <w:pPr>
        <w:ind w:left="1740" w:hanging="360"/>
      </w:pPr>
    </w:lvl>
    <w:lvl w:ilvl="5" w:tplc="BA68CDD6">
      <w:start w:val="1"/>
      <w:numFmt w:val="decimal"/>
      <w:lvlText w:val="%6)"/>
      <w:lvlJc w:val="left"/>
      <w:pPr>
        <w:ind w:left="1740" w:hanging="360"/>
      </w:pPr>
    </w:lvl>
    <w:lvl w:ilvl="6" w:tplc="3288F4B6">
      <w:start w:val="1"/>
      <w:numFmt w:val="decimal"/>
      <w:lvlText w:val="%7)"/>
      <w:lvlJc w:val="left"/>
      <w:pPr>
        <w:ind w:left="1740" w:hanging="360"/>
      </w:pPr>
    </w:lvl>
    <w:lvl w:ilvl="7" w:tplc="6F044C20">
      <w:start w:val="1"/>
      <w:numFmt w:val="decimal"/>
      <w:lvlText w:val="%8)"/>
      <w:lvlJc w:val="left"/>
      <w:pPr>
        <w:ind w:left="1740" w:hanging="360"/>
      </w:pPr>
    </w:lvl>
    <w:lvl w:ilvl="8" w:tplc="00A072BC">
      <w:start w:val="1"/>
      <w:numFmt w:val="decimal"/>
      <w:lvlText w:val="%9)"/>
      <w:lvlJc w:val="left"/>
      <w:pPr>
        <w:ind w:left="1740" w:hanging="360"/>
      </w:pPr>
    </w:lvl>
  </w:abstractNum>
  <w:abstractNum w:abstractNumId="41" w15:restartNumberingAfterBreak="0">
    <w:nsid w:val="7AF73992"/>
    <w:multiLevelType w:val="hybridMultilevel"/>
    <w:tmpl w:val="D0B2F3AA"/>
    <w:lvl w:ilvl="0" w:tplc="0C090003">
      <w:start w:val="1"/>
      <w:numFmt w:val="bullet"/>
      <w:lvlText w:val="o"/>
      <w:lvlJc w:val="left"/>
      <w:pPr>
        <w:ind w:left="1800" w:hanging="360"/>
      </w:pPr>
      <w:rPr>
        <w:rFonts w:ascii="Courier New" w:hAnsi="Courier New" w:cs="Courier New" w:hint="default"/>
      </w:rPr>
    </w:lvl>
    <w:lvl w:ilvl="1" w:tplc="0C090003" w:tentative="1">
      <w:start w:val="1"/>
      <w:numFmt w:val="bullet"/>
      <w:lvlText w:val="o"/>
      <w:lvlJc w:val="left"/>
      <w:pPr>
        <w:ind w:left="2520" w:hanging="360"/>
      </w:pPr>
      <w:rPr>
        <w:rFonts w:ascii="Courier New" w:hAnsi="Courier New" w:cs="Courier New" w:hint="default"/>
      </w:rPr>
    </w:lvl>
    <w:lvl w:ilvl="2" w:tplc="0C090005" w:tentative="1">
      <w:start w:val="1"/>
      <w:numFmt w:val="bullet"/>
      <w:lvlText w:val=""/>
      <w:lvlJc w:val="left"/>
      <w:pPr>
        <w:ind w:left="3240" w:hanging="360"/>
      </w:pPr>
      <w:rPr>
        <w:rFonts w:ascii="Wingdings" w:hAnsi="Wingdings" w:hint="default"/>
      </w:rPr>
    </w:lvl>
    <w:lvl w:ilvl="3" w:tplc="0C090001" w:tentative="1">
      <w:start w:val="1"/>
      <w:numFmt w:val="bullet"/>
      <w:lvlText w:val=""/>
      <w:lvlJc w:val="left"/>
      <w:pPr>
        <w:ind w:left="3960" w:hanging="360"/>
      </w:pPr>
      <w:rPr>
        <w:rFonts w:ascii="Symbol" w:hAnsi="Symbol" w:hint="default"/>
      </w:rPr>
    </w:lvl>
    <w:lvl w:ilvl="4" w:tplc="0C090003" w:tentative="1">
      <w:start w:val="1"/>
      <w:numFmt w:val="bullet"/>
      <w:lvlText w:val="o"/>
      <w:lvlJc w:val="left"/>
      <w:pPr>
        <w:ind w:left="4680" w:hanging="360"/>
      </w:pPr>
      <w:rPr>
        <w:rFonts w:ascii="Courier New" w:hAnsi="Courier New" w:cs="Courier New" w:hint="default"/>
      </w:rPr>
    </w:lvl>
    <w:lvl w:ilvl="5" w:tplc="0C090005" w:tentative="1">
      <w:start w:val="1"/>
      <w:numFmt w:val="bullet"/>
      <w:lvlText w:val=""/>
      <w:lvlJc w:val="left"/>
      <w:pPr>
        <w:ind w:left="5400" w:hanging="360"/>
      </w:pPr>
      <w:rPr>
        <w:rFonts w:ascii="Wingdings" w:hAnsi="Wingdings" w:hint="default"/>
      </w:rPr>
    </w:lvl>
    <w:lvl w:ilvl="6" w:tplc="0C090001" w:tentative="1">
      <w:start w:val="1"/>
      <w:numFmt w:val="bullet"/>
      <w:lvlText w:val=""/>
      <w:lvlJc w:val="left"/>
      <w:pPr>
        <w:ind w:left="6120" w:hanging="360"/>
      </w:pPr>
      <w:rPr>
        <w:rFonts w:ascii="Symbol" w:hAnsi="Symbol" w:hint="default"/>
      </w:rPr>
    </w:lvl>
    <w:lvl w:ilvl="7" w:tplc="0C090003" w:tentative="1">
      <w:start w:val="1"/>
      <w:numFmt w:val="bullet"/>
      <w:lvlText w:val="o"/>
      <w:lvlJc w:val="left"/>
      <w:pPr>
        <w:ind w:left="6840" w:hanging="360"/>
      </w:pPr>
      <w:rPr>
        <w:rFonts w:ascii="Courier New" w:hAnsi="Courier New" w:cs="Courier New" w:hint="default"/>
      </w:rPr>
    </w:lvl>
    <w:lvl w:ilvl="8" w:tplc="0C090005" w:tentative="1">
      <w:start w:val="1"/>
      <w:numFmt w:val="bullet"/>
      <w:lvlText w:val=""/>
      <w:lvlJc w:val="left"/>
      <w:pPr>
        <w:ind w:left="7560" w:hanging="360"/>
      </w:pPr>
      <w:rPr>
        <w:rFonts w:ascii="Wingdings" w:hAnsi="Wingdings" w:hint="default"/>
      </w:rPr>
    </w:lvl>
  </w:abstractNum>
  <w:abstractNum w:abstractNumId="42" w15:restartNumberingAfterBreak="0">
    <w:nsid w:val="7F6E6E20"/>
    <w:multiLevelType w:val="hybridMultilevel"/>
    <w:tmpl w:val="18049934"/>
    <w:lvl w:ilvl="0" w:tplc="0C090003">
      <w:start w:val="1"/>
      <w:numFmt w:val="bullet"/>
      <w:lvlText w:val="o"/>
      <w:lvlJc w:val="left"/>
      <w:pPr>
        <w:ind w:left="1800" w:hanging="360"/>
      </w:pPr>
      <w:rPr>
        <w:rFonts w:ascii="Courier New" w:hAnsi="Courier New" w:cs="Courier New" w:hint="default"/>
      </w:rPr>
    </w:lvl>
    <w:lvl w:ilvl="1" w:tplc="0C090003" w:tentative="1">
      <w:start w:val="1"/>
      <w:numFmt w:val="bullet"/>
      <w:lvlText w:val="o"/>
      <w:lvlJc w:val="left"/>
      <w:pPr>
        <w:ind w:left="2520" w:hanging="360"/>
      </w:pPr>
      <w:rPr>
        <w:rFonts w:ascii="Courier New" w:hAnsi="Courier New" w:cs="Courier New" w:hint="default"/>
      </w:rPr>
    </w:lvl>
    <w:lvl w:ilvl="2" w:tplc="0C090005" w:tentative="1">
      <w:start w:val="1"/>
      <w:numFmt w:val="bullet"/>
      <w:lvlText w:val=""/>
      <w:lvlJc w:val="left"/>
      <w:pPr>
        <w:ind w:left="3240" w:hanging="360"/>
      </w:pPr>
      <w:rPr>
        <w:rFonts w:ascii="Wingdings" w:hAnsi="Wingdings" w:hint="default"/>
      </w:rPr>
    </w:lvl>
    <w:lvl w:ilvl="3" w:tplc="0C090001" w:tentative="1">
      <w:start w:val="1"/>
      <w:numFmt w:val="bullet"/>
      <w:lvlText w:val=""/>
      <w:lvlJc w:val="left"/>
      <w:pPr>
        <w:ind w:left="3960" w:hanging="360"/>
      </w:pPr>
      <w:rPr>
        <w:rFonts w:ascii="Symbol" w:hAnsi="Symbol" w:hint="default"/>
      </w:rPr>
    </w:lvl>
    <w:lvl w:ilvl="4" w:tplc="0C090003" w:tentative="1">
      <w:start w:val="1"/>
      <w:numFmt w:val="bullet"/>
      <w:lvlText w:val="o"/>
      <w:lvlJc w:val="left"/>
      <w:pPr>
        <w:ind w:left="4680" w:hanging="360"/>
      </w:pPr>
      <w:rPr>
        <w:rFonts w:ascii="Courier New" w:hAnsi="Courier New" w:cs="Courier New" w:hint="default"/>
      </w:rPr>
    </w:lvl>
    <w:lvl w:ilvl="5" w:tplc="0C090005" w:tentative="1">
      <w:start w:val="1"/>
      <w:numFmt w:val="bullet"/>
      <w:lvlText w:val=""/>
      <w:lvlJc w:val="left"/>
      <w:pPr>
        <w:ind w:left="5400" w:hanging="360"/>
      </w:pPr>
      <w:rPr>
        <w:rFonts w:ascii="Wingdings" w:hAnsi="Wingdings" w:hint="default"/>
      </w:rPr>
    </w:lvl>
    <w:lvl w:ilvl="6" w:tplc="0C090001" w:tentative="1">
      <w:start w:val="1"/>
      <w:numFmt w:val="bullet"/>
      <w:lvlText w:val=""/>
      <w:lvlJc w:val="left"/>
      <w:pPr>
        <w:ind w:left="6120" w:hanging="360"/>
      </w:pPr>
      <w:rPr>
        <w:rFonts w:ascii="Symbol" w:hAnsi="Symbol" w:hint="default"/>
      </w:rPr>
    </w:lvl>
    <w:lvl w:ilvl="7" w:tplc="0C090003" w:tentative="1">
      <w:start w:val="1"/>
      <w:numFmt w:val="bullet"/>
      <w:lvlText w:val="o"/>
      <w:lvlJc w:val="left"/>
      <w:pPr>
        <w:ind w:left="6840" w:hanging="360"/>
      </w:pPr>
      <w:rPr>
        <w:rFonts w:ascii="Courier New" w:hAnsi="Courier New" w:cs="Courier New" w:hint="default"/>
      </w:rPr>
    </w:lvl>
    <w:lvl w:ilvl="8" w:tplc="0C090005" w:tentative="1">
      <w:start w:val="1"/>
      <w:numFmt w:val="bullet"/>
      <w:lvlText w:val=""/>
      <w:lvlJc w:val="left"/>
      <w:pPr>
        <w:ind w:left="7560" w:hanging="360"/>
      </w:pPr>
      <w:rPr>
        <w:rFonts w:ascii="Wingdings" w:hAnsi="Wingdings" w:hint="default"/>
      </w:rPr>
    </w:lvl>
  </w:abstractNum>
  <w:num w:numId="1" w16cid:durableId="1968505872">
    <w:abstractNumId w:val="2"/>
  </w:num>
  <w:num w:numId="2" w16cid:durableId="1967810972">
    <w:abstractNumId w:val="18"/>
  </w:num>
  <w:num w:numId="3" w16cid:durableId="421873558">
    <w:abstractNumId w:val="1"/>
  </w:num>
  <w:num w:numId="4" w16cid:durableId="2069911657">
    <w:abstractNumId w:val="9"/>
  </w:num>
  <w:num w:numId="5" w16cid:durableId="1523130808">
    <w:abstractNumId w:val="25"/>
  </w:num>
  <w:num w:numId="6" w16cid:durableId="770585958">
    <w:abstractNumId w:val="23"/>
  </w:num>
  <w:num w:numId="7" w16cid:durableId="1614702593">
    <w:abstractNumId w:val="7"/>
  </w:num>
  <w:num w:numId="8" w16cid:durableId="1529950255">
    <w:abstractNumId w:val="37"/>
  </w:num>
  <w:num w:numId="9" w16cid:durableId="2048487934">
    <w:abstractNumId w:val="28"/>
  </w:num>
  <w:num w:numId="10" w16cid:durableId="221404107">
    <w:abstractNumId w:val="29"/>
  </w:num>
  <w:num w:numId="11" w16cid:durableId="1789541888">
    <w:abstractNumId w:val="26"/>
  </w:num>
  <w:num w:numId="12" w16cid:durableId="1196039614">
    <w:abstractNumId w:val="27"/>
  </w:num>
  <w:num w:numId="13" w16cid:durableId="76555547">
    <w:abstractNumId w:val="24"/>
  </w:num>
  <w:num w:numId="14" w16cid:durableId="399837264">
    <w:abstractNumId w:val="14"/>
  </w:num>
  <w:num w:numId="15" w16cid:durableId="422997255">
    <w:abstractNumId w:val="39"/>
  </w:num>
  <w:num w:numId="16" w16cid:durableId="662926687">
    <w:abstractNumId w:val="5"/>
  </w:num>
  <w:num w:numId="17" w16cid:durableId="567231084">
    <w:abstractNumId w:val="15"/>
  </w:num>
  <w:num w:numId="18" w16cid:durableId="804084585">
    <w:abstractNumId w:val="31"/>
  </w:num>
  <w:num w:numId="19" w16cid:durableId="1261372331">
    <w:abstractNumId w:val="34"/>
  </w:num>
  <w:num w:numId="20" w16cid:durableId="1167985765">
    <w:abstractNumId w:val="21"/>
  </w:num>
  <w:num w:numId="21" w16cid:durableId="1706759348">
    <w:abstractNumId w:val="42"/>
  </w:num>
  <w:num w:numId="22" w16cid:durableId="1602444743">
    <w:abstractNumId w:val="36"/>
  </w:num>
  <w:num w:numId="23" w16cid:durableId="713964313">
    <w:abstractNumId w:val="41"/>
  </w:num>
  <w:num w:numId="24" w16cid:durableId="1781990688">
    <w:abstractNumId w:val="20"/>
  </w:num>
  <w:num w:numId="25" w16cid:durableId="134611289">
    <w:abstractNumId w:val="17"/>
  </w:num>
  <w:num w:numId="26" w16cid:durableId="967780388">
    <w:abstractNumId w:val="33"/>
  </w:num>
  <w:num w:numId="27" w16cid:durableId="1093548634">
    <w:abstractNumId w:val="13"/>
  </w:num>
  <w:num w:numId="28" w16cid:durableId="322590826">
    <w:abstractNumId w:val="8"/>
  </w:num>
  <w:num w:numId="29" w16cid:durableId="1534270966">
    <w:abstractNumId w:val="3"/>
  </w:num>
  <w:num w:numId="30" w16cid:durableId="1144660614">
    <w:abstractNumId w:val="6"/>
  </w:num>
  <w:num w:numId="31" w16cid:durableId="1659269075">
    <w:abstractNumId w:val="16"/>
  </w:num>
  <w:num w:numId="32" w16cid:durableId="45491396">
    <w:abstractNumId w:val="38"/>
  </w:num>
  <w:num w:numId="33" w16cid:durableId="253977965">
    <w:abstractNumId w:val="19"/>
  </w:num>
  <w:num w:numId="34" w16cid:durableId="618491520">
    <w:abstractNumId w:val="32"/>
  </w:num>
  <w:num w:numId="35" w16cid:durableId="380985193">
    <w:abstractNumId w:val="0"/>
  </w:num>
  <w:num w:numId="36" w16cid:durableId="1870873661">
    <w:abstractNumId w:val="11"/>
  </w:num>
  <w:num w:numId="37" w16cid:durableId="1010378391">
    <w:abstractNumId w:val="10"/>
  </w:num>
  <w:num w:numId="38" w16cid:durableId="2120292891">
    <w:abstractNumId w:val="22"/>
  </w:num>
  <w:num w:numId="39" w16cid:durableId="125054296">
    <w:abstractNumId w:val="40"/>
  </w:num>
  <w:num w:numId="40" w16cid:durableId="1875314579">
    <w:abstractNumId w:val="4"/>
  </w:num>
  <w:num w:numId="41" w16cid:durableId="969826855">
    <w:abstractNumId w:val="35"/>
  </w:num>
  <w:num w:numId="42" w16cid:durableId="146477606">
    <w:abstractNumId w:val="12"/>
  </w:num>
  <w:num w:numId="43" w16cid:durableId="135141971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2"/>
  <w:removePersonalInformation/>
  <w:removeDateAndTime/>
  <w:hideSpellingErrors/>
  <w:hideGrammaticalErrors/>
  <w:proofState w:spelling="clean" w:grammar="clean"/>
  <w:defaultTabStop w:val="720"/>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0BBA"/>
    <w:rsid w:val="00000BBA"/>
    <w:rsid w:val="00001F04"/>
    <w:rsid w:val="00002196"/>
    <w:rsid w:val="000023CA"/>
    <w:rsid w:val="0001042D"/>
    <w:rsid w:val="00011F62"/>
    <w:rsid w:val="0001373F"/>
    <w:rsid w:val="0001503B"/>
    <w:rsid w:val="0001536F"/>
    <w:rsid w:val="00020456"/>
    <w:rsid w:val="0002453A"/>
    <w:rsid w:val="00024748"/>
    <w:rsid w:val="00025048"/>
    <w:rsid w:val="00030512"/>
    <w:rsid w:val="000322B4"/>
    <w:rsid w:val="00033D12"/>
    <w:rsid w:val="00035E5A"/>
    <w:rsid w:val="0004446E"/>
    <w:rsid w:val="00044A87"/>
    <w:rsid w:val="0004726C"/>
    <w:rsid w:val="00050F81"/>
    <w:rsid w:val="0005309B"/>
    <w:rsid w:val="000550AC"/>
    <w:rsid w:val="00055225"/>
    <w:rsid w:val="00055620"/>
    <w:rsid w:val="0005586A"/>
    <w:rsid w:val="000568EB"/>
    <w:rsid w:val="00062AFD"/>
    <w:rsid w:val="000702C4"/>
    <w:rsid w:val="000720AA"/>
    <w:rsid w:val="00075C65"/>
    <w:rsid w:val="0008113B"/>
    <w:rsid w:val="00084BE2"/>
    <w:rsid w:val="00090BE8"/>
    <w:rsid w:val="00092988"/>
    <w:rsid w:val="000A0A01"/>
    <w:rsid w:val="000B22B4"/>
    <w:rsid w:val="000B3B05"/>
    <w:rsid w:val="000B46C1"/>
    <w:rsid w:val="000B5FCE"/>
    <w:rsid w:val="000C059F"/>
    <w:rsid w:val="000C27E4"/>
    <w:rsid w:val="000C3ABF"/>
    <w:rsid w:val="000D6D27"/>
    <w:rsid w:val="000E01A9"/>
    <w:rsid w:val="000E1849"/>
    <w:rsid w:val="000E4053"/>
    <w:rsid w:val="000E4056"/>
    <w:rsid w:val="000E6D01"/>
    <w:rsid w:val="000E7270"/>
    <w:rsid w:val="001017C5"/>
    <w:rsid w:val="00102685"/>
    <w:rsid w:val="00102BA2"/>
    <w:rsid w:val="001105C9"/>
    <w:rsid w:val="00117F3D"/>
    <w:rsid w:val="00127A23"/>
    <w:rsid w:val="00127A55"/>
    <w:rsid w:val="00132428"/>
    <w:rsid w:val="001343DB"/>
    <w:rsid w:val="0013576C"/>
    <w:rsid w:val="00140942"/>
    <w:rsid w:val="00147635"/>
    <w:rsid w:val="00157476"/>
    <w:rsid w:val="00157A6E"/>
    <w:rsid w:val="00160D05"/>
    <w:rsid w:val="00161AD8"/>
    <w:rsid w:val="00162791"/>
    <w:rsid w:val="00164095"/>
    <w:rsid w:val="00164354"/>
    <w:rsid w:val="00172407"/>
    <w:rsid w:val="001726C0"/>
    <w:rsid w:val="00173130"/>
    <w:rsid w:val="00173F8D"/>
    <w:rsid w:val="001742CD"/>
    <w:rsid w:val="00175A0D"/>
    <w:rsid w:val="00177CAB"/>
    <w:rsid w:val="001825BD"/>
    <w:rsid w:val="00184EEF"/>
    <w:rsid w:val="00190FE8"/>
    <w:rsid w:val="001912D5"/>
    <w:rsid w:val="00195E6D"/>
    <w:rsid w:val="00195FAA"/>
    <w:rsid w:val="001A112D"/>
    <w:rsid w:val="001A2754"/>
    <w:rsid w:val="001A68BF"/>
    <w:rsid w:val="001B1091"/>
    <w:rsid w:val="001B5ADC"/>
    <w:rsid w:val="001B778E"/>
    <w:rsid w:val="001C00B0"/>
    <w:rsid w:val="001C27A1"/>
    <w:rsid w:val="001C6FFD"/>
    <w:rsid w:val="001D3A14"/>
    <w:rsid w:val="001D6CFF"/>
    <w:rsid w:val="001D7283"/>
    <w:rsid w:val="001E03DD"/>
    <w:rsid w:val="001E1177"/>
    <w:rsid w:val="001E6DFB"/>
    <w:rsid w:val="001F3652"/>
    <w:rsid w:val="002019DE"/>
    <w:rsid w:val="002047A9"/>
    <w:rsid w:val="00205C04"/>
    <w:rsid w:val="0021310E"/>
    <w:rsid w:val="00221A3F"/>
    <w:rsid w:val="00225920"/>
    <w:rsid w:val="00234C46"/>
    <w:rsid w:val="00237055"/>
    <w:rsid w:val="00237ED9"/>
    <w:rsid w:val="00242469"/>
    <w:rsid w:val="002435C9"/>
    <w:rsid w:val="002435EB"/>
    <w:rsid w:val="0025150A"/>
    <w:rsid w:val="00254ECA"/>
    <w:rsid w:val="00255557"/>
    <w:rsid w:val="00255DE5"/>
    <w:rsid w:val="00256E9C"/>
    <w:rsid w:val="00257542"/>
    <w:rsid w:val="00257A7B"/>
    <w:rsid w:val="00260227"/>
    <w:rsid w:val="00261E7C"/>
    <w:rsid w:val="00262697"/>
    <w:rsid w:val="002656C6"/>
    <w:rsid w:val="002808B2"/>
    <w:rsid w:val="0028346A"/>
    <w:rsid w:val="00286FDF"/>
    <w:rsid w:val="002904D1"/>
    <w:rsid w:val="0029304F"/>
    <w:rsid w:val="00296B2D"/>
    <w:rsid w:val="002A0781"/>
    <w:rsid w:val="002A09A8"/>
    <w:rsid w:val="002A2285"/>
    <w:rsid w:val="002A43FA"/>
    <w:rsid w:val="002A7536"/>
    <w:rsid w:val="002B15BC"/>
    <w:rsid w:val="002B17F9"/>
    <w:rsid w:val="002B3689"/>
    <w:rsid w:val="002B402E"/>
    <w:rsid w:val="002B6068"/>
    <w:rsid w:val="002B6E58"/>
    <w:rsid w:val="002B6FF6"/>
    <w:rsid w:val="002B77C9"/>
    <w:rsid w:val="002C4EEE"/>
    <w:rsid w:val="002C5D32"/>
    <w:rsid w:val="002C6FB8"/>
    <w:rsid w:val="002D4789"/>
    <w:rsid w:val="002D6341"/>
    <w:rsid w:val="002D7784"/>
    <w:rsid w:val="002D7A47"/>
    <w:rsid w:val="002D7FAA"/>
    <w:rsid w:val="002E103D"/>
    <w:rsid w:val="002E6A75"/>
    <w:rsid w:val="002F2015"/>
    <w:rsid w:val="002F5F37"/>
    <w:rsid w:val="002F6B74"/>
    <w:rsid w:val="002F6D10"/>
    <w:rsid w:val="0030475A"/>
    <w:rsid w:val="003053A9"/>
    <w:rsid w:val="00306425"/>
    <w:rsid w:val="003078F8"/>
    <w:rsid w:val="003101EA"/>
    <w:rsid w:val="003153E3"/>
    <w:rsid w:val="00315FF2"/>
    <w:rsid w:val="00325584"/>
    <w:rsid w:val="003264D4"/>
    <w:rsid w:val="003302DE"/>
    <w:rsid w:val="00331433"/>
    <w:rsid w:val="0033747B"/>
    <w:rsid w:val="00340EAE"/>
    <w:rsid w:val="00350CF2"/>
    <w:rsid w:val="00350F52"/>
    <w:rsid w:val="003566DA"/>
    <w:rsid w:val="00357178"/>
    <w:rsid w:val="003615F4"/>
    <w:rsid w:val="0036177E"/>
    <w:rsid w:val="00370345"/>
    <w:rsid w:val="00373DBE"/>
    <w:rsid w:val="00381BF4"/>
    <w:rsid w:val="00381CFF"/>
    <w:rsid w:val="00386368"/>
    <w:rsid w:val="003A07DF"/>
    <w:rsid w:val="003A5B0D"/>
    <w:rsid w:val="003A7367"/>
    <w:rsid w:val="003B1073"/>
    <w:rsid w:val="003B1D4D"/>
    <w:rsid w:val="003B2A94"/>
    <w:rsid w:val="003B4965"/>
    <w:rsid w:val="003B7676"/>
    <w:rsid w:val="003B7FF5"/>
    <w:rsid w:val="003C4197"/>
    <w:rsid w:val="003C505C"/>
    <w:rsid w:val="003C50EF"/>
    <w:rsid w:val="003C5925"/>
    <w:rsid w:val="003C7E36"/>
    <w:rsid w:val="003D052C"/>
    <w:rsid w:val="003D3161"/>
    <w:rsid w:val="003D371E"/>
    <w:rsid w:val="003E21E0"/>
    <w:rsid w:val="003F14D2"/>
    <w:rsid w:val="003F2B99"/>
    <w:rsid w:val="003F49D8"/>
    <w:rsid w:val="003F6378"/>
    <w:rsid w:val="003F6B2E"/>
    <w:rsid w:val="00403F11"/>
    <w:rsid w:val="00404E8B"/>
    <w:rsid w:val="00407F0D"/>
    <w:rsid w:val="004226CA"/>
    <w:rsid w:val="004239BF"/>
    <w:rsid w:val="00430D57"/>
    <w:rsid w:val="00432383"/>
    <w:rsid w:val="00434009"/>
    <w:rsid w:val="00434CD2"/>
    <w:rsid w:val="004373F7"/>
    <w:rsid w:val="00451399"/>
    <w:rsid w:val="00454C75"/>
    <w:rsid w:val="004669DE"/>
    <w:rsid w:val="004711A0"/>
    <w:rsid w:val="0047347B"/>
    <w:rsid w:val="00474F64"/>
    <w:rsid w:val="00476A49"/>
    <w:rsid w:val="0047724A"/>
    <w:rsid w:val="00480E35"/>
    <w:rsid w:val="00483BF1"/>
    <w:rsid w:val="00484EF6"/>
    <w:rsid w:val="00491888"/>
    <w:rsid w:val="00494D0A"/>
    <w:rsid w:val="00496E41"/>
    <w:rsid w:val="004A57B2"/>
    <w:rsid w:val="004A6BAC"/>
    <w:rsid w:val="004A77D1"/>
    <w:rsid w:val="004A78D4"/>
    <w:rsid w:val="004B09B2"/>
    <w:rsid w:val="004B0CD7"/>
    <w:rsid w:val="004B1BF9"/>
    <w:rsid w:val="004B1D62"/>
    <w:rsid w:val="004B30D4"/>
    <w:rsid w:val="004B6102"/>
    <w:rsid w:val="004C2516"/>
    <w:rsid w:val="004C42CF"/>
    <w:rsid w:val="004C48D7"/>
    <w:rsid w:val="004C4B67"/>
    <w:rsid w:val="004D07D4"/>
    <w:rsid w:val="004D216F"/>
    <w:rsid w:val="004D65C8"/>
    <w:rsid w:val="004E0B36"/>
    <w:rsid w:val="004E45C6"/>
    <w:rsid w:val="004E5A13"/>
    <w:rsid w:val="004F2F72"/>
    <w:rsid w:val="004F3753"/>
    <w:rsid w:val="004F37A8"/>
    <w:rsid w:val="004F506D"/>
    <w:rsid w:val="004F5F1E"/>
    <w:rsid w:val="004F7A38"/>
    <w:rsid w:val="00504244"/>
    <w:rsid w:val="005049CD"/>
    <w:rsid w:val="005221A6"/>
    <w:rsid w:val="0052411D"/>
    <w:rsid w:val="00525A5C"/>
    <w:rsid w:val="00525DF1"/>
    <w:rsid w:val="00527E66"/>
    <w:rsid w:val="00530932"/>
    <w:rsid w:val="005409D1"/>
    <w:rsid w:val="005422E9"/>
    <w:rsid w:val="00542CAE"/>
    <w:rsid w:val="00546717"/>
    <w:rsid w:val="00554E3F"/>
    <w:rsid w:val="005578D8"/>
    <w:rsid w:val="00567720"/>
    <w:rsid w:val="00567BB1"/>
    <w:rsid w:val="005723F9"/>
    <w:rsid w:val="00576525"/>
    <w:rsid w:val="00580831"/>
    <w:rsid w:val="00581A46"/>
    <w:rsid w:val="00587F7B"/>
    <w:rsid w:val="005A3BCB"/>
    <w:rsid w:val="005A5631"/>
    <w:rsid w:val="005A64F8"/>
    <w:rsid w:val="005A6579"/>
    <w:rsid w:val="005A6820"/>
    <w:rsid w:val="005B3FFE"/>
    <w:rsid w:val="005C3EBD"/>
    <w:rsid w:val="005D083A"/>
    <w:rsid w:val="005D1E75"/>
    <w:rsid w:val="005D24AC"/>
    <w:rsid w:val="005D3A5D"/>
    <w:rsid w:val="005D5B0C"/>
    <w:rsid w:val="005E2E4B"/>
    <w:rsid w:val="005E585E"/>
    <w:rsid w:val="005F0AD8"/>
    <w:rsid w:val="005F2D46"/>
    <w:rsid w:val="005F2D66"/>
    <w:rsid w:val="00604BCF"/>
    <w:rsid w:val="006060B0"/>
    <w:rsid w:val="00611559"/>
    <w:rsid w:val="00616FEA"/>
    <w:rsid w:val="006201BB"/>
    <w:rsid w:val="00623160"/>
    <w:rsid w:val="0062377A"/>
    <w:rsid w:val="00633A27"/>
    <w:rsid w:val="00634843"/>
    <w:rsid w:val="006359F0"/>
    <w:rsid w:val="00635A8C"/>
    <w:rsid w:val="00637E70"/>
    <w:rsid w:val="0064419A"/>
    <w:rsid w:val="006501D0"/>
    <w:rsid w:val="00653B28"/>
    <w:rsid w:val="0066047F"/>
    <w:rsid w:val="00662652"/>
    <w:rsid w:val="0066530F"/>
    <w:rsid w:val="00673418"/>
    <w:rsid w:val="00673DBC"/>
    <w:rsid w:val="00675FE0"/>
    <w:rsid w:val="00681C30"/>
    <w:rsid w:val="00687ACF"/>
    <w:rsid w:val="00687F70"/>
    <w:rsid w:val="00690BB4"/>
    <w:rsid w:val="00690F89"/>
    <w:rsid w:val="006957DD"/>
    <w:rsid w:val="00696E41"/>
    <w:rsid w:val="006B561A"/>
    <w:rsid w:val="006B6EE2"/>
    <w:rsid w:val="006C00C2"/>
    <w:rsid w:val="006C4C95"/>
    <w:rsid w:val="006D63BE"/>
    <w:rsid w:val="006E4BAA"/>
    <w:rsid w:val="006E5BCF"/>
    <w:rsid w:val="006F1BBC"/>
    <w:rsid w:val="007049FD"/>
    <w:rsid w:val="0070616E"/>
    <w:rsid w:val="00707E4E"/>
    <w:rsid w:val="007109CE"/>
    <w:rsid w:val="00710BDC"/>
    <w:rsid w:val="00715D26"/>
    <w:rsid w:val="00716423"/>
    <w:rsid w:val="00716985"/>
    <w:rsid w:val="00721065"/>
    <w:rsid w:val="0073722D"/>
    <w:rsid w:val="00737A35"/>
    <w:rsid w:val="0074230A"/>
    <w:rsid w:val="00745313"/>
    <w:rsid w:val="007453AF"/>
    <w:rsid w:val="00746876"/>
    <w:rsid w:val="00751164"/>
    <w:rsid w:val="007531E8"/>
    <w:rsid w:val="007537DA"/>
    <w:rsid w:val="00761002"/>
    <w:rsid w:val="00766A73"/>
    <w:rsid w:val="00766EA7"/>
    <w:rsid w:val="007733F5"/>
    <w:rsid w:val="00780A7B"/>
    <w:rsid w:val="0078343F"/>
    <w:rsid w:val="00784DCB"/>
    <w:rsid w:val="00785F66"/>
    <w:rsid w:val="007872C5"/>
    <w:rsid w:val="00790F22"/>
    <w:rsid w:val="00792145"/>
    <w:rsid w:val="0079658D"/>
    <w:rsid w:val="007A668A"/>
    <w:rsid w:val="007A76FC"/>
    <w:rsid w:val="007B036E"/>
    <w:rsid w:val="007B353B"/>
    <w:rsid w:val="007C052A"/>
    <w:rsid w:val="007C4CA3"/>
    <w:rsid w:val="007D7B11"/>
    <w:rsid w:val="007D7C05"/>
    <w:rsid w:val="007E1DF7"/>
    <w:rsid w:val="007E3834"/>
    <w:rsid w:val="007E431E"/>
    <w:rsid w:val="007F1FCC"/>
    <w:rsid w:val="008144D9"/>
    <w:rsid w:val="00820108"/>
    <w:rsid w:val="008212DB"/>
    <w:rsid w:val="00821CF6"/>
    <w:rsid w:val="008221B5"/>
    <w:rsid w:val="00822B5E"/>
    <w:rsid w:val="0082332D"/>
    <w:rsid w:val="008268DF"/>
    <w:rsid w:val="008270A3"/>
    <w:rsid w:val="00832978"/>
    <w:rsid w:val="0083404B"/>
    <w:rsid w:val="00834AB3"/>
    <w:rsid w:val="008433E4"/>
    <w:rsid w:val="00844EF1"/>
    <w:rsid w:val="00850CD6"/>
    <w:rsid w:val="00852993"/>
    <w:rsid w:val="00852F5C"/>
    <w:rsid w:val="00853FC1"/>
    <w:rsid w:val="00855EBD"/>
    <w:rsid w:val="008577E7"/>
    <w:rsid w:val="00857B97"/>
    <w:rsid w:val="00857C0A"/>
    <w:rsid w:val="00860661"/>
    <w:rsid w:val="00861E8C"/>
    <w:rsid w:val="0086213D"/>
    <w:rsid w:val="008652EF"/>
    <w:rsid w:val="00876432"/>
    <w:rsid w:val="008829E4"/>
    <w:rsid w:val="0088555D"/>
    <w:rsid w:val="00891A0B"/>
    <w:rsid w:val="00891A59"/>
    <w:rsid w:val="00897FCA"/>
    <w:rsid w:val="008A11B1"/>
    <w:rsid w:val="008A1F32"/>
    <w:rsid w:val="008A26A6"/>
    <w:rsid w:val="008A5EE4"/>
    <w:rsid w:val="008A7343"/>
    <w:rsid w:val="008B2ABA"/>
    <w:rsid w:val="008B42F3"/>
    <w:rsid w:val="008C1A56"/>
    <w:rsid w:val="008C269A"/>
    <w:rsid w:val="008D2121"/>
    <w:rsid w:val="008D22F4"/>
    <w:rsid w:val="008E779E"/>
    <w:rsid w:val="008F31ED"/>
    <w:rsid w:val="008F71C9"/>
    <w:rsid w:val="00900D58"/>
    <w:rsid w:val="0090259F"/>
    <w:rsid w:val="0090313B"/>
    <w:rsid w:val="00905153"/>
    <w:rsid w:val="0090709A"/>
    <w:rsid w:val="00911F94"/>
    <w:rsid w:val="0091250C"/>
    <w:rsid w:val="00913D3D"/>
    <w:rsid w:val="00916BD2"/>
    <w:rsid w:val="009171B0"/>
    <w:rsid w:val="00917781"/>
    <w:rsid w:val="00921053"/>
    <w:rsid w:val="0092303D"/>
    <w:rsid w:val="00924060"/>
    <w:rsid w:val="009267F6"/>
    <w:rsid w:val="009273A0"/>
    <w:rsid w:val="00931C50"/>
    <w:rsid w:val="009329C8"/>
    <w:rsid w:val="00937F84"/>
    <w:rsid w:val="00940B10"/>
    <w:rsid w:val="00941059"/>
    <w:rsid w:val="00941593"/>
    <w:rsid w:val="009463BB"/>
    <w:rsid w:val="0095212A"/>
    <w:rsid w:val="00952277"/>
    <w:rsid w:val="009530E3"/>
    <w:rsid w:val="00953604"/>
    <w:rsid w:val="00957A8B"/>
    <w:rsid w:val="0096476E"/>
    <w:rsid w:val="00966027"/>
    <w:rsid w:val="00967D21"/>
    <w:rsid w:val="009748CB"/>
    <w:rsid w:val="00980263"/>
    <w:rsid w:val="00994225"/>
    <w:rsid w:val="00994784"/>
    <w:rsid w:val="009A29F2"/>
    <w:rsid w:val="009A2AB2"/>
    <w:rsid w:val="009A4328"/>
    <w:rsid w:val="009A578E"/>
    <w:rsid w:val="009A59D9"/>
    <w:rsid w:val="009A6005"/>
    <w:rsid w:val="009B13B8"/>
    <w:rsid w:val="009B534C"/>
    <w:rsid w:val="009C7165"/>
    <w:rsid w:val="009C72C8"/>
    <w:rsid w:val="009D082F"/>
    <w:rsid w:val="009D12CB"/>
    <w:rsid w:val="009E3A3C"/>
    <w:rsid w:val="009E72D9"/>
    <w:rsid w:val="009F3230"/>
    <w:rsid w:val="009F45EE"/>
    <w:rsid w:val="009F5D25"/>
    <w:rsid w:val="009F6D54"/>
    <w:rsid w:val="009F7208"/>
    <w:rsid w:val="009F797F"/>
    <w:rsid w:val="00A00769"/>
    <w:rsid w:val="00A01957"/>
    <w:rsid w:val="00A049B1"/>
    <w:rsid w:val="00A06BB9"/>
    <w:rsid w:val="00A114F8"/>
    <w:rsid w:val="00A17090"/>
    <w:rsid w:val="00A17772"/>
    <w:rsid w:val="00A17A6E"/>
    <w:rsid w:val="00A224A8"/>
    <w:rsid w:val="00A2582B"/>
    <w:rsid w:val="00A40D94"/>
    <w:rsid w:val="00A4307D"/>
    <w:rsid w:val="00A447D8"/>
    <w:rsid w:val="00A45DE1"/>
    <w:rsid w:val="00A461D5"/>
    <w:rsid w:val="00A47AA9"/>
    <w:rsid w:val="00A515C0"/>
    <w:rsid w:val="00A53528"/>
    <w:rsid w:val="00A53B7F"/>
    <w:rsid w:val="00A618F2"/>
    <w:rsid w:val="00A6333B"/>
    <w:rsid w:val="00A75AFD"/>
    <w:rsid w:val="00A770F2"/>
    <w:rsid w:val="00A90F3F"/>
    <w:rsid w:val="00A93623"/>
    <w:rsid w:val="00A96200"/>
    <w:rsid w:val="00A975A5"/>
    <w:rsid w:val="00AA0C74"/>
    <w:rsid w:val="00AA1674"/>
    <w:rsid w:val="00AA16FD"/>
    <w:rsid w:val="00AA7067"/>
    <w:rsid w:val="00AB019F"/>
    <w:rsid w:val="00AB1166"/>
    <w:rsid w:val="00AB1A95"/>
    <w:rsid w:val="00AB34BD"/>
    <w:rsid w:val="00AB6604"/>
    <w:rsid w:val="00AB7B10"/>
    <w:rsid w:val="00AC2DC7"/>
    <w:rsid w:val="00AC6651"/>
    <w:rsid w:val="00AD2841"/>
    <w:rsid w:val="00AE05D8"/>
    <w:rsid w:val="00AE5163"/>
    <w:rsid w:val="00AE79EF"/>
    <w:rsid w:val="00AF044F"/>
    <w:rsid w:val="00AF29FB"/>
    <w:rsid w:val="00AF523B"/>
    <w:rsid w:val="00AF7CD3"/>
    <w:rsid w:val="00B0008D"/>
    <w:rsid w:val="00B02BA8"/>
    <w:rsid w:val="00B02E4F"/>
    <w:rsid w:val="00B10589"/>
    <w:rsid w:val="00B13659"/>
    <w:rsid w:val="00B165EE"/>
    <w:rsid w:val="00B16AD3"/>
    <w:rsid w:val="00B17B99"/>
    <w:rsid w:val="00B2085C"/>
    <w:rsid w:val="00B21074"/>
    <w:rsid w:val="00B309BD"/>
    <w:rsid w:val="00B32B32"/>
    <w:rsid w:val="00B360C5"/>
    <w:rsid w:val="00B36881"/>
    <w:rsid w:val="00B4075C"/>
    <w:rsid w:val="00B44501"/>
    <w:rsid w:val="00B476A0"/>
    <w:rsid w:val="00B47C14"/>
    <w:rsid w:val="00B50ECD"/>
    <w:rsid w:val="00B52C57"/>
    <w:rsid w:val="00B56139"/>
    <w:rsid w:val="00B6238B"/>
    <w:rsid w:val="00B63290"/>
    <w:rsid w:val="00B66E3D"/>
    <w:rsid w:val="00B706CF"/>
    <w:rsid w:val="00B70FB0"/>
    <w:rsid w:val="00B71AD8"/>
    <w:rsid w:val="00B74257"/>
    <w:rsid w:val="00B77D90"/>
    <w:rsid w:val="00B80AC0"/>
    <w:rsid w:val="00B81E2F"/>
    <w:rsid w:val="00B848A0"/>
    <w:rsid w:val="00B84DD9"/>
    <w:rsid w:val="00B85B7E"/>
    <w:rsid w:val="00B87177"/>
    <w:rsid w:val="00B87D09"/>
    <w:rsid w:val="00B90E61"/>
    <w:rsid w:val="00B96258"/>
    <w:rsid w:val="00BA0750"/>
    <w:rsid w:val="00BA4BE5"/>
    <w:rsid w:val="00BA58A1"/>
    <w:rsid w:val="00BB1C4F"/>
    <w:rsid w:val="00BB3C7F"/>
    <w:rsid w:val="00BB4661"/>
    <w:rsid w:val="00BB48F6"/>
    <w:rsid w:val="00BB6283"/>
    <w:rsid w:val="00BB7035"/>
    <w:rsid w:val="00BC17F4"/>
    <w:rsid w:val="00BC26BE"/>
    <w:rsid w:val="00BC2B0D"/>
    <w:rsid w:val="00BC3F88"/>
    <w:rsid w:val="00BC6EF9"/>
    <w:rsid w:val="00BC7BF4"/>
    <w:rsid w:val="00BD0234"/>
    <w:rsid w:val="00BD0768"/>
    <w:rsid w:val="00BD0B39"/>
    <w:rsid w:val="00BD7C20"/>
    <w:rsid w:val="00BE2A76"/>
    <w:rsid w:val="00BE359E"/>
    <w:rsid w:val="00BE70A9"/>
    <w:rsid w:val="00BF5EDF"/>
    <w:rsid w:val="00C0089F"/>
    <w:rsid w:val="00C00997"/>
    <w:rsid w:val="00C013AD"/>
    <w:rsid w:val="00C037A4"/>
    <w:rsid w:val="00C06AE5"/>
    <w:rsid w:val="00C1341F"/>
    <w:rsid w:val="00C265F4"/>
    <w:rsid w:val="00C2752C"/>
    <w:rsid w:val="00C34AC2"/>
    <w:rsid w:val="00C37FC4"/>
    <w:rsid w:val="00C43C48"/>
    <w:rsid w:val="00C45323"/>
    <w:rsid w:val="00C460ED"/>
    <w:rsid w:val="00C50E81"/>
    <w:rsid w:val="00C53B5A"/>
    <w:rsid w:val="00C5414E"/>
    <w:rsid w:val="00C54446"/>
    <w:rsid w:val="00C55F39"/>
    <w:rsid w:val="00C565CD"/>
    <w:rsid w:val="00C56BF5"/>
    <w:rsid w:val="00C5718A"/>
    <w:rsid w:val="00C57B20"/>
    <w:rsid w:val="00C605D8"/>
    <w:rsid w:val="00C63486"/>
    <w:rsid w:val="00C70AC6"/>
    <w:rsid w:val="00C7560E"/>
    <w:rsid w:val="00C77037"/>
    <w:rsid w:val="00C774DF"/>
    <w:rsid w:val="00C80ADD"/>
    <w:rsid w:val="00C81909"/>
    <w:rsid w:val="00C87961"/>
    <w:rsid w:val="00C91E4E"/>
    <w:rsid w:val="00C97A94"/>
    <w:rsid w:val="00CA62E1"/>
    <w:rsid w:val="00CA670A"/>
    <w:rsid w:val="00CB0A14"/>
    <w:rsid w:val="00CB0D73"/>
    <w:rsid w:val="00CB11BB"/>
    <w:rsid w:val="00CB366B"/>
    <w:rsid w:val="00CB78D3"/>
    <w:rsid w:val="00CB7CF9"/>
    <w:rsid w:val="00CC0485"/>
    <w:rsid w:val="00CD0F05"/>
    <w:rsid w:val="00CD3919"/>
    <w:rsid w:val="00CD3F21"/>
    <w:rsid w:val="00CD4494"/>
    <w:rsid w:val="00CD4878"/>
    <w:rsid w:val="00CE0004"/>
    <w:rsid w:val="00CE0370"/>
    <w:rsid w:val="00CE0B8F"/>
    <w:rsid w:val="00CE6BE9"/>
    <w:rsid w:val="00CE7760"/>
    <w:rsid w:val="00CF2E07"/>
    <w:rsid w:val="00CF2FD2"/>
    <w:rsid w:val="00CF3E6C"/>
    <w:rsid w:val="00CF747D"/>
    <w:rsid w:val="00D002F0"/>
    <w:rsid w:val="00D0147F"/>
    <w:rsid w:val="00D04BDE"/>
    <w:rsid w:val="00D07071"/>
    <w:rsid w:val="00D07B4E"/>
    <w:rsid w:val="00D16FAA"/>
    <w:rsid w:val="00D212E0"/>
    <w:rsid w:val="00D22F48"/>
    <w:rsid w:val="00D24079"/>
    <w:rsid w:val="00D260BB"/>
    <w:rsid w:val="00D30432"/>
    <w:rsid w:val="00D31375"/>
    <w:rsid w:val="00D35B7A"/>
    <w:rsid w:val="00D36194"/>
    <w:rsid w:val="00D377FF"/>
    <w:rsid w:val="00D426C1"/>
    <w:rsid w:val="00D437CB"/>
    <w:rsid w:val="00D45509"/>
    <w:rsid w:val="00D476A0"/>
    <w:rsid w:val="00D564AA"/>
    <w:rsid w:val="00D56E12"/>
    <w:rsid w:val="00D57E68"/>
    <w:rsid w:val="00D62829"/>
    <w:rsid w:val="00D64A77"/>
    <w:rsid w:val="00D64E13"/>
    <w:rsid w:val="00D707DD"/>
    <w:rsid w:val="00D717BE"/>
    <w:rsid w:val="00D71EE8"/>
    <w:rsid w:val="00D72E64"/>
    <w:rsid w:val="00D7698C"/>
    <w:rsid w:val="00D76EAE"/>
    <w:rsid w:val="00D82721"/>
    <w:rsid w:val="00D90696"/>
    <w:rsid w:val="00D92396"/>
    <w:rsid w:val="00DA740F"/>
    <w:rsid w:val="00DA77E0"/>
    <w:rsid w:val="00DB2F68"/>
    <w:rsid w:val="00DB514D"/>
    <w:rsid w:val="00DC59E0"/>
    <w:rsid w:val="00DC616B"/>
    <w:rsid w:val="00DC7FB2"/>
    <w:rsid w:val="00DD0C79"/>
    <w:rsid w:val="00DE1833"/>
    <w:rsid w:val="00DE4563"/>
    <w:rsid w:val="00DE53C9"/>
    <w:rsid w:val="00DE6426"/>
    <w:rsid w:val="00DF01D0"/>
    <w:rsid w:val="00DF08CA"/>
    <w:rsid w:val="00DF2FA6"/>
    <w:rsid w:val="00DF5FD6"/>
    <w:rsid w:val="00E00CC5"/>
    <w:rsid w:val="00E01B29"/>
    <w:rsid w:val="00E025A5"/>
    <w:rsid w:val="00E050F7"/>
    <w:rsid w:val="00E121B4"/>
    <w:rsid w:val="00E14ED3"/>
    <w:rsid w:val="00E154D0"/>
    <w:rsid w:val="00E167F0"/>
    <w:rsid w:val="00E16E0D"/>
    <w:rsid w:val="00E236C6"/>
    <w:rsid w:val="00E24BC2"/>
    <w:rsid w:val="00E26B9D"/>
    <w:rsid w:val="00E327ED"/>
    <w:rsid w:val="00E34DB5"/>
    <w:rsid w:val="00E4508F"/>
    <w:rsid w:val="00E451BB"/>
    <w:rsid w:val="00E477F5"/>
    <w:rsid w:val="00E51BF1"/>
    <w:rsid w:val="00E653C8"/>
    <w:rsid w:val="00E67271"/>
    <w:rsid w:val="00E77E16"/>
    <w:rsid w:val="00E80229"/>
    <w:rsid w:val="00E847EB"/>
    <w:rsid w:val="00E967DA"/>
    <w:rsid w:val="00E97087"/>
    <w:rsid w:val="00EA470E"/>
    <w:rsid w:val="00EB1753"/>
    <w:rsid w:val="00EB17F6"/>
    <w:rsid w:val="00EB736F"/>
    <w:rsid w:val="00EC6327"/>
    <w:rsid w:val="00ED2116"/>
    <w:rsid w:val="00ED47C0"/>
    <w:rsid w:val="00ED54EC"/>
    <w:rsid w:val="00ED6FB4"/>
    <w:rsid w:val="00EE0140"/>
    <w:rsid w:val="00EE0730"/>
    <w:rsid w:val="00EE1937"/>
    <w:rsid w:val="00EE2F32"/>
    <w:rsid w:val="00EE37EB"/>
    <w:rsid w:val="00EE4910"/>
    <w:rsid w:val="00EE4A2D"/>
    <w:rsid w:val="00EE665C"/>
    <w:rsid w:val="00EF45D3"/>
    <w:rsid w:val="00EF4FFC"/>
    <w:rsid w:val="00EF5296"/>
    <w:rsid w:val="00F03979"/>
    <w:rsid w:val="00F06456"/>
    <w:rsid w:val="00F138E3"/>
    <w:rsid w:val="00F14BE5"/>
    <w:rsid w:val="00F20A85"/>
    <w:rsid w:val="00F2122F"/>
    <w:rsid w:val="00F23EEA"/>
    <w:rsid w:val="00F2422C"/>
    <w:rsid w:val="00F30DD7"/>
    <w:rsid w:val="00F331CD"/>
    <w:rsid w:val="00F3489F"/>
    <w:rsid w:val="00F42C0D"/>
    <w:rsid w:val="00F45B52"/>
    <w:rsid w:val="00F47F20"/>
    <w:rsid w:val="00F5009C"/>
    <w:rsid w:val="00F516BC"/>
    <w:rsid w:val="00F55CB3"/>
    <w:rsid w:val="00F55F7A"/>
    <w:rsid w:val="00F56C34"/>
    <w:rsid w:val="00F57EEC"/>
    <w:rsid w:val="00F57F4E"/>
    <w:rsid w:val="00F606CB"/>
    <w:rsid w:val="00F617D1"/>
    <w:rsid w:val="00F636AE"/>
    <w:rsid w:val="00F7101C"/>
    <w:rsid w:val="00F71576"/>
    <w:rsid w:val="00F72B1D"/>
    <w:rsid w:val="00F7726B"/>
    <w:rsid w:val="00F90B03"/>
    <w:rsid w:val="00F9317D"/>
    <w:rsid w:val="00F93860"/>
    <w:rsid w:val="00F97334"/>
    <w:rsid w:val="00F975A7"/>
    <w:rsid w:val="00FA35DF"/>
    <w:rsid w:val="00FA374E"/>
    <w:rsid w:val="00FA7963"/>
    <w:rsid w:val="00FB2F11"/>
    <w:rsid w:val="00FB3AB2"/>
    <w:rsid w:val="00FB411D"/>
    <w:rsid w:val="00FB521F"/>
    <w:rsid w:val="00FC1C4E"/>
    <w:rsid w:val="00FC1C8B"/>
    <w:rsid w:val="00FC1E98"/>
    <w:rsid w:val="00FC24BE"/>
    <w:rsid w:val="00FC6EDE"/>
    <w:rsid w:val="00FC7F49"/>
    <w:rsid w:val="00FD589E"/>
    <w:rsid w:val="00FE23CD"/>
    <w:rsid w:val="00FE2CEE"/>
    <w:rsid w:val="00FE3EC1"/>
    <w:rsid w:val="00FE4734"/>
    <w:rsid w:val="00FE4F9D"/>
    <w:rsid w:val="00FE51BA"/>
    <w:rsid w:val="00FF15DF"/>
    <w:rsid w:val="00FF343E"/>
    <w:rsid w:val="00FF3F46"/>
    <w:rsid w:val="00FF42F7"/>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0AF6B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42CF"/>
  </w:style>
  <w:style w:type="paragraph" w:styleId="Heading1">
    <w:name w:val="heading 1"/>
    <w:basedOn w:val="Normal"/>
    <w:next w:val="Normal"/>
    <w:link w:val="Heading1Char"/>
    <w:uiPriority w:val="9"/>
    <w:qFormat/>
    <w:rsid w:val="00000BB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00BB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00BB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00BB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00BB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00B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0B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0B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0BB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0BB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00BB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00BB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00BB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00BB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00B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00B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0B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00BBA"/>
    <w:rPr>
      <w:rFonts w:eastAsiaTheme="majorEastAsia" w:cstheme="majorBidi"/>
      <w:color w:val="272727" w:themeColor="text1" w:themeTint="D8"/>
    </w:rPr>
  </w:style>
  <w:style w:type="paragraph" w:styleId="Title">
    <w:name w:val="Title"/>
    <w:basedOn w:val="Normal"/>
    <w:next w:val="Normal"/>
    <w:link w:val="TitleChar"/>
    <w:uiPriority w:val="10"/>
    <w:qFormat/>
    <w:rsid w:val="00000B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0B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0BB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0B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0BBA"/>
    <w:pPr>
      <w:spacing w:before="160"/>
      <w:jc w:val="center"/>
    </w:pPr>
    <w:rPr>
      <w:i/>
      <w:iCs/>
      <w:color w:val="404040" w:themeColor="text1" w:themeTint="BF"/>
    </w:rPr>
  </w:style>
  <w:style w:type="character" w:customStyle="1" w:styleId="QuoteChar">
    <w:name w:val="Quote Char"/>
    <w:basedOn w:val="DefaultParagraphFont"/>
    <w:link w:val="Quote"/>
    <w:uiPriority w:val="29"/>
    <w:rsid w:val="00000BBA"/>
    <w:rPr>
      <w:i/>
      <w:iCs/>
      <w:color w:val="404040" w:themeColor="text1" w:themeTint="BF"/>
    </w:rPr>
  </w:style>
  <w:style w:type="paragraph" w:styleId="ListParagraph">
    <w:name w:val="List Paragraph"/>
    <w:basedOn w:val="Normal"/>
    <w:uiPriority w:val="34"/>
    <w:qFormat/>
    <w:rsid w:val="00000BBA"/>
    <w:pPr>
      <w:ind w:left="720"/>
      <w:contextualSpacing/>
    </w:pPr>
  </w:style>
  <w:style w:type="character" w:styleId="IntenseEmphasis">
    <w:name w:val="Intense Emphasis"/>
    <w:basedOn w:val="DefaultParagraphFont"/>
    <w:uiPriority w:val="21"/>
    <w:qFormat/>
    <w:rsid w:val="00000BBA"/>
    <w:rPr>
      <w:i/>
      <w:iCs/>
      <w:color w:val="0F4761" w:themeColor="accent1" w:themeShade="BF"/>
    </w:rPr>
  </w:style>
  <w:style w:type="paragraph" w:styleId="IntenseQuote">
    <w:name w:val="Intense Quote"/>
    <w:basedOn w:val="Normal"/>
    <w:next w:val="Normal"/>
    <w:link w:val="IntenseQuoteChar"/>
    <w:uiPriority w:val="30"/>
    <w:qFormat/>
    <w:rsid w:val="00000BB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00BBA"/>
    <w:rPr>
      <w:i/>
      <w:iCs/>
      <w:color w:val="0F4761" w:themeColor="accent1" w:themeShade="BF"/>
    </w:rPr>
  </w:style>
  <w:style w:type="character" w:styleId="IntenseReference">
    <w:name w:val="Intense Reference"/>
    <w:basedOn w:val="DefaultParagraphFont"/>
    <w:uiPriority w:val="32"/>
    <w:qFormat/>
    <w:rsid w:val="00000BBA"/>
    <w:rPr>
      <w:b/>
      <w:bCs/>
      <w:smallCaps/>
      <w:color w:val="0F4761" w:themeColor="accent1" w:themeShade="BF"/>
      <w:spacing w:val="5"/>
    </w:rPr>
  </w:style>
  <w:style w:type="paragraph" w:styleId="Header">
    <w:name w:val="header"/>
    <w:basedOn w:val="Normal"/>
    <w:link w:val="HeaderChar"/>
    <w:uiPriority w:val="99"/>
    <w:unhideWhenUsed/>
    <w:rsid w:val="000305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0512"/>
  </w:style>
  <w:style w:type="paragraph" w:styleId="Footer">
    <w:name w:val="footer"/>
    <w:basedOn w:val="Normal"/>
    <w:link w:val="FooterChar"/>
    <w:uiPriority w:val="99"/>
    <w:unhideWhenUsed/>
    <w:rsid w:val="000305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0512"/>
  </w:style>
  <w:style w:type="character" w:styleId="Hyperlink">
    <w:name w:val="Hyperlink"/>
    <w:basedOn w:val="DefaultParagraphFont"/>
    <w:uiPriority w:val="99"/>
    <w:unhideWhenUsed/>
    <w:rsid w:val="004C48D7"/>
    <w:rPr>
      <w:color w:val="467886" w:themeColor="hyperlink"/>
      <w:u w:val="single"/>
    </w:rPr>
  </w:style>
  <w:style w:type="character" w:styleId="UnresolvedMention">
    <w:name w:val="Unresolved Mention"/>
    <w:basedOn w:val="DefaultParagraphFont"/>
    <w:uiPriority w:val="99"/>
    <w:semiHidden/>
    <w:unhideWhenUsed/>
    <w:rsid w:val="004C48D7"/>
    <w:rPr>
      <w:color w:val="605E5C"/>
      <w:shd w:val="clear" w:color="auto" w:fill="E1DFDD"/>
    </w:rPr>
  </w:style>
  <w:style w:type="paragraph" w:styleId="Revision">
    <w:name w:val="Revision"/>
    <w:hidden/>
    <w:uiPriority w:val="99"/>
    <w:semiHidden/>
    <w:rsid w:val="00746876"/>
    <w:pPr>
      <w:spacing w:after="0" w:line="240" w:lineRule="auto"/>
    </w:pPr>
  </w:style>
  <w:style w:type="character" w:styleId="CommentReference">
    <w:name w:val="annotation reference"/>
    <w:basedOn w:val="DefaultParagraphFont"/>
    <w:uiPriority w:val="99"/>
    <w:semiHidden/>
    <w:unhideWhenUsed/>
    <w:rsid w:val="000E4053"/>
    <w:rPr>
      <w:sz w:val="16"/>
      <w:szCs w:val="16"/>
    </w:rPr>
  </w:style>
  <w:style w:type="paragraph" w:styleId="CommentText">
    <w:name w:val="annotation text"/>
    <w:basedOn w:val="Normal"/>
    <w:link w:val="CommentTextChar"/>
    <w:uiPriority w:val="99"/>
    <w:unhideWhenUsed/>
    <w:rsid w:val="000E4053"/>
    <w:pPr>
      <w:spacing w:line="240" w:lineRule="auto"/>
    </w:pPr>
    <w:rPr>
      <w:sz w:val="20"/>
      <w:szCs w:val="20"/>
    </w:rPr>
  </w:style>
  <w:style w:type="character" w:customStyle="1" w:styleId="CommentTextChar">
    <w:name w:val="Comment Text Char"/>
    <w:basedOn w:val="DefaultParagraphFont"/>
    <w:link w:val="CommentText"/>
    <w:uiPriority w:val="99"/>
    <w:rsid w:val="000E4053"/>
    <w:rPr>
      <w:sz w:val="20"/>
      <w:szCs w:val="20"/>
    </w:rPr>
  </w:style>
  <w:style w:type="paragraph" w:styleId="CommentSubject">
    <w:name w:val="annotation subject"/>
    <w:basedOn w:val="CommentText"/>
    <w:next w:val="CommentText"/>
    <w:link w:val="CommentSubjectChar"/>
    <w:uiPriority w:val="99"/>
    <w:semiHidden/>
    <w:unhideWhenUsed/>
    <w:rsid w:val="000E4053"/>
    <w:rPr>
      <w:b/>
      <w:bCs/>
    </w:rPr>
  </w:style>
  <w:style w:type="character" w:customStyle="1" w:styleId="CommentSubjectChar">
    <w:name w:val="Comment Subject Char"/>
    <w:basedOn w:val="CommentTextChar"/>
    <w:link w:val="CommentSubject"/>
    <w:uiPriority w:val="99"/>
    <w:semiHidden/>
    <w:rsid w:val="000E4053"/>
    <w:rPr>
      <w:b/>
      <w:bCs/>
      <w:sz w:val="20"/>
      <w:szCs w:val="20"/>
    </w:rPr>
  </w:style>
  <w:style w:type="table" w:styleId="TableGrid">
    <w:name w:val="Table Grid"/>
    <w:basedOn w:val="TableNormal"/>
    <w:uiPriority w:val="39"/>
    <w:rsid w:val="000C05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0C059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FootnoteText">
    <w:name w:val="footnote text"/>
    <w:basedOn w:val="Normal"/>
    <w:link w:val="FootnoteTextChar"/>
    <w:uiPriority w:val="99"/>
    <w:semiHidden/>
    <w:unhideWhenUsed/>
    <w:rsid w:val="00FA374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A374E"/>
    <w:rPr>
      <w:sz w:val="20"/>
      <w:szCs w:val="20"/>
    </w:rPr>
  </w:style>
  <w:style w:type="character" w:styleId="FootnoteReference">
    <w:name w:val="footnote reference"/>
    <w:basedOn w:val="DefaultParagraphFont"/>
    <w:uiPriority w:val="99"/>
    <w:semiHidden/>
    <w:unhideWhenUsed/>
    <w:rsid w:val="00FA374E"/>
    <w:rPr>
      <w:vertAlign w:val="superscript"/>
    </w:rPr>
  </w:style>
  <w:style w:type="paragraph" w:styleId="EndnoteText">
    <w:name w:val="endnote text"/>
    <w:basedOn w:val="Normal"/>
    <w:link w:val="EndnoteTextChar"/>
    <w:uiPriority w:val="99"/>
    <w:semiHidden/>
    <w:unhideWhenUsed/>
    <w:rsid w:val="00FA374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A374E"/>
    <w:rPr>
      <w:sz w:val="20"/>
      <w:szCs w:val="20"/>
    </w:rPr>
  </w:style>
  <w:style w:type="character" w:styleId="EndnoteReference">
    <w:name w:val="endnote reference"/>
    <w:basedOn w:val="DefaultParagraphFont"/>
    <w:uiPriority w:val="99"/>
    <w:semiHidden/>
    <w:unhideWhenUsed/>
    <w:rsid w:val="00FA374E"/>
    <w:rPr>
      <w:vertAlign w:val="superscript"/>
    </w:rPr>
  </w:style>
  <w:style w:type="character" w:styleId="LineNumber">
    <w:name w:val="line number"/>
    <w:basedOn w:val="DefaultParagraphFont"/>
    <w:uiPriority w:val="99"/>
    <w:semiHidden/>
    <w:unhideWhenUsed/>
    <w:rsid w:val="007531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629702">
      <w:bodyDiv w:val="1"/>
      <w:marLeft w:val="0"/>
      <w:marRight w:val="0"/>
      <w:marTop w:val="0"/>
      <w:marBottom w:val="0"/>
      <w:divBdr>
        <w:top w:val="none" w:sz="0" w:space="0" w:color="auto"/>
        <w:left w:val="none" w:sz="0" w:space="0" w:color="auto"/>
        <w:bottom w:val="none" w:sz="0" w:space="0" w:color="auto"/>
        <w:right w:val="none" w:sz="0" w:space="0" w:color="auto"/>
      </w:divBdr>
    </w:div>
    <w:div w:id="385179555">
      <w:bodyDiv w:val="1"/>
      <w:marLeft w:val="0"/>
      <w:marRight w:val="0"/>
      <w:marTop w:val="0"/>
      <w:marBottom w:val="0"/>
      <w:divBdr>
        <w:top w:val="none" w:sz="0" w:space="0" w:color="auto"/>
        <w:left w:val="none" w:sz="0" w:space="0" w:color="auto"/>
        <w:bottom w:val="none" w:sz="0" w:space="0" w:color="auto"/>
        <w:right w:val="none" w:sz="0" w:space="0" w:color="auto"/>
      </w:divBdr>
    </w:div>
    <w:div w:id="764882480">
      <w:bodyDiv w:val="1"/>
      <w:marLeft w:val="0"/>
      <w:marRight w:val="0"/>
      <w:marTop w:val="0"/>
      <w:marBottom w:val="0"/>
      <w:divBdr>
        <w:top w:val="none" w:sz="0" w:space="0" w:color="auto"/>
        <w:left w:val="none" w:sz="0" w:space="0" w:color="auto"/>
        <w:bottom w:val="none" w:sz="0" w:space="0" w:color="auto"/>
        <w:right w:val="none" w:sz="0" w:space="0" w:color="auto"/>
      </w:divBdr>
      <w:divsChild>
        <w:div w:id="1652058310">
          <w:marLeft w:val="360"/>
          <w:marRight w:val="0"/>
          <w:marTop w:val="200"/>
          <w:marBottom w:val="0"/>
          <w:divBdr>
            <w:top w:val="none" w:sz="0" w:space="0" w:color="auto"/>
            <w:left w:val="none" w:sz="0" w:space="0" w:color="auto"/>
            <w:bottom w:val="none" w:sz="0" w:space="0" w:color="auto"/>
            <w:right w:val="none" w:sz="0" w:space="0" w:color="auto"/>
          </w:divBdr>
        </w:div>
      </w:divsChild>
    </w:div>
    <w:div w:id="884833475">
      <w:bodyDiv w:val="1"/>
      <w:marLeft w:val="0"/>
      <w:marRight w:val="0"/>
      <w:marTop w:val="0"/>
      <w:marBottom w:val="0"/>
      <w:divBdr>
        <w:top w:val="none" w:sz="0" w:space="0" w:color="auto"/>
        <w:left w:val="none" w:sz="0" w:space="0" w:color="auto"/>
        <w:bottom w:val="none" w:sz="0" w:space="0" w:color="auto"/>
        <w:right w:val="none" w:sz="0" w:space="0" w:color="auto"/>
      </w:divBdr>
      <w:divsChild>
        <w:div w:id="1711760255">
          <w:marLeft w:val="360"/>
          <w:marRight w:val="0"/>
          <w:marTop w:val="200"/>
          <w:marBottom w:val="0"/>
          <w:divBdr>
            <w:top w:val="none" w:sz="0" w:space="0" w:color="auto"/>
            <w:left w:val="none" w:sz="0" w:space="0" w:color="auto"/>
            <w:bottom w:val="none" w:sz="0" w:space="0" w:color="auto"/>
            <w:right w:val="none" w:sz="0" w:space="0" w:color="auto"/>
          </w:divBdr>
        </w:div>
      </w:divsChild>
    </w:div>
    <w:div w:id="1018892728">
      <w:bodyDiv w:val="1"/>
      <w:marLeft w:val="0"/>
      <w:marRight w:val="0"/>
      <w:marTop w:val="0"/>
      <w:marBottom w:val="0"/>
      <w:divBdr>
        <w:top w:val="none" w:sz="0" w:space="0" w:color="auto"/>
        <w:left w:val="none" w:sz="0" w:space="0" w:color="auto"/>
        <w:bottom w:val="none" w:sz="0" w:space="0" w:color="auto"/>
        <w:right w:val="none" w:sz="0" w:space="0" w:color="auto"/>
      </w:divBdr>
      <w:divsChild>
        <w:div w:id="620040144">
          <w:marLeft w:val="360"/>
          <w:marRight w:val="0"/>
          <w:marTop w:val="200"/>
          <w:marBottom w:val="0"/>
          <w:divBdr>
            <w:top w:val="none" w:sz="0" w:space="0" w:color="auto"/>
            <w:left w:val="none" w:sz="0" w:space="0" w:color="auto"/>
            <w:bottom w:val="none" w:sz="0" w:space="0" w:color="auto"/>
            <w:right w:val="none" w:sz="0" w:space="0" w:color="auto"/>
          </w:divBdr>
        </w:div>
      </w:divsChild>
    </w:div>
    <w:div w:id="1090617312">
      <w:bodyDiv w:val="1"/>
      <w:marLeft w:val="0"/>
      <w:marRight w:val="0"/>
      <w:marTop w:val="0"/>
      <w:marBottom w:val="0"/>
      <w:divBdr>
        <w:top w:val="none" w:sz="0" w:space="0" w:color="auto"/>
        <w:left w:val="none" w:sz="0" w:space="0" w:color="auto"/>
        <w:bottom w:val="none" w:sz="0" w:space="0" w:color="auto"/>
        <w:right w:val="none" w:sz="0" w:space="0" w:color="auto"/>
      </w:divBdr>
    </w:div>
    <w:div w:id="1181701966">
      <w:bodyDiv w:val="1"/>
      <w:marLeft w:val="0"/>
      <w:marRight w:val="0"/>
      <w:marTop w:val="0"/>
      <w:marBottom w:val="0"/>
      <w:divBdr>
        <w:top w:val="none" w:sz="0" w:space="0" w:color="auto"/>
        <w:left w:val="none" w:sz="0" w:space="0" w:color="auto"/>
        <w:bottom w:val="none" w:sz="0" w:space="0" w:color="auto"/>
        <w:right w:val="none" w:sz="0" w:space="0" w:color="auto"/>
      </w:divBdr>
    </w:div>
    <w:div w:id="1220630141">
      <w:bodyDiv w:val="1"/>
      <w:marLeft w:val="0"/>
      <w:marRight w:val="0"/>
      <w:marTop w:val="0"/>
      <w:marBottom w:val="0"/>
      <w:divBdr>
        <w:top w:val="none" w:sz="0" w:space="0" w:color="auto"/>
        <w:left w:val="none" w:sz="0" w:space="0" w:color="auto"/>
        <w:bottom w:val="none" w:sz="0" w:space="0" w:color="auto"/>
        <w:right w:val="none" w:sz="0" w:space="0" w:color="auto"/>
      </w:divBdr>
    </w:div>
    <w:div w:id="1221017665">
      <w:bodyDiv w:val="1"/>
      <w:marLeft w:val="0"/>
      <w:marRight w:val="0"/>
      <w:marTop w:val="0"/>
      <w:marBottom w:val="0"/>
      <w:divBdr>
        <w:top w:val="none" w:sz="0" w:space="0" w:color="auto"/>
        <w:left w:val="none" w:sz="0" w:space="0" w:color="auto"/>
        <w:bottom w:val="none" w:sz="0" w:space="0" w:color="auto"/>
        <w:right w:val="none" w:sz="0" w:space="0" w:color="auto"/>
      </w:divBdr>
    </w:div>
    <w:div w:id="1384593901">
      <w:bodyDiv w:val="1"/>
      <w:marLeft w:val="0"/>
      <w:marRight w:val="0"/>
      <w:marTop w:val="0"/>
      <w:marBottom w:val="0"/>
      <w:divBdr>
        <w:top w:val="none" w:sz="0" w:space="0" w:color="auto"/>
        <w:left w:val="none" w:sz="0" w:space="0" w:color="auto"/>
        <w:bottom w:val="none" w:sz="0" w:space="0" w:color="auto"/>
        <w:right w:val="none" w:sz="0" w:space="0" w:color="auto"/>
      </w:divBdr>
    </w:div>
    <w:div w:id="1392465549">
      <w:bodyDiv w:val="1"/>
      <w:marLeft w:val="0"/>
      <w:marRight w:val="0"/>
      <w:marTop w:val="0"/>
      <w:marBottom w:val="0"/>
      <w:divBdr>
        <w:top w:val="none" w:sz="0" w:space="0" w:color="auto"/>
        <w:left w:val="none" w:sz="0" w:space="0" w:color="auto"/>
        <w:bottom w:val="none" w:sz="0" w:space="0" w:color="auto"/>
        <w:right w:val="none" w:sz="0" w:space="0" w:color="auto"/>
      </w:divBdr>
    </w:div>
    <w:div w:id="1406563699">
      <w:bodyDiv w:val="1"/>
      <w:marLeft w:val="0"/>
      <w:marRight w:val="0"/>
      <w:marTop w:val="0"/>
      <w:marBottom w:val="0"/>
      <w:divBdr>
        <w:top w:val="none" w:sz="0" w:space="0" w:color="auto"/>
        <w:left w:val="none" w:sz="0" w:space="0" w:color="auto"/>
        <w:bottom w:val="none" w:sz="0" w:space="0" w:color="auto"/>
        <w:right w:val="none" w:sz="0" w:space="0" w:color="auto"/>
      </w:divBdr>
      <w:divsChild>
        <w:div w:id="1316378892">
          <w:marLeft w:val="360"/>
          <w:marRight w:val="0"/>
          <w:marTop w:val="200"/>
          <w:marBottom w:val="0"/>
          <w:divBdr>
            <w:top w:val="none" w:sz="0" w:space="0" w:color="auto"/>
            <w:left w:val="none" w:sz="0" w:space="0" w:color="auto"/>
            <w:bottom w:val="none" w:sz="0" w:space="0" w:color="auto"/>
            <w:right w:val="none" w:sz="0" w:space="0" w:color="auto"/>
          </w:divBdr>
        </w:div>
      </w:divsChild>
    </w:div>
    <w:div w:id="1552842085">
      <w:bodyDiv w:val="1"/>
      <w:marLeft w:val="0"/>
      <w:marRight w:val="0"/>
      <w:marTop w:val="0"/>
      <w:marBottom w:val="0"/>
      <w:divBdr>
        <w:top w:val="none" w:sz="0" w:space="0" w:color="auto"/>
        <w:left w:val="none" w:sz="0" w:space="0" w:color="auto"/>
        <w:bottom w:val="none" w:sz="0" w:space="0" w:color="auto"/>
        <w:right w:val="none" w:sz="0" w:space="0" w:color="auto"/>
      </w:divBdr>
    </w:div>
    <w:div w:id="1580141880">
      <w:bodyDiv w:val="1"/>
      <w:marLeft w:val="0"/>
      <w:marRight w:val="0"/>
      <w:marTop w:val="0"/>
      <w:marBottom w:val="0"/>
      <w:divBdr>
        <w:top w:val="none" w:sz="0" w:space="0" w:color="auto"/>
        <w:left w:val="none" w:sz="0" w:space="0" w:color="auto"/>
        <w:bottom w:val="none" w:sz="0" w:space="0" w:color="auto"/>
        <w:right w:val="none" w:sz="0" w:space="0" w:color="auto"/>
      </w:divBdr>
      <w:divsChild>
        <w:div w:id="305546149">
          <w:marLeft w:val="547"/>
          <w:marRight w:val="0"/>
          <w:marTop w:val="200"/>
          <w:marBottom w:val="0"/>
          <w:divBdr>
            <w:top w:val="none" w:sz="0" w:space="0" w:color="auto"/>
            <w:left w:val="none" w:sz="0" w:space="0" w:color="auto"/>
            <w:bottom w:val="none" w:sz="0" w:space="0" w:color="auto"/>
            <w:right w:val="none" w:sz="0" w:space="0" w:color="auto"/>
          </w:divBdr>
        </w:div>
        <w:div w:id="1545212651">
          <w:marLeft w:val="547"/>
          <w:marRight w:val="0"/>
          <w:marTop w:val="200"/>
          <w:marBottom w:val="0"/>
          <w:divBdr>
            <w:top w:val="none" w:sz="0" w:space="0" w:color="auto"/>
            <w:left w:val="none" w:sz="0" w:space="0" w:color="auto"/>
            <w:bottom w:val="none" w:sz="0" w:space="0" w:color="auto"/>
            <w:right w:val="none" w:sz="0" w:space="0" w:color="auto"/>
          </w:divBdr>
        </w:div>
        <w:div w:id="1645693701">
          <w:marLeft w:val="547"/>
          <w:marRight w:val="0"/>
          <w:marTop w:val="200"/>
          <w:marBottom w:val="0"/>
          <w:divBdr>
            <w:top w:val="none" w:sz="0" w:space="0" w:color="auto"/>
            <w:left w:val="none" w:sz="0" w:space="0" w:color="auto"/>
            <w:bottom w:val="none" w:sz="0" w:space="0" w:color="auto"/>
            <w:right w:val="none" w:sz="0" w:space="0" w:color="auto"/>
          </w:divBdr>
        </w:div>
        <w:div w:id="1880362711">
          <w:marLeft w:val="547"/>
          <w:marRight w:val="0"/>
          <w:marTop w:val="200"/>
          <w:marBottom w:val="160"/>
          <w:divBdr>
            <w:top w:val="none" w:sz="0" w:space="0" w:color="auto"/>
            <w:left w:val="none" w:sz="0" w:space="0" w:color="auto"/>
            <w:bottom w:val="none" w:sz="0" w:space="0" w:color="auto"/>
            <w:right w:val="none" w:sz="0" w:space="0" w:color="auto"/>
          </w:divBdr>
        </w:div>
      </w:divsChild>
    </w:div>
    <w:div w:id="1607880204">
      <w:bodyDiv w:val="1"/>
      <w:marLeft w:val="0"/>
      <w:marRight w:val="0"/>
      <w:marTop w:val="0"/>
      <w:marBottom w:val="0"/>
      <w:divBdr>
        <w:top w:val="none" w:sz="0" w:space="0" w:color="auto"/>
        <w:left w:val="none" w:sz="0" w:space="0" w:color="auto"/>
        <w:bottom w:val="none" w:sz="0" w:space="0" w:color="auto"/>
        <w:right w:val="none" w:sz="0" w:space="0" w:color="auto"/>
      </w:divBdr>
    </w:div>
    <w:div w:id="1712994442">
      <w:bodyDiv w:val="1"/>
      <w:marLeft w:val="0"/>
      <w:marRight w:val="0"/>
      <w:marTop w:val="0"/>
      <w:marBottom w:val="0"/>
      <w:divBdr>
        <w:top w:val="none" w:sz="0" w:space="0" w:color="auto"/>
        <w:left w:val="none" w:sz="0" w:space="0" w:color="auto"/>
        <w:bottom w:val="none" w:sz="0" w:space="0" w:color="auto"/>
        <w:right w:val="none" w:sz="0" w:space="0" w:color="auto"/>
      </w:divBdr>
      <w:divsChild>
        <w:div w:id="1488202431">
          <w:marLeft w:val="360"/>
          <w:marRight w:val="0"/>
          <w:marTop w:val="200"/>
          <w:marBottom w:val="0"/>
          <w:divBdr>
            <w:top w:val="none" w:sz="0" w:space="0" w:color="auto"/>
            <w:left w:val="none" w:sz="0" w:space="0" w:color="auto"/>
            <w:bottom w:val="none" w:sz="0" w:space="0" w:color="auto"/>
            <w:right w:val="none" w:sz="0" w:space="0" w:color="auto"/>
          </w:divBdr>
        </w:div>
      </w:divsChild>
    </w:div>
    <w:div w:id="1948074698">
      <w:bodyDiv w:val="1"/>
      <w:marLeft w:val="0"/>
      <w:marRight w:val="0"/>
      <w:marTop w:val="0"/>
      <w:marBottom w:val="0"/>
      <w:divBdr>
        <w:top w:val="none" w:sz="0" w:space="0" w:color="auto"/>
        <w:left w:val="none" w:sz="0" w:space="0" w:color="auto"/>
        <w:bottom w:val="none" w:sz="0" w:space="0" w:color="auto"/>
        <w:right w:val="none" w:sz="0" w:space="0" w:color="auto"/>
      </w:divBdr>
      <w:divsChild>
        <w:div w:id="1847551550">
          <w:marLeft w:val="547"/>
          <w:marRight w:val="0"/>
          <w:marTop w:val="200"/>
          <w:marBottom w:val="160"/>
          <w:divBdr>
            <w:top w:val="none" w:sz="0" w:space="0" w:color="auto"/>
            <w:left w:val="none" w:sz="0" w:space="0" w:color="auto"/>
            <w:bottom w:val="none" w:sz="0" w:space="0" w:color="auto"/>
            <w:right w:val="none" w:sz="0" w:space="0" w:color="auto"/>
          </w:divBdr>
        </w:div>
        <w:div w:id="2010055166">
          <w:marLeft w:val="547"/>
          <w:marRight w:val="0"/>
          <w:marTop w:val="200"/>
          <w:marBottom w:val="0"/>
          <w:divBdr>
            <w:top w:val="none" w:sz="0" w:space="0" w:color="auto"/>
            <w:left w:val="none" w:sz="0" w:space="0" w:color="auto"/>
            <w:bottom w:val="none" w:sz="0" w:space="0" w:color="auto"/>
            <w:right w:val="none" w:sz="0" w:space="0" w:color="auto"/>
          </w:divBdr>
        </w:div>
        <w:div w:id="2069304423">
          <w:marLeft w:val="547"/>
          <w:marRight w:val="0"/>
          <w:marTop w:val="200"/>
          <w:marBottom w:val="0"/>
          <w:divBdr>
            <w:top w:val="none" w:sz="0" w:space="0" w:color="auto"/>
            <w:left w:val="none" w:sz="0" w:space="0" w:color="auto"/>
            <w:bottom w:val="none" w:sz="0" w:space="0" w:color="auto"/>
            <w:right w:val="none" w:sz="0" w:space="0" w:color="auto"/>
          </w:divBdr>
        </w:div>
      </w:divsChild>
    </w:div>
    <w:div w:id="1959556241">
      <w:bodyDiv w:val="1"/>
      <w:marLeft w:val="0"/>
      <w:marRight w:val="0"/>
      <w:marTop w:val="0"/>
      <w:marBottom w:val="0"/>
      <w:divBdr>
        <w:top w:val="none" w:sz="0" w:space="0" w:color="auto"/>
        <w:left w:val="none" w:sz="0" w:space="0" w:color="auto"/>
        <w:bottom w:val="none" w:sz="0" w:space="0" w:color="auto"/>
        <w:right w:val="none" w:sz="0" w:space="0" w:color="auto"/>
      </w:divBdr>
    </w:div>
    <w:div w:id="2100368825">
      <w:bodyDiv w:val="1"/>
      <w:marLeft w:val="0"/>
      <w:marRight w:val="0"/>
      <w:marTop w:val="0"/>
      <w:marBottom w:val="0"/>
      <w:divBdr>
        <w:top w:val="none" w:sz="0" w:space="0" w:color="auto"/>
        <w:left w:val="none" w:sz="0" w:space="0" w:color="auto"/>
        <w:bottom w:val="none" w:sz="0" w:space="0" w:color="auto"/>
        <w:right w:val="none" w:sz="0" w:space="0" w:color="auto"/>
      </w:divBdr>
      <w:divsChild>
        <w:div w:id="141624754">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endnotes.xml.rels><?xml version="1.0" encoding="UTF-8" standalone="yes"?>
<Relationships xmlns="http://schemas.openxmlformats.org/package/2006/relationships"><Relationship Id="rId3" Type="http://schemas.openxmlformats.org/officeDocument/2006/relationships/hyperlink" Target="https://data.unwomen.org/global-database-on-violence-against-women?utm_source=chatgpt.com" TargetMode="External"/><Relationship Id="rId2" Type="http://schemas.openxmlformats.org/officeDocument/2006/relationships/hyperlink" Target="https://sdgdata.humanrights.dk/en" TargetMode="External"/><Relationship Id="rId1" Type="http://schemas.openxmlformats.org/officeDocument/2006/relationships/hyperlink" Target="https://www.genderlawindex.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CA5914-253B-4125-9112-CCBD3FCA6D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8103</Words>
  <Characters>36874</Characters>
  <Application>Microsoft Office Word</Application>
  <DocSecurity>0</DocSecurity>
  <Lines>558</Lines>
  <Paragraphs>188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2026-05-21T18:37:00Z</dcterms:created>
  <dcterms:modified xsi:type="dcterms:W3CDTF">2026-05-21T18:37:00Z</dcterms:modified>
</cp:coreProperties>
</file>