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247" w:rsidRPr="00291247" w:rsidRDefault="00291247" w:rsidP="00291247">
      <w:pPr>
        <w:spacing w:before="100" w:beforeAutospacing="1" w:after="100" w:afterAutospacing="1" w:line="240" w:lineRule="auto"/>
        <w:outlineLvl w:val="1"/>
        <w:rPr>
          <w:rFonts w:eastAsia="Times New Roman" w:cstheme="minorHAnsi"/>
          <w:bCs/>
          <w:i/>
          <w:iCs/>
          <w:sz w:val="28"/>
          <w:szCs w:val="36"/>
          <w:lang w:eastAsia="en-GB"/>
        </w:rPr>
      </w:pPr>
      <w:r w:rsidRPr="00291247">
        <w:rPr>
          <w:rFonts w:eastAsia="Times New Roman" w:cstheme="minorHAnsi"/>
          <w:bCs/>
          <w:sz w:val="28"/>
          <w:szCs w:val="36"/>
          <w:lang w:eastAsia="en-GB"/>
        </w:rPr>
        <w:t xml:space="preserve"> </w:t>
      </w:r>
      <w:r w:rsidRPr="00291247">
        <w:rPr>
          <w:rFonts w:eastAsia="Times New Roman" w:cstheme="minorHAnsi"/>
          <w:bCs/>
          <w:i/>
          <w:iCs/>
          <w:sz w:val="28"/>
          <w:szCs w:val="36"/>
          <w:lang w:eastAsia="en-GB"/>
        </w:rPr>
        <w:t xml:space="preserve">DNA Methylation Profiling of Sorted Peripheral Blood Cells Using Microarray and Next Generation Sequencing Reveals Distinct Molecular Signatures in the </w:t>
      </w:r>
      <w:proofErr w:type="spellStart"/>
      <w:r w:rsidRPr="00291247">
        <w:rPr>
          <w:rFonts w:eastAsia="Times New Roman" w:cstheme="minorHAnsi"/>
          <w:bCs/>
          <w:i/>
          <w:iCs/>
          <w:sz w:val="28"/>
          <w:szCs w:val="36"/>
          <w:lang w:eastAsia="en-GB"/>
        </w:rPr>
        <w:t>Polymorphonuclear</w:t>
      </w:r>
      <w:proofErr w:type="spellEnd"/>
      <w:r w:rsidRPr="00291247">
        <w:rPr>
          <w:rFonts w:eastAsia="Times New Roman" w:cstheme="minorHAnsi"/>
          <w:bCs/>
          <w:i/>
          <w:iCs/>
          <w:sz w:val="28"/>
          <w:szCs w:val="36"/>
          <w:lang w:eastAsia="en-GB"/>
        </w:rPr>
        <w:t xml:space="preserve"> and Mononuclear Cells of Patients with Essential </w:t>
      </w:r>
      <w:proofErr w:type="spellStart"/>
      <w:r w:rsidRPr="00291247">
        <w:rPr>
          <w:rFonts w:eastAsia="Times New Roman" w:cstheme="minorHAnsi"/>
          <w:bCs/>
          <w:i/>
          <w:iCs/>
          <w:sz w:val="28"/>
          <w:szCs w:val="36"/>
          <w:lang w:eastAsia="en-GB"/>
        </w:rPr>
        <w:t>Thrombocythemia</w:t>
      </w:r>
      <w:proofErr w:type="spellEnd"/>
      <w:r w:rsidRPr="00291247">
        <w:rPr>
          <w:rFonts w:eastAsia="Times New Roman" w:cstheme="minorHAnsi"/>
          <w:bCs/>
          <w:i/>
          <w:iCs/>
          <w:sz w:val="28"/>
          <w:szCs w:val="36"/>
          <w:lang w:eastAsia="en-GB"/>
        </w:rPr>
        <w:t xml:space="preserve">, </w:t>
      </w:r>
      <w:proofErr w:type="spellStart"/>
      <w:r w:rsidRPr="00291247">
        <w:rPr>
          <w:rFonts w:eastAsia="Times New Roman" w:cstheme="minorHAnsi"/>
          <w:bCs/>
          <w:i/>
          <w:iCs/>
          <w:sz w:val="28"/>
          <w:szCs w:val="36"/>
          <w:lang w:eastAsia="en-GB"/>
        </w:rPr>
        <w:t>Polycythemia</w:t>
      </w:r>
      <w:proofErr w:type="spellEnd"/>
      <w:r w:rsidRPr="00291247">
        <w:rPr>
          <w:rFonts w:eastAsia="Times New Roman" w:cstheme="minorHAnsi"/>
          <w:bCs/>
          <w:i/>
          <w:iCs/>
          <w:sz w:val="28"/>
          <w:szCs w:val="36"/>
          <w:lang w:eastAsia="en-GB"/>
        </w:rPr>
        <w:t xml:space="preserve"> Vera and Primary </w:t>
      </w:r>
      <w:proofErr w:type="spellStart"/>
      <w:r w:rsidRPr="00291247">
        <w:rPr>
          <w:rFonts w:eastAsia="Times New Roman" w:cstheme="minorHAnsi"/>
          <w:bCs/>
          <w:i/>
          <w:iCs/>
          <w:sz w:val="28"/>
          <w:szCs w:val="36"/>
          <w:lang w:eastAsia="en-GB"/>
        </w:rPr>
        <w:t>Myelofibrosis</w:t>
      </w:r>
      <w:proofErr w:type="spellEnd"/>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Chieh Lee Wong</w:t>
      </w:r>
      <w:r>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proofErr w:type="spellStart"/>
      <w:r w:rsidRPr="00291247">
        <w:rPr>
          <w:rFonts w:eastAsia="Times New Roman" w:cstheme="minorHAnsi"/>
          <w:bCs/>
          <w:sz w:val="28"/>
          <w:szCs w:val="36"/>
          <w:lang w:eastAsia="en-GB"/>
        </w:rPr>
        <w:t>Baoshan</w:t>
      </w:r>
      <w:proofErr w:type="spellEnd"/>
      <w:r w:rsidRPr="00291247">
        <w:rPr>
          <w:rFonts w:eastAsia="Times New Roman" w:cstheme="minorHAnsi"/>
          <w:bCs/>
          <w:sz w:val="28"/>
          <w:szCs w:val="36"/>
          <w:lang w:eastAsia="en-GB"/>
        </w:rPr>
        <w:t xml:space="preserve"> Ma</w:t>
      </w:r>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Martyna Adamowicz-Brice</w:t>
      </w:r>
      <w:r>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Gareth Gerrard</w:t>
      </w:r>
      <w:r>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proofErr w:type="spellStart"/>
      <w:r w:rsidRPr="00291247">
        <w:rPr>
          <w:rFonts w:eastAsia="Times New Roman" w:cstheme="minorHAnsi"/>
          <w:bCs/>
          <w:sz w:val="28"/>
          <w:szCs w:val="36"/>
          <w:lang w:eastAsia="en-GB"/>
        </w:rPr>
        <w:t>Zainul</w:t>
      </w:r>
      <w:proofErr w:type="spellEnd"/>
      <w:r w:rsidRPr="00291247">
        <w:rPr>
          <w:rFonts w:eastAsia="Times New Roman" w:cstheme="minorHAnsi"/>
          <w:bCs/>
          <w:sz w:val="28"/>
          <w:szCs w:val="36"/>
          <w:lang w:eastAsia="en-GB"/>
        </w:rPr>
        <w:t xml:space="preserve"> </w:t>
      </w:r>
      <w:proofErr w:type="spellStart"/>
      <w:r w:rsidRPr="00291247">
        <w:rPr>
          <w:rFonts w:eastAsia="Times New Roman" w:cstheme="minorHAnsi"/>
          <w:bCs/>
          <w:sz w:val="28"/>
          <w:szCs w:val="36"/>
          <w:lang w:eastAsia="en-GB"/>
        </w:rPr>
        <w:t>Abidin</w:t>
      </w:r>
      <w:proofErr w:type="spellEnd"/>
      <w:r w:rsidRPr="00291247">
        <w:rPr>
          <w:rFonts w:eastAsia="Times New Roman" w:cstheme="minorHAnsi"/>
          <w:bCs/>
          <w:sz w:val="28"/>
          <w:szCs w:val="36"/>
          <w:lang w:eastAsia="en-GB"/>
        </w:rPr>
        <w:t xml:space="preserve"> </w:t>
      </w:r>
      <w:proofErr w:type="spellStart"/>
      <w:r w:rsidRPr="00291247">
        <w:rPr>
          <w:rFonts w:eastAsia="Times New Roman" w:cstheme="minorHAnsi"/>
          <w:bCs/>
          <w:sz w:val="28"/>
          <w:szCs w:val="36"/>
          <w:lang w:eastAsia="en-GB"/>
        </w:rPr>
        <w:t>Norziha</w:t>
      </w:r>
      <w:proofErr w:type="spellEnd"/>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 xml:space="preserve">Nor </w:t>
      </w:r>
      <w:proofErr w:type="spellStart"/>
      <w:r w:rsidRPr="00291247">
        <w:rPr>
          <w:rFonts w:eastAsia="Times New Roman" w:cstheme="minorHAnsi"/>
          <w:bCs/>
          <w:sz w:val="28"/>
          <w:szCs w:val="36"/>
          <w:lang w:eastAsia="en-GB"/>
        </w:rPr>
        <w:t>Rafeah</w:t>
      </w:r>
      <w:proofErr w:type="spellEnd"/>
      <w:r w:rsidRPr="00291247">
        <w:rPr>
          <w:rFonts w:eastAsia="Times New Roman" w:cstheme="minorHAnsi"/>
          <w:bCs/>
          <w:sz w:val="28"/>
          <w:szCs w:val="36"/>
          <w:lang w:eastAsia="en-GB"/>
        </w:rPr>
        <w:t xml:space="preserve"> </w:t>
      </w:r>
      <w:proofErr w:type="spellStart"/>
      <w:r w:rsidRPr="00291247">
        <w:rPr>
          <w:rFonts w:eastAsia="Times New Roman" w:cstheme="minorHAnsi"/>
          <w:bCs/>
          <w:sz w:val="28"/>
          <w:szCs w:val="36"/>
          <w:lang w:eastAsia="en-GB"/>
        </w:rPr>
        <w:t>Tumian</w:t>
      </w:r>
      <w:proofErr w:type="spellEnd"/>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 xml:space="preserve">Soon </w:t>
      </w:r>
      <w:proofErr w:type="spellStart"/>
      <w:r w:rsidRPr="00291247">
        <w:rPr>
          <w:rFonts w:eastAsia="Times New Roman" w:cstheme="minorHAnsi"/>
          <w:bCs/>
          <w:sz w:val="28"/>
          <w:szCs w:val="36"/>
          <w:lang w:eastAsia="en-GB"/>
        </w:rPr>
        <w:t>Keng</w:t>
      </w:r>
      <w:proofErr w:type="spellEnd"/>
      <w:r w:rsidRPr="00291247">
        <w:rPr>
          <w:rFonts w:eastAsia="Times New Roman" w:cstheme="minorHAnsi"/>
          <w:bCs/>
          <w:sz w:val="28"/>
          <w:szCs w:val="36"/>
          <w:lang w:eastAsia="en-GB"/>
        </w:rPr>
        <w:t xml:space="preserve"> Cheong</w:t>
      </w:r>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proofErr w:type="spellStart"/>
      <w:r w:rsidRPr="00291247">
        <w:rPr>
          <w:rFonts w:eastAsia="Times New Roman" w:cstheme="minorHAnsi"/>
          <w:bCs/>
          <w:sz w:val="28"/>
          <w:szCs w:val="36"/>
          <w:lang w:eastAsia="en-GB"/>
        </w:rPr>
        <w:t>Chooi</w:t>
      </w:r>
      <w:proofErr w:type="spellEnd"/>
      <w:r w:rsidRPr="00291247">
        <w:rPr>
          <w:rFonts w:eastAsia="Times New Roman" w:cstheme="minorHAnsi"/>
          <w:bCs/>
          <w:sz w:val="28"/>
          <w:szCs w:val="36"/>
          <w:lang w:eastAsia="en-GB"/>
        </w:rPr>
        <w:t xml:space="preserve"> Fun Leong</w:t>
      </w:r>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Ping Chong Bee</w:t>
      </w:r>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 xml:space="preserve">Gin </w:t>
      </w:r>
      <w:proofErr w:type="spellStart"/>
      <w:r w:rsidRPr="00291247">
        <w:rPr>
          <w:rFonts w:eastAsia="Times New Roman" w:cstheme="minorHAnsi"/>
          <w:bCs/>
          <w:sz w:val="28"/>
          <w:szCs w:val="36"/>
          <w:lang w:eastAsia="en-GB"/>
        </w:rPr>
        <w:t>Gin</w:t>
      </w:r>
      <w:proofErr w:type="spellEnd"/>
      <w:r w:rsidRPr="00291247">
        <w:rPr>
          <w:rFonts w:eastAsia="Times New Roman" w:cstheme="minorHAnsi"/>
          <w:bCs/>
          <w:sz w:val="28"/>
          <w:szCs w:val="36"/>
          <w:lang w:eastAsia="en-GB"/>
        </w:rPr>
        <w:t xml:space="preserve"> </w:t>
      </w:r>
      <w:proofErr w:type="spellStart"/>
      <w:r w:rsidRPr="00291247">
        <w:rPr>
          <w:rFonts w:eastAsia="Times New Roman" w:cstheme="minorHAnsi"/>
          <w:bCs/>
          <w:sz w:val="28"/>
          <w:szCs w:val="36"/>
          <w:lang w:eastAsia="en-GB"/>
        </w:rPr>
        <w:t>Gan</w:t>
      </w:r>
      <w:proofErr w:type="spellEnd"/>
      <w:r>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proofErr w:type="spellStart"/>
      <w:r w:rsidRPr="00291247">
        <w:rPr>
          <w:rFonts w:eastAsia="Times New Roman" w:cstheme="minorHAnsi"/>
          <w:bCs/>
          <w:sz w:val="28"/>
          <w:szCs w:val="36"/>
          <w:lang w:eastAsia="en-GB"/>
        </w:rPr>
        <w:t>Jameela</w:t>
      </w:r>
      <w:proofErr w:type="spellEnd"/>
      <w:r w:rsidRPr="00291247">
        <w:rPr>
          <w:rFonts w:eastAsia="Times New Roman" w:cstheme="minorHAnsi"/>
          <w:bCs/>
          <w:sz w:val="28"/>
          <w:szCs w:val="36"/>
          <w:lang w:eastAsia="en-GB"/>
        </w:rPr>
        <w:t xml:space="preserve"> </w:t>
      </w:r>
      <w:proofErr w:type="spellStart"/>
      <w:r w:rsidRPr="00291247">
        <w:rPr>
          <w:rFonts w:eastAsia="Times New Roman" w:cstheme="minorHAnsi"/>
          <w:bCs/>
          <w:sz w:val="28"/>
          <w:szCs w:val="36"/>
          <w:lang w:eastAsia="en-GB"/>
        </w:rPr>
        <w:t>Sathar</w:t>
      </w:r>
      <w:proofErr w:type="spellEnd"/>
      <w:r>
        <w:rPr>
          <w:rFonts w:eastAsia="Times New Roman" w:cstheme="minorHAnsi"/>
          <w:bCs/>
          <w:sz w:val="28"/>
          <w:szCs w:val="36"/>
          <w:lang w:eastAsia="en-GB"/>
        </w:rPr>
        <w:t xml:space="preserve"> </w:t>
      </w:r>
      <w:r w:rsidRPr="00291247">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Letizia Foroni</w:t>
      </w:r>
      <w:r>
        <w:rPr>
          <w:rFonts w:eastAsia="Times New Roman" w:cstheme="minorHAnsi"/>
          <w:bCs/>
          <w:sz w:val="28"/>
          <w:szCs w:val="36"/>
          <w:lang w:eastAsia="en-GB"/>
        </w:rPr>
        <w:t xml:space="preserve"> </w:t>
      </w:r>
      <w:bookmarkStart w:id="0" w:name="_GoBack"/>
      <w:bookmarkEnd w:id="0"/>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Tim Aitman</w:t>
      </w:r>
      <w:r>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eastAsia="Times New Roman" w:cstheme="minorHAnsi"/>
          <w:bCs/>
          <w:sz w:val="28"/>
          <w:szCs w:val="36"/>
          <w:lang w:eastAsia="en-GB"/>
        </w:rPr>
      </w:pPr>
      <w:r w:rsidRPr="00291247">
        <w:rPr>
          <w:rFonts w:eastAsia="Times New Roman" w:cstheme="minorHAnsi"/>
          <w:bCs/>
          <w:sz w:val="28"/>
          <w:szCs w:val="36"/>
          <w:lang w:eastAsia="en-GB"/>
        </w:rPr>
        <w:t>Liming Liang</w:t>
      </w:r>
      <w:r>
        <w:rPr>
          <w:rFonts w:eastAsia="Times New Roman" w:cstheme="minorHAnsi"/>
          <w:bCs/>
          <w:sz w:val="28"/>
          <w:szCs w:val="36"/>
          <w:lang w:eastAsia="en-GB"/>
        </w:rPr>
        <w:t xml:space="preserve"> </w:t>
      </w:r>
    </w:p>
    <w:p w:rsidR="00291247" w:rsidRPr="00291247" w:rsidRDefault="00291247" w:rsidP="00291247">
      <w:pPr>
        <w:numPr>
          <w:ilvl w:val="0"/>
          <w:numId w:val="1"/>
        </w:numPr>
        <w:spacing w:before="100" w:beforeAutospacing="1" w:after="100" w:afterAutospacing="1" w:line="240" w:lineRule="auto"/>
        <w:outlineLvl w:val="1"/>
        <w:rPr>
          <w:rFonts w:ascii="Times New Roman" w:eastAsia="Times New Roman" w:hAnsi="Times New Roman" w:cs="Times New Roman"/>
          <w:bCs/>
          <w:sz w:val="36"/>
          <w:szCs w:val="36"/>
          <w:lang w:eastAsia="en-GB"/>
        </w:rPr>
      </w:pPr>
      <w:r w:rsidRPr="00291247">
        <w:rPr>
          <w:rFonts w:eastAsia="Times New Roman" w:cstheme="minorHAnsi"/>
          <w:bCs/>
          <w:sz w:val="28"/>
          <w:szCs w:val="36"/>
          <w:lang w:eastAsia="en-GB"/>
        </w:rPr>
        <w:t>Michael Laffan</w:t>
      </w:r>
      <w:r>
        <w:rPr>
          <w:rFonts w:eastAsia="Times New Roman" w:cstheme="minorHAnsi"/>
          <w:bCs/>
          <w:sz w:val="28"/>
          <w:szCs w:val="36"/>
          <w:lang w:eastAsia="en-GB"/>
        </w:rPr>
        <w:t xml:space="preserve"> </w:t>
      </w:r>
    </w:p>
    <w:p w:rsidR="00291247" w:rsidRPr="00291247" w:rsidRDefault="00291247" w:rsidP="00291247">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b/>
          <w:bCs/>
          <w:sz w:val="24"/>
          <w:szCs w:val="24"/>
          <w:lang w:eastAsia="en-GB"/>
        </w:rPr>
        <w:t>Background</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sz w:val="24"/>
          <w:szCs w:val="24"/>
          <w:lang w:eastAsia="en-GB"/>
        </w:rPr>
        <w:t xml:space="preserve">The past decade has witnessed a significant progress in the understanding of the molecular pathogenesis of </w:t>
      </w:r>
      <w:proofErr w:type="spellStart"/>
      <w:r w:rsidRPr="00291247">
        <w:rPr>
          <w:rFonts w:ascii="Times New Roman" w:eastAsia="Times New Roman" w:hAnsi="Times New Roman" w:cs="Times New Roman"/>
          <w:sz w:val="24"/>
          <w:szCs w:val="24"/>
          <w:lang w:eastAsia="en-GB"/>
        </w:rPr>
        <w:t>myeloproliferative</w:t>
      </w:r>
      <w:proofErr w:type="spellEnd"/>
      <w:r w:rsidRPr="00291247">
        <w:rPr>
          <w:rFonts w:ascii="Times New Roman" w:eastAsia="Times New Roman" w:hAnsi="Times New Roman" w:cs="Times New Roman"/>
          <w:sz w:val="24"/>
          <w:szCs w:val="24"/>
          <w:lang w:eastAsia="en-GB"/>
        </w:rPr>
        <w:t xml:space="preserve"> neoplasms (MPN). Mutations in a large number of genes have now been implicated in the pathogenesis of MPN but these do not yet explain the differentiation into the separate MPN syndromes and do not give full prediction of the wide variation in prognosis. We hypothesized that epigenetic mechanisms may help explain these phenomena at a cell-type specific level.</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b/>
          <w:bCs/>
          <w:sz w:val="24"/>
          <w:szCs w:val="24"/>
          <w:lang w:eastAsia="en-GB"/>
        </w:rPr>
        <w:t>Aim</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sz w:val="24"/>
          <w:szCs w:val="24"/>
          <w:lang w:eastAsia="en-GB"/>
        </w:rPr>
        <w:t>The aim of this study was to perform DNA methylation profiling on different cell types from patients with MPN in order to identify regulatory loci adjacent to genes whose differential expression could elucidate the pathogenesis and predict survival in patients with MPN in a multiracial country.</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b/>
          <w:bCs/>
          <w:sz w:val="24"/>
          <w:szCs w:val="24"/>
          <w:lang w:eastAsia="en-GB"/>
        </w:rPr>
        <w:t>Methods</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sz w:val="24"/>
          <w:szCs w:val="24"/>
          <w:lang w:eastAsia="en-GB"/>
        </w:rPr>
        <w:t xml:space="preserve">We performed DNA methylation profiling on normal controls (NC) and patients with MPN from 3 different races (Malay, Chinese and Indian) in Malaysia who were diagnosed with essential </w:t>
      </w:r>
      <w:proofErr w:type="spellStart"/>
      <w:r w:rsidRPr="00291247">
        <w:rPr>
          <w:rFonts w:ascii="Times New Roman" w:eastAsia="Times New Roman" w:hAnsi="Times New Roman" w:cs="Times New Roman"/>
          <w:sz w:val="24"/>
          <w:szCs w:val="24"/>
          <w:lang w:eastAsia="en-GB"/>
        </w:rPr>
        <w:t>thrombocythemia</w:t>
      </w:r>
      <w:proofErr w:type="spellEnd"/>
      <w:r w:rsidRPr="00291247">
        <w:rPr>
          <w:rFonts w:ascii="Times New Roman" w:eastAsia="Times New Roman" w:hAnsi="Times New Roman" w:cs="Times New Roman"/>
          <w:sz w:val="24"/>
          <w:szCs w:val="24"/>
          <w:lang w:eastAsia="en-GB"/>
        </w:rPr>
        <w:t xml:space="preserve"> (ET), </w:t>
      </w:r>
      <w:proofErr w:type="spellStart"/>
      <w:r w:rsidRPr="00291247">
        <w:rPr>
          <w:rFonts w:ascii="Times New Roman" w:eastAsia="Times New Roman" w:hAnsi="Times New Roman" w:cs="Times New Roman"/>
          <w:sz w:val="24"/>
          <w:szCs w:val="24"/>
          <w:lang w:eastAsia="en-GB"/>
        </w:rPr>
        <w:t>polycythemia</w:t>
      </w:r>
      <w:proofErr w:type="spellEnd"/>
      <w:r w:rsidRPr="00291247">
        <w:rPr>
          <w:rFonts w:ascii="Times New Roman" w:eastAsia="Times New Roman" w:hAnsi="Times New Roman" w:cs="Times New Roman"/>
          <w:sz w:val="24"/>
          <w:szCs w:val="24"/>
          <w:lang w:eastAsia="en-GB"/>
        </w:rPr>
        <w:t xml:space="preserve"> </w:t>
      </w:r>
      <w:proofErr w:type="spellStart"/>
      <w:r w:rsidRPr="00291247">
        <w:rPr>
          <w:rFonts w:ascii="Times New Roman" w:eastAsia="Times New Roman" w:hAnsi="Times New Roman" w:cs="Times New Roman"/>
          <w:sz w:val="24"/>
          <w:szCs w:val="24"/>
          <w:lang w:eastAsia="en-GB"/>
        </w:rPr>
        <w:t>vera</w:t>
      </w:r>
      <w:proofErr w:type="spellEnd"/>
      <w:r w:rsidRPr="00291247">
        <w:rPr>
          <w:rFonts w:ascii="Times New Roman" w:eastAsia="Times New Roman" w:hAnsi="Times New Roman" w:cs="Times New Roman"/>
          <w:sz w:val="24"/>
          <w:szCs w:val="24"/>
          <w:lang w:eastAsia="en-GB"/>
        </w:rPr>
        <w:t xml:space="preserve"> (PV) and primary </w:t>
      </w:r>
      <w:proofErr w:type="spellStart"/>
      <w:r w:rsidRPr="00291247">
        <w:rPr>
          <w:rFonts w:ascii="Times New Roman" w:eastAsia="Times New Roman" w:hAnsi="Times New Roman" w:cs="Times New Roman"/>
          <w:sz w:val="24"/>
          <w:szCs w:val="24"/>
          <w:lang w:eastAsia="en-GB"/>
        </w:rPr>
        <w:t>myelofibrosis</w:t>
      </w:r>
      <w:proofErr w:type="spellEnd"/>
      <w:r w:rsidRPr="00291247">
        <w:rPr>
          <w:rFonts w:ascii="Times New Roman" w:eastAsia="Times New Roman" w:hAnsi="Times New Roman" w:cs="Times New Roman"/>
          <w:sz w:val="24"/>
          <w:szCs w:val="24"/>
          <w:lang w:eastAsia="en-GB"/>
        </w:rPr>
        <w:t xml:space="preserve"> (PMF) according to the 2008 WHO diagnostic criteria for MPN. Two cohorts of patients, the patient </w:t>
      </w:r>
      <w:r w:rsidRPr="00291247">
        <w:rPr>
          <w:rFonts w:ascii="Times New Roman" w:eastAsia="Times New Roman" w:hAnsi="Times New Roman" w:cs="Times New Roman"/>
          <w:sz w:val="24"/>
          <w:szCs w:val="24"/>
          <w:lang w:eastAsia="en-GB"/>
        </w:rPr>
        <w:lastRenderedPageBreak/>
        <w:t xml:space="preserve">and validation cohorts, from 3 tertiary-level hospitals were recruited prospectively over 3 years and informed consents were obtained. Peripheral blood samples were taken and sorted into </w:t>
      </w:r>
      <w:proofErr w:type="spellStart"/>
      <w:r w:rsidRPr="00291247">
        <w:rPr>
          <w:rFonts w:ascii="Times New Roman" w:eastAsia="Times New Roman" w:hAnsi="Times New Roman" w:cs="Times New Roman"/>
          <w:sz w:val="24"/>
          <w:szCs w:val="24"/>
          <w:lang w:eastAsia="en-GB"/>
        </w:rPr>
        <w:t>polymorphonuclear</w:t>
      </w:r>
      <w:proofErr w:type="spellEnd"/>
      <w:r w:rsidRPr="00291247">
        <w:rPr>
          <w:rFonts w:ascii="Times New Roman" w:eastAsia="Times New Roman" w:hAnsi="Times New Roman" w:cs="Times New Roman"/>
          <w:sz w:val="24"/>
          <w:szCs w:val="24"/>
          <w:lang w:eastAsia="en-GB"/>
        </w:rPr>
        <w:t xml:space="preserve"> cells (PMNs), mononuclear cells (MNCs) and T cells. DNA was extracted from each cell population. DNA methylation profiling was performed using the </w:t>
      </w:r>
      <w:proofErr w:type="spellStart"/>
      <w:r w:rsidRPr="00291247">
        <w:rPr>
          <w:rFonts w:ascii="Times New Roman" w:eastAsia="Times New Roman" w:hAnsi="Times New Roman" w:cs="Times New Roman"/>
          <w:sz w:val="24"/>
          <w:szCs w:val="24"/>
          <w:lang w:eastAsia="en-GB"/>
        </w:rPr>
        <w:t>Illumina</w:t>
      </w:r>
      <w:proofErr w:type="spellEnd"/>
      <w:r w:rsidRPr="00291247">
        <w:rPr>
          <w:rFonts w:ascii="Times New Roman" w:eastAsia="Times New Roman" w:hAnsi="Times New Roman" w:cs="Times New Roman"/>
          <w:sz w:val="24"/>
          <w:szCs w:val="24"/>
          <w:lang w:eastAsia="en-GB"/>
        </w:rPr>
        <w:t xml:space="preserve"> HumanMethylation450 </w:t>
      </w:r>
      <w:proofErr w:type="spellStart"/>
      <w:r w:rsidRPr="00291247">
        <w:rPr>
          <w:rFonts w:ascii="Times New Roman" w:eastAsia="Times New Roman" w:hAnsi="Times New Roman" w:cs="Times New Roman"/>
          <w:sz w:val="24"/>
          <w:szCs w:val="24"/>
          <w:lang w:eastAsia="en-GB"/>
        </w:rPr>
        <w:t>Beadchip</w:t>
      </w:r>
      <w:proofErr w:type="spellEnd"/>
      <w:r w:rsidRPr="00291247">
        <w:rPr>
          <w:rFonts w:ascii="Times New Roman" w:eastAsia="Times New Roman" w:hAnsi="Times New Roman" w:cs="Times New Roman"/>
          <w:sz w:val="24"/>
          <w:szCs w:val="24"/>
          <w:lang w:eastAsia="en-GB"/>
        </w:rPr>
        <w:t xml:space="preserve"> for microarray and subsequent confirmation was performed using the </w:t>
      </w:r>
      <w:proofErr w:type="spellStart"/>
      <w:r w:rsidRPr="00291247">
        <w:rPr>
          <w:rFonts w:ascii="Times New Roman" w:eastAsia="Times New Roman" w:hAnsi="Times New Roman" w:cs="Times New Roman"/>
          <w:sz w:val="24"/>
          <w:szCs w:val="24"/>
          <w:lang w:eastAsia="en-GB"/>
        </w:rPr>
        <w:t>Fluidigm</w:t>
      </w:r>
      <w:proofErr w:type="spellEnd"/>
      <w:r w:rsidRPr="00291247">
        <w:rPr>
          <w:rFonts w:ascii="Times New Roman" w:eastAsia="Times New Roman" w:hAnsi="Times New Roman" w:cs="Times New Roman"/>
          <w:sz w:val="24"/>
          <w:szCs w:val="24"/>
          <w:lang w:eastAsia="en-GB"/>
        </w:rPr>
        <w:t xml:space="preserve"> Access Array/</w:t>
      </w:r>
      <w:proofErr w:type="spellStart"/>
      <w:r w:rsidRPr="00291247">
        <w:rPr>
          <w:rFonts w:ascii="Times New Roman" w:eastAsia="Times New Roman" w:hAnsi="Times New Roman" w:cs="Times New Roman"/>
          <w:sz w:val="24"/>
          <w:szCs w:val="24"/>
          <w:lang w:eastAsia="en-GB"/>
        </w:rPr>
        <w:t>Illumina</w:t>
      </w:r>
      <w:proofErr w:type="spellEnd"/>
      <w:r w:rsidRPr="00291247">
        <w:rPr>
          <w:rFonts w:ascii="Times New Roman" w:eastAsia="Times New Roman" w:hAnsi="Times New Roman" w:cs="Times New Roman"/>
          <w:sz w:val="24"/>
          <w:szCs w:val="24"/>
          <w:lang w:eastAsia="en-GB"/>
        </w:rPr>
        <w:t xml:space="preserve"> </w:t>
      </w:r>
      <w:proofErr w:type="spellStart"/>
      <w:r w:rsidRPr="00291247">
        <w:rPr>
          <w:rFonts w:ascii="Times New Roman" w:eastAsia="Times New Roman" w:hAnsi="Times New Roman" w:cs="Times New Roman"/>
          <w:sz w:val="24"/>
          <w:szCs w:val="24"/>
          <w:lang w:eastAsia="en-GB"/>
        </w:rPr>
        <w:t>Miseq</w:t>
      </w:r>
      <w:proofErr w:type="spellEnd"/>
      <w:r w:rsidRPr="00291247">
        <w:rPr>
          <w:rFonts w:ascii="Times New Roman" w:eastAsia="Times New Roman" w:hAnsi="Times New Roman" w:cs="Times New Roman"/>
          <w:sz w:val="24"/>
          <w:szCs w:val="24"/>
          <w:lang w:eastAsia="en-GB"/>
        </w:rPr>
        <w:t xml:space="preserve"> next generation sequencing platform on the patient and validation cohorts respectively.</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b/>
          <w:bCs/>
          <w:sz w:val="24"/>
          <w:szCs w:val="24"/>
          <w:lang w:eastAsia="en-GB"/>
        </w:rPr>
        <w:t>Results</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sz w:val="24"/>
          <w:szCs w:val="24"/>
          <w:lang w:eastAsia="en-GB"/>
        </w:rPr>
        <w:t xml:space="preserve">Twenty-nine patients (11 ET, 11 PV and 7 PMF) and 11 NC were recruited into the patient cohort. Twelve patients (4 ET, 4 PV and 4 PMF) and 4 NC were recruited into the validation cohort. Methylation levels of the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for each cell type in each disease were compared with NC. In the patient cohort, the number of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in ET, PV and PMF was 1889, 6545 and 11,372 respectively for PMNs (p &lt; 0.0001) and 732, 7700 and 49,219 respectively for MNCs (p &lt; 0.0001). For T cells, the number of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in ET, PV and PMF were significantly less with 297, 1091 and 987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respectively (p &lt; 0.0001). </w:t>
      </w:r>
      <w:proofErr w:type="spellStart"/>
      <w:r w:rsidRPr="00291247">
        <w:rPr>
          <w:rFonts w:ascii="Times New Roman" w:eastAsia="Times New Roman" w:hAnsi="Times New Roman" w:cs="Times New Roman"/>
          <w:sz w:val="24"/>
          <w:szCs w:val="24"/>
          <w:lang w:eastAsia="en-GB"/>
        </w:rPr>
        <w:t>Quantile-quantile</w:t>
      </w:r>
      <w:proofErr w:type="spellEnd"/>
      <w:r w:rsidRPr="00291247">
        <w:rPr>
          <w:rFonts w:ascii="Times New Roman" w:eastAsia="Times New Roman" w:hAnsi="Times New Roman" w:cs="Times New Roman"/>
          <w:sz w:val="24"/>
          <w:szCs w:val="24"/>
          <w:lang w:eastAsia="en-GB"/>
        </w:rPr>
        <w:t xml:space="preserve"> plots showed a continuum of progressive </w:t>
      </w:r>
      <w:proofErr w:type="spellStart"/>
      <w:r w:rsidRPr="00291247">
        <w:rPr>
          <w:rFonts w:ascii="Times New Roman" w:eastAsia="Times New Roman" w:hAnsi="Times New Roman" w:cs="Times New Roman"/>
          <w:sz w:val="24"/>
          <w:szCs w:val="24"/>
          <w:lang w:eastAsia="en-GB"/>
        </w:rPr>
        <w:t>skewness</w:t>
      </w:r>
      <w:proofErr w:type="spellEnd"/>
      <w:r w:rsidRPr="00291247">
        <w:rPr>
          <w:rFonts w:ascii="Times New Roman" w:eastAsia="Times New Roman" w:hAnsi="Times New Roman" w:cs="Times New Roman"/>
          <w:sz w:val="24"/>
          <w:szCs w:val="24"/>
          <w:lang w:eastAsia="en-GB"/>
        </w:rPr>
        <w:t xml:space="preserve"> from ET to PV to MF for both PMNs and MNCs. However, this appearance was not seen in all 3 diseases for T cells. A total of 43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showing the most significant difference in degrees of methylation from the different categories above were selected and all successfully validated using the </w:t>
      </w:r>
      <w:proofErr w:type="spellStart"/>
      <w:r w:rsidRPr="00291247">
        <w:rPr>
          <w:rFonts w:ascii="Times New Roman" w:eastAsia="Times New Roman" w:hAnsi="Times New Roman" w:cs="Times New Roman"/>
          <w:sz w:val="24"/>
          <w:szCs w:val="24"/>
          <w:lang w:eastAsia="en-GB"/>
        </w:rPr>
        <w:t>Fluidigm</w:t>
      </w:r>
      <w:proofErr w:type="spellEnd"/>
      <w:r w:rsidRPr="00291247">
        <w:rPr>
          <w:rFonts w:ascii="Times New Roman" w:eastAsia="Times New Roman" w:hAnsi="Times New Roman" w:cs="Times New Roman"/>
          <w:sz w:val="24"/>
          <w:szCs w:val="24"/>
          <w:lang w:eastAsia="en-GB"/>
        </w:rPr>
        <w:t>/</w:t>
      </w:r>
      <w:proofErr w:type="spellStart"/>
      <w:r w:rsidRPr="00291247">
        <w:rPr>
          <w:rFonts w:ascii="Times New Roman" w:eastAsia="Times New Roman" w:hAnsi="Times New Roman" w:cs="Times New Roman"/>
          <w:sz w:val="24"/>
          <w:szCs w:val="24"/>
          <w:lang w:eastAsia="en-GB"/>
        </w:rPr>
        <w:t>Miseq</w:t>
      </w:r>
      <w:proofErr w:type="spellEnd"/>
      <w:r w:rsidRPr="00291247">
        <w:rPr>
          <w:rFonts w:ascii="Times New Roman" w:eastAsia="Times New Roman" w:hAnsi="Times New Roman" w:cs="Times New Roman"/>
          <w:sz w:val="24"/>
          <w:szCs w:val="24"/>
          <w:lang w:eastAsia="en-GB"/>
        </w:rPr>
        <w:t xml:space="preserve"> next generation sequencing platform on the validation cohort. For PMNs, 11 of the 14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were associated with genes primarily involved in cell </w:t>
      </w:r>
      <w:proofErr w:type="spellStart"/>
      <w:r w:rsidRPr="00291247">
        <w:rPr>
          <w:rFonts w:ascii="Times New Roman" w:eastAsia="Times New Roman" w:hAnsi="Times New Roman" w:cs="Times New Roman"/>
          <w:sz w:val="24"/>
          <w:szCs w:val="24"/>
          <w:lang w:eastAsia="en-GB"/>
        </w:rPr>
        <w:t>signaling</w:t>
      </w:r>
      <w:proofErr w:type="spellEnd"/>
      <w:r w:rsidRPr="00291247">
        <w:rPr>
          <w:rFonts w:ascii="Times New Roman" w:eastAsia="Times New Roman" w:hAnsi="Times New Roman" w:cs="Times New Roman"/>
          <w:sz w:val="24"/>
          <w:szCs w:val="24"/>
          <w:lang w:eastAsia="en-GB"/>
        </w:rPr>
        <w:t xml:space="preserve"> pathways. For MNCs, 9 of the 15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were associated with genes primarily involved in metabolic pathways and transcription regulation. Remarkably, there was no overlap between the validated PMN and MNC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or between disease subtypes. Fourteen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were validated in T cells.</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b/>
          <w:bCs/>
          <w:sz w:val="24"/>
          <w:szCs w:val="24"/>
          <w:lang w:eastAsia="en-GB"/>
        </w:rPr>
        <w:t>Conclusion</w:t>
      </w:r>
    </w:p>
    <w:p w:rsidR="00291247" w:rsidRPr="00291247" w:rsidRDefault="00291247" w:rsidP="00291247">
      <w:pPr>
        <w:spacing w:before="100" w:beforeAutospacing="1" w:after="100" w:afterAutospacing="1" w:line="240" w:lineRule="auto"/>
        <w:rPr>
          <w:rFonts w:ascii="Times New Roman" w:eastAsia="Times New Roman" w:hAnsi="Times New Roman" w:cs="Times New Roman"/>
          <w:sz w:val="24"/>
          <w:szCs w:val="24"/>
          <w:lang w:eastAsia="en-GB"/>
        </w:rPr>
      </w:pPr>
      <w:r w:rsidRPr="00291247">
        <w:rPr>
          <w:rFonts w:ascii="Times New Roman" w:eastAsia="Times New Roman" w:hAnsi="Times New Roman" w:cs="Times New Roman"/>
          <w:sz w:val="24"/>
          <w:szCs w:val="24"/>
          <w:lang w:eastAsia="en-GB"/>
        </w:rPr>
        <w:t xml:space="preserve">This is the first study to use microarray and next generation sequencing platforms to compare cell type-specific methylation of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between different subtypes of MPN. The significantly lower differential methylation and the lack of </w:t>
      </w:r>
      <w:proofErr w:type="spellStart"/>
      <w:r w:rsidRPr="00291247">
        <w:rPr>
          <w:rFonts w:ascii="Times New Roman" w:eastAsia="Times New Roman" w:hAnsi="Times New Roman" w:cs="Times New Roman"/>
          <w:sz w:val="24"/>
          <w:szCs w:val="24"/>
          <w:lang w:eastAsia="en-GB"/>
        </w:rPr>
        <w:t>skewness</w:t>
      </w:r>
      <w:proofErr w:type="spellEnd"/>
      <w:r w:rsidRPr="00291247">
        <w:rPr>
          <w:rFonts w:ascii="Times New Roman" w:eastAsia="Times New Roman" w:hAnsi="Times New Roman" w:cs="Times New Roman"/>
          <w:sz w:val="24"/>
          <w:szCs w:val="24"/>
          <w:lang w:eastAsia="en-GB"/>
        </w:rPr>
        <w:t xml:space="preserve"> in the </w:t>
      </w:r>
      <w:proofErr w:type="spellStart"/>
      <w:r w:rsidRPr="00291247">
        <w:rPr>
          <w:rFonts w:ascii="Times New Roman" w:eastAsia="Times New Roman" w:hAnsi="Times New Roman" w:cs="Times New Roman"/>
          <w:sz w:val="24"/>
          <w:szCs w:val="24"/>
          <w:lang w:eastAsia="en-GB"/>
        </w:rPr>
        <w:t>quantile-quantile</w:t>
      </w:r>
      <w:proofErr w:type="spellEnd"/>
      <w:r w:rsidRPr="00291247">
        <w:rPr>
          <w:rFonts w:ascii="Times New Roman" w:eastAsia="Times New Roman" w:hAnsi="Times New Roman" w:cs="Times New Roman"/>
          <w:sz w:val="24"/>
          <w:szCs w:val="24"/>
          <w:lang w:eastAsia="en-GB"/>
        </w:rPr>
        <w:t xml:space="preserve"> plot in T cells validate the techniques used and indicate that they are not part of the neoplastic clone. The continuum of increasing number of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from ET to PV to MF in both PMNs and MNCs may be related to the increasing severity of the disease phenotypes. Differential methylation was greatest in PMF and was most markedly seen in MNCs which may be related to their more severe phenotype. The pattern of cell type-specific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and the lack of overlap between cell types and diseases provide further insight into the pathogenesis of MPN and into the mechanisms giving rise to the different disease subtypes. Differentially methylated </w:t>
      </w:r>
      <w:proofErr w:type="spellStart"/>
      <w:r w:rsidRPr="00291247">
        <w:rPr>
          <w:rFonts w:ascii="Times New Roman" w:eastAsia="Times New Roman" w:hAnsi="Times New Roman" w:cs="Times New Roman"/>
          <w:sz w:val="24"/>
          <w:szCs w:val="24"/>
          <w:lang w:eastAsia="en-GB"/>
        </w:rPr>
        <w:t>CpG</w:t>
      </w:r>
      <w:proofErr w:type="spellEnd"/>
      <w:r w:rsidRPr="00291247">
        <w:rPr>
          <w:rFonts w:ascii="Times New Roman" w:eastAsia="Times New Roman" w:hAnsi="Times New Roman" w:cs="Times New Roman"/>
          <w:sz w:val="24"/>
          <w:szCs w:val="24"/>
          <w:lang w:eastAsia="en-GB"/>
        </w:rPr>
        <w:t xml:space="preserve"> sites and the linked genes also indicate further routes of investigation and possible disease-specific targets for therapy not identified by mutation or gene expression analyses.</w:t>
      </w:r>
    </w:p>
    <w:p w:rsidR="008126B7" w:rsidRDefault="00291247"/>
    <w:sectPr w:rsidR="008126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4A716E"/>
    <w:multiLevelType w:val="multilevel"/>
    <w:tmpl w:val="95BCEAC4"/>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247"/>
    <w:rsid w:val="000509BC"/>
    <w:rsid w:val="00291247"/>
    <w:rsid w:val="00AF3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3CED0-0776-4EB1-87C7-F367448D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91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9124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124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912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1247"/>
    <w:rPr>
      <w:b/>
      <w:bCs/>
    </w:rPr>
  </w:style>
  <w:style w:type="character" w:customStyle="1" w:styleId="Heading1Char">
    <w:name w:val="Heading 1 Char"/>
    <w:basedOn w:val="DefaultParagraphFont"/>
    <w:link w:val="Heading1"/>
    <w:uiPriority w:val="9"/>
    <w:rsid w:val="0029124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912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495513">
      <w:bodyDiv w:val="1"/>
      <w:marLeft w:val="0"/>
      <w:marRight w:val="0"/>
      <w:marTop w:val="0"/>
      <w:marBottom w:val="0"/>
      <w:divBdr>
        <w:top w:val="none" w:sz="0" w:space="0" w:color="auto"/>
        <w:left w:val="none" w:sz="0" w:space="0" w:color="auto"/>
        <w:bottom w:val="none" w:sz="0" w:space="0" w:color="auto"/>
        <w:right w:val="none" w:sz="0" w:space="0" w:color="auto"/>
      </w:divBdr>
      <w:divsChild>
        <w:div w:id="1032461655">
          <w:marLeft w:val="0"/>
          <w:marRight w:val="0"/>
          <w:marTop w:val="0"/>
          <w:marBottom w:val="0"/>
          <w:divBdr>
            <w:top w:val="none" w:sz="0" w:space="0" w:color="auto"/>
            <w:left w:val="none" w:sz="0" w:space="0" w:color="auto"/>
            <w:bottom w:val="none" w:sz="0" w:space="0" w:color="auto"/>
            <w:right w:val="none" w:sz="0" w:space="0" w:color="auto"/>
          </w:divBdr>
          <w:divsChild>
            <w:div w:id="715661196">
              <w:marLeft w:val="0"/>
              <w:marRight w:val="0"/>
              <w:marTop w:val="0"/>
              <w:marBottom w:val="0"/>
              <w:divBdr>
                <w:top w:val="none" w:sz="0" w:space="0" w:color="auto"/>
                <w:left w:val="none" w:sz="0" w:space="0" w:color="auto"/>
                <w:bottom w:val="none" w:sz="0" w:space="0" w:color="auto"/>
                <w:right w:val="none" w:sz="0" w:space="0" w:color="auto"/>
              </w:divBdr>
              <w:divsChild>
                <w:div w:id="192695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7948">
          <w:marLeft w:val="0"/>
          <w:marRight w:val="0"/>
          <w:marTop w:val="0"/>
          <w:marBottom w:val="0"/>
          <w:divBdr>
            <w:top w:val="none" w:sz="0" w:space="0" w:color="auto"/>
            <w:left w:val="none" w:sz="0" w:space="0" w:color="auto"/>
            <w:bottom w:val="none" w:sz="0" w:space="0" w:color="auto"/>
            <w:right w:val="none" w:sz="0" w:space="0" w:color="auto"/>
          </w:divBdr>
          <w:divsChild>
            <w:div w:id="1214806232">
              <w:marLeft w:val="0"/>
              <w:marRight w:val="0"/>
              <w:marTop w:val="0"/>
              <w:marBottom w:val="0"/>
              <w:divBdr>
                <w:top w:val="none" w:sz="0" w:space="0" w:color="auto"/>
                <w:left w:val="none" w:sz="0" w:space="0" w:color="auto"/>
                <w:bottom w:val="none" w:sz="0" w:space="0" w:color="auto"/>
                <w:right w:val="none" w:sz="0" w:space="0" w:color="auto"/>
              </w:divBdr>
              <w:divsChild>
                <w:div w:id="1876963100">
                  <w:marLeft w:val="0"/>
                  <w:marRight w:val="0"/>
                  <w:marTop w:val="0"/>
                  <w:marBottom w:val="0"/>
                  <w:divBdr>
                    <w:top w:val="none" w:sz="0" w:space="0" w:color="auto"/>
                    <w:left w:val="none" w:sz="0" w:space="0" w:color="auto"/>
                    <w:bottom w:val="none" w:sz="0" w:space="0" w:color="auto"/>
                    <w:right w:val="none" w:sz="0" w:space="0" w:color="auto"/>
                  </w:divBdr>
                  <w:divsChild>
                    <w:div w:id="93632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177497">
      <w:bodyDiv w:val="1"/>
      <w:marLeft w:val="0"/>
      <w:marRight w:val="0"/>
      <w:marTop w:val="0"/>
      <w:marBottom w:val="0"/>
      <w:divBdr>
        <w:top w:val="none" w:sz="0" w:space="0" w:color="auto"/>
        <w:left w:val="none" w:sz="0" w:space="0" w:color="auto"/>
        <w:bottom w:val="none" w:sz="0" w:space="0" w:color="auto"/>
        <w:right w:val="none" w:sz="0" w:space="0" w:color="auto"/>
      </w:divBdr>
      <w:divsChild>
        <w:div w:id="2116247433">
          <w:marLeft w:val="0"/>
          <w:marRight w:val="0"/>
          <w:marTop w:val="0"/>
          <w:marBottom w:val="0"/>
          <w:divBdr>
            <w:top w:val="none" w:sz="0" w:space="0" w:color="auto"/>
            <w:left w:val="none" w:sz="0" w:space="0" w:color="auto"/>
            <w:bottom w:val="none" w:sz="0" w:space="0" w:color="auto"/>
            <w:right w:val="none" w:sz="0" w:space="0" w:color="auto"/>
          </w:divBdr>
          <w:divsChild>
            <w:div w:id="823547706">
              <w:marLeft w:val="0"/>
              <w:marRight w:val="0"/>
              <w:marTop w:val="0"/>
              <w:marBottom w:val="0"/>
              <w:divBdr>
                <w:top w:val="none" w:sz="0" w:space="0" w:color="auto"/>
                <w:left w:val="none" w:sz="0" w:space="0" w:color="auto"/>
                <w:bottom w:val="none" w:sz="0" w:space="0" w:color="auto"/>
                <w:right w:val="none" w:sz="0" w:space="0" w:color="auto"/>
              </w:divBdr>
              <w:divsChild>
                <w:div w:id="205928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83093">
          <w:marLeft w:val="0"/>
          <w:marRight w:val="0"/>
          <w:marTop w:val="0"/>
          <w:marBottom w:val="0"/>
          <w:divBdr>
            <w:top w:val="none" w:sz="0" w:space="0" w:color="auto"/>
            <w:left w:val="none" w:sz="0" w:space="0" w:color="auto"/>
            <w:bottom w:val="none" w:sz="0" w:space="0" w:color="auto"/>
            <w:right w:val="none" w:sz="0" w:space="0" w:color="auto"/>
          </w:divBdr>
          <w:divsChild>
            <w:div w:id="1411922654">
              <w:marLeft w:val="0"/>
              <w:marRight w:val="0"/>
              <w:marTop w:val="0"/>
              <w:marBottom w:val="0"/>
              <w:divBdr>
                <w:top w:val="none" w:sz="0" w:space="0" w:color="auto"/>
                <w:left w:val="none" w:sz="0" w:space="0" w:color="auto"/>
                <w:bottom w:val="none" w:sz="0" w:space="0" w:color="auto"/>
                <w:right w:val="none" w:sz="0" w:space="0" w:color="auto"/>
              </w:divBdr>
              <w:divsChild>
                <w:div w:id="1853449168">
                  <w:marLeft w:val="0"/>
                  <w:marRight w:val="0"/>
                  <w:marTop w:val="0"/>
                  <w:marBottom w:val="0"/>
                  <w:divBdr>
                    <w:top w:val="none" w:sz="0" w:space="0" w:color="auto"/>
                    <w:left w:val="none" w:sz="0" w:space="0" w:color="auto"/>
                    <w:bottom w:val="none" w:sz="0" w:space="0" w:color="auto"/>
                    <w:right w:val="none" w:sz="0" w:space="0" w:color="auto"/>
                  </w:divBdr>
                  <w:divsChild>
                    <w:div w:id="15916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4984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Laffan, Mike A</dc:creator>
  <cp:keywords/>
  <dc:description/>
  <cp:lastModifiedBy>Laffan, Mike A</cp:lastModifiedBy>
  <cp:revision>1</cp:revision>
  <dcterms:created xsi:type="dcterms:W3CDTF">2016-05-17T10:28:00Z</dcterms:created>
  <dcterms:modified xsi:type="dcterms:W3CDTF">2016-05-18T11:22:00Z</dcterms:modified>
</cp:coreProperties>
</file>