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B4BFE" w14:textId="7D7D2042" w:rsidR="007648B0" w:rsidRPr="00590BB6" w:rsidRDefault="007648B0" w:rsidP="00600286">
      <w:pPr>
        <w:spacing w:after="0" w:line="360" w:lineRule="auto"/>
        <w:jc w:val="both"/>
        <w:rPr>
          <w:rFonts w:cs="Times New Roman"/>
          <w:b/>
          <w:bCs/>
          <w:sz w:val="28"/>
        </w:rPr>
      </w:pPr>
      <w:bookmarkStart w:id="0" w:name="_Hlk142896550"/>
      <w:bookmarkEnd w:id="0"/>
      <w:r w:rsidRPr="00590BB6">
        <w:rPr>
          <w:rFonts w:cs="Times New Roman"/>
          <w:b/>
          <w:bCs/>
          <w:sz w:val="28"/>
        </w:rPr>
        <w:t>The future of road freight transport</w:t>
      </w:r>
      <w:r w:rsidR="00E566D8" w:rsidRPr="00590BB6">
        <w:rPr>
          <w:rFonts w:cs="Times New Roman"/>
          <w:b/>
          <w:bCs/>
          <w:sz w:val="28"/>
        </w:rPr>
        <w:t xml:space="preserve"> and alternative technologies</w:t>
      </w:r>
      <w:r w:rsidRPr="00590BB6">
        <w:rPr>
          <w:rFonts w:cs="Times New Roman"/>
          <w:b/>
          <w:bCs/>
          <w:sz w:val="28"/>
        </w:rPr>
        <w:t>: A case study for Italy</w:t>
      </w:r>
    </w:p>
    <w:p w14:paraId="58FB0B54" w14:textId="1F27B5FF" w:rsidR="00C85615" w:rsidRPr="00590BB6" w:rsidRDefault="00500CFE" w:rsidP="007648B0">
      <w:pPr>
        <w:spacing w:after="0" w:line="360" w:lineRule="auto"/>
        <w:rPr>
          <w:rFonts w:cs="Times New Roman"/>
          <w:i/>
          <w:iCs/>
          <w:lang w:val="it-IT"/>
        </w:rPr>
      </w:pPr>
      <w:r w:rsidRPr="00590BB6">
        <w:rPr>
          <w:rFonts w:cs="Times New Roman"/>
          <w:i/>
          <w:iCs/>
          <w:lang w:val="it-IT"/>
        </w:rPr>
        <w:t>Mattia Carbon</w:t>
      </w:r>
      <w:r w:rsidR="00B90C9D" w:rsidRPr="00590BB6">
        <w:rPr>
          <w:rFonts w:cs="Times New Roman"/>
          <w:i/>
          <w:iCs/>
          <w:lang w:val="it-IT"/>
        </w:rPr>
        <w:t xml:space="preserve"> </w:t>
      </w:r>
      <w:r w:rsidR="00E65A88" w:rsidRPr="00590BB6">
        <w:rPr>
          <w:rFonts w:cs="Times New Roman"/>
          <w:i/>
          <w:iCs/>
          <w:vertAlign w:val="superscript"/>
          <w:lang w:val="it-IT"/>
        </w:rPr>
        <w:t>a</w:t>
      </w:r>
      <w:r w:rsidR="00C85615" w:rsidRPr="00590BB6">
        <w:rPr>
          <w:rFonts w:cs="Times New Roman"/>
          <w:i/>
          <w:iCs/>
          <w:lang w:val="it-IT"/>
        </w:rPr>
        <w:t>,</w:t>
      </w:r>
      <w:r w:rsidR="00E02E4B" w:rsidRPr="00590BB6">
        <w:rPr>
          <w:rFonts w:cs="Times New Roman"/>
          <w:i/>
          <w:iCs/>
          <w:lang w:val="it-IT"/>
        </w:rPr>
        <w:t xml:space="preserve"> </w:t>
      </w:r>
      <w:proofErr w:type="spellStart"/>
      <w:r w:rsidR="009B4520" w:rsidRPr="00590BB6">
        <w:rPr>
          <w:rFonts w:cs="Times New Roman"/>
          <w:i/>
          <w:iCs/>
          <w:lang w:val="it-IT"/>
        </w:rPr>
        <w:t>Alaize</w:t>
      </w:r>
      <w:proofErr w:type="spellEnd"/>
      <w:r w:rsidR="009B4520" w:rsidRPr="00590BB6">
        <w:rPr>
          <w:rFonts w:cs="Times New Roman"/>
          <w:i/>
          <w:iCs/>
          <w:lang w:val="it-IT"/>
        </w:rPr>
        <w:t xml:space="preserve"> </w:t>
      </w:r>
      <w:proofErr w:type="spellStart"/>
      <w:r w:rsidR="00BF5F2C" w:rsidRPr="00590BB6">
        <w:rPr>
          <w:rFonts w:cs="Times New Roman"/>
          <w:i/>
          <w:iCs/>
          <w:lang w:val="it-IT"/>
        </w:rPr>
        <w:t>D</w:t>
      </w:r>
      <w:r w:rsidR="006E5475" w:rsidRPr="00590BB6">
        <w:rPr>
          <w:rFonts w:cs="Times New Roman"/>
          <w:i/>
          <w:iCs/>
          <w:lang w:val="it-IT"/>
        </w:rPr>
        <w:t>a</w:t>
      </w:r>
      <w:r w:rsidR="00FF5C91" w:rsidRPr="00590BB6">
        <w:rPr>
          <w:rFonts w:cs="Times New Roman"/>
          <w:i/>
          <w:iCs/>
          <w:lang w:val="it-IT"/>
        </w:rPr>
        <w:t>ll-</w:t>
      </w:r>
      <w:r w:rsidR="00BF5F2C" w:rsidRPr="00590BB6">
        <w:rPr>
          <w:rFonts w:cs="Times New Roman"/>
          <w:i/>
          <w:iCs/>
          <w:lang w:val="it-IT"/>
        </w:rPr>
        <w:t>Orsoletta</w:t>
      </w:r>
      <w:proofErr w:type="spellEnd"/>
      <w:r w:rsidRPr="00590BB6">
        <w:rPr>
          <w:rFonts w:cs="Times New Roman"/>
          <w:i/>
          <w:iCs/>
          <w:lang w:val="it-IT"/>
        </w:rPr>
        <w:t xml:space="preserve"> </w:t>
      </w:r>
      <w:r w:rsidR="00E65A88" w:rsidRPr="00590BB6">
        <w:rPr>
          <w:rFonts w:cs="Times New Roman"/>
          <w:i/>
          <w:iCs/>
          <w:vertAlign w:val="superscript"/>
          <w:lang w:val="it-IT"/>
        </w:rPr>
        <w:t>b</w:t>
      </w:r>
      <w:r w:rsidR="00185828" w:rsidRPr="00590BB6">
        <w:rPr>
          <w:rFonts w:cs="Times New Roman"/>
          <w:i/>
          <w:iCs/>
          <w:lang w:val="it-IT"/>
        </w:rPr>
        <w:t>,</w:t>
      </w:r>
      <w:r w:rsidR="00E02E4B" w:rsidRPr="00590BB6">
        <w:rPr>
          <w:rFonts w:cs="Times New Roman"/>
          <w:i/>
          <w:iCs/>
          <w:lang w:val="it-IT"/>
        </w:rPr>
        <w:t xml:space="preserve"> </w:t>
      </w:r>
      <w:r w:rsidR="00DF040E" w:rsidRPr="00590BB6">
        <w:rPr>
          <w:rFonts w:cs="Times New Roman"/>
          <w:i/>
          <w:iCs/>
          <w:lang w:val="it-IT"/>
        </w:rPr>
        <w:t xml:space="preserve">Adam </w:t>
      </w:r>
      <w:proofErr w:type="spellStart"/>
      <w:r w:rsidR="00DF040E" w:rsidRPr="00590BB6">
        <w:rPr>
          <w:rFonts w:cs="Times New Roman"/>
          <w:i/>
          <w:iCs/>
          <w:lang w:val="it-IT"/>
        </w:rPr>
        <w:t>Hawkes</w:t>
      </w:r>
      <w:proofErr w:type="spellEnd"/>
      <w:r w:rsidR="00DF040E" w:rsidRPr="00590BB6">
        <w:rPr>
          <w:rFonts w:cs="Times New Roman"/>
          <w:i/>
          <w:iCs/>
          <w:lang w:val="it-IT"/>
        </w:rPr>
        <w:t xml:space="preserve"> </w:t>
      </w:r>
      <w:r w:rsidR="00DF040E" w:rsidRPr="00590BB6">
        <w:rPr>
          <w:rFonts w:cs="Times New Roman"/>
          <w:i/>
          <w:iCs/>
          <w:vertAlign w:val="superscript"/>
          <w:lang w:val="it-IT"/>
        </w:rPr>
        <w:t>c</w:t>
      </w:r>
      <w:r w:rsidR="00DF040E" w:rsidRPr="00590BB6">
        <w:rPr>
          <w:rFonts w:cs="Times New Roman"/>
          <w:i/>
          <w:iCs/>
          <w:lang w:val="it-IT"/>
        </w:rPr>
        <w:t xml:space="preserve">, </w:t>
      </w:r>
      <w:r w:rsidR="00185828" w:rsidRPr="00590BB6">
        <w:rPr>
          <w:rFonts w:cs="Times New Roman"/>
          <w:i/>
          <w:iCs/>
          <w:lang w:val="it-IT"/>
        </w:rPr>
        <w:t>Sara Giarola</w:t>
      </w:r>
      <w:r w:rsidR="00DF040E" w:rsidRPr="00590BB6">
        <w:rPr>
          <w:rFonts w:cs="Times New Roman"/>
          <w:i/>
          <w:iCs/>
          <w:vertAlign w:val="superscript"/>
          <w:lang w:val="it-IT"/>
        </w:rPr>
        <w:t xml:space="preserve"> </w:t>
      </w:r>
      <w:proofErr w:type="spellStart"/>
      <w:r w:rsidR="00DF040E" w:rsidRPr="00590BB6">
        <w:rPr>
          <w:rFonts w:cs="Times New Roman"/>
          <w:i/>
          <w:iCs/>
          <w:vertAlign w:val="superscript"/>
          <w:lang w:val="it-IT"/>
        </w:rPr>
        <w:t>cde</w:t>
      </w:r>
      <w:proofErr w:type="spellEnd"/>
      <w:r w:rsidR="00BF5F2C" w:rsidRPr="00590BB6">
        <w:rPr>
          <w:rFonts w:cs="Times New Roman"/>
          <w:i/>
          <w:iCs/>
          <w:vertAlign w:val="superscript"/>
          <w:lang w:val="it-IT"/>
        </w:rPr>
        <w:t>*</w:t>
      </w:r>
    </w:p>
    <w:p w14:paraId="3F44F6E2" w14:textId="42BA5AE1" w:rsidR="00C85615" w:rsidRPr="00590BB6" w:rsidRDefault="00282F1D" w:rsidP="007648B0">
      <w:pPr>
        <w:spacing w:after="0" w:line="360" w:lineRule="auto"/>
        <w:ind w:right="8"/>
        <w:rPr>
          <w:rFonts w:cs="Times New Roman"/>
          <w:lang w:val="it-IT"/>
        </w:rPr>
      </w:pPr>
      <w:r w:rsidRPr="00590BB6">
        <w:rPr>
          <w:rFonts w:cs="Times New Roman"/>
          <w:vertAlign w:val="superscript"/>
          <w:lang w:val="it-IT"/>
        </w:rPr>
        <w:t>a</w:t>
      </w:r>
      <w:r w:rsidR="00C85615" w:rsidRPr="00590BB6">
        <w:rPr>
          <w:rFonts w:cs="Times New Roman"/>
          <w:vertAlign w:val="superscript"/>
          <w:lang w:val="it-IT"/>
        </w:rPr>
        <w:t xml:space="preserve"> </w:t>
      </w:r>
      <w:r w:rsidR="00C85615" w:rsidRPr="00590BB6">
        <w:rPr>
          <w:rFonts w:cs="Times New Roman"/>
          <w:lang w:val="it-IT"/>
        </w:rPr>
        <w:t>Dipartimento di Ingegneria Industriale, Università degli Studi di Padova. Via Marzolo 9, 35131 Padova, Italia</w:t>
      </w:r>
    </w:p>
    <w:p w14:paraId="6BB1A41A" w14:textId="54D51F9A" w:rsidR="00586A6C" w:rsidRPr="00590BB6" w:rsidRDefault="00282F1D" w:rsidP="007648B0">
      <w:pPr>
        <w:spacing w:after="0" w:line="360" w:lineRule="auto"/>
        <w:ind w:right="8"/>
        <w:rPr>
          <w:rFonts w:cs="Times New Roman"/>
          <w:lang w:val="it-IT"/>
        </w:rPr>
      </w:pPr>
      <w:r w:rsidRPr="00590BB6">
        <w:rPr>
          <w:rFonts w:cs="Times New Roman"/>
          <w:vertAlign w:val="superscript"/>
          <w:lang w:val="it-IT"/>
        </w:rPr>
        <w:t>b</w:t>
      </w:r>
      <w:r w:rsidR="3781D417" w:rsidRPr="00590BB6">
        <w:rPr>
          <w:rFonts w:cs="Times New Roman"/>
          <w:vertAlign w:val="superscript"/>
          <w:lang w:val="it-IT"/>
        </w:rPr>
        <w:t xml:space="preserve"> </w:t>
      </w:r>
      <w:r w:rsidR="3781D417" w:rsidRPr="00590BB6">
        <w:rPr>
          <w:rFonts w:cs="Times New Roman"/>
          <w:lang w:val="it-IT"/>
        </w:rPr>
        <w:t>A</w:t>
      </w:r>
      <w:r w:rsidR="00B022B6" w:rsidRPr="00590BB6">
        <w:rPr>
          <w:rFonts w:cs="Times New Roman"/>
          <w:lang w:val="it-IT"/>
        </w:rPr>
        <w:t>lgoritmi</w:t>
      </w:r>
      <w:r w:rsidR="3781D417" w:rsidRPr="00590BB6">
        <w:rPr>
          <w:rFonts w:cs="Times New Roman"/>
          <w:lang w:val="it-IT"/>
        </w:rPr>
        <w:t xml:space="preserve"> </w:t>
      </w:r>
      <w:proofErr w:type="spellStart"/>
      <w:r w:rsidR="3781D417" w:rsidRPr="00590BB6">
        <w:rPr>
          <w:rFonts w:cs="Times New Roman"/>
          <w:lang w:val="it-IT"/>
        </w:rPr>
        <w:t>Research</w:t>
      </w:r>
      <w:proofErr w:type="spellEnd"/>
      <w:r w:rsidR="3781D417" w:rsidRPr="00590BB6">
        <w:rPr>
          <w:rFonts w:cs="Times New Roman"/>
          <w:lang w:val="it-IT"/>
        </w:rPr>
        <w:t xml:space="preserve"> Center</w:t>
      </w:r>
      <w:r w:rsidR="00B022B6" w:rsidRPr="00590BB6">
        <w:rPr>
          <w:rFonts w:cs="Times New Roman"/>
          <w:lang w:val="it-IT"/>
        </w:rPr>
        <w:t>/LASI</w:t>
      </w:r>
      <w:r w:rsidR="3781D417" w:rsidRPr="00590BB6">
        <w:rPr>
          <w:rFonts w:cs="Times New Roman"/>
          <w:lang w:val="it-IT"/>
        </w:rPr>
        <w:t xml:space="preserve">, University of </w:t>
      </w:r>
      <w:proofErr w:type="spellStart"/>
      <w:r w:rsidR="3781D417" w:rsidRPr="00590BB6">
        <w:rPr>
          <w:rFonts w:cs="Times New Roman"/>
          <w:lang w:val="it-IT"/>
        </w:rPr>
        <w:t>Minho</w:t>
      </w:r>
      <w:proofErr w:type="spellEnd"/>
      <w:r w:rsidR="3781D417" w:rsidRPr="00590BB6">
        <w:rPr>
          <w:rFonts w:cs="Times New Roman"/>
          <w:lang w:val="it-IT"/>
        </w:rPr>
        <w:t>,</w:t>
      </w:r>
      <w:r w:rsidR="006E5475" w:rsidRPr="00590BB6">
        <w:rPr>
          <w:rFonts w:cs="Times New Roman"/>
          <w:lang w:val="it-IT"/>
        </w:rPr>
        <w:t xml:space="preserve"> Guimarães,</w:t>
      </w:r>
      <w:r w:rsidR="3781D417" w:rsidRPr="00590BB6">
        <w:rPr>
          <w:rFonts w:cs="Times New Roman"/>
          <w:lang w:val="it-IT"/>
        </w:rPr>
        <w:t xml:space="preserve"> Portugal</w:t>
      </w:r>
    </w:p>
    <w:p w14:paraId="51CB2B36" w14:textId="5EBD7798" w:rsidR="00DF040E" w:rsidRPr="00590BB6" w:rsidRDefault="00DF040E" w:rsidP="007648B0">
      <w:pPr>
        <w:spacing w:after="0" w:line="360" w:lineRule="auto"/>
        <w:ind w:right="8"/>
        <w:rPr>
          <w:rFonts w:cs="Times New Roman"/>
        </w:rPr>
      </w:pPr>
      <w:r w:rsidRPr="00590BB6">
        <w:rPr>
          <w:rFonts w:cs="Times New Roman"/>
          <w:vertAlign w:val="superscript"/>
        </w:rPr>
        <w:t>c</w:t>
      </w:r>
      <w:r w:rsidRPr="00590BB6">
        <w:rPr>
          <w:rFonts w:cs="Times New Roman"/>
        </w:rPr>
        <w:t xml:space="preserve"> </w:t>
      </w:r>
      <w:r w:rsidR="005D590A" w:rsidRPr="00590BB6">
        <w:rPr>
          <w:rFonts w:cs="Times New Roman"/>
        </w:rPr>
        <w:t xml:space="preserve">Chemical Engineering Department, </w:t>
      </w:r>
      <w:r w:rsidRPr="00590BB6">
        <w:rPr>
          <w:rFonts w:cs="Times New Roman"/>
        </w:rPr>
        <w:t>Imperial College London, SW7 2AZ, UK</w:t>
      </w:r>
    </w:p>
    <w:p w14:paraId="08399134" w14:textId="1BE617BF" w:rsidR="00C85615" w:rsidRPr="00590BB6" w:rsidRDefault="00DF040E" w:rsidP="007648B0">
      <w:pPr>
        <w:spacing w:after="0" w:line="360" w:lineRule="auto"/>
        <w:ind w:right="8"/>
        <w:rPr>
          <w:rFonts w:cs="Times New Roman"/>
        </w:rPr>
      </w:pPr>
      <w:r w:rsidRPr="00590BB6">
        <w:rPr>
          <w:rFonts w:cs="Times New Roman"/>
          <w:vertAlign w:val="superscript"/>
        </w:rPr>
        <w:t>d</w:t>
      </w:r>
      <w:r w:rsidR="00C85615" w:rsidRPr="00590BB6">
        <w:rPr>
          <w:rFonts w:cs="Times New Roman"/>
          <w:vertAlign w:val="superscript"/>
        </w:rPr>
        <w:t xml:space="preserve"> </w:t>
      </w:r>
      <w:r w:rsidR="005D590A" w:rsidRPr="00590BB6">
        <w:rPr>
          <w:rFonts w:cs="Times New Roman"/>
        </w:rPr>
        <w:t>Department of Management, P</w:t>
      </w:r>
      <w:r w:rsidR="00282F1D" w:rsidRPr="00590BB6">
        <w:rPr>
          <w:rFonts w:cs="Times New Roman"/>
        </w:rPr>
        <w:t>olytechnic of Milan, Milan, 20156, IT</w:t>
      </w:r>
    </w:p>
    <w:p w14:paraId="7901CF26" w14:textId="6EAB7053" w:rsidR="00FA0332" w:rsidRPr="00590BB6" w:rsidRDefault="00DF040E" w:rsidP="00CB093A">
      <w:pPr>
        <w:spacing w:after="0" w:line="360" w:lineRule="auto"/>
        <w:ind w:right="8"/>
        <w:rPr>
          <w:rFonts w:cs="Times New Roman"/>
        </w:rPr>
      </w:pPr>
      <w:r w:rsidRPr="00590BB6">
        <w:rPr>
          <w:rFonts w:cs="Times New Roman"/>
          <w:vertAlign w:val="superscript"/>
        </w:rPr>
        <w:t>e</w:t>
      </w:r>
      <w:r w:rsidR="00CB093A" w:rsidRPr="00590BB6">
        <w:rPr>
          <w:rFonts w:cs="Times New Roman"/>
          <w:vertAlign w:val="superscript"/>
        </w:rPr>
        <w:t xml:space="preserve"> </w:t>
      </w:r>
      <w:r w:rsidR="00BB0D5F" w:rsidRPr="00590BB6">
        <w:rPr>
          <w:rFonts w:cs="Times New Roman"/>
        </w:rPr>
        <w:t xml:space="preserve">European Institute on Economics and the Environment, </w:t>
      </w:r>
      <w:r w:rsidRPr="00590BB6">
        <w:rPr>
          <w:rFonts w:cs="Times New Roman"/>
        </w:rPr>
        <w:t xml:space="preserve">RFF-CMCC, Milan, 20144, IT </w:t>
      </w:r>
    </w:p>
    <w:p w14:paraId="0050203E" w14:textId="77777777" w:rsidR="00CB093A" w:rsidRPr="00590BB6" w:rsidRDefault="00CB093A" w:rsidP="007648B0">
      <w:pPr>
        <w:spacing w:after="0" w:line="360" w:lineRule="auto"/>
        <w:ind w:right="8"/>
        <w:rPr>
          <w:rFonts w:cs="Times New Roman"/>
        </w:rPr>
      </w:pPr>
    </w:p>
    <w:p w14:paraId="54C7BD28" w14:textId="4EAA21E3" w:rsidR="00C85615" w:rsidRPr="00590BB6" w:rsidRDefault="00C85615" w:rsidP="005C0A9B">
      <w:pPr>
        <w:spacing w:line="480" w:lineRule="auto"/>
        <w:ind w:right="849"/>
        <w:jc w:val="both"/>
        <w:rPr>
          <w:rFonts w:cs="Times New Roman"/>
          <w:color w:val="0563C1" w:themeColor="hyperlink"/>
          <w:u w:val="single"/>
        </w:rPr>
      </w:pPr>
      <w:r w:rsidRPr="00590BB6">
        <w:rPr>
          <w:rFonts w:cs="Times New Roman"/>
        </w:rPr>
        <w:t xml:space="preserve">*Author to whom correspondence should be addressed: </w:t>
      </w:r>
      <w:r w:rsidR="00BF5F2C" w:rsidRPr="00590BB6">
        <w:rPr>
          <w:rFonts w:cs="Times New Roman"/>
        </w:rPr>
        <w:t>s</w:t>
      </w:r>
      <w:r w:rsidR="008333F9" w:rsidRPr="00590BB6">
        <w:rPr>
          <w:rFonts w:cs="Times New Roman"/>
        </w:rPr>
        <w:t>.giarola10@imperial.ac.uk</w:t>
      </w:r>
    </w:p>
    <w:p w14:paraId="5233A4D7" w14:textId="3C2439BC" w:rsidR="007874AB" w:rsidRPr="00590BB6" w:rsidRDefault="007874AB" w:rsidP="007648B0">
      <w:pPr>
        <w:spacing w:before="240" w:line="360" w:lineRule="auto"/>
        <w:jc w:val="both"/>
        <w:rPr>
          <w:rFonts w:cs="Times New Roman"/>
          <w:b/>
          <w:bCs/>
        </w:rPr>
      </w:pPr>
      <w:r w:rsidRPr="00590BB6">
        <w:rPr>
          <w:rFonts w:cs="Times New Roman"/>
          <w:b/>
          <w:bCs/>
        </w:rPr>
        <w:t>Abstract</w:t>
      </w:r>
    </w:p>
    <w:p w14:paraId="61875F03" w14:textId="1A73135B" w:rsidR="00A41D57" w:rsidRPr="00590BB6" w:rsidRDefault="00AF79AD" w:rsidP="00600286">
      <w:pPr>
        <w:spacing w:line="360" w:lineRule="auto"/>
        <w:jc w:val="both"/>
        <w:rPr>
          <w:rFonts w:cs="Times New Roman"/>
        </w:rPr>
      </w:pPr>
      <w:r w:rsidRPr="00590BB6">
        <w:rPr>
          <w:rFonts w:cs="Times New Roman"/>
        </w:rPr>
        <w:t>The truck sector produces one-fourth of the greenhouse gas emissions</w:t>
      </w:r>
      <w:r w:rsidR="007F4F7B" w:rsidRPr="00590BB6">
        <w:rPr>
          <w:rFonts w:cs="Times New Roman"/>
        </w:rPr>
        <w:t xml:space="preserve"> </w:t>
      </w:r>
      <w:r w:rsidRPr="00590BB6">
        <w:rPr>
          <w:rFonts w:cs="Times New Roman"/>
        </w:rPr>
        <w:t>in Italy</w:t>
      </w:r>
      <w:r w:rsidR="00100026">
        <w:rPr>
          <w:rFonts w:cs="Times New Roman"/>
        </w:rPr>
        <w:t>. Therefore,</w:t>
      </w:r>
      <w:r w:rsidR="005D7266" w:rsidRPr="00590BB6">
        <w:rPr>
          <w:rFonts w:cs="Times New Roman"/>
        </w:rPr>
        <w:t xml:space="preserve"> it </w:t>
      </w:r>
      <w:r w:rsidR="00B376F0" w:rsidRPr="00590BB6">
        <w:rPr>
          <w:rFonts w:cs="Times New Roman"/>
        </w:rPr>
        <w:t>call</w:t>
      </w:r>
      <w:r w:rsidR="005D7266" w:rsidRPr="00590BB6">
        <w:rPr>
          <w:rFonts w:cs="Times New Roman"/>
        </w:rPr>
        <w:t>s</w:t>
      </w:r>
      <w:r w:rsidR="00B376F0" w:rsidRPr="00590BB6">
        <w:rPr>
          <w:rFonts w:cs="Times New Roman"/>
        </w:rPr>
        <w:t xml:space="preserve"> for an urgent emission reduction to achieve </w:t>
      </w:r>
      <w:r w:rsidR="00040929" w:rsidRPr="00590BB6">
        <w:rPr>
          <w:rFonts w:cs="Times New Roman"/>
        </w:rPr>
        <w:t xml:space="preserve">the national </w:t>
      </w:r>
      <w:r w:rsidR="00B376F0" w:rsidRPr="00590BB6">
        <w:rPr>
          <w:rFonts w:cs="Times New Roman"/>
        </w:rPr>
        <w:t>mid-century net-zero pledges</w:t>
      </w:r>
      <w:r w:rsidR="00876EF6" w:rsidRPr="00590BB6">
        <w:rPr>
          <w:rFonts w:cs="Times New Roman"/>
        </w:rPr>
        <w:t xml:space="preserve">. </w:t>
      </w:r>
      <w:r w:rsidR="00B376F0" w:rsidRPr="00590BB6">
        <w:rPr>
          <w:rFonts w:cs="Times New Roman"/>
        </w:rPr>
        <w:t xml:space="preserve">In this work, a methodology </w:t>
      </w:r>
      <w:r w:rsidR="00B80B94" w:rsidRPr="00590BB6">
        <w:rPr>
          <w:rFonts w:cs="Times New Roman"/>
        </w:rPr>
        <w:t xml:space="preserve">is developed, </w:t>
      </w:r>
      <w:r w:rsidR="00040929" w:rsidRPr="00590BB6">
        <w:rPr>
          <w:rFonts w:cs="Times New Roman"/>
        </w:rPr>
        <w:t xml:space="preserve">based on </w:t>
      </w:r>
      <w:r w:rsidR="00607076" w:rsidRPr="00590BB6">
        <w:rPr>
          <w:rFonts w:cs="Times New Roman"/>
        </w:rPr>
        <w:t xml:space="preserve">a model for estimating the long-term </w:t>
      </w:r>
      <w:r w:rsidR="00B80B94" w:rsidRPr="00590BB6">
        <w:rPr>
          <w:rFonts w:cs="Times New Roman"/>
        </w:rPr>
        <w:t xml:space="preserve">energy </w:t>
      </w:r>
      <w:r w:rsidR="00607076" w:rsidRPr="00590BB6">
        <w:rPr>
          <w:rFonts w:cs="Times New Roman"/>
        </w:rPr>
        <w:t xml:space="preserve">transitions, the </w:t>
      </w:r>
      <w:proofErr w:type="spellStart"/>
      <w:r w:rsidR="00040929" w:rsidRPr="00590BB6">
        <w:rPr>
          <w:rFonts w:cs="Times New Roman"/>
        </w:rPr>
        <w:t>ModUlar</w:t>
      </w:r>
      <w:proofErr w:type="spellEnd"/>
      <w:r w:rsidR="00040929" w:rsidRPr="00590BB6">
        <w:rPr>
          <w:rFonts w:cs="Times New Roman"/>
        </w:rPr>
        <w:t xml:space="preserve"> energy system Simulation Environment (MUSE)</w:t>
      </w:r>
      <w:r w:rsidR="00B80B94" w:rsidRPr="00590BB6">
        <w:rPr>
          <w:rFonts w:cs="Times New Roman"/>
        </w:rPr>
        <w:t>,</w:t>
      </w:r>
      <w:r w:rsidR="00040929" w:rsidRPr="00590BB6">
        <w:rPr>
          <w:rFonts w:cs="Times New Roman"/>
        </w:rPr>
        <w:t xml:space="preserve"> </w:t>
      </w:r>
      <w:r w:rsidR="00B376F0" w:rsidRPr="00590BB6">
        <w:rPr>
          <w:rFonts w:cs="Times New Roman"/>
        </w:rPr>
        <w:t xml:space="preserve">to </w:t>
      </w:r>
      <w:r w:rsidR="00607076" w:rsidRPr="00590BB6">
        <w:rPr>
          <w:rFonts w:cs="Times New Roman"/>
        </w:rPr>
        <w:t xml:space="preserve">project </w:t>
      </w:r>
      <w:r w:rsidR="00B376F0" w:rsidRPr="00590BB6">
        <w:rPr>
          <w:rFonts w:cs="Times New Roman"/>
        </w:rPr>
        <w:t xml:space="preserve">the </w:t>
      </w:r>
      <w:r w:rsidR="00040929" w:rsidRPr="00590BB6">
        <w:rPr>
          <w:rFonts w:cs="Times New Roman"/>
        </w:rPr>
        <w:t xml:space="preserve">long-term </w:t>
      </w:r>
      <w:r w:rsidR="00B376F0" w:rsidRPr="00590BB6">
        <w:rPr>
          <w:rFonts w:cs="Times New Roman"/>
        </w:rPr>
        <w:t xml:space="preserve">freight heavy-duty </w:t>
      </w:r>
      <w:r w:rsidR="00040929" w:rsidRPr="00590BB6">
        <w:rPr>
          <w:rFonts w:cs="Times New Roman"/>
        </w:rPr>
        <w:t xml:space="preserve">sector </w:t>
      </w:r>
      <w:r w:rsidR="005D7266" w:rsidRPr="00590BB6">
        <w:rPr>
          <w:rFonts w:cs="Times New Roman"/>
        </w:rPr>
        <w:t>evolution</w:t>
      </w:r>
      <w:r w:rsidR="00B80B94" w:rsidRPr="00590BB6">
        <w:rPr>
          <w:rFonts w:cs="Times New Roman"/>
        </w:rPr>
        <w:t xml:space="preserve"> </w:t>
      </w:r>
      <w:r w:rsidR="00B376F0" w:rsidRPr="00590BB6">
        <w:rPr>
          <w:rFonts w:cs="Times New Roman"/>
        </w:rPr>
        <w:t>in Italy</w:t>
      </w:r>
      <w:r w:rsidR="00040929" w:rsidRPr="00590BB6">
        <w:rPr>
          <w:rFonts w:cs="Times New Roman"/>
        </w:rPr>
        <w:t>.</w:t>
      </w:r>
      <w:r w:rsidR="00B376F0" w:rsidRPr="00590BB6">
        <w:rPr>
          <w:rFonts w:cs="Times New Roman"/>
        </w:rPr>
        <w:t xml:space="preserve"> </w:t>
      </w:r>
      <w:r w:rsidR="00040929" w:rsidRPr="00590BB6">
        <w:rPr>
          <w:rFonts w:cs="Times New Roman"/>
        </w:rPr>
        <w:t>The methodology applies a</w:t>
      </w:r>
      <w:r w:rsidR="00B376F0" w:rsidRPr="00590BB6">
        <w:rPr>
          <w:rFonts w:cs="Times New Roman"/>
        </w:rPr>
        <w:t xml:space="preserve"> </w:t>
      </w:r>
      <w:r w:rsidR="00040929" w:rsidRPr="00590BB6">
        <w:rPr>
          <w:rFonts w:cs="Times New Roman"/>
        </w:rPr>
        <w:t xml:space="preserve">bottom-up description of the sector, where technologies are characterised in terms of costs, efficiencies, and emissions. </w:t>
      </w:r>
      <w:r w:rsidR="008333F9" w:rsidRPr="00590BB6">
        <w:rPr>
          <w:rFonts w:cs="Times New Roman"/>
        </w:rPr>
        <w:t>Results show that</w:t>
      </w:r>
      <w:r w:rsidR="00046FFF" w:rsidRPr="00590BB6">
        <w:rPr>
          <w:rFonts w:cs="Times New Roman"/>
        </w:rPr>
        <w:t xml:space="preserve"> </w:t>
      </w:r>
      <w:r w:rsidR="00B376F0" w:rsidRPr="00590BB6">
        <w:rPr>
          <w:rFonts w:cs="Times New Roman"/>
        </w:rPr>
        <w:t xml:space="preserve">efficiency improvements and technological cost reduction </w:t>
      </w:r>
      <w:r w:rsidR="00AA24B0" w:rsidRPr="00590BB6">
        <w:rPr>
          <w:rFonts w:cs="Times New Roman"/>
        </w:rPr>
        <w:t xml:space="preserve">due to learning </w:t>
      </w:r>
      <w:r w:rsidR="00B376F0" w:rsidRPr="00590BB6">
        <w:rPr>
          <w:rFonts w:cs="Times New Roman"/>
        </w:rPr>
        <w:t xml:space="preserve">can only reduce the </w:t>
      </w:r>
      <w:r w:rsidR="00790B8D" w:rsidRPr="00590BB6">
        <w:rPr>
          <w:rFonts w:cs="Times New Roman"/>
        </w:rPr>
        <w:t xml:space="preserve">sector emissions by </w:t>
      </w:r>
      <w:r w:rsidR="00B80B94" w:rsidRPr="00590BB6">
        <w:rPr>
          <w:rFonts w:cs="Times New Roman"/>
        </w:rPr>
        <w:t xml:space="preserve">a limited amount.  </w:t>
      </w:r>
      <w:r w:rsidR="00B53F07" w:rsidRPr="00590BB6">
        <w:rPr>
          <w:rFonts w:cs="Times New Roman"/>
        </w:rPr>
        <w:t>In fact, altho</w:t>
      </w:r>
      <w:r w:rsidR="00D32CE7" w:rsidRPr="00590BB6">
        <w:rPr>
          <w:rFonts w:cs="Times New Roman"/>
        </w:rPr>
        <w:t>ugh</w:t>
      </w:r>
      <w:r w:rsidR="00046FFF" w:rsidRPr="00590BB6">
        <w:rPr>
          <w:rFonts w:cs="Times New Roman"/>
        </w:rPr>
        <w:t xml:space="preserve">, lowering costs of alternative powertrains and fuels </w:t>
      </w:r>
      <w:r w:rsidR="00BF7C3A" w:rsidRPr="00590BB6">
        <w:rPr>
          <w:rFonts w:cs="Times New Roman"/>
        </w:rPr>
        <w:t xml:space="preserve">will </w:t>
      </w:r>
      <w:r w:rsidR="00046FFF" w:rsidRPr="00590BB6">
        <w:rPr>
          <w:rFonts w:cs="Times New Roman"/>
        </w:rPr>
        <w:t>have a significant effect on reducing tailpipe emissions</w:t>
      </w:r>
      <w:r w:rsidR="00D32CE7" w:rsidRPr="00590BB6">
        <w:rPr>
          <w:rFonts w:cs="Times New Roman"/>
        </w:rPr>
        <w:t xml:space="preserve">, </w:t>
      </w:r>
      <w:r w:rsidR="00B53F07" w:rsidRPr="00590BB6">
        <w:rPr>
          <w:rFonts w:cs="Times New Roman"/>
        </w:rPr>
        <w:t>this should occur alongside a</w:t>
      </w:r>
      <w:r w:rsidR="00D32CE7" w:rsidRPr="00590BB6">
        <w:rPr>
          <w:rFonts w:cs="Times New Roman"/>
        </w:rPr>
        <w:t xml:space="preserve"> </w:t>
      </w:r>
      <w:r w:rsidR="00046FFF" w:rsidRPr="00590BB6">
        <w:rPr>
          <w:rFonts w:cs="Times New Roman"/>
        </w:rPr>
        <w:t xml:space="preserve">ban </w:t>
      </w:r>
      <w:r w:rsidR="00B53F07" w:rsidRPr="00590BB6">
        <w:rPr>
          <w:rFonts w:cs="Times New Roman"/>
        </w:rPr>
        <w:t xml:space="preserve">of </w:t>
      </w:r>
      <w:r w:rsidR="00046FFF" w:rsidRPr="00590BB6">
        <w:rPr>
          <w:rFonts w:cs="Times New Roman"/>
        </w:rPr>
        <w:t>internal combustion engine</w:t>
      </w:r>
      <w:r w:rsidR="00B824D0" w:rsidRPr="00590BB6">
        <w:rPr>
          <w:rFonts w:cs="Times New Roman"/>
        </w:rPr>
        <w:t>s</w:t>
      </w:r>
      <w:r w:rsidR="00046FFF" w:rsidRPr="00590BB6">
        <w:rPr>
          <w:rFonts w:cs="Times New Roman"/>
        </w:rPr>
        <w:t>.</w:t>
      </w:r>
      <w:r w:rsidR="006A2B28" w:rsidRPr="00590BB6">
        <w:rPr>
          <w:rFonts w:cs="Times New Roman"/>
        </w:rPr>
        <w:t xml:space="preserve"> </w:t>
      </w:r>
      <w:r w:rsidR="00A4760C" w:rsidRPr="00590BB6">
        <w:rPr>
          <w:rFonts w:cs="Times New Roman"/>
        </w:rPr>
        <w:t xml:space="preserve">Additional renewable generation should need to grow between 30 and 64 TW/y to </w:t>
      </w:r>
      <w:r w:rsidR="000C4843" w:rsidRPr="00590BB6">
        <w:rPr>
          <w:rFonts w:cs="Times New Roman"/>
        </w:rPr>
        <w:t>substantially reduce emissions and leading to a zero-tailpipe truck sector by 2050</w:t>
      </w:r>
      <w:r w:rsidR="00A4760C" w:rsidRPr="00590BB6">
        <w:rPr>
          <w:rFonts w:cs="Times New Roman"/>
        </w:rPr>
        <w:t>.  The replacement of conventional engines by alternative powertrains remains dependent on distribution and fuelling infrastructure expansion, which should go hand in hand with the promotion of electric and hydrogen-fuelled vehicles.</w:t>
      </w:r>
    </w:p>
    <w:p w14:paraId="1172414D" w14:textId="21E8296C" w:rsidR="00AB74FA" w:rsidRPr="00590BB6" w:rsidRDefault="00AB74FA" w:rsidP="00600286">
      <w:pPr>
        <w:spacing w:line="360" w:lineRule="auto"/>
        <w:jc w:val="both"/>
        <w:rPr>
          <w:rFonts w:cs="Times New Roman"/>
          <w:b/>
          <w:bCs/>
        </w:rPr>
      </w:pPr>
      <w:r w:rsidRPr="00590BB6">
        <w:rPr>
          <w:rFonts w:cs="Times New Roman"/>
          <w:b/>
          <w:bCs/>
        </w:rPr>
        <w:t>Keywords</w:t>
      </w:r>
    </w:p>
    <w:p w14:paraId="77F5107F" w14:textId="4F345EDA" w:rsidR="00553659" w:rsidRPr="00590BB6" w:rsidRDefault="00553659" w:rsidP="00600286">
      <w:pPr>
        <w:spacing w:line="360" w:lineRule="auto"/>
        <w:jc w:val="both"/>
        <w:rPr>
          <w:rFonts w:cs="Times New Roman"/>
        </w:rPr>
      </w:pPr>
      <w:r w:rsidRPr="00590BB6">
        <w:rPr>
          <w:rFonts w:cs="Times New Roman"/>
        </w:rPr>
        <w:t>Road freight transport</w:t>
      </w:r>
      <w:r w:rsidR="008521AD" w:rsidRPr="00590BB6">
        <w:rPr>
          <w:rFonts w:cs="Times New Roman"/>
        </w:rPr>
        <w:t xml:space="preserve"> decarbonisation</w:t>
      </w:r>
      <w:r w:rsidR="00100026">
        <w:rPr>
          <w:rFonts w:cs="Times New Roman"/>
        </w:rPr>
        <w:t xml:space="preserve"> in Italy</w:t>
      </w:r>
      <w:r w:rsidRPr="00590BB6">
        <w:rPr>
          <w:rFonts w:cs="Times New Roman"/>
        </w:rPr>
        <w:t xml:space="preserve">; </w:t>
      </w:r>
      <w:r w:rsidR="00C611CE" w:rsidRPr="00590BB6">
        <w:rPr>
          <w:rFonts w:cs="Times New Roman"/>
        </w:rPr>
        <w:t>hydrogen</w:t>
      </w:r>
      <w:r w:rsidRPr="00590BB6">
        <w:rPr>
          <w:rFonts w:cs="Times New Roman"/>
        </w:rPr>
        <w:t>;</w:t>
      </w:r>
      <w:r w:rsidR="007648B0" w:rsidRPr="00590BB6">
        <w:rPr>
          <w:rFonts w:cs="Times New Roman"/>
        </w:rPr>
        <w:t xml:space="preserve"> bottom-up simulation; </w:t>
      </w:r>
      <w:r w:rsidR="008521AD" w:rsidRPr="00590BB6">
        <w:rPr>
          <w:rFonts w:cs="Times New Roman"/>
        </w:rPr>
        <w:t xml:space="preserve">combustion engine ban; </w:t>
      </w:r>
      <w:r w:rsidR="00C611CE" w:rsidRPr="00590BB6">
        <w:rPr>
          <w:rFonts w:cs="Times New Roman"/>
        </w:rPr>
        <w:t>agent-based model</w:t>
      </w:r>
      <w:r w:rsidR="00D32CE7" w:rsidRPr="00590BB6">
        <w:rPr>
          <w:rFonts w:cs="Times New Roman"/>
        </w:rPr>
        <w:t>l</w:t>
      </w:r>
      <w:r w:rsidR="00C611CE" w:rsidRPr="00590BB6">
        <w:rPr>
          <w:rFonts w:cs="Times New Roman"/>
        </w:rPr>
        <w:t>ing</w:t>
      </w:r>
      <w:r w:rsidR="007648B0" w:rsidRPr="00590BB6">
        <w:rPr>
          <w:rFonts w:cs="Times New Roman"/>
        </w:rPr>
        <w:t xml:space="preserve">; </w:t>
      </w:r>
      <w:r w:rsidR="006E4321" w:rsidRPr="00590BB6">
        <w:rPr>
          <w:rFonts w:cs="Times New Roman"/>
        </w:rPr>
        <w:t>heavy goods vehicles</w:t>
      </w:r>
    </w:p>
    <w:p w14:paraId="4CC7659B" w14:textId="10FDE98A" w:rsidR="00AB74FA" w:rsidRPr="00590BB6" w:rsidRDefault="00AB74FA" w:rsidP="00600286">
      <w:pPr>
        <w:spacing w:line="360" w:lineRule="auto"/>
        <w:jc w:val="both"/>
        <w:rPr>
          <w:rFonts w:cs="Times New Roman"/>
          <w:b/>
          <w:bCs/>
        </w:rPr>
      </w:pPr>
      <w:r w:rsidRPr="00590BB6">
        <w:rPr>
          <w:rFonts w:cs="Times New Roman"/>
          <w:b/>
          <w:bCs/>
        </w:rPr>
        <w:t>Highlights</w:t>
      </w:r>
    </w:p>
    <w:p w14:paraId="6654CDAD" w14:textId="13243695" w:rsidR="00AB74FA" w:rsidRPr="00590BB6" w:rsidRDefault="00B53F07" w:rsidP="00D479B4">
      <w:pPr>
        <w:pStyle w:val="ListParagraph"/>
        <w:numPr>
          <w:ilvl w:val="0"/>
          <w:numId w:val="44"/>
        </w:numPr>
        <w:spacing w:line="360" w:lineRule="auto"/>
      </w:pPr>
      <w:r w:rsidRPr="00590BB6">
        <w:t xml:space="preserve">A decarbonisation study of Italian road freight is </w:t>
      </w:r>
      <w:proofErr w:type="gramStart"/>
      <w:r w:rsidRPr="00590BB6">
        <w:t>proposed</w:t>
      </w:r>
      <w:proofErr w:type="gramEnd"/>
    </w:p>
    <w:p w14:paraId="6F4EB663" w14:textId="1B275353" w:rsidR="00116F38" w:rsidRPr="00590BB6" w:rsidRDefault="00116F38" w:rsidP="00D479B4">
      <w:pPr>
        <w:pStyle w:val="ListParagraph"/>
        <w:numPr>
          <w:ilvl w:val="0"/>
          <w:numId w:val="44"/>
        </w:numPr>
        <w:spacing w:line="360" w:lineRule="auto"/>
      </w:pPr>
      <w:r w:rsidRPr="00590BB6">
        <w:t>Technological development alone is not enough to</w:t>
      </w:r>
      <w:r w:rsidR="005148F5" w:rsidRPr="00590BB6">
        <w:t xml:space="preserve"> achieve</w:t>
      </w:r>
      <w:r w:rsidRPr="00590BB6">
        <w:t xml:space="preserve"> zero tailpipe </w:t>
      </w:r>
      <w:proofErr w:type="gramStart"/>
      <w:r w:rsidRPr="00590BB6">
        <w:t>emissions</w:t>
      </w:r>
      <w:proofErr w:type="gramEnd"/>
    </w:p>
    <w:p w14:paraId="115FEAB0" w14:textId="3655C34E" w:rsidR="00DA0D13" w:rsidRPr="00590BB6" w:rsidRDefault="00DF040E" w:rsidP="00D479B4">
      <w:pPr>
        <w:pStyle w:val="ListParagraph"/>
        <w:numPr>
          <w:ilvl w:val="0"/>
          <w:numId w:val="44"/>
        </w:numPr>
        <w:spacing w:line="360" w:lineRule="auto"/>
      </w:pPr>
      <w:r w:rsidRPr="00590BB6">
        <w:t xml:space="preserve">A ban on diesel </w:t>
      </w:r>
      <w:r w:rsidR="005148F5" w:rsidRPr="00590BB6">
        <w:t xml:space="preserve">in road freight </w:t>
      </w:r>
      <w:r w:rsidRPr="00590BB6">
        <w:t xml:space="preserve">is an important measure for </w:t>
      </w:r>
      <w:proofErr w:type="gramStart"/>
      <w:r w:rsidRPr="00590BB6">
        <w:t>decarbonisation</w:t>
      </w:r>
      <w:proofErr w:type="gramEnd"/>
    </w:p>
    <w:p w14:paraId="27BB1F02" w14:textId="609FB78F" w:rsidR="00DA0D13" w:rsidRPr="00590BB6" w:rsidRDefault="00116F38" w:rsidP="00D479B4">
      <w:pPr>
        <w:pStyle w:val="ListParagraph"/>
        <w:numPr>
          <w:ilvl w:val="0"/>
          <w:numId w:val="44"/>
        </w:numPr>
        <w:spacing w:line="360" w:lineRule="auto"/>
      </w:pPr>
      <w:r w:rsidRPr="00590BB6">
        <w:t xml:space="preserve">Italy’s renewable energy potential </w:t>
      </w:r>
      <w:r w:rsidR="000C5DDA" w:rsidRPr="00590BB6">
        <w:t xml:space="preserve">is sufficient </w:t>
      </w:r>
      <w:r w:rsidRPr="00590BB6">
        <w:t xml:space="preserve">for electric and </w:t>
      </w:r>
      <w:proofErr w:type="gramStart"/>
      <w:r w:rsidRPr="00590BB6">
        <w:t>green-hydrogen</w:t>
      </w:r>
      <w:proofErr w:type="gramEnd"/>
      <w:r w:rsidRPr="00590BB6">
        <w:t xml:space="preserve"> trucks</w:t>
      </w:r>
    </w:p>
    <w:p w14:paraId="6A51D990" w14:textId="77777777" w:rsidR="00D479B4" w:rsidRPr="00590BB6" w:rsidRDefault="00D479B4" w:rsidP="00D479B4">
      <w:pPr>
        <w:spacing w:line="360" w:lineRule="auto"/>
      </w:pPr>
    </w:p>
    <w:p w14:paraId="04B6F51F" w14:textId="2340B8AB" w:rsidR="007C59F3" w:rsidRPr="00590BB6" w:rsidRDefault="00DA0D13" w:rsidP="005C0A9B">
      <w:pPr>
        <w:pStyle w:val="Heading1"/>
      </w:pPr>
      <w:r w:rsidRPr="00590BB6">
        <w:t>Introduction</w:t>
      </w:r>
    </w:p>
    <w:p w14:paraId="3D83E28D" w14:textId="583004EB" w:rsidR="008D3EF9" w:rsidRPr="00590BB6" w:rsidRDefault="008D3EF9" w:rsidP="006A2B28">
      <w:pPr>
        <w:spacing w:before="240" w:line="360" w:lineRule="auto"/>
        <w:jc w:val="both"/>
        <w:rPr>
          <w:rFonts w:cs="Times New Roman"/>
        </w:rPr>
      </w:pPr>
      <w:r w:rsidRPr="00590BB6">
        <w:rPr>
          <w:rFonts w:cs="Times New Roman"/>
        </w:rPr>
        <w:t>R</w:t>
      </w:r>
      <w:r w:rsidR="00EC33B0" w:rsidRPr="00590BB6">
        <w:rPr>
          <w:rFonts w:cs="Times New Roman"/>
        </w:rPr>
        <w:t>esponsible</w:t>
      </w:r>
      <w:r w:rsidR="3781D417" w:rsidRPr="00590BB6">
        <w:rPr>
          <w:rFonts w:cs="Times New Roman"/>
        </w:rPr>
        <w:t xml:space="preserve"> for </w:t>
      </w:r>
      <w:r w:rsidR="00A9787A" w:rsidRPr="00590BB6">
        <w:rPr>
          <w:rFonts w:cs="Times New Roman"/>
        </w:rPr>
        <w:t xml:space="preserve">about 25% of global </w:t>
      </w:r>
      <w:r w:rsidR="0036232D" w:rsidRPr="00590BB6">
        <w:rPr>
          <w:rFonts w:cs="Times New Roman"/>
        </w:rPr>
        <w:t xml:space="preserve">fossil fuel </w:t>
      </w:r>
      <w:r w:rsidR="00A9787A" w:rsidRPr="00590BB6">
        <w:rPr>
          <w:rFonts w:cs="Times New Roman"/>
        </w:rPr>
        <w:t>CO</w:t>
      </w:r>
      <w:r w:rsidR="00A9787A" w:rsidRPr="00590BB6">
        <w:rPr>
          <w:rFonts w:cs="Times New Roman"/>
          <w:vertAlign w:val="subscript"/>
        </w:rPr>
        <w:t>2</w:t>
      </w:r>
      <w:r w:rsidR="00A9787A" w:rsidRPr="00590BB6">
        <w:rPr>
          <w:rFonts w:cs="Times New Roman"/>
        </w:rPr>
        <w:t xml:space="preserve"> emissions</w:t>
      </w:r>
      <w:r w:rsidRPr="00590BB6">
        <w:rPr>
          <w:rFonts w:cs="Times New Roman"/>
        </w:rPr>
        <w:t xml:space="preserve"> </w:t>
      </w:r>
      <w:r w:rsidRPr="00590BB6">
        <w:rPr>
          <w:rFonts w:cs="Times New Roman"/>
        </w:rPr>
        <w:fldChar w:fldCharType="begin" w:fldLock="1"/>
      </w:r>
      <w:r w:rsidRPr="00590BB6">
        <w:rPr>
          <w:rFonts w:cs="Times New Roman"/>
        </w:rPr>
        <w:instrText>ADDIN CSL_CITATION {"citationItems":[{"id":"ITEM-1","itemData":{"author":[{"dropping-particle":"","family":"European Climate Foundation","given":"","non-dropping-particle":"","parse-names":false,"suffix":""}],"id":"ITEM-1","issued":{"date-parts":[["2019"]]},"page":"1-32","title":"Fuelling Italy's Future","type":"article-journal"},"uris":["http://www.mendeley.com/documents/?uuid=cddb44a0-6967-460f-b898-36c48be74e6c","http://www.mendeley.com/documents/?uuid=64856fe9-127f-4a7c-bdb1-3f7fcfef7511"]}],"mendeley":{"formattedCitation":"[1]","plainTextFormattedCitation":"[1]","previouslyFormattedCitation":"[1]"},"properties":{"noteIndex":0},"schema":"https://github.com/citation-style-language/schema/raw/master/csl-citation.json"}</w:instrText>
      </w:r>
      <w:r w:rsidRPr="00590BB6">
        <w:rPr>
          <w:rFonts w:cs="Times New Roman"/>
        </w:rPr>
        <w:fldChar w:fldCharType="separate"/>
      </w:r>
      <w:r w:rsidRPr="00590BB6">
        <w:rPr>
          <w:rFonts w:cs="Times New Roman"/>
          <w:noProof/>
        </w:rPr>
        <w:t>[1]</w:t>
      </w:r>
      <w:r w:rsidRPr="00590BB6">
        <w:rPr>
          <w:rFonts w:cs="Times New Roman"/>
        </w:rPr>
        <w:fldChar w:fldCharType="end"/>
      </w:r>
      <w:r w:rsidRPr="00590BB6">
        <w:rPr>
          <w:rFonts w:cs="Times New Roman"/>
        </w:rPr>
        <w:t>, the transport sector is a decisive player in the achievement of a net-zero economy</w:t>
      </w:r>
      <w:r w:rsidR="32AEE1F9" w:rsidRPr="00590BB6">
        <w:rPr>
          <w:rFonts w:cs="Times New Roman"/>
        </w:rPr>
        <w:t xml:space="preserve">. </w:t>
      </w:r>
      <w:r w:rsidR="00CC149D" w:rsidRPr="00590BB6">
        <w:rPr>
          <w:rFonts w:cs="Times New Roman"/>
        </w:rPr>
        <w:t>In addition to carbon emissions, the sector releases several air pollutants to the atmosphere, such as oxides of nitrogen (NO</w:t>
      </w:r>
      <w:r w:rsidR="00CC149D" w:rsidRPr="00590BB6">
        <w:rPr>
          <w:rFonts w:cs="Times New Roman"/>
          <w:vertAlign w:val="subscript"/>
        </w:rPr>
        <w:t>x</w:t>
      </w:r>
      <w:r w:rsidR="00CC149D" w:rsidRPr="00590BB6">
        <w:rPr>
          <w:rFonts w:cs="Times New Roman"/>
        </w:rPr>
        <w:t>), oxides of sulphur (</w:t>
      </w:r>
      <w:proofErr w:type="spellStart"/>
      <w:r w:rsidR="00CC149D" w:rsidRPr="00590BB6">
        <w:rPr>
          <w:rFonts w:cs="Times New Roman"/>
        </w:rPr>
        <w:t>SO</w:t>
      </w:r>
      <w:r w:rsidR="00CC149D" w:rsidRPr="00590BB6">
        <w:rPr>
          <w:rFonts w:cs="Times New Roman"/>
          <w:vertAlign w:val="subscript"/>
        </w:rPr>
        <w:t>x</w:t>
      </w:r>
      <w:proofErr w:type="spellEnd"/>
      <w:r w:rsidR="00CC149D" w:rsidRPr="00590BB6">
        <w:rPr>
          <w:rFonts w:cs="Times New Roman"/>
        </w:rPr>
        <w:t xml:space="preserve">), and particulate matter (PM) </w:t>
      </w:r>
      <w:r w:rsidR="00CC149D" w:rsidRPr="00590BB6">
        <w:rPr>
          <w:rFonts w:cs="Times New Roman"/>
        </w:rPr>
        <w:fldChar w:fldCharType="begin" w:fldLock="1"/>
      </w:r>
      <w:r w:rsidR="00CC149D" w:rsidRPr="00590BB6">
        <w:rPr>
          <w:rFonts w:cs="Times New Roman"/>
        </w:rPr>
        <w:instrText>ADDIN CSL_CITATION {"citationItems":[{"id":"ITEM-1","itemData":{"author":[{"dropping-particle":"","family":"European Climate Foundation","given":"","non-dropping-particle":"","parse-names":false,"suffix":""}],"id":"ITEM-1","issued":{"date-parts":[["2019"]]},"page":"1-32","title":"Fuelling Italy's Future","type":"article-journal"},"uris":["http://www.mendeley.com/documents/?uuid=cddb44a0-6967-460f-b898-36c48be74e6c","http://www.mendeley.com/documents/?uuid=64856fe9-127f-4a7c-bdb1-3f7fcfef7511"]}],"mendeley":{"formattedCitation":"[1]","plainTextFormattedCitation":"[1]","previouslyFormattedCitation":"[1]"},"properties":{"noteIndex":0},"schema":"https://github.com/citation-style-language/schema/raw/master/csl-citation.json"}</w:instrText>
      </w:r>
      <w:r w:rsidR="00CC149D" w:rsidRPr="00590BB6">
        <w:rPr>
          <w:rFonts w:cs="Times New Roman"/>
        </w:rPr>
        <w:fldChar w:fldCharType="separate"/>
      </w:r>
      <w:r w:rsidR="00CC149D" w:rsidRPr="00590BB6">
        <w:rPr>
          <w:rFonts w:cs="Times New Roman"/>
          <w:noProof/>
        </w:rPr>
        <w:t>[1]</w:t>
      </w:r>
      <w:r w:rsidR="00CC149D" w:rsidRPr="00590BB6">
        <w:rPr>
          <w:rFonts w:cs="Times New Roman"/>
        </w:rPr>
        <w:fldChar w:fldCharType="end"/>
      </w:r>
      <w:r w:rsidR="00CC149D" w:rsidRPr="00590BB6">
        <w:rPr>
          <w:rFonts w:cs="Times New Roman"/>
        </w:rPr>
        <w:t xml:space="preserve">. </w:t>
      </w:r>
      <w:r w:rsidRPr="00590BB6">
        <w:rPr>
          <w:rFonts w:cs="Times New Roman"/>
        </w:rPr>
        <w:t xml:space="preserve">While progress has been made toward alternative transport modes, </w:t>
      </w:r>
      <w:r w:rsidR="00504825" w:rsidRPr="00590BB6">
        <w:rPr>
          <w:rFonts w:cs="Times New Roman"/>
        </w:rPr>
        <w:t>as well as in</w:t>
      </w:r>
      <w:r w:rsidR="6B74886B" w:rsidRPr="00590BB6">
        <w:rPr>
          <w:rFonts w:cs="Times New Roman"/>
        </w:rPr>
        <w:t xml:space="preserve"> passenger road transport</w:t>
      </w:r>
      <w:r w:rsidR="00504825" w:rsidRPr="00590BB6">
        <w:rPr>
          <w:rFonts w:cs="Times New Roman"/>
        </w:rPr>
        <w:t xml:space="preserve"> freight transport remains difficult to decarbonise </w:t>
      </w:r>
      <w:r w:rsidRPr="00590BB6">
        <w:rPr>
          <w:rFonts w:cs="Times New Roman"/>
        </w:rPr>
        <w:fldChar w:fldCharType="begin" w:fldLock="1"/>
      </w:r>
      <w:r w:rsidRPr="00590BB6">
        <w:rPr>
          <w:rFonts w:cs="Times New Roman"/>
        </w:rPr>
        <w:instrText>ADDIN CSL_CITATION {"citationItems":[{"id":"ITEM-1","itemData":{"abstract":"The International Energy Agency (IEA), an autonomous agency, was established in November 1974. Its primary mandate was – and is – two-fold: to promote energy security amongst its member countries through collective response to physical disruptions in oil supply, and provide authoritative research and analysis on ways to ensure reliable, affordable and clean energy for its 29 member countries and beyond. The IEA carries out a comprehensive programme of energy co-operation among its member countries, each of which is obliged to hold oil stocks equivalent to 90 days of its net imports. The Agency's aims include the following objectives: n Secure member countries' access to reliable and ample supplies of all forms of energy; in particular, through maintaining effective emergency response capabilities in case of oil supply disruptions.","container-title":"International Energy Agency","id":"ITEM-1","issued":{"date-parts":[["2017"]]},"title":"The Future of Trucks – Implications for Energy and the Environment","type":"article-journal"},"uris":["http://www.mendeley.com/documents/?uuid=e327e747-beef-459b-b7f4-2578388dd3d4","http://www.mendeley.com/documents/?uuid=5958fd40-865e-4b10-bcc9-f919f001332f"]}],"mendeley":{"formattedCitation":"[2]","plainTextFormattedCitation":"[2]","previouslyFormattedCitation":"[2]"},"properties":{"noteIndex":0},"schema":"https://github.com/citation-style-language/schema/raw/master/csl-citation.json"}</w:instrText>
      </w:r>
      <w:r w:rsidRPr="00590BB6">
        <w:rPr>
          <w:rFonts w:cs="Times New Roman"/>
        </w:rPr>
        <w:fldChar w:fldCharType="separate"/>
      </w:r>
      <w:r w:rsidRPr="00590BB6">
        <w:rPr>
          <w:rFonts w:cs="Times New Roman"/>
          <w:noProof/>
        </w:rPr>
        <w:t>[2]</w:t>
      </w:r>
      <w:r w:rsidRPr="00590BB6">
        <w:rPr>
          <w:rFonts w:cs="Times New Roman"/>
        </w:rPr>
        <w:fldChar w:fldCharType="end"/>
      </w:r>
      <w:r w:rsidRPr="00590BB6">
        <w:rPr>
          <w:rFonts w:cs="Times New Roman"/>
        </w:rPr>
        <w:t>.</w:t>
      </w:r>
    </w:p>
    <w:p w14:paraId="2F69BC71" w14:textId="357E3DFD" w:rsidR="00D763B6" w:rsidRPr="00590BB6" w:rsidRDefault="007C4882" w:rsidP="006A2B28">
      <w:pPr>
        <w:spacing w:before="240" w:line="360" w:lineRule="auto"/>
        <w:jc w:val="both"/>
        <w:rPr>
          <w:rFonts w:cs="Times New Roman"/>
        </w:rPr>
      </w:pPr>
      <w:r w:rsidRPr="00590BB6">
        <w:rPr>
          <w:rFonts w:cs="Times New Roman"/>
        </w:rPr>
        <w:t xml:space="preserve"> H</w:t>
      </w:r>
      <w:r w:rsidR="007B0592" w:rsidRPr="00590BB6">
        <w:rPr>
          <w:rFonts w:cs="Times New Roman"/>
        </w:rPr>
        <w:t>eavy duty vehicles (</w:t>
      </w:r>
      <w:r w:rsidR="008D3EF9" w:rsidRPr="00590BB6">
        <w:rPr>
          <w:rFonts w:cs="Times New Roman"/>
        </w:rPr>
        <w:t>HDVs</w:t>
      </w:r>
      <w:r w:rsidR="007B0592" w:rsidRPr="00590BB6">
        <w:rPr>
          <w:rFonts w:cs="Times New Roman"/>
        </w:rPr>
        <w:t>)</w:t>
      </w:r>
      <w:r w:rsidRPr="00590BB6">
        <w:rPr>
          <w:rFonts w:cs="Times New Roman"/>
        </w:rPr>
        <w:t>,</w:t>
      </w:r>
      <w:r w:rsidR="007B0592" w:rsidRPr="00590BB6">
        <w:rPr>
          <w:rFonts w:cs="Times New Roman"/>
        </w:rPr>
        <w:t xml:space="preserve"> </w:t>
      </w:r>
      <w:r w:rsidRPr="00590BB6">
        <w:rPr>
          <w:rFonts w:cs="Times New Roman"/>
        </w:rPr>
        <w:t xml:space="preserve">representing most of the total freight in </w:t>
      </w:r>
      <w:r w:rsidR="00100026">
        <w:rPr>
          <w:rFonts w:cs="Times New Roman"/>
        </w:rPr>
        <w:t>the European Union (</w:t>
      </w:r>
      <w:r w:rsidRPr="00590BB6">
        <w:rPr>
          <w:rFonts w:cs="Times New Roman"/>
        </w:rPr>
        <w:t>EU</w:t>
      </w:r>
      <w:r w:rsidR="00100026">
        <w:rPr>
          <w:rFonts w:cs="Times New Roman"/>
        </w:rPr>
        <w:t>)</w:t>
      </w:r>
      <w:r w:rsidR="007B0592" w:rsidRPr="00590BB6">
        <w:rPr>
          <w:rFonts w:cs="Times New Roman"/>
        </w:rPr>
        <w:t xml:space="preserve">, </w:t>
      </w:r>
      <w:r w:rsidRPr="00590BB6">
        <w:rPr>
          <w:rFonts w:cs="Times New Roman"/>
        </w:rPr>
        <w:t>primarily rely on diesel [3]</w:t>
      </w:r>
      <w:r w:rsidR="005864DB" w:rsidRPr="00590BB6">
        <w:rPr>
          <w:rStyle w:val="FootnoteReference"/>
          <w:rFonts w:cs="Times New Roman"/>
        </w:rPr>
        <w:footnoteReference w:id="1"/>
      </w:r>
      <w:r w:rsidRPr="00590BB6">
        <w:rPr>
          <w:rFonts w:cs="Times New Roman"/>
        </w:rPr>
        <w:t>. A</w:t>
      </w:r>
      <w:r w:rsidR="007B0592" w:rsidRPr="00590BB6">
        <w:rPr>
          <w:rFonts w:cs="Times New Roman"/>
        </w:rPr>
        <w:t xml:space="preserve">lthough efficiencies have improved </w:t>
      </w:r>
      <w:r w:rsidRPr="00590BB6">
        <w:rPr>
          <w:rFonts w:cs="Times New Roman"/>
        </w:rPr>
        <w:t xml:space="preserve">with time </w:t>
      </w:r>
      <w:r w:rsidR="007B0592" w:rsidRPr="00590BB6">
        <w:rPr>
          <w:rFonts w:cs="Times New Roman"/>
        </w:rPr>
        <w:t>[4]</w:t>
      </w:r>
      <w:r w:rsidR="00504825" w:rsidRPr="00590BB6">
        <w:rPr>
          <w:rFonts w:cs="Times New Roman"/>
        </w:rPr>
        <w:t>, the high reliance on diesel challenges the sector decarbonisation [5].</w:t>
      </w:r>
      <w:r w:rsidRPr="00590BB6">
        <w:rPr>
          <w:rFonts w:cs="Times New Roman"/>
        </w:rPr>
        <w:t xml:space="preserve"> The search for low-carbon options, is becoming crucial especially as </w:t>
      </w:r>
      <w:r w:rsidR="4055FA35" w:rsidRPr="00590BB6">
        <w:rPr>
          <w:rFonts w:cs="Times New Roman"/>
        </w:rPr>
        <w:t>global freight volume</w:t>
      </w:r>
      <w:r w:rsidR="5D7A8D62" w:rsidRPr="00590BB6">
        <w:rPr>
          <w:rFonts w:cs="Times New Roman"/>
        </w:rPr>
        <w:t>s</w:t>
      </w:r>
      <w:r w:rsidR="4055FA35" w:rsidRPr="00590BB6">
        <w:rPr>
          <w:rFonts w:cs="Times New Roman"/>
        </w:rPr>
        <w:t xml:space="preserve"> are expected to grow </w:t>
      </w:r>
      <w:r w:rsidR="00504825" w:rsidRPr="00590BB6">
        <w:rPr>
          <w:rFonts w:cs="Times New Roman"/>
        </w:rPr>
        <w:t>rapidly</w:t>
      </w:r>
      <w:r w:rsidR="4D1CB550" w:rsidRPr="00590BB6">
        <w:rPr>
          <w:rFonts w:cs="Times New Roman"/>
        </w:rPr>
        <w:t xml:space="preserve"> </w:t>
      </w:r>
      <w:r w:rsidR="002C10EF" w:rsidRPr="00590BB6">
        <w:rPr>
          <w:rFonts w:cs="Times New Roman"/>
        </w:rPr>
        <w:fldChar w:fldCharType="begin" w:fldLock="1"/>
      </w:r>
      <w:r w:rsidR="006F44A7" w:rsidRPr="00590BB6">
        <w:rPr>
          <w:rFonts w:cs="Times New Roman"/>
        </w:rPr>
        <w:instrText>ADDIN CSL_CITATION {"citationItems":[{"id":"ITEM-1","itemData":{"ISBN":"9780692956700","abstract":"The Global Mobility Report 2017 (GMR) is the first-ever attempt to examine performance of the transport sector globally, and its capacity to support the mobility of goods and people, in a sustainable way. The GMR is built around three components: (i) four global objectives that define “sustainable mobility”; (ii) quantitative and qualitative targets for those objectives, drawn from international agreements; and (iii) indicators to track country-level progress towards those objectives. It covers all modes of transport, including road, air, waterborne and rail.","author":[{"dropping-particle":"","family":"Sustainable Mobility for All","given":"","non-dropping-particle":"","parse-names":false,"suffix":""}],"container-title":"Global Mobility Report 2017","id":"ITEM-1","issued":{"date-parts":[["2017"]]},"number-of-pages":"1-103","title":"Sustainable Mobility for All","type":"book"},"uris":["http://www.mendeley.com/documents/?uuid=6d24f6ec-93be-4e6c-bd70-9ccb98616a60","http://www.mendeley.com/documents/?uuid=6995986d-e4c5-4765-9941-023ef0a19f46"]}],"mendeley":{"formattedCitation":"[6]","plainTextFormattedCitation":"[6]","previouslyFormattedCitation":"[5]"},"properties":{"noteIndex":0},"schema":"https://github.com/citation-style-language/schema/raw/master/csl-citation.json"}</w:instrText>
      </w:r>
      <w:r w:rsidR="002C10EF" w:rsidRPr="00590BB6">
        <w:rPr>
          <w:rFonts w:cs="Times New Roman"/>
        </w:rPr>
        <w:fldChar w:fldCharType="separate"/>
      </w:r>
      <w:r w:rsidR="006F44A7" w:rsidRPr="00590BB6">
        <w:rPr>
          <w:rFonts w:cs="Times New Roman"/>
          <w:noProof/>
        </w:rPr>
        <w:t>[6]</w:t>
      </w:r>
      <w:r w:rsidR="002C10EF" w:rsidRPr="00590BB6">
        <w:rPr>
          <w:rFonts w:cs="Times New Roman"/>
        </w:rPr>
        <w:fldChar w:fldCharType="end"/>
      </w:r>
      <w:r w:rsidR="4055FA35" w:rsidRPr="00590BB6">
        <w:rPr>
          <w:rFonts w:cs="Times New Roman"/>
        </w:rPr>
        <w:t>.</w:t>
      </w:r>
      <w:r w:rsidR="008D3EF9" w:rsidRPr="00590BB6">
        <w:rPr>
          <w:rFonts w:cs="Times New Roman"/>
        </w:rPr>
        <w:t xml:space="preserve"> Nonetheless, the need for improvement in road freight transportation has prompted research in many areas, such as route optimisation, last-mile solutions, and alternative fuels </w:t>
      </w:r>
      <w:r w:rsidR="005E26CA" w:rsidRPr="00590BB6">
        <w:rPr>
          <w:rFonts w:cs="Times New Roman"/>
        </w:rPr>
        <w:fldChar w:fldCharType="begin" w:fldLock="1"/>
      </w:r>
      <w:r w:rsidR="006F44A7" w:rsidRPr="00590BB6">
        <w:rPr>
          <w:rFonts w:cs="Times New Roman"/>
        </w:rPr>
        <w:instrText>ADDIN CSL_CITATION {"citationItems":[{"id":"ITEM-1","itemData":{"DOI":"10.1016/j.trd.2020.102619","ISSN":"13619209","abstract":"Road freight transportation literature increasingly concentrates on environmental aspects to reduce logistics contribution to carbon dioxide emissions. Some literature reviews highlight specific mitigation and adaptation strategies, but the overarching research directions to identify emerging areas and general trends of the field have not yet been clustered or synthesized. This paper presents a systematic quantitative review of the road freight transportation decarbonization literature leveraging bibliographic coupling and network analysis techniques. It contributes to the understanding of road freight decarbonization and provides recommendations for further investigations of the field by systematically mapping the literature body. This way, key research clusters are outlined and visualized to understand the underlying knowledge structure. The findings reveal a diverse and fast-growing research field, which in large parts focuses on route optimizations, last-mile solutions, and alternative fuels, while offering future research opportunities that address organizational barriers currently hindering collaboration and technological or operational measures for long- haul transportations.","author":[{"dropping-particle":"","family":"Meyer","given":"Tobias","non-dropping-particle":"","parse-names":false,"suffix":""}],"container-title":"Transportation Research Part D: Transport and Environment","id":"ITEM-1","issue":"November","issued":{"date-parts":[["2020"]]},"page":"102619","publisher":"Elsevier Ltd","title":"Decarbonizing road freight transportation – A bibliometric and network analysis","type":"article-journal","volume":"89"},"uris":["http://www.mendeley.com/documents/?uuid=0c4f5b28-6384-4ff7-9579-425db0a299e1","http://www.mendeley.com/documents/?uuid=8d8d88a8-824f-49de-8f91-a39a36a73e8b"]}],"mendeley":{"formattedCitation":"[7]","plainTextFormattedCitation":"[7]","previouslyFormattedCitation":"[6]"},"properties":{"noteIndex":0},"schema":"https://github.com/citation-style-language/schema/raw/master/csl-citation.json"}</w:instrText>
      </w:r>
      <w:r w:rsidR="005E26CA" w:rsidRPr="00590BB6">
        <w:rPr>
          <w:rFonts w:cs="Times New Roman"/>
        </w:rPr>
        <w:fldChar w:fldCharType="separate"/>
      </w:r>
      <w:r w:rsidR="006F44A7" w:rsidRPr="00590BB6">
        <w:rPr>
          <w:rFonts w:cs="Times New Roman"/>
          <w:noProof/>
        </w:rPr>
        <w:t>[7]</w:t>
      </w:r>
      <w:r w:rsidR="005E26CA" w:rsidRPr="00590BB6">
        <w:rPr>
          <w:rFonts w:cs="Times New Roman"/>
        </w:rPr>
        <w:fldChar w:fldCharType="end"/>
      </w:r>
      <w:r w:rsidR="005E26CA" w:rsidRPr="00590BB6">
        <w:rPr>
          <w:rFonts w:cs="Times New Roman"/>
        </w:rPr>
        <w:t xml:space="preserve">. </w:t>
      </w:r>
    </w:p>
    <w:p w14:paraId="401054D1" w14:textId="0385CC33" w:rsidR="00FF0FA2" w:rsidRPr="00590BB6" w:rsidRDefault="00D763B6" w:rsidP="00B14FBB">
      <w:pPr>
        <w:spacing w:line="360" w:lineRule="auto"/>
        <w:jc w:val="both"/>
      </w:pPr>
      <w:r w:rsidRPr="00590BB6">
        <w:rPr>
          <w:rFonts w:cs="Times New Roman"/>
        </w:rPr>
        <w:t>Within the EU</w:t>
      </w:r>
      <w:r w:rsidR="00E075A9" w:rsidRPr="00590BB6">
        <w:rPr>
          <w:rFonts w:cs="Times New Roman"/>
        </w:rPr>
        <w:t xml:space="preserve">, Italy is </w:t>
      </w:r>
      <w:r w:rsidR="00471F71" w:rsidRPr="00590BB6">
        <w:rPr>
          <w:rFonts w:cs="Times New Roman"/>
        </w:rPr>
        <w:t xml:space="preserve">of particular interest as </w:t>
      </w:r>
      <w:r w:rsidR="00D479B4" w:rsidRPr="00590BB6">
        <w:rPr>
          <w:rFonts w:cs="Times New Roman"/>
        </w:rPr>
        <w:t>its</w:t>
      </w:r>
      <w:r w:rsidR="00471F71" w:rsidRPr="00590BB6">
        <w:rPr>
          <w:rFonts w:cs="Times New Roman"/>
        </w:rPr>
        <w:t xml:space="preserve"> transport sector was responsible for 25.2% of the total national greenhouse gases (GHGs) emissions in 2019, 92.6% </w:t>
      </w:r>
      <w:r w:rsidR="00CB65CC" w:rsidRPr="00590BB6">
        <w:rPr>
          <w:rFonts w:cs="Times New Roman"/>
        </w:rPr>
        <w:t xml:space="preserve">of which </w:t>
      </w:r>
      <w:r w:rsidR="00471F71" w:rsidRPr="00590BB6">
        <w:rPr>
          <w:rFonts w:cs="Times New Roman"/>
        </w:rPr>
        <w:t xml:space="preserve">being caused by road transport </w:t>
      </w:r>
      <w:r w:rsidR="00471F71" w:rsidRPr="00590BB6">
        <w:rPr>
          <w:rFonts w:cs="Times New Roman"/>
        </w:rPr>
        <w:fldChar w:fldCharType="begin" w:fldLock="1"/>
      </w:r>
      <w:r w:rsidR="006F44A7" w:rsidRPr="00590BB6">
        <w:rPr>
          <w:rFonts w:cs="Times New Roman"/>
        </w:rPr>
        <w:instrText>ADDIN CSL_CITATION {"citationItems":[{"id":"ITEM-1","itemData":{"author":[{"dropping-particle":"","family":"Bernetti","given":"Antonella","non-dropping-particle":"","parse-names":false,"suffix":""}],"id":"ITEM-1","issued":{"date-parts":[["2019"]]},"title":"Le emissioni dal trasporto stradale in Italia. ISPRA-Istituto Superiore per la Protezione e la Ricerca Ambientale","type":"report"},"uris":["http://www.mendeley.com/documents/?uuid=dd6aca94-9651-4f6a-8580-26be2858dfe3","http://www.mendeley.com/documents/?uuid=3689930c-3d01-40f5-95c7-40a03b66f9d5"]}],"mendeley":{"formattedCitation":"[8]","plainTextFormattedCitation":"[8]","previouslyFormattedCitation":"[7]"},"properties":{"noteIndex":0},"schema":"https://github.com/citation-style-language/schema/raw/master/csl-citation.json"}</w:instrText>
      </w:r>
      <w:r w:rsidR="00471F71" w:rsidRPr="00590BB6">
        <w:rPr>
          <w:rFonts w:cs="Times New Roman"/>
        </w:rPr>
        <w:fldChar w:fldCharType="separate"/>
      </w:r>
      <w:r w:rsidR="006F44A7" w:rsidRPr="00590BB6">
        <w:rPr>
          <w:rFonts w:cs="Times New Roman"/>
          <w:noProof/>
        </w:rPr>
        <w:t>[8]</w:t>
      </w:r>
      <w:r w:rsidR="00471F71" w:rsidRPr="00590BB6">
        <w:rPr>
          <w:rFonts w:cs="Times New Roman"/>
        </w:rPr>
        <w:fldChar w:fldCharType="end"/>
      </w:r>
      <w:r w:rsidR="00471F71" w:rsidRPr="00590BB6">
        <w:rPr>
          <w:rFonts w:cs="Times New Roman"/>
        </w:rPr>
        <w:t xml:space="preserve">. </w:t>
      </w:r>
      <w:r w:rsidR="00E075A9" w:rsidRPr="00590BB6">
        <w:rPr>
          <w:rFonts w:cs="Times New Roman"/>
        </w:rPr>
        <w:t xml:space="preserve">The country is highly reliant on HDVs to freight goods </w:t>
      </w:r>
      <w:r w:rsidR="002C10EF" w:rsidRPr="00590BB6">
        <w:rPr>
          <w:rFonts w:cs="Times New Roman"/>
        </w:rPr>
        <w:fldChar w:fldCharType="begin" w:fldLock="1"/>
      </w:r>
      <w:r w:rsidR="006F44A7" w:rsidRPr="00590BB6">
        <w:rPr>
          <w:rFonts w:cs="Times New Roman"/>
        </w:rPr>
        <w:instrText>ADDIN CSL_CITATION {"citationItems":[{"id":"ITEM-1","itemData":{"abstract":"https://www.ansa.it/documents/1587628257632_Dossier_Trasporto_Merci_Aprile_2020_DEF.pdf","author":[{"dropping-particle":"","family":"Saglietto","given":"M.","non-dropping-particle":"","parse-names":false,"suffix":""},{"dropping-particle":"","family":"Alberti","given":"L.","non-dropping-particle":"","parse-names":false,"suffix":""},{"dropping-particle":"","family":"Musso","given":"A.","non-dropping-particle":"","parse-names":false,"suffix":""},{"dropping-particle":"","family":"Vigo","given":"F.","non-dropping-particle":"","parse-names":false,"suffix":""},{"dropping-particle":"","family":"Geraci","given":"S.","non-dropping-particle":"","parse-names":false,"suffix":""}],"container-title":"Associazione Nazionale Filiera Industria Automobilistica","id":"ITEM-1","issued":{"date-parts":[["2020"]]},"page":"1-74","title":"DOSSIER Trasporto merci su strada","type":"article-journal"},"uris":["http://www.mendeley.com/documents/?uuid=19593e5d-d435-46c2-b901-cb99234816cc","http://www.mendeley.com/documents/?uuid=4d2907a6-40cc-4c35-a186-50c4dc1687f5"]}],"mendeley":{"formattedCitation":"[5]","plainTextFormattedCitation":"[5]","previouslyFormattedCitation":"[4]"},"properties":{"noteIndex":0},"schema":"https://github.com/citation-style-language/schema/raw/master/csl-citation.json"}</w:instrText>
      </w:r>
      <w:r w:rsidR="002C10EF" w:rsidRPr="00590BB6">
        <w:rPr>
          <w:rFonts w:cs="Times New Roman"/>
        </w:rPr>
        <w:fldChar w:fldCharType="separate"/>
      </w:r>
      <w:r w:rsidR="006F44A7" w:rsidRPr="00590BB6">
        <w:rPr>
          <w:rFonts w:cs="Times New Roman"/>
          <w:noProof/>
        </w:rPr>
        <w:t>[5]</w:t>
      </w:r>
      <w:r w:rsidR="002C10EF" w:rsidRPr="00590BB6">
        <w:rPr>
          <w:rFonts w:cs="Times New Roman"/>
        </w:rPr>
        <w:fldChar w:fldCharType="end"/>
      </w:r>
      <w:r w:rsidR="00FF0FA2" w:rsidRPr="00590BB6">
        <w:rPr>
          <w:rFonts w:cs="Times New Roman"/>
        </w:rPr>
        <w:t>, a sector responsible for</w:t>
      </w:r>
      <w:r w:rsidR="00471F71" w:rsidRPr="00590BB6">
        <w:rPr>
          <w:rFonts w:cs="Times New Roman"/>
        </w:rPr>
        <w:t xml:space="preserve"> one quarter of </w:t>
      </w:r>
      <w:r w:rsidR="00065917" w:rsidRPr="00590BB6">
        <w:rPr>
          <w:rFonts w:cs="Times New Roman"/>
        </w:rPr>
        <w:t xml:space="preserve">national </w:t>
      </w:r>
      <w:r w:rsidR="00471F71" w:rsidRPr="00590BB6">
        <w:rPr>
          <w:rFonts w:cs="Times New Roman"/>
        </w:rPr>
        <w:t xml:space="preserve">road transport emissions </w:t>
      </w:r>
      <w:r w:rsidR="00471F71" w:rsidRPr="00590BB6">
        <w:rPr>
          <w:rFonts w:cs="Times New Roman"/>
          <w:i/>
        </w:rPr>
        <w:fldChar w:fldCharType="begin" w:fldLock="1"/>
      </w:r>
      <w:r w:rsidR="006F44A7" w:rsidRPr="00590BB6">
        <w:rPr>
          <w:rFonts w:cs="Times New Roman"/>
        </w:rPr>
        <w:instrText>ADDIN CSL_CITATION {"citationItems":[{"id":"ITEM-1","itemData":{"ISBN":"978-88-448-1046-7","author":[{"dropping-particle":"","family":"ISPRA - Istituto Superiore per la Protezione e la Ricerca Ambientale","given":"","non-dropping-particle":"","parse-names":false,"suffix":""}],"container-title":"ISPRA","id":"ITEM-1","issued":{"date-parts":[["2021"]]},"title":"Italian Greenhouse Gas Inventory 1990-2019","type":"report"},"uris":["http://www.mendeley.com/documents/?uuid=a9407c4d-05c8-4f51-a6f2-66a41ae8f04d","http://www.mendeley.com/documents/?uuid=10481cda-fad8-4961-a26e-209184a98da1"]}],"mendeley":{"formattedCitation":"[9]","plainTextFormattedCitation":"[9]","previouslyFormattedCitation":"[8]"},"properties":{"noteIndex":0},"schema":"https://github.com/citation-style-language/schema/raw/master/csl-citation.json"}</w:instrText>
      </w:r>
      <w:r w:rsidR="00471F71" w:rsidRPr="00590BB6">
        <w:rPr>
          <w:rFonts w:cs="Times New Roman"/>
          <w:i/>
        </w:rPr>
        <w:fldChar w:fldCharType="separate"/>
      </w:r>
      <w:r w:rsidR="006F44A7" w:rsidRPr="00590BB6">
        <w:rPr>
          <w:rFonts w:cs="Times New Roman"/>
          <w:noProof/>
        </w:rPr>
        <w:t>[9]</w:t>
      </w:r>
      <w:r w:rsidR="00471F71" w:rsidRPr="00590BB6">
        <w:rPr>
          <w:rFonts w:cs="Times New Roman"/>
          <w:i/>
        </w:rPr>
        <w:fldChar w:fldCharType="end"/>
      </w:r>
      <w:r w:rsidR="00471F71" w:rsidRPr="00590BB6">
        <w:rPr>
          <w:rFonts w:cs="Times New Roman"/>
        </w:rPr>
        <w:t xml:space="preserve">, mainly </w:t>
      </w:r>
      <w:r w:rsidR="00FF0FA2" w:rsidRPr="00590BB6">
        <w:rPr>
          <w:rFonts w:cs="Times New Roman"/>
        </w:rPr>
        <w:t>due to the</w:t>
      </w:r>
      <w:r w:rsidR="00471F71" w:rsidRPr="00590BB6">
        <w:rPr>
          <w:rFonts w:cs="Times New Roman"/>
        </w:rPr>
        <w:t xml:space="preserve"> large amount </w:t>
      </w:r>
      <w:r w:rsidR="00065917" w:rsidRPr="00590BB6">
        <w:rPr>
          <w:rFonts w:cs="Times New Roman"/>
        </w:rPr>
        <w:t xml:space="preserve">of </w:t>
      </w:r>
      <w:r w:rsidR="00CB65CC" w:rsidRPr="00590BB6">
        <w:rPr>
          <w:rFonts w:cs="Times New Roman"/>
        </w:rPr>
        <w:t>diesel-fuelled and old vehicles</w:t>
      </w:r>
      <w:r w:rsidR="00471F71" w:rsidRPr="00590BB6">
        <w:rPr>
          <w:rFonts w:cs="Times New Roman"/>
        </w:rPr>
        <w:t xml:space="preserve"> </w:t>
      </w:r>
      <w:r w:rsidR="00471F71" w:rsidRPr="00590BB6">
        <w:fldChar w:fldCharType="begin" w:fldLock="1"/>
      </w:r>
      <w:r w:rsidR="006F44A7" w:rsidRPr="00590BB6">
        <w:instrText>ADDIN CSL_CITATION {"citationItems":[{"id":"ITEM-1","itemData":{"author":[{"dropping-particle":"","family":"ACI","given":"","non-dropping-particle":"","parse-names":false,"suffix":""}],"id":"ITEM-1","issued":{"date-parts":[["2022"]]},"title":"Open parco veicoli","type":"webpage"},"uris":["http://www.mendeley.com/documents/?uuid=0ee04b61-8879-45e4-a314-dcd8c3b76372","http://www.mendeley.com/documents/?uuid=33c668c6-cc3a-4fdb-a312-83717c9c59fd"]}],"mendeley":{"formattedCitation":"[10]","plainTextFormattedCitation":"[10]","previouslyFormattedCitation":"[9]"},"properties":{"noteIndex":0},"schema":"https://github.com/citation-style-language/schema/raw/master/csl-citation.json"}</w:instrText>
      </w:r>
      <w:r w:rsidR="00471F71" w:rsidRPr="00590BB6">
        <w:fldChar w:fldCharType="separate"/>
      </w:r>
      <w:r w:rsidR="006F44A7" w:rsidRPr="00590BB6">
        <w:rPr>
          <w:noProof/>
        </w:rPr>
        <w:t>[10]</w:t>
      </w:r>
      <w:r w:rsidR="00471F71" w:rsidRPr="00590BB6">
        <w:fldChar w:fldCharType="end"/>
      </w:r>
      <w:r w:rsidR="00471F71" w:rsidRPr="00590BB6">
        <w:t xml:space="preserve">. </w:t>
      </w:r>
    </w:p>
    <w:p w14:paraId="56CAC86D" w14:textId="58315A99" w:rsidR="00FE23F4" w:rsidRDefault="001C18A1" w:rsidP="00EB78DD">
      <w:pPr>
        <w:spacing w:line="360" w:lineRule="auto"/>
        <w:jc w:val="both"/>
      </w:pPr>
      <w:r w:rsidRPr="00590BB6">
        <w:rPr>
          <w:rFonts w:cs="Times New Roman"/>
        </w:rPr>
        <w:t xml:space="preserve">The importance of HDVs to emission-reduction goals has led the EU legislation 2019/1242 to require manufacturers of HDVs to cut emissions from new trucks by 15% from 2025 and 30% from 2030, compared to 2019 levels </w:t>
      </w:r>
      <w:r w:rsidRPr="00590BB6">
        <w:rPr>
          <w:rFonts w:cs="Times New Roman"/>
        </w:rPr>
        <w:fldChar w:fldCharType="begin" w:fldLock="1"/>
      </w:r>
      <w:r w:rsidR="006F44A7" w:rsidRPr="00590BB6">
        <w:rPr>
          <w:rFonts w:cs="Times New Roman"/>
        </w:rPr>
        <w:instrText>ADDIN CSL_CITATION {"citationItems":[{"id":"ITEM-1","itemData":{"author":[{"dropping-particle":"","family":"Climate Transparency","given":"","non-dropping-particle":"","parse-names":false,"suffix":""}],"id":"ITEM-1","issued":{"date-parts":[["2019"]]},"title":"Brown to Green: The G20 transition towards a net-zero emissions economy - Italy","type":"article"},"uris":["http://www.mendeley.com/documents/?uuid=60583945-6179-4465-81c0-78abc177a0a6"]}],"mendeley":{"formattedCitation":"[11]","plainTextFormattedCitation":"[11]","previouslyFormattedCitation":"[10]"},"properties":{"noteIndex":0},"schema":"https://github.com/citation-style-language/schema/raw/master/csl-citation.json"}</w:instrText>
      </w:r>
      <w:r w:rsidRPr="00590BB6">
        <w:rPr>
          <w:rFonts w:cs="Times New Roman"/>
        </w:rPr>
        <w:fldChar w:fldCharType="separate"/>
      </w:r>
      <w:r w:rsidR="006F44A7" w:rsidRPr="00590BB6">
        <w:rPr>
          <w:rFonts w:cs="Times New Roman"/>
          <w:noProof/>
        </w:rPr>
        <w:t>[11]</w:t>
      </w:r>
      <w:r w:rsidRPr="00590BB6">
        <w:rPr>
          <w:rFonts w:cs="Times New Roman"/>
        </w:rPr>
        <w:fldChar w:fldCharType="end"/>
      </w:r>
      <w:r w:rsidRPr="00590BB6">
        <w:rPr>
          <w:rFonts w:cs="Times New Roman"/>
        </w:rPr>
        <w:t xml:space="preserve">. Reducing emissions from transport and building sectors </w:t>
      </w:r>
      <w:r w:rsidR="00D479B4" w:rsidRPr="00590BB6">
        <w:rPr>
          <w:rFonts w:cs="Times New Roman"/>
        </w:rPr>
        <w:t>is an essential part of</w:t>
      </w:r>
      <w:r w:rsidRPr="00590BB6">
        <w:rPr>
          <w:rFonts w:cs="Times New Roman"/>
        </w:rPr>
        <w:t xml:space="preserve"> Italy’s Integrated National Energy and Climate Plan (INECP) </w:t>
      </w:r>
      <w:r w:rsidRPr="00590BB6">
        <w:rPr>
          <w:rFonts w:cs="Times New Roman"/>
        </w:rPr>
        <w:fldChar w:fldCharType="begin" w:fldLock="1"/>
      </w:r>
      <w:r w:rsidR="006F44A7" w:rsidRPr="00590BB6">
        <w:rPr>
          <w:rFonts w:cs="Times New Roman"/>
        </w:rPr>
        <w:instrText>ADDIN CSL_CITATION {"citationItems":[{"id":"ITEM-1","itemData":{"author":[{"dropping-particle":"","family":"European Commission","given":"","non-dropping-particle":"","parse-names":false,"suffix":""}],"id":"ITEM-1","issued":{"date-parts":[["2019"]]},"title":"National Energy and Climate Plan 2021-2030 - Italy","type":"article"},"uris":["http://www.mendeley.com/documents/?uuid=4226e3fd-3fa7-425c-8dc3-9b21dabd49bf","http://www.mendeley.com/documents/?uuid=ccd1266a-6d61-4c56-afd8-fbb2223e5da4"]}],"mendeley":{"formattedCitation":"[12]","plainTextFormattedCitation":"[12]","previouslyFormattedCitation":"[11]"},"properties":{"noteIndex":0},"schema":"https://github.com/citation-style-language/schema/raw/master/csl-citation.json"}</w:instrText>
      </w:r>
      <w:r w:rsidRPr="00590BB6">
        <w:rPr>
          <w:rFonts w:cs="Times New Roman"/>
        </w:rPr>
        <w:fldChar w:fldCharType="separate"/>
      </w:r>
      <w:r w:rsidR="006F44A7" w:rsidRPr="00590BB6">
        <w:rPr>
          <w:rFonts w:cs="Times New Roman"/>
          <w:noProof/>
        </w:rPr>
        <w:t>[12]</w:t>
      </w:r>
      <w:r w:rsidRPr="00590BB6">
        <w:rPr>
          <w:rFonts w:cs="Times New Roman"/>
        </w:rPr>
        <w:fldChar w:fldCharType="end"/>
      </w:r>
      <w:r w:rsidR="002E1A8B" w:rsidRPr="00590BB6">
        <w:rPr>
          <w:rFonts w:cs="Times New Roman"/>
        </w:rPr>
        <w:t>,</w:t>
      </w:r>
      <w:r w:rsidRPr="00590BB6">
        <w:rPr>
          <w:rFonts w:cs="Times New Roman"/>
        </w:rPr>
        <w:t xml:space="preserve"> which aims for a 33% reduction in GHG emissions by 2030 compared to 2005 levels.</w:t>
      </w:r>
      <w:r w:rsidR="008F6CA3" w:rsidRPr="00590BB6">
        <w:rPr>
          <w:rFonts w:cs="Times New Roman"/>
        </w:rPr>
        <w:t xml:space="preserve"> </w:t>
      </w:r>
      <w:r w:rsidR="00100026">
        <w:rPr>
          <w:rFonts w:cs="Times New Roman"/>
        </w:rPr>
        <w:t>A</w:t>
      </w:r>
      <w:r w:rsidR="007D5A9E">
        <w:rPr>
          <w:rFonts w:cs="Times New Roman"/>
        </w:rPr>
        <w:t>fter the recent Ukrainian war</w:t>
      </w:r>
      <w:r w:rsidR="00100026">
        <w:rPr>
          <w:rFonts w:cs="Times New Roman"/>
        </w:rPr>
        <w:t>, however, the EU has been</w:t>
      </w:r>
      <w:r w:rsidR="007D5A9E">
        <w:rPr>
          <w:rFonts w:cs="Times New Roman"/>
        </w:rPr>
        <w:t xml:space="preserve"> </w:t>
      </w:r>
      <w:r w:rsidR="00540614">
        <w:rPr>
          <w:rFonts w:cs="Times New Roman"/>
        </w:rPr>
        <w:t>considering</w:t>
      </w:r>
      <w:r w:rsidR="00100026">
        <w:rPr>
          <w:rFonts w:cs="Times New Roman"/>
        </w:rPr>
        <w:t xml:space="preserve"> </w:t>
      </w:r>
      <w:proofErr w:type="gramStart"/>
      <w:r w:rsidR="00540614">
        <w:rPr>
          <w:rFonts w:cs="Times New Roman"/>
          <w:color w:val="404040"/>
        </w:rPr>
        <w:t>to increase</w:t>
      </w:r>
      <w:proofErr w:type="gramEnd"/>
      <w:r w:rsidR="007D5A9E">
        <w:rPr>
          <w:rFonts w:cs="Times New Roman"/>
          <w:color w:val="404040"/>
        </w:rPr>
        <w:t xml:space="preserve"> ambitions</w:t>
      </w:r>
      <w:r w:rsidR="00100026">
        <w:rPr>
          <w:rFonts w:cs="Times New Roman"/>
          <w:color w:val="404040"/>
        </w:rPr>
        <w:t xml:space="preserve">, </w:t>
      </w:r>
      <w:r w:rsidR="007D5A9E">
        <w:rPr>
          <w:rFonts w:cs="Times New Roman"/>
          <w:color w:val="404040"/>
        </w:rPr>
        <w:t xml:space="preserve">as part of </w:t>
      </w:r>
      <w:r w:rsidR="00100026">
        <w:rPr>
          <w:rFonts w:cs="Times New Roman"/>
          <w:color w:val="404040"/>
        </w:rPr>
        <w:t xml:space="preserve">the </w:t>
      </w:r>
      <w:r w:rsidR="00AD43C2" w:rsidRPr="00AD43C2">
        <w:rPr>
          <w:rFonts w:cs="Times New Roman"/>
          <w:color w:val="404040"/>
        </w:rPr>
        <w:t>revised 2030 Renewable Energy and Energy Efficiency targets</w:t>
      </w:r>
      <w:r w:rsidR="00AD43C2">
        <w:rPr>
          <w:rFonts w:cs="Times New Roman"/>
          <w:color w:val="404040"/>
        </w:rPr>
        <w:t xml:space="preserve"> </w:t>
      </w:r>
      <w:r w:rsidR="00100026">
        <w:rPr>
          <w:rFonts w:cs="Times New Roman"/>
          <w:color w:val="404040"/>
        </w:rPr>
        <w:t xml:space="preserve">contained </w:t>
      </w:r>
      <w:r w:rsidR="00AD43C2">
        <w:rPr>
          <w:rFonts w:cs="Times New Roman"/>
          <w:color w:val="404040"/>
        </w:rPr>
        <w:t>in the</w:t>
      </w:r>
      <w:r w:rsidR="007D5A9E">
        <w:rPr>
          <w:rFonts w:cs="Times New Roman"/>
          <w:color w:val="404040"/>
        </w:rPr>
        <w:t xml:space="preserve"> </w:t>
      </w:r>
      <w:proofErr w:type="spellStart"/>
      <w:r w:rsidR="007D5A9E">
        <w:rPr>
          <w:rFonts w:cs="Times New Roman"/>
          <w:color w:val="404040"/>
        </w:rPr>
        <w:t>REPowerEU</w:t>
      </w:r>
      <w:proofErr w:type="spellEnd"/>
      <w:r w:rsidR="007D5A9E">
        <w:rPr>
          <w:rFonts w:cs="Times New Roman"/>
          <w:color w:val="404040"/>
        </w:rPr>
        <w:t xml:space="preserve"> plan proposal</w:t>
      </w:r>
      <w:r w:rsidR="00E85D39">
        <w:rPr>
          <w:rFonts w:cs="Times New Roman"/>
          <w:color w:val="404040"/>
        </w:rPr>
        <w:t xml:space="preserve"> compared to the climate neutrality targets </w:t>
      </w:r>
      <w:r w:rsidR="00100026">
        <w:rPr>
          <w:rFonts w:cs="Times New Roman"/>
          <w:color w:val="404040"/>
        </w:rPr>
        <w:t>of</w:t>
      </w:r>
      <w:r w:rsidR="00E85D39">
        <w:rPr>
          <w:rFonts w:cs="Times New Roman"/>
          <w:color w:val="404040"/>
        </w:rPr>
        <w:t xml:space="preserve"> the “Fit for 55” package</w:t>
      </w:r>
      <w:r w:rsidR="00E85D39">
        <w:rPr>
          <w:rStyle w:val="FootnoteReference"/>
          <w:rFonts w:cs="Times New Roman"/>
          <w:color w:val="404040"/>
        </w:rPr>
        <w:footnoteReference w:id="2"/>
      </w:r>
      <w:r w:rsidR="007D5A9E">
        <w:rPr>
          <w:rFonts w:cs="Times New Roman"/>
          <w:color w:val="404040"/>
        </w:rPr>
        <w:t>.</w:t>
      </w:r>
      <w:r w:rsidR="007D5A9E" w:rsidRPr="00590BB6">
        <w:rPr>
          <w:rFonts w:cs="Times New Roman"/>
        </w:rPr>
        <w:t xml:space="preserve"> </w:t>
      </w:r>
      <w:r w:rsidR="00540614">
        <w:rPr>
          <w:rFonts w:cs="Times New Roman"/>
        </w:rPr>
        <w:t>Consequently, a</w:t>
      </w:r>
      <w:r w:rsidR="008F6CA3" w:rsidRPr="00590BB6">
        <w:rPr>
          <w:rFonts w:cs="Times New Roman"/>
        </w:rPr>
        <w:t xml:space="preserve"> revision of the CO</w:t>
      </w:r>
      <w:r w:rsidR="008F6CA3" w:rsidRPr="00590BB6">
        <w:rPr>
          <w:rFonts w:cs="Times New Roman"/>
          <w:vertAlign w:val="subscript"/>
        </w:rPr>
        <w:t>2</w:t>
      </w:r>
      <w:r w:rsidR="008F6CA3" w:rsidRPr="00590BB6">
        <w:rPr>
          <w:rFonts w:cs="Times New Roman"/>
        </w:rPr>
        <w:t xml:space="preserve"> standards for HDVs is</w:t>
      </w:r>
      <w:r w:rsidR="00540614">
        <w:rPr>
          <w:rFonts w:cs="Times New Roman"/>
        </w:rPr>
        <w:t xml:space="preserve"> </w:t>
      </w:r>
      <w:r w:rsidR="008F6CA3" w:rsidRPr="00590BB6">
        <w:rPr>
          <w:rFonts w:cs="Times New Roman"/>
        </w:rPr>
        <w:t xml:space="preserve">under discussion, as the European Commission </w:t>
      </w:r>
      <w:r w:rsidR="00540614">
        <w:rPr>
          <w:rFonts w:cs="Times New Roman"/>
        </w:rPr>
        <w:t xml:space="preserve">has </w:t>
      </w:r>
      <w:r w:rsidR="008F6CA3" w:rsidRPr="00590BB6">
        <w:rPr>
          <w:rFonts w:cs="Times New Roman"/>
        </w:rPr>
        <w:t xml:space="preserve">suggested stricter </w:t>
      </w:r>
      <w:r w:rsidR="002C7EA3" w:rsidRPr="00590BB6">
        <w:rPr>
          <w:rFonts w:cs="Times New Roman"/>
        </w:rPr>
        <w:t xml:space="preserve">targets in emission </w:t>
      </w:r>
      <w:r w:rsidR="008F6CA3" w:rsidRPr="00590BB6">
        <w:rPr>
          <w:rFonts w:cs="Times New Roman"/>
        </w:rPr>
        <w:t xml:space="preserve">for </w:t>
      </w:r>
      <w:r w:rsidR="00D479B4" w:rsidRPr="00590BB6">
        <w:rPr>
          <w:rFonts w:cs="Times New Roman"/>
        </w:rPr>
        <w:t>the segment</w:t>
      </w:r>
      <w:r w:rsidR="008F6CA3" w:rsidRPr="00590BB6">
        <w:rPr>
          <w:rFonts w:cs="Times New Roman"/>
        </w:rPr>
        <w:t xml:space="preserve"> after 2030, such as a reduction by </w:t>
      </w:r>
      <w:r w:rsidR="00591386" w:rsidRPr="00590BB6">
        <w:rPr>
          <w:rFonts w:cs="Times New Roman"/>
        </w:rPr>
        <w:t>45</w:t>
      </w:r>
      <w:r w:rsidR="002C7EA3" w:rsidRPr="00590BB6">
        <w:rPr>
          <w:rFonts w:cs="Times New Roman"/>
        </w:rPr>
        <w:t>%</w:t>
      </w:r>
      <w:r w:rsidR="008F6CA3" w:rsidRPr="00590BB6">
        <w:rPr>
          <w:rFonts w:cs="Times New Roman"/>
        </w:rPr>
        <w:t>,</w:t>
      </w:r>
      <w:r w:rsidR="002C7EA3" w:rsidRPr="00590BB6">
        <w:rPr>
          <w:rFonts w:cs="Times New Roman"/>
        </w:rPr>
        <w:t xml:space="preserve"> </w:t>
      </w:r>
      <w:r w:rsidR="00591386" w:rsidRPr="00590BB6">
        <w:rPr>
          <w:rFonts w:cs="Times New Roman"/>
        </w:rPr>
        <w:t>65</w:t>
      </w:r>
      <w:r w:rsidR="008F6CA3" w:rsidRPr="00590BB6">
        <w:rPr>
          <w:rFonts w:cs="Times New Roman"/>
        </w:rPr>
        <w:t xml:space="preserve">%, </w:t>
      </w:r>
      <w:r w:rsidR="00591386" w:rsidRPr="00590BB6">
        <w:rPr>
          <w:rFonts w:cs="Times New Roman"/>
        </w:rPr>
        <w:t xml:space="preserve">and 90% </w:t>
      </w:r>
      <w:r w:rsidR="002C7EA3" w:rsidRPr="00590BB6">
        <w:rPr>
          <w:rFonts w:cs="Times New Roman"/>
        </w:rPr>
        <w:t xml:space="preserve">(compared to 2019) </w:t>
      </w:r>
      <w:r w:rsidR="008F6CA3" w:rsidRPr="00590BB6">
        <w:rPr>
          <w:rFonts w:cs="Times New Roman"/>
        </w:rPr>
        <w:t>to</w:t>
      </w:r>
      <w:r w:rsidR="002C7EA3" w:rsidRPr="00590BB6">
        <w:rPr>
          <w:rFonts w:cs="Times New Roman"/>
        </w:rPr>
        <w:t xml:space="preserve"> be achieved by</w:t>
      </w:r>
      <w:r w:rsidR="00591386" w:rsidRPr="00590BB6">
        <w:rPr>
          <w:rFonts w:cs="Times New Roman"/>
        </w:rPr>
        <w:t xml:space="preserve"> </w:t>
      </w:r>
      <w:r w:rsidR="008F6CA3" w:rsidRPr="00590BB6">
        <w:rPr>
          <w:rFonts w:cs="Times New Roman"/>
        </w:rPr>
        <w:t xml:space="preserve">2030, </w:t>
      </w:r>
      <w:r w:rsidR="00591386" w:rsidRPr="00590BB6">
        <w:rPr>
          <w:rFonts w:cs="Times New Roman"/>
        </w:rPr>
        <w:t>2035, and 20</w:t>
      </w:r>
      <w:r w:rsidR="008F6CA3" w:rsidRPr="00590BB6">
        <w:rPr>
          <w:rFonts w:cs="Times New Roman"/>
        </w:rPr>
        <w:t>4</w:t>
      </w:r>
      <w:r w:rsidR="002C7EA3" w:rsidRPr="00590BB6">
        <w:rPr>
          <w:rFonts w:cs="Times New Roman"/>
        </w:rPr>
        <w:t>0</w:t>
      </w:r>
      <w:r w:rsidR="00065917" w:rsidRPr="00590BB6">
        <w:rPr>
          <w:rFonts w:cs="Times New Roman"/>
        </w:rPr>
        <w:t>, respectively</w:t>
      </w:r>
      <w:r w:rsidR="002C7EA3" w:rsidRPr="00590BB6">
        <w:rPr>
          <w:rFonts w:cs="Times New Roman"/>
        </w:rPr>
        <w:t xml:space="preserve"> </w:t>
      </w:r>
      <w:r w:rsidR="004D6E69" w:rsidRPr="00590BB6">
        <w:rPr>
          <w:rFonts w:cs="Times New Roman"/>
        </w:rPr>
        <w:fldChar w:fldCharType="begin" w:fldLock="1"/>
      </w:r>
      <w:r w:rsidR="006F44A7" w:rsidRPr="00590BB6">
        <w:rPr>
          <w:rFonts w:cs="Times New Roman"/>
        </w:rPr>
        <w:instrText>ADDIN CSL_CITATION {"citationItems":[{"id":"ITEM-1","itemData":{"URL":"https://climate.ec.europa.eu/eu-action/transport-emissions/road-transport-reducing-co2-emissions-vehicles/reducing-co2-emissions-heavy-duty-vehicles_en","accessed":{"date-parts":[["2023","6","30"]]},"author":[{"dropping-particle":"","family":"European Comission","given":"","non-dropping-particle":"","parse-names":false,"suffix":""}],"container-title":"European Commission","id":"ITEM-1","issued":{"date-parts":[["2023"]]},"title":"Reducing CO₂ emissions from heavy-duty vehicles","type":"webpage"},"uris":["http://www.mendeley.com/documents/?uuid=f9983f17-d424-48f4-b50d-a223bfc655a3"]}],"mendeley":{"formattedCitation":"[13]","plainTextFormattedCitation":"[13]","previouslyFormattedCitation":"[12]"},"properties":{"noteIndex":0},"schema":"https://github.com/citation-style-language/schema/raw/master/csl-citation.json"}</w:instrText>
      </w:r>
      <w:r w:rsidR="004D6E69" w:rsidRPr="00590BB6">
        <w:rPr>
          <w:rFonts w:cs="Times New Roman"/>
        </w:rPr>
        <w:fldChar w:fldCharType="separate"/>
      </w:r>
      <w:r w:rsidR="006F44A7" w:rsidRPr="00590BB6">
        <w:rPr>
          <w:rFonts w:cs="Times New Roman"/>
          <w:noProof/>
        </w:rPr>
        <w:t>[13]</w:t>
      </w:r>
      <w:r w:rsidR="004D6E69" w:rsidRPr="00590BB6">
        <w:rPr>
          <w:rFonts w:cs="Times New Roman"/>
        </w:rPr>
        <w:fldChar w:fldCharType="end"/>
      </w:r>
      <w:r w:rsidR="00591386" w:rsidRPr="00590BB6">
        <w:rPr>
          <w:rFonts w:cs="Times New Roman"/>
          <w:color w:val="404040"/>
        </w:rPr>
        <w:t>.</w:t>
      </w:r>
      <w:r w:rsidR="007D5A9E">
        <w:rPr>
          <w:rFonts w:cs="Times New Roman"/>
          <w:color w:val="404040"/>
        </w:rPr>
        <w:t xml:space="preserve"> </w:t>
      </w:r>
      <w:r w:rsidR="00FE23F4">
        <w:rPr>
          <w:rFonts w:cs="Times New Roman"/>
          <w:color w:val="404040"/>
        </w:rPr>
        <w:t>The imposition of stricter</w:t>
      </w:r>
      <w:r w:rsidR="007D5A9E">
        <w:rPr>
          <w:rFonts w:cs="Times New Roman"/>
          <w:color w:val="404040"/>
        </w:rPr>
        <w:t xml:space="preserve"> CO</w:t>
      </w:r>
      <w:r w:rsidR="007D5A9E" w:rsidRPr="007D5A9E">
        <w:rPr>
          <w:rFonts w:cs="Times New Roman"/>
          <w:color w:val="404040"/>
          <w:vertAlign w:val="subscript"/>
        </w:rPr>
        <w:t>2</w:t>
      </w:r>
      <w:r w:rsidR="007D5A9E">
        <w:rPr>
          <w:rFonts w:cs="Times New Roman"/>
          <w:color w:val="404040"/>
        </w:rPr>
        <w:t xml:space="preserve"> emission standards </w:t>
      </w:r>
      <w:r w:rsidR="00540614">
        <w:rPr>
          <w:rFonts w:cs="Times New Roman"/>
          <w:color w:val="404040"/>
        </w:rPr>
        <w:t xml:space="preserve">would allow to </w:t>
      </w:r>
      <w:r w:rsidR="00B83A51">
        <w:rPr>
          <w:rFonts w:cs="Times New Roman"/>
          <w:color w:val="404040"/>
        </w:rPr>
        <w:t>meet the</w:t>
      </w:r>
      <w:r w:rsidR="00E85D39">
        <w:rPr>
          <w:rFonts w:cs="Times New Roman"/>
          <w:color w:val="404040"/>
        </w:rPr>
        <w:t xml:space="preserve"> </w:t>
      </w:r>
      <w:r w:rsidR="00B83A51">
        <w:rPr>
          <w:rFonts w:cs="Times New Roman"/>
          <w:color w:val="404040"/>
        </w:rPr>
        <w:t>13 Mt of CO</w:t>
      </w:r>
      <w:r w:rsidR="00B83A51" w:rsidRPr="00FE23F4">
        <w:rPr>
          <w:rFonts w:cs="Times New Roman"/>
          <w:color w:val="404040"/>
          <w:vertAlign w:val="subscript"/>
        </w:rPr>
        <w:t>2</w:t>
      </w:r>
      <w:r w:rsidR="00B83A51">
        <w:rPr>
          <w:rFonts w:cs="Times New Roman"/>
          <w:color w:val="404040"/>
        </w:rPr>
        <w:t xml:space="preserve"> </w:t>
      </w:r>
      <w:r w:rsidR="00540614">
        <w:rPr>
          <w:rFonts w:cs="Times New Roman"/>
          <w:color w:val="404040"/>
        </w:rPr>
        <w:t xml:space="preserve">gap </w:t>
      </w:r>
      <w:r w:rsidR="00B83A51">
        <w:rPr>
          <w:rFonts w:cs="Times New Roman"/>
          <w:color w:val="404040"/>
        </w:rPr>
        <w:t xml:space="preserve">between </w:t>
      </w:r>
      <w:r w:rsidR="00FE23F4">
        <w:rPr>
          <w:rFonts w:cs="Times New Roman"/>
          <w:color w:val="404040"/>
        </w:rPr>
        <w:t xml:space="preserve">the </w:t>
      </w:r>
      <w:r w:rsidR="00B83A51">
        <w:rPr>
          <w:rFonts w:cs="Times New Roman"/>
          <w:color w:val="404040"/>
        </w:rPr>
        <w:t xml:space="preserve">“Fit for 55” package and the </w:t>
      </w:r>
      <w:proofErr w:type="spellStart"/>
      <w:r w:rsidR="00B83A51">
        <w:rPr>
          <w:rFonts w:cs="Times New Roman"/>
          <w:color w:val="404040"/>
        </w:rPr>
        <w:t>REPowerEU</w:t>
      </w:r>
      <w:proofErr w:type="spellEnd"/>
      <w:r w:rsidR="00B83A51">
        <w:rPr>
          <w:rFonts w:cs="Times New Roman"/>
          <w:color w:val="404040"/>
        </w:rPr>
        <w:t xml:space="preserve"> proposal plan</w:t>
      </w:r>
      <w:r w:rsidR="00540614">
        <w:rPr>
          <w:rFonts w:cs="Times New Roman"/>
          <w:color w:val="404040"/>
        </w:rPr>
        <w:t xml:space="preserve"> for the HDV segment alongside enlarging the scope for the emission standards to </w:t>
      </w:r>
      <w:r w:rsidR="00540614">
        <w:lastRenderedPageBreak/>
        <w:t>several currently unregulated HDVs, favouring the introduction of cost-optimal energy efficiency standards for trailers</w:t>
      </w:r>
      <w:r w:rsidR="00B83A51">
        <w:rPr>
          <w:rStyle w:val="FootnoteReference"/>
          <w:rFonts w:cs="Times New Roman"/>
          <w:color w:val="404040"/>
        </w:rPr>
        <w:footnoteReference w:id="3"/>
      </w:r>
      <w:r w:rsidR="00E85D39">
        <w:rPr>
          <w:rFonts w:cs="Times New Roman"/>
          <w:color w:val="404040"/>
        </w:rPr>
        <w:t>.</w:t>
      </w:r>
    </w:p>
    <w:p w14:paraId="1C8BB715" w14:textId="059596E7" w:rsidR="00C97DDF" w:rsidRPr="00590BB6" w:rsidRDefault="007D5A9E" w:rsidP="00EB78DD">
      <w:pPr>
        <w:spacing w:line="360" w:lineRule="auto"/>
        <w:jc w:val="both"/>
        <w:rPr>
          <w:rFonts w:cs="Times New Roman"/>
        </w:rPr>
      </w:pPr>
      <w:r>
        <w:rPr>
          <w:rFonts w:cs="Times New Roman"/>
        </w:rPr>
        <w:t>The</w:t>
      </w:r>
      <w:r w:rsidR="007B195B" w:rsidRPr="00590BB6">
        <w:rPr>
          <w:rFonts w:cs="Times New Roman"/>
        </w:rPr>
        <w:t xml:space="preserve"> literature </w:t>
      </w:r>
      <w:r>
        <w:rPr>
          <w:rFonts w:cs="Times New Roman"/>
        </w:rPr>
        <w:t xml:space="preserve">presents contributions </w:t>
      </w:r>
      <w:r w:rsidR="00224C38" w:rsidRPr="00590BB6">
        <w:rPr>
          <w:rFonts w:cs="Times New Roman"/>
        </w:rPr>
        <w:t>focused on</w:t>
      </w:r>
      <w:r w:rsidR="007B195B" w:rsidRPr="00590BB6">
        <w:rPr>
          <w:rFonts w:cs="Times New Roman"/>
        </w:rPr>
        <w:t xml:space="preserve"> </w:t>
      </w:r>
      <w:r w:rsidR="00224C38" w:rsidRPr="00590BB6">
        <w:rPr>
          <w:rFonts w:cs="Times New Roman"/>
        </w:rPr>
        <w:t>efficiency improvements in HDVs</w:t>
      </w:r>
      <w:r w:rsidR="007B195B" w:rsidRPr="00590BB6">
        <w:rPr>
          <w:rFonts w:cs="Times New Roman"/>
        </w:rPr>
        <w:t xml:space="preserve">. </w:t>
      </w:r>
      <w:r w:rsidR="009528EE" w:rsidRPr="00590BB6">
        <w:rPr>
          <w:rFonts w:cs="Times New Roman"/>
        </w:rPr>
        <w:t xml:space="preserve">Marzano et al. </w:t>
      </w:r>
      <w:r w:rsidR="009528EE" w:rsidRPr="00590BB6">
        <w:rPr>
          <w:rFonts w:cs="Times New Roman"/>
        </w:rPr>
        <w:fldChar w:fldCharType="begin" w:fldLock="1"/>
      </w:r>
      <w:r w:rsidR="006F44A7" w:rsidRPr="00590BB6">
        <w:rPr>
          <w:rFonts w:cs="Times New Roman"/>
        </w:rPr>
        <w:instrText>ADDIN CSL_CITATION {"citationItems":[{"id":"ITEM-1","itemData":{"DOI":"10.1016/j.tra.2022.07.001","ISSN":"09658564","abstract":"Truck platooning is expected to significantly affect road freight transport performances, although in the long term due to technological and operational issues still to address. Furthermore, truck platooning could be introduced with increasing levels of automation, corresponding to different technologies and operational costs. In parallel, various Countries promote freight-related infrastructural plans pursuing a modal shift from the road towards more sustainable modes (railways, sea shipping, inland waterways). The planning horizon of such infrastructures probably overlaps, at least partially, with a non-negligible market penetration of truck platooning. In this framework, the paper aims to explore the extent of a system-wide competition between existing freight modes and truck platooning, through an exploratory analysis of the potential market of truck platooning in Italy. The study is based on a comparative analysis of the cost of various freight modes, leveraging a multimodal nationwide freight supply model. Forty different scenarios have been modelled, with different assumptions on the input variables including three levels of automation. Results show that truck platooning could be highly competitive with respect to rail transport for medium to large distances. Competition with conventional road transport is significant as well, with a large contestable market share between truck platooning and traditional road freight, especially on medium to long distances, whilst maritime transport starts competing with truck platooning only in the case of (at least partially) unmanned truck platooning operations. The size of truck platoons impacts appreciably on results only with a manned leader truck and unmanned followers. Based on the above results it would be appropriate to consider track platooning as a new freight transport mode.","author":[{"dropping-particle":"","family":"Marzano","given":"Vittorio","non-dropping-particle":"","parse-names":false,"suffix":""},{"dropping-particle":"","family":"Tinessa","given":"Fiore","non-dropping-particle":"","parse-names":false,"suffix":""},{"dropping-particle":"","family":"Fiori","given":"Chiara","non-dropping-particle":"","parse-names":false,"suffix":""},{"dropping-particle":"","family":"Tocchi","given":"Daniela","non-dropping-particle":"","parse-names":false,"suffix":""},{"dropping-particle":"","family":"Papola","given":"Andrea","non-dropping-particle":"","parse-names":false,"suffix":""},{"dropping-particle":"","family":"Aponte","given":"Dario","non-dropping-particle":"","parse-names":false,"suffix":""},{"dropping-particle":"","family":"Cascetta","given":"Ennio","non-dropping-particle":"","parse-names":false,"suffix":""},{"dropping-particle":"","family":"Simonelli","given":"Fulvio","non-dropping-particle":"","parse-names":false,"suffix":""}],"container-title":"Transportation Research Part A: Policy and Practice","id":"ITEM-1","issue":"July","issued":{"date-parts":[["2022"]]},"page":"100-125","publisher":"Elsevier Ltd","title":"Impacts of truck platooning on the multimodal freight transport market: An exploratory assessment on a case study in Italy","type":"article-journal","volume":"163"},"uris":["http://www.mendeley.com/documents/?uuid=baaaf4e2-a474-478b-8826-deb4f9706cba","http://www.mendeley.com/documents/?uuid=53d15540-e6b8-4113-8ac8-643e00874c46"]}],"mendeley":{"formattedCitation":"[14]","plainTextFormattedCitation":"[14]","previouslyFormattedCitation":"[13]"},"properties":{"noteIndex":0},"schema":"https://github.com/citation-style-language/schema/raw/master/csl-citation.json"}</w:instrText>
      </w:r>
      <w:r w:rsidR="009528EE" w:rsidRPr="00590BB6">
        <w:rPr>
          <w:rFonts w:cs="Times New Roman"/>
        </w:rPr>
        <w:fldChar w:fldCharType="separate"/>
      </w:r>
      <w:r w:rsidR="006F44A7" w:rsidRPr="00590BB6">
        <w:rPr>
          <w:rFonts w:cs="Times New Roman"/>
          <w:noProof/>
        </w:rPr>
        <w:t>[14]</w:t>
      </w:r>
      <w:r w:rsidR="009528EE" w:rsidRPr="00590BB6">
        <w:rPr>
          <w:rFonts w:cs="Times New Roman"/>
        </w:rPr>
        <w:fldChar w:fldCharType="end"/>
      </w:r>
      <w:r w:rsidR="009528EE" w:rsidRPr="00590BB6">
        <w:rPr>
          <w:rFonts w:cs="Times New Roman"/>
        </w:rPr>
        <w:t xml:space="preserve"> evaluated the </w:t>
      </w:r>
      <w:r w:rsidR="00D822DC" w:rsidRPr="00590BB6">
        <w:rPr>
          <w:rFonts w:cs="Times New Roman"/>
        </w:rPr>
        <w:t>competitiveness</w:t>
      </w:r>
      <w:r w:rsidR="009528EE" w:rsidRPr="00590BB6">
        <w:rPr>
          <w:rFonts w:cs="Times New Roman"/>
        </w:rPr>
        <w:t xml:space="preserve"> of truck platooning</w:t>
      </w:r>
      <w:r w:rsidR="00E075A9" w:rsidRPr="00590BB6">
        <w:rPr>
          <w:rFonts w:cs="Times New Roman"/>
        </w:rPr>
        <w:t xml:space="preserve"> (</w:t>
      </w:r>
      <w:r w:rsidR="00D822DC" w:rsidRPr="00590BB6">
        <w:rPr>
          <w:rFonts w:cs="Times New Roman"/>
        </w:rPr>
        <w:t>i.e., the linking of two or more trucks in line</w:t>
      </w:r>
      <w:r w:rsidR="00E075A9" w:rsidRPr="00590BB6">
        <w:rPr>
          <w:rFonts w:cs="Times New Roman"/>
        </w:rPr>
        <w:t>)</w:t>
      </w:r>
      <w:r w:rsidR="00D822DC" w:rsidRPr="00590BB6">
        <w:rPr>
          <w:rFonts w:cs="Times New Roman"/>
        </w:rPr>
        <w:t xml:space="preserve"> in Italian roads </w:t>
      </w:r>
      <w:r w:rsidR="009528EE" w:rsidRPr="00590BB6">
        <w:rPr>
          <w:rFonts w:cs="Times New Roman"/>
        </w:rPr>
        <w:t xml:space="preserve">with different levels of automation </w:t>
      </w:r>
      <w:r w:rsidR="00D822DC" w:rsidRPr="00590BB6">
        <w:rPr>
          <w:rFonts w:cs="Times New Roman"/>
        </w:rPr>
        <w:t>through a multimodal freight supply model and suggested the consideration of th</w:t>
      </w:r>
      <w:r w:rsidR="009C7609" w:rsidRPr="00590BB6">
        <w:rPr>
          <w:rFonts w:cs="Times New Roman"/>
        </w:rPr>
        <w:t>is</w:t>
      </w:r>
      <w:r w:rsidR="00D822DC" w:rsidRPr="00590BB6">
        <w:rPr>
          <w:rFonts w:cs="Times New Roman"/>
        </w:rPr>
        <w:t xml:space="preserve"> technology as a viable freight mode. </w:t>
      </w:r>
      <w:r w:rsidR="00224C38" w:rsidRPr="00590BB6">
        <w:rPr>
          <w:rFonts w:cs="Times New Roman"/>
        </w:rPr>
        <w:t>Some contributions focuse</w:t>
      </w:r>
      <w:r w:rsidR="00543058" w:rsidRPr="00590BB6">
        <w:rPr>
          <w:rFonts w:cs="Times New Roman"/>
        </w:rPr>
        <w:t>d</w:t>
      </w:r>
      <w:r w:rsidR="00224C38" w:rsidRPr="00590BB6">
        <w:rPr>
          <w:rFonts w:cs="Times New Roman"/>
        </w:rPr>
        <w:t xml:space="preserve"> on alternative fuels.</w:t>
      </w:r>
      <w:r w:rsidR="00D822DC" w:rsidRPr="00590BB6">
        <w:rPr>
          <w:rFonts w:cs="Times New Roman"/>
        </w:rPr>
        <w:t xml:space="preserve"> Parolin et al. </w:t>
      </w:r>
      <w:r w:rsidR="00D822DC" w:rsidRPr="00590BB6">
        <w:rPr>
          <w:rFonts w:cs="Times New Roman"/>
        </w:rPr>
        <w:fldChar w:fldCharType="begin" w:fldLock="1"/>
      </w:r>
      <w:r w:rsidR="006F44A7" w:rsidRPr="00590BB6">
        <w:rPr>
          <w:rFonts w:cs="Times New Roman"/>
        </w:rPr>
        <w:instrText>ADDIN CSL_CITATION {"citationItems":[{"id":"ITEM-1","itemData":{"DOI":"10.1016/j.enconman.2022.115650","ISSN":"01968904","abstract":"Hydrogen deployment as an energy vector will play a crucial role in the decarbonization of the energy and industrial sectors. Its integration with the energy system requires the development of an adequate delivery infrastructure. The identification of an optimal design and operation strategy is complex due the variety of technological options in each stage of the hydrogen supply chain. This work develops a mixed-integer linear programming model to optimize the design and operation of a hydrogen infrastructure, comprising the entire supply chain from production to demand. A crucial novelty element is the combination of technical alternatives and modelling features. The proposed multi-modality formulation optimizes the transport technology at each stage, selecting between pipelines, compressed hydrogen trucks, and liquid hydrogen trucks. The pipeline and road networks are built through the model integration with a Geographic Information System, and the operation is tracked with a daily resolution, following the typical day approach. The model application looks at hydrogen employment for clean mobility in a long-term scenario in the Italian region of Sicily, assuming a demand of 1.1 million equivalent passenger cars (30% of today's stock). The resulting cost-optimal infrastructure features an average cost of delivered hydrogen of 3.81 €/kg, in line with mobility targets. The supply chain relies on the concurrent use of all transport modalities, thus showing that the multiplicity of options is a key asset in the development of a hydrogen economy.","author":[{"dropping-particle":"","family":"Parolin","given":"Federico","non-dropping-particle":"","parse-names":false,"suffix":""},{"dropping-particle":"","family":"Colbertaldo","given":"Paolo","non-dropping-particle":"","parse-names":false,"suffix":""},{"dropping-particle":"","family":"Campanari","given":"Stefano","non-dropping-particle":"","parse-names":false,"suffix":""}],"container-title":"Energy Conversion and Management","id":"ITEM-1","issue":"April","issued":{"date-parts":[["2022"]]},"page":"115650","publisher":"Elsevier Ltd","title":"Development of a multi-modality hydrogen delivery infrastructure: An optimization model for design and operation","type":"article-journal","volume":"266"},"uris":["http://www.mendeley.com/documents/?uuid=2fb9d1b4-2040-40d3-bc72-1e97450c2693","http://www.mendeley.com/documents/?uuid=0505dca4-3e3c-4322-8954-309d007240af"]}],"mendeley":{"formattedCitation":"[15]","plainTextFormattedCitation":"[15]","previouslyFormattedCitation":"[14]"},"properties":{"noteIndex":0},"schema":"https://github.com/citation-style-language/schema/raw/master/csl-citation.json"}</w:instrText>
      </w:r>
      <w:r w:rsidR="00D822DC" w:rsidRPr="00590BB6">
        <w:rPr>
          <w:rFonts w:cs="Times New Roman"/>
        </w:rPr>
        <w:fldChar w:fldCharType="separate"/>
      </w:r>
      <w:r w:rsidR="006F44A7" w:rsidRPr="00590BB6">
        <w:rPr>
          <w:rFonts w:cs="Times New Roman"/>
          <w:noProof/>
        </w:rPr>
        <w:t>[15]</w:t>
      </w:r>
      <w:r w:rsidR="00D822DC" w:rsidRPr="00590BB6">
        <w:rPr>
          <w:rFonts w:cs="Times New Roman"/>
        </w:rPr>
        <w:fldChar w:fldCharType="end"/>
      </w:r>
      <w:r w:rsidR="00D822DC" w:rsidRPr="00590BB6">
        <w:rPr>
          <w:rFonts w:cs="Times New Roman"/>
        </w:rPr>
        <w:t xml:space="preserve"> considered hydrogen as a fuel for clean mobility and modelled </w:t>
      </w:r>
      <w:r w:rsidR="00E075A9" w:rsidRPr="00590BB6">
        <w:rPr>
          <w:rFonts w:cs="Times New Roman"/>
        </w:rPr>
        <w:t xml:space="preserve">each stage of the hydrogen supply chain in </w:t>
      </w:r>
      <w:r w:rsidR="00224C38" w:rsidRPr="00590BB6">
        <w:rPr>
          <w:rFonts w:cs="Times New Roman"/>
        </w:rPr>
        <w:t xml:space="preserve">an </w:t>
      </w:r>
      <w:r w:rsidR="00E075A9" w:rsidRPr="00590BB6">
        <w:rPr>
          <w:rFonts w:cs="Times New Roman"/>
        </w:rPr>
        <w:t>Italian region</w:t>
      </w:r>
      <w:r w:rsidR="00D822DC" w:rsidRPr="00590BB6">
        <w:rPr>
          <w:rFonts w:cs="Times New Roman"/>
        </w:rPr>
        <w:t>.</w:t>
      </w:r>
      <w:r w:rsidR="00C97DDF" w:rsidRPr="00590BB6">
        <w:rPr>
          <w:rFonts w:cs="Times New Roman"/>
        </w:rPr>
        <w:t xml:space="preserve"> </w:t>
      </w:r>
      <w:proofErr w:type="spellStart"/>
      <w:r w:rsidR="00203A84" w:rsidRPr="00590BB6">
        <w:rPr>
          <w:rFonts w:cs="Times New Roman"/>
        </w:rPr>
        <w:t>Tratzi</w:t>
      </w:r>
      <w:proofErr w:type="spellEnd"/>
      <w:r w:rsidR="00203A84" w:rsidRPr="00590BB6">
        <w:rPr>
          <w:rFonts w:cs="Times New Roman"/>
        </w:rPr>
        <w:t xml:space="preserve"> et al. </w:t>
      </w:r>
      <w:r w:rsidR="00203A84" w:rsidRPr="00590BB6">
        <w:rPr>
          <w:rFonts w:cs="Times New Roman"/>
        </w:rPr>
        <w:fldChar w:fldCharType="begin" w:fldLock="1"/>
      </w:r>
      <w:r w:rsidR="006F44A7" w:rsidRPr="00590BB6">
        <w:rPr>
          <w:rFonts w:cs="Times New Roman"/>
        </w:rPr>
        <w:instrText>ADDIN CSL_CITATION {"citationItems":[{"id":"ITEM-1","itemData":{"DOI":"10.1016/j.trd.2022.103288","ISSN":"13619209","abstract":"While environmental benefits of biofuels in general are well known, the impact of liquefaction and carbon capture to the biomethane production chains are yet to be explored. Hence, a well-to-wheels (WtW) analysis of liquified biomethane (bio-LNG, or LBM) production chains was performed; Italy was chosen as case study, having more than 25% of EU methane refuelling stations. Despite increased emissions from the liquefaction process, LBM reaches a negative impact of −572 gCO2eq/km, as it addresses transport emissions and agricultural waste management at the same time. Nitrous oxides (NOx) emissions for biomethane and fossil fuels are mostly similar, as fuel combustion in the vehicle engine is a predominant source of NOx emissions compared to fuel production. The most intensive processes contributing to climate change were biomethane upgrading and liquefaction. Small-scale CO2 capture can provide additional GHG emissions reductions by 7.55 gCO2eq/MJ although this process is also more NOx-intensive compared to other production steps.","author":[{"dropping-particle":"","family":"Tratzi","given":"Patrizio","non-dropping-particle":"","parse-names":false,"suffix":""},{"dropping-particle":"","family":"Torre","given":"Marco","non-dropping-particle":"","parse-names":false,"suffix":""},{"dropping-particle":"","family":"Paolini","given":"Valerio","non-dropping-particle":"","parse-names":false,"suffix":""},{"dropping-particle":"","family":"Tomassetti","given":"Laura","non-dropping-particle":"","parse-names":false,"suffix":""},{"dropping-particle":"","family":"Montiroli","given":"Cassandra","non-dropping-particle":"","parse-names":false,"suffix":""},{"dropping-particle":"","family":"Manzo","given":"Eros","non-dropping-particle":"","parse-names":false,"suffix":""},{"dropping-particle":"","family":"Petracchini","given":"Francesco","non-dropping-particle":"","parse-names":false,"suffix":""}],"container-title":"Transportation Research Part D: Transport and Environment","id":"ITEM-1","issue":"April","issued":{"date-parts":[["2022"]]},"page":"103288","publisher":"Elsevier Ltd","title":"Liquefied biomethane for heavy-duty transport in Italy: A well-to-wheels approach","type":"article-journal","volume":"107"},"uris":["http://www.mendeley.com/documents/?uuid=18ae3b38-628a-4878-99af-b771cb20ceb1","http://www.mendeley.com/documents/?uuid=c284865c-f0f5-4f83-a334-7bc542510d77"]}],"mendeley":{"formattedCitation":"[16]","plainTextFormattedCitation":"[16]","previouslyFormattedCitation":"[15]"},"properties":{"noteIndex":0},"schema":"https://github.com/citation-style-language/schema/raw/master/csl-citation.json"}</w:instrText>
      </w:r>
      <w:r w:rsidR="00203A84" w:rsidRPr="00590BB6">
        <w:rPr>
          <w:rFonts w:cs="Times New Roman"/>
        </w:rPr>
        <w:fldChar w:fldCharType="separate"/>
      </w:r>
      <w:r w:rsidR="006F44A7" w:rsidRPr="00590BB6">
        <w:rPr>
          <w:rFonts w:cs="Times New Roman"/>
          <w:noProof/>
        </w:rPr>
        <w:t>[16]</w:t>
      </w:r>
      <w:r w:rsidR="00203A84" w:rsidRPr="00590BB6">
        <w:rPr>
          <w:rFonts w:cs="Times New Roman"/>
        </w:rPr>
        <w:fldChar w:fldCharType="end"/>
      </w:r>
      <w:r w:rsidR="00203A84" w:rsidRPr="00590BB6">
        <w:rPr>
          <w:rFonts w:cs="Times New Roman"/>
        </w:rPr>
        <w:t xml:space="preserve"> investigated</w:t>
      </w:r>
      <w:r w:rsidR="00A61C16" w:rsidRPr="00590BB6">
        <w:rPr>
          <w:rFonts w:cs="Times New Roman"/>
        </w:rPr>
        <w:t xml:space="preserve"> the</w:t>
      </w:r>
      <w:r w:rsidR="00C97DDF" w:rsidRPr="00590BB6">
        <w:rPr>
          <w:rFonts w:cs="Times New Roman"/>
        </w:rPr>
        <w:t xml:space="preserve"> use of liquefied biomethane for heavy-duty transport from a well-to-wheels approach</w:t>
      </w:r>
      <w:r w:rsidR="00E075A9" w:rsidRPr="00590BB6">
        <w:rPr>
          <w:rFonts w:cs="Times New Roman"/>
        </w:rPr>
        <w:t>,</w:t>
      </w:r>
      <w:r w:rsidR="009C7609" w:rsidRPr="00590BB6">
        <w:rPr>
          <w:rFonts w:cs="Times New Roman"/>
        </w:rPr>
        <w:t xml:space="preserve"> </w:t>
      </w:r>
      <w:r w:rsidR="00E075A9" w:rsidRPr="00590BB6">
        <w:rPr>
          <w:rFonts w:cs="Times New Roman"/>
        </w:rPr>
        <w:t>emphasising the impact of</w:t>
      </w:r>
      <w:r w:rsidR="00A61C16" w:rsidRPr="00590BB6">
        <w:rPr>
          <w:rFonts w:cs="Times New Roman"/>
        </w:rPr>
        <w:t xml:space="preserve"> carbon capture and liquefaction processes </w:t>
      </w:r>
      <w:r w:rsidR="00E075A9" w:rsidRPr="00590BB6">
        <w:rPr>
          <w:rFonts w:cs="Times New Roman"/>
        </w:rPr>
        <w:t>on production chains</w:t>
      </w:r>
      <w:r w:rsidR="00A61C16" w:rsidRPr="00590BB6">
        <w:rPr>
          <w:rFonts w:cs="Times New Roman"/>
        </w:rPr>
        <w:t>.</w:t>
      </w:r>
      <w:r w:rsidR="005C0D4D" w:rsidRPr="00590BB6">
        <w:rPr>
          <w:rFonts w:cs="Times New Roman"/>
        </w:rPr>
        <w:t xml:space="preserve"> Chinese et al. </w:t>
      </w:r>
      <w:r w:rsidR="005C0D4D" w:rsidRPr="00590BB6">
        <w:rPr>
          <w:rFonts w:cs="Times New Roman"/>
        </w:rPr>
        <w:fldChar w:fldCharType="begin" w:fldLock="1"/>
      </w:r>
      <w:r w:rsidR="006F44A7" w:rsidRPr="00590BB6">
        <w:rPr>
          <w:rFonts w:cs="Times New Roman"/>
        </w:rPr>
        <w:instrText>ADDIN CSL_CITATION {"citationItems":[{"id":"ITEM-1","itemData":{"DOI":"10.1007/978-3-319-04630-3_6","ISBN":"978-3-319-04630-3","abstract":"CNG is an example of alternative gaseous fuel whose market development requires supply infrastructure (pipelines), refuelling stations and alternative vehicles to exist at the same time, which is known as the ``chicken and egg dilemma''. In this chapter, a case study of limited or locally nonexistent market development for CNG in an Italian frontier region is analyzed and a mixed integer non linear programming model is introduced to evaluate the effect of incentive measures envisaged by the regional government to foster refuelling station development. It is found that, taking an entrepreneurs' perspective of maximizing profits, even with substantial capital grants investors are more likely to choose higher demand areas, in spite of fiercer competition, rather than areas without stations. Subsidies should be more specifically targeted to critical areas to be efficient.","author":[{"dropping-particle":"","family":"Chinese","given":"Damiana","non-dropping-particle":"","parse-names":false,"suffix":""},{"dropping-particle":"","family":"Patrizio","given":"Piera","non-dropping-particle":"","parse-names":false,"suffix":""},{"dropping-particle":"","family":"Bonotto","given":"Monica","non-dropping-particle":"","parse-names":false,"suffix":""}],"container-title":"Computer-based Modelling and Optimization in Transportation","editor":[{"dropping-particle":"","family":"Sousa","given":"Jorge Freire","non-dropping-particle":"de","parse-names":false,"suffix":""},{"dropping-particle":"","family":"Rossi","given":"Riccardo","non-dropping-particle":"","parse-names":false,"suffix":""}],"id":"ITEM-1","issued":{"date-parts":[["2014"]]},"page":"71-84","publisher":"Springer International Publishing","publisher-place":"Cham","title":"A Service Station Location Model to Explore Prospects and Policies for Alternative Transport Fuels: A Case of CNG Distribution in Italy","type":"chapter"},"uris":["http://www.mendeley.com/documents/?uuid=c1c9fd5b-37e0-45b5-b619-69aec0fce801","http://www.mendeley.com/documents/?uuid=80fe60fd-dcc4-4485-b14f-546a838a3d50"]}],"mendeley":{"formattedCitation":"[17]","plainTextFormattedCitation":"[17]","previouslyFormattedCitation":"[16]"},"properties":{"noteIndex":0},"schema":"https://github.com/citation-style-language/schema/raw/master/csl-citation.json"}</w:instrText>
      </w:r>
      <w:r w:rsidR="005C0D4D" w:rsidRPr="00590BB6">
        <w:rPr>
          <w:rFonts w:cs="Times New Roman"/>
        </w:rPr>
        <w:fldChar w:fldCharType="separate"/>
      </w:r>
      <w:r w:rsidR="006F44A7" w:rsidRPr="00590BB6">
        <w:rPr>
          <w:rFonts w:cs="Times New Roman"/>
          <w:noProof/>
        </w:rPr>
        <w:t>[17]</w:t>
      </w:r>
      <w:r w:rsidR="005C0D4D" w:rsidRPr="00590BB6">
        <w:rPr>
          <w:rFonts w:cs="Times New Roman"/>
        </w:rPr>
        <w:fldChar w:fldCharType="end"/>
      </w:r>
      <w:r w:rsidR="005C0D4D" w:rsidRPr="00590BB6">
        <w:rPr>
          <w:rFonts w:cs="Times New Roman"/>
        </w:rPr>
        <w:t xml:space="preserve"> </w:t>
      </w:r>
      <w:r w:rsidR="00E075A9" w:rsidRPr="00590BB6">
        <w:rPr>
          <w:rFonts w:cs="Times New Roman"/>
        </w:rPr>
        <w:t>assessed the development of the required infrastructure to support the use of</w:t>
      </w:r>
      <w:r w:rsidR="009C7609" w:rsidRPr="00590BB6">
        <w:rPr>
          <w:rFonts w:cs="Times New Roman"/>
        </w:rPr>
        <w:t xml:space="preserve"> </w:t>
      </w:r>
      <w:r w:rsidR="005C0D4D" w:rsidRPr="00590BB6">
        <w:rPr>
          <w:rFonts w:cs="Times New Roman"/>
        </w:rPr>
        <w:t xml:space="preserve">compressed natural gas (CNG) </w:t>
      </w:r>
      <w:r w:rsidR="00E075A9" w:rsidRPr="00590BB6">
        <w:rPr>
          <w:rFonts w:cs="Times New Roman"/>
        </w:rPr>
        <w:t>in</w:t>
      </w:r>
      <w:r w:rsidR="009C7609" w:rsidRPr="00590BB6">
        <w:rPr>
          <w:rFonts w:cs="Times New Roman"/>
        </w:rPr>
        <w:t xml:space="preserve"> </w:t>
      </w:r>
      <w:r w:rsidR="005C0D4D" w:rsidRPr="00590BB6">
        <w:rPr>
          <w:rFonts w:cs="Times New Roman"/>
        </w:rPr>
        <w:t>the transport sector</w:t>
      </w:r>
      <w:r w:rsidR="00E075A9" w:rsidRPr="00590BB6">
        <w:rPr>
          <w:rFonts w:cs="Times New Roman"/>
        </w:rPr>
        <w:t>,</w:t>
      </w:r>
      <w:r w:rsidR="00EE57EF" w:rsidRPr="00590BB6">
        <w:rPr>
          <w:rFonts w:cs="Times New Roman"/>
        </w:rPr>
        <w:t xml:space="preserve"> modelling</w:t>
      </w:r>
      <w:r w:rsidR="005C0D4D" w:rsidRPr="00590BB6">
        <w:rPr>
          <w:rFonts w:cs="Times New Roman"/>
        </w:rPr>
        <w:t xml:space="preserve"> the effect of different incentive measures towards expanding refuelling stations’ infrastructure in Italy.</w:t>
      </w:r>
      <w:r w:rsidR="00EE57EF" w:rsidRPr="00590BB6">
        <w:rPr>
          <w:rFonts w:cs="Times New Roman"/>
        </w:rPr>
        <w:t xml:space="preserve"> </w:t>
      </w:r>
      <w:r w:rsidR="00543058" w:rsidRPr="00590BB6">
        <w:rPr>
          <w:rFonts w:cs="Times New Roman"/>
        </w:rPr>
        <w:t xml:space="preserve">Other contributions focused on estimating gaps with current policies for achieving a zero-carbon truck sector in Italy. For example, </w:t>
      </w:r>
      <w:proofErr w:type="spellStart"/>
      <w:r w:rsidR="002E6582" w:rsidRPr="00590BB6">
        <w:rPr>
          <w:rFonts w:cs="Times New Roman"/>
        </w:rPr>
        <w:t>Stenning</w:t>
      </w:r>
      <w:proofErr w:type="spellEnd"/>
      <w:r w:rsidR="002E6582" w:rsidRPr="00590BB6">
        <w:rPr>
          <w:rFonts w:cs="Times New Roman"/>
        </w:rPr>
        <w:t xml:space="preserve"> et al. </w:t>
      </w:r>
      <w:r w:rsidR="002E6582" w:rsidRPr="00590BB6">
        <w:rPr>
          <w:rFonts w:cs="Times New Roman"/>
        </w:rPr>
        <w:fldChar w:fldCharType="begin" w:fldLock="1"/>
      </w:r>
      <w:r w:rsidR="006F44A7" w:rsidRPr="00590BB6">
        <w:rPr>
          <w:rFonts w:cs="Times New Roman"/>
        </w:rPr>
        <w:instrText>ADDIN CSL_CITATION {"citationItems":[{"id":"ITEM-1","itemData":{"author":[{"dropping-particle":"","family":"Stenning","given":"Jon","non-dropping-particle":"","parse-names":false,"suffix":""},{"dropping-particle":"","family":"Caspani","given":"Matteo","non-dropping-particle":"","parse-names":false,"suffix":""},{"dropping-particle":"","family":"Hartvig","given":"Áron","non-dropping-particle":"","parse-names":false,"suffix":""}],"id":"ITEM-1","issue":"September","issued":{"date-parts":[["2021"]]},"publisher-place":"Cambridge, UK","title":"Potential options and technology pathways for delivering zero-carbon freight in Italy","type":"report"},"uris":["http://www.mendeley.com/documents/?uuid=e5266a38-0395-4abb-9dde-7b44774f9c3b","http://www.mendeley.com/documents/?uuid=85bbf112-d2ea-4846-b03b-00dd8d2c7d56"]}],"mendeley":{"formattedCitation":"[18]","plainTextFormattedCitation":"[18]","previouslyFormattedCitation":"[17]"},"properties":{"noteIndex":0},"schema":"https://github.com/citation-style-language/schema/raw/master/csl-citation.json"}</w:instrText>
      </w:r>
      <w:r w:rsidR="002E6582" w:rsidRPr="00590BB6">
        <w:rPr>
          <w:rFonts w:cs="Times New Roman"/>
        </w:rPr>
        <w:fldChar w:fldCharType="separate"/>
      </w:r>
      <w:r w:rsidR="006F44A7" w:rsidRPr="00590BB6">
        <w:rPr>
          <w:rFonts w:cs="Times New Roman"/>
          <w:noProof/>
        </w:rPr>
        <w:t>[18]</w:t>
      </w:r>
      <w:r w:rsidR="002E6582" w:rsidRPr="00590BB6">
        <w:rPr>
          <w:rFonts w:cs="Times New Roman"/>
        </w:rPr>
        <w:fldChar w:fldCharType="end"/>
      </w:r>
      <w:r w:rsidR="002E6582" w:rsidRPr="00590BB6">
        <w:rPr>
          <w:rFonts w:cs="Times New Roman"/>
        </w:rPr>
        <w:t xml:space="preserve"> </w:t>
      </w:r>
      <w:r w:rsidR="00543058" w:rsidRPr="00590BB6">
        <w:rPr>
          <w:rFonts w:cs="Times New Roman"/>
        </w:rPr>
        <w:t xml:space="preserve">used a macro-econometric model to </w:t>
      </w:r>
      <w:r w:rsidR="005013EE" w:rsidRPr="00590BB6">
        <w:rPr>
          <w:rFonts w:cs="Times New Roman"/>
        </w:rPr>
        <w:t>assess</w:t>
      </w:r>
      <w:r w:rsidR="002E6582" w:rsidRPr="00590BB6">
        <w:rPr>
          <w:rFonts w:cs="Times New Roman"/>
        </w:rPr>
        <w:t xml:space="preserve"> </w:t>
      </w:r>
      <w:r w:rsidR="00E075A9" w:rsidRPr="00590BB6">
        <w:rPr>
          <w:rFonts w:cs="Times New Roman"/>
        </w:rPr>
        <w:t xml:space="preserve">the techno-economic potential </w:t>
      </w:r>
      <w:r w:rsidR="002E6582" w:rsidRPr="00590BB6">
        <w:rPr>
          <w:rFonts w:cs="Times New Roman"/>
        </w:rPr>
        <w:t>to deliver a zero-carbon freight in Italy</w:t>
      </w:r>
      <w:r w:rsidR="00A70F82" w:rsidRPr="00590BB6">
        <w:rPr>
          <w:rFonts w:cs="Times New Roman"/>
        </w:rPr>
        <w:t xml:space="preserve"> </w:t>
      </w:r>
      <w:r w:rsidR="00543058" w:rsidRPr="00590BB6">
        <w:rPr>
          <w:rFonts w:cs="Times New Roman"/>
        </w:rPr>
        <w:t>by</w:t>
      </w:r>
      <w:r w:rsidR="00A70F82" w:rsidRPr="00590BB6">
        <w:rPr>
          <w:rFonts w:cs="Times New Roman"/>
        </w:rPr>
        <w:t xml:space="preserve"> 2050</w:t>
      </w:r>
      <w:r w:rsidR="00CD2FE3" w:rsidRPr="00590BB6">
        <w:rPr>
          <w:rFonts w:cs="Times New Roman"/>
        </w:rPr>
        <w:t xml:space="preserve"> co</w:t>
      </w:r>
      <w:r w:rsidR="00543058" w:rsidRPr="00590BB6">
        <w:rPr>
          <w:rFonts w:cs="Times New Roman"/>
        </w:rPr>
        <w:t xml:space="preserve">mparing emission reduction required by </w:t>
      </w:r>
      <w:r w:rsidR="008B432C" w:rsidRPr="00590BB6">
        <w:rPr>
          <w:rFonts w:cs="Times New Roman"/>
        </w:rPr>
        <w:t>policies</w:t>
      </w:r>
      <w:r w:rsidR="00543058" w:rsidRPr="00590BB6">
        <w:rPr>
          <w:rFonts w:cs="Times New Roman"/>
        </w:rPr>
        <w:t xml:space="preserve"> where in addition to internal combustion engine (ICE), </w:t>
      </w:r>
      <w:r w:rsidR="008B432C" w:rsidRPr="00590BB6">
        <w:rPr>
          <w:rFonts w:cs="Times New Roman"/>
        </w:rPr>
        <w:t xml:space="preserve">the deployment of </w:t>
      </w:r>
      <w:r w:rsidR="00543058" w:rsidRPr="00590BB6">
        <w:rPr>
          <w:rFonts w:cs="Times New Roman"/>
        </w:rPr>
        <w:t xml:space="preserve">advanced powertrain fleet including </w:t>
      </w:r>
      <w:r w:rsidR="00CD2FE3" w:rsidRPr="00590BB6">
        <w:rPr>
          <w:rFonts w:cs="Times New Roman"/>
        </w:rPr>
        <w:t xml:space="preserve">battery </w:t>
      </w:r>
      <w:r w:rsidR="00E075A9" w:rsidRPr="00590BB6">
        <w:rPr>
          <w:rFonts w:cs="Times New Roman"/>
        </w:rPr>
        <w:t>electric vehicles</w:t>
      </w:r>
      <w:r w:rsidR="005013EE" w:rsidRPr="00590BB6">
        <w:rPr>
          <w:rFonts w:cs="Times New Roman"/>
        </w:rPr>
        <w:t xml:space="preserve"> </w:t>
      </w:r>
      <w:r w:rsidR="00E075A9" w:rsidRPr="00590BB6">
        <w:rPr>
          <w:rFonts w:cs="Times New Roman"/>
        </w:rPr>
        <w:t>(B</w:t>
      </w:r>
      <w:r w:rsidR="005013EE" w:rsidRPr="00590BB6">
        <w:rPr>
          <w:rFonts w:cs="Times New Roman"/>
        </w:rPr>
        <w:t>EV</w:t>
      </w:r>
      <w:r w:rsidR="00A70F82" w:rsidRPr="00590BB6">
        <w:rPr>
          <w:rFonts w:cs="Times New Roman"/>
        </w:rPr>
        <w:t>s</w:t>
      </w:r>
      <w:r w:rsidR="00E075A9" w:rsidRPr="00590BB6">
        <w:rPr>
          <w:rFonts w:cs="Times New Roman"/>
        </w:rPr>
        <w:t>)</w:t>
      </w:r>
      <w:r w:rsidR="00A70F82" w:rsidRPr="00590BB6">
        <w:rPr>
          <w:rFonts w:cs="Times New Roman"/>
        </w:rPr>
        <w:t>, and fuel-cell electric vehicles (FCEV</w:t>
      </w:r>
      <w:r w:rsidR="00E075A9" w:rsidRPr="00590BB6">
        <w:rPr>
          <w:rFonts w:cs="Times New Roman"/>
        </w:rPr>
        <w:t>s</w:t>
      </w:r>
      <w:r w:rsidR="00A70F82" w:rsidRPr="00590BB6">
        <w:rPr>
          <w:rFonts w:cs="Times New Roman"/>
        </w:rPr>
        <w:t>)</w:t>
      </w:r>
      <w:r w:rsidR="00543058" w:rsidRPr="00590BB6">
        <w:rPr>
          <w:rFonts w:cs="Times New Roman"/>
        </w:rPr>
        <w:t xml:space="preserve"> </w:t>
      </w:r>
      <w:r w:rsidR="008B432C" w:rsidRPr="00590BB6">
        <w:rPr>
          <w:rFonts w:cs="Times New Roman"/>
        </w:rPr>
        <w:t xml:space="preserve">was enforced </w:t>
      </w:r>
      <w:r w:rsidR="002D2F80" w:rsidRPr="00590BB6">
        <w:rPr>
          <w:rFonts w:cs="Times New Roman"/>
        </w:rPr>
        <w:t xml:space="preserve">by setting vehicle sale mixes </w:t>
      </w:r>
      <w:r w:rsidR="008B432C" w:rsidRPr="00590BB6">
        <w:rPr>
          <w:rFonts w:cs="Times New Roman"/>
        </w:rPr>
        <w:t>and the result</w:t>
      </w:r>
      <w:r w:rsidR="002D2F80" w:rsidRPr="00590BB6">
        <w:rPr>
          <w:rFonts w:cs="Times New Roman"/>
        </w:rPr>
        <w:t>ing</w:t>
      </w:r>
      <w:r w:rsidR="008B432C" w:rsidRPr="00590BB6">
        <w:rPr>
          <w:rFonts w:cs="Times New Roman"/>
        </w:rPr>
        <w:t xml:space="preserve"> emissions estimated</w:t>
      </w:r>
      <w:r w:rsidR="00E075A9" w:rsidRPr="00590BB6">
        <w:rPr>
          <w:rFonts w:cs="Times New Roman"/>
        </w:rPr>
        <w:t>.</w:t>
      </w:r>
      <w:r w:rsidR="00022598" w:rsidRPr="00590BB6">
        <w:rPr>
          <w:rFonts w:cs="Times New Roman"/>
        </w:rPr>
        <w:t xml:space="preserve"> </w:t>
      </w:r>
      <w:r w:rsidR="00543058" w:rsidRPr="00590BB6">
        <w:rPr>
          <w:rFonts w:cs="Times New Roman"/>
        </w:rPr>
        <w:t>Finally, other contributions are available o</w:t>
      </w:r>
      <w:r w:rsidR="00CD2FE3" w:rsidRPr="00590BB6">
        <w:rPr>
          <w:rFonts w:cs="Times New Roman"/>
        </w:rPr>
        <w:t>n a global scale,</w:t>
      </w:r>
      <w:r w:rsidR="00022598" w:rsidRPr="00590BB6">
        <w:rPr>
          <w:rFonts w:cs="Times New Roman"/>
        </w:rPr>
        <w:t xml:space="preserve"> </w:t>
      </w:r>
      <w:r w:rsidR="00543058" w:rsidRPr="00590BB6">
        <w:rPr>
          <w:rFonts w:cs="Times New Roman"/>
        </w:rPr>
        <w:t xml:space="preserve">where </w:t>
      </w:r>
      <w:r w:rsidR="00CD2FE3" w:rsidRPr="00590BB6">
        <w:rPr>
          <w:rFonts w:cs="Times New Roman"/>
        </w:rPr>
        <w:t>energy system models</w:t>
      </w:r>
      <w:r w:rsidR="000739FE" w:rsidRPr="00590BB6">
        <w:rPr>
          <w:rFonts w:cs="Times New Roman"/>
        </w:rPr>
        <w:t xml:space="preserve"> applying a bottom</w:t>
      </w:r>
      <w:r w:rsidR="00543058" w:rsidRPr="00590BB6">
        <w:rPr>
          <w:rFonts w:cs="Times New Roman"/>
        </w:rPr>
        <w:t>-</w:t>
      </w:r>
      <w:r w:rsidR="000739FE" w:rsidRPr="00590BB6">
        <w:rPr>
          <w:rFonts w:cs="Times New Roman"/>
        </w:rPr>
        <w:t xml:space="preserve">up optimisation </w:t>
      </w:r>
      <w:r w:rsidR="00543058" w:rsidRPr="00590BB6">
        <w:rPr>
          <w:rFonts w:cs="Times New Roman"/>
        </w:rPr>
        <w:t>approaches</w:t>
      </w:r>
      <w:r w:rsidR="002D2F80" w:rsidRPr="00590BB6">
        <w:rPr>
          <w:rStyle w:val="FootnoteReference"/>
          <w:rFonts w:cs="Times New Roman"/>
        </w:rPr>
        <w:footnoteReference w:id="4"/>
      </w:r>
      <w:r w:rsidR="00CD2FE3" w:rsidRPr="00590BB6">
        <w:rPr>
          <w:rFonts w:cs="Times New Roman"/>
        </w:rPr>
        <w:t>,</w:t>
      </w:r>
      <w:r w:rsidR="00022598" w:rsidRPr="00590BB6">
        <w:rPr>
          <w:rFonts w:cs="Times New Roman"/>
        </w:rPr>
        <w:t xml:space="preserve"> such as </w:t>
      </w:r>
      <w:r w:rsidR="00543058" w:rsidRPr="00590BB6">
        <w:rPr>
          <w:rFonts w:cs="Times New Roman"/>
        </w:rPr>
        <w:t xml:space="preserve">the </w:t>
      </w:r>
      <w:r w:rsidR="00FF0FA2" w:rsidRPr="00590BB6">
        <w:rPr>
          <w:rFonts w:cs="Times New Roman"/>
        </w:rPr>
        <w:t>‘</w:t>
      </w:r>
      <w:r w:rsidR="00022598" w:rsidRPr="00590BB6">
        <w:rPr>
          <w:rFonts w:cs="Times New Roman"/>
        </w:rPr>
        <w:t>The Integrated MARKAL-EFOM System</w:t>
      </w:r>
      <w:r w:rsidR="00FF0FA2" w:rsidRPr="00590BB6">
        <w:rPr>
          <w:rFonts w:cs="Times New Roman"/>
        </w:rPr>
        <w:t>’</w:t>
      </w:r>
      <w:r w:rsidR="00022598" w:rsidRPr="00590BB6">
        <w:rPr>
          <w:rFonts w:cs="Times New Roman"/>
        </w:rPr>
        <w:t xml:space="preserve"> (TIMES) model</w:t>
      </w:r>
      <w:r w:rsidR="00CD2FE3" w:rsidRPr="00590BB6">
        <w:rPr>
          <w:rFonts w:cs="Times New Roman"/>
        </w:rPr>
        <w:t>, have been used to assess the development of alternative powertrain options and fuels</w:t>
      </w:r>
      <w:r w:rsidR="00022598" w:rsidRPr="00590BB6">
        <w:rPr>
          <w:rFonts w:cs="Times New Roman"/>
        </w:rPr>
        <w:t xml:space="preserve"> </w:t>
      </w:r>
      <w:r w:rsidR="00022598" w:rsidRPr="00590BB6">
        <w:rPr>
          <w:rFonts w:cs="Times New Roman"/>
        </w:rPr>
        <w:fldChar w:fldCharType="begin" w:fldLock="1"/>
      </w:r>
      <w:r w:rsidR="006F44A7" w:rsidRPr="00590BB6">
        <w:rPr>
          <w:rFonts w:cs="Times New Roman"/>
        </w:rPr>
        <w:instrText>ADDIN CSL_CITATION {"citationItems":[{"id":"ITEM-1","itemData":{"DOI":"10.1016/j.egyr.2019.07.017","ISSN":"23524847","abstract":"With about 22%, the transport sector is one of the largest global emitters of the greenhouse gas CO2. Long-distance road freight transport accounts for a large and rising share within this sector. For this reason, in February 2019, the European Union agreed to introduce CO2 emission standards following Canada, China, Japan and the United States. One way to reduce CO2 emissions from long-distance road freight transport is to use alternative powertrains in trucks — especially heavy-duty vehicles (HDV) because of their high mileage, weight and fuel consumption. Multiple alternative fuels and powertrains (AFPs) have been proposed as potential options to lower CO2 emissions. However, the current research does not paint a clear picture of the path towards decarbonizing transport that uses AFPs in HDVs. The aim of this literature review is to understand the current state of research on the market diffusion of HDVs with alternative powertrains. We present a summary of market diffusion studies of AFPs in HDVs, including their methods, main findings and policy recommendations. We compare and synthesize the results of these studies to identify strengths and weaknesses in the field, and to propose further options to improve AFP HDV market diffusion modelling. All the studies expect AFPs on a small scale in their reference scenarios under current regulations. In climate protection scenarios, however, AFPs dominate the market, indicating their positive effect on CO2 reduction. There is a high degree of uncertainty regarding the emergence of a superior AFP technology for HDVs. The authors of this review recommend more research into policy measures, and that infrastructure development and energy supply should be included in order to obtain a holistic understanding of modelling AFP market diffusion for HDVs.","author":[{"dropping-particle":"","family":"Kluschke","given":"Philipp","non-dropping-particle":"","parse-names":false,"suffix":""},{"dropping-particle":"","family":"Gnann","given":"Till","non-dropping-particle":"","parse-names":false,"suffix":""},{"dropping-particle":"","family":"Plötz","given":"Patrick","non-dropping-particle":"","parse-names":false,"suffix":""},{"dropping-particle":"","family":"Wietschel","given":"Martin","non-dropping-particle":"","parse-names":false,"suffix":""}],"container-title":"Energy Reports","id":"ITEM-1","issued":{"date-parts":[["2019"]]},"page":"1010-1024","publisher":"Elsevier Ltd","title":"Market diffusion of alternative fuels and powertrains in heavy-duty vehicles: A literature review","type":"article-journal","volume":"5"},"uris":["http://www.mendeley.com/documents/?uuid=05a0fa9f-c1e3-4761-8be7-f94a30f95a50","http://www.mendeley.com/documents/?uuid=ce0d2116-fa0b-4c35-8983-d59a67fdd0c1"]}],"mendeley":{"formattedCitation":"[19]","plainTextFormattedCitation":"[19]","previouslyFormattedCitation":"[18]"},"properties":{"noteIndex":0},"schema":"https://github.com/citation-style-language/schema/raw/master/csl-citation.json"}</w:instrText>
      </w:r>
      <w:r w:rsidR="00022598" w:rsidRPr="00590BB6">
        <w:rPr>
          <w:rFonts w:cs="Times New Roman"/>
        </w:rPr>
        <w:fldChar w:fldCharType="separate"/>
      </w:r>
      <w:r w:rsidR="006F44A7" w:rsidRPr="00590BB6">
        <w:rPr>
          <w:rFonts w:cs="Times New Roman"/>
          <w:noProof/>
        </w:rPr>
        <w:t>[19]</w:t>
      </w:r>
      <w:r w:rsidR="00022598" w:rsidRPr="00590BB6">
        <w:rPr>
          <w:rFonts w:cs="Times New Roman"/>
        </w:rPr>
        <w:fldChar w:fldCharType="end"/>
      </w:r>
      <w:r w:rsidR="00022598" w:rsidRPr="00590BB6">
        <w:rPr>
          <w:rFonts w:cs="Times New Roman"/>
        </w:rPr>
        <w:t>.</w:t>
      </w:r>
    </w:p>
    <w:p w14:paraId="2F639284" w14:textId="1EB1ECA6" w:rsidR="00EB78DD" w:rsidRPr="00590BB6" w:rsidRDefault="002D2F80" w:rsidP="00600286">
      <w:pPr>
        <w:spacing w:line="360" w:lineRule="auto"/>
        <w:jc w:val="both"/>
        <w:rPr>
          <w:rFonts w:cs="Times New Roman"/>
        </w:rPr>
      </w:pPr>
      <w:r w:rsidRPr="00590BB6">
        <w:rPr>
          <w:rFonts w:cs="Times New Roman"/>
        </w:rPr>
        <w:t>In the quest for a solution to the truck decarbonisation sector, t</w:t>
      </w:r>
      <w:r w:rsidR="008B432C" w:rsidRPr="00590BB6">
        <w:rPr>
          <w:rFonts w:cs="Times New Roman"/>
        </w:rPr>
        <w:t xml:space="preserve">here is </w:t>
      </w:r>
      <w:r w:rsidRPr="00590BB6">
        <w:rPr>
          <w:rFonts w:cs="Times New Roman"/>
        </w:rPr>
        <w:t>no national study where technology uptake</w:t>
      </w:r>
      <w:r w:rsidR="00B123DF" w:rsidRPr="00590BB6">
        <w:rPr>
          <w:rFonts w:cs="Times New Roman"/>
        </w:rPr>
        <w:t>, and the corresponding technology sales,</w:t>
      </w:r>
      <w:r w:rsidRPr="00590BB6">
        <w:rPr>
          <w:rFonts w:cs="Times New Roman"/>
        </w:rPr>
        <w:t xml:space="preserve"> </w:t>
      </w:r>
      <w:r w:rsidR="00B123DF" w:rsidRPr="00590BB6">
        <w:rPr>
          <w:rFonts w:cs="Times New Roman"/>
        </w:rPr>
        <w:t>are</w:t>
      </w:r>
      <w:r w:rsidRPr="00590BB6">
        <w:rPr>
          <w:rFonts w:cs="Times New Roman"/>
        </w:rPr>
        <w:t xml:space="preserve"> the result of techn</w:t>
      </w:r>
      <w:r w:rsidR="00B123DF" w:rsidRPr="00590BB6">
        <w:rPr>
          <w:rFonts w:cs="Times New Roman"/>
        </w:rPr>
        <w:t>o-economic</w:t>
      </w:r>
      <w:r w:rsidRPr="00590BB6">
        <w:rPr>
          <w:rFonts w:cs="Times New Roman"/>
        </w:rPr>
        <w:t xml:space="preserve">, market, </w:t>
      </w:r>
      <w:r w:rsidR="00B123DF" w:rsidRPr="00590BB6">
        <w:rPr>
          <w:rFonts w:cs="Times New Roman"/>
        </w:rPr>
        <w:t xml:space="preserve">and </w:t>
      </w:r>
      <w:r w:rsidRPr="00590BB6">
        <w:rPr>
          <w:rFonts w:cs="Times New Roman"/>
        </w:rPr>
        <w:t>policy conditions, a</w:t>
      </w:r>
      <w:r w:rsidR="00B123DF" w:rsidRPr="00590BB6">
        <w:rPr>
          <w:rFonts w:cs="Times New Roman"/>
        </w:rPr>
        <w:t>s well as the result of</w:t>
      </w:r>
      <w:r w:rsidRPr="00590BB6">
        <w:rPr>
          <w:rFonts w:cs="Times New Roman"/>
        </w:rPr>
        <w:t xml:space="preserve"> changed geopolitical contexts due to the COVID-19 pandemic in 2020 and the Ukrain</w:t>
      </w:r>
      <w:r w:rsidR="00B123DF" w:rsidRPr="00590BB6">
        <w:rPr>
          <w:rFonts w:cs="Times New Roman"/>
        </w:rPr>
        <w:t>e</w:t>
      </w:r>
      <w:r w:rsidRPr="00590BB6">
        <w:rPr>
          <w:rFonts w:cs="Times New Roman"/>
        </w:rPr>
        <w:t xml:space="preserve"> invasion in 2022. In fact, a</w:t>
      </w:r>
      <w:r w:rsidR="00A86E5E" w:rsidRPr="00590BB6">
        <w:rPr>
          <w:rFonts w:cs="Times New Roman"/>
        </w:rPr>
        <w:t xml:space="preserve">lthough </w:t>
      </w:r>
      <w:r w:rsidRPr="00590BB6">
        <w:rPr>
          <w:rFonts w:cs="Times New Roman"/>
        </w:rPr>
        <w:t>previous</w:t>
      </w:r>
      <w:r w:rsidR="00EB78DD" w:rsidRPr="00590BB6">
        <w:rPr>
          <w:rFonts w:cs="Times New Roman"/>
        </w:rPr>
        <w:t xml:space="preserve"> </w:t>
      </w:r>
      <w:r w:rsidR="008834BF">
        <w:rPr>
          <w:rFonts w:cs="Times New Roman"/>
        </w:rPr>
        <w:t>works</w:t>
      </w:r>
      <w:r w:rsidR="008834BF" w:rsidRPr="00590BB6">
        <w:rPr>
          <w:rFonts w:cs="Times New Roman"/>
        </w:rPr>
        <w:t xml:space="preserve"> </w:t>
      </w:r>
      <w:r w:rsidR="00EB78DD" w:rsidRPr="00590BB6">
        <w:rPr>
          <w:rFonts w:cs="Times New Roman"/>
        </w:rPr>
        <w:t>have addressed a variety of different approaches and technologies, none of the</w:t>
      </w:r>
      <w:r w:rsidR="00A86E5E" w:rsidRPr="00590BB6">
        <w:rPr>
          <w:rFonts w:cs="Times New Roman"/>
        </w:rPr>
        <w:t>m</w:t>
      </w:r>
      <w:r w:rsidR="00EB78DD" w:rsidRPr="00590BB6">
        <w:rPr>
          <w:rFonts w:cs="Times New Roman"/>
        </w:rPr>
        <w:t xml:space="preserve"> </w:t>
      </w:r>
      <w:r w:rsidR="00FF0FA2" w:rsidRPr="00590BB6">
        <w:rPr>
          <w:rFonts w:cs="Times New Roman"/>
        </w:rPr>
        <w:t xml:space="preserve">models the </w:t>
      </w:r>
      <w:r w:rsidR="00EB78DD" w:rsidRPr="00590BB6">
        <w:rPr>
          <w:rFonts w:cs="Times New Roman"/>
        </w:rPr>
        <w:t>market uptake of alternative fuels and technologies for the road</w:t>
      </w:r>
      <w:r w:rsidR="007B195B" w:rsidRPr="00590BB6">
        <w:rPr>
          <w:rFonts w:cs="Times New Roman"/>
        </w:rPr>
        <w:t xml:space="preserve"> </w:t>
      </w:r>
      <w:r w:rsidR="000739FE" w:rsidRPr="00590BB6">
        <w:rPr>
          <w:rFonts w:cs="Times New Roman"/>
        </w:rPr>
        <w:t>using a bottom-up simulation model</w:t>
      </w:r>
      <w:r w:rsidR="00543058" w:rsidRPr="00590BB6">
        <w:rPr>
          <w:rFonts w:cs="Times New Roman"/>
        </w:rPr>
        <w:t>, where t</w:t>
      </w:r>
      <w:r w:rsidR="000739FE" w:rsidRPr="00590BB6">
        <w:rPr>
          <w:rFonts w:cs="Times New Roman"/>
        </w:rPr>
        <w:t xml:space="preserve">he simulation approach implies that </w:t>
      </w:r>
      <w:r w:rsidR="00B123DF" w:rsidRPr="00590BB6">
        <w:rPr>
          <w:rFonts w:cs="Times New Roman"/>
        </w:rPr>
        <w:t>agents/</w:t>
      </w:r>
      <w:r w:rsidR="000739FE" w:rsidRPr="00590BB6">
        <w:rPr>
          <w:rFonts w:cs="Times New Roman"/>
        </w:rPr>
        <w:t>investors choose technologies which most fulfil their goals</w:t>
      </w:r>
      <w:r w:rsidR="007B195B" w:rsidRPr="00590BB6">
        <w:rPr>
          <w:rFonts w:cs="Times New Roman"/>
        </w:rPr>
        <w:t xml:space="preserve">. The </w:t>
      </w:r>
      <w:r w:rsidR="008B432C" w:rsidRPr="00590BB6">
        <w:rPr>
          <w:rFonts w:cs="Times New Roman"/>
        </w:rPr>
        <w:t xml:space="preserve">simulation applies </w:t>
      </w:r>
      <w:r w:rsidR="008834BF">
        <w:rPr>
          <w:rFonts w:cs="Times New Roman"/>
        </w:rPr>
        <w:t xml:space="preserve">a </w:t>
      </w:r>
      <w:r w:rsidR="007B195B" w:rsidRPr="00590BB6">
        <w:rPr>
          <w:rFonts w:cs="Times New Roman"/>
        </w:rPr>
        <w:t xml:space="preserve">limited-foresight approach </w:t>
      </w:r>
      <w:r w:rsidR="000739FE" w:rsidRPr="00590BB6">
        <w:rPr>
          <w:rFonts w:cs="Times New Roman"/>
        </w:rPr>
        <w:t xml:space="preserve">which implies that investors/consumers can base their decision on </w:t>
      </w:r>
      <w:r w:rsidR="008834BF">
        <w:rPr>
          <w:rFonts w:cs="Times New Roman"/>
        </w:rPr>
        <w:t>buying</w:t>
      </w:r>
      <w:r w:rsidR="000739FE" w:rsidRPr="00590BB6">
        <w:rPr>
          <w:rFonts w:cs="Times New Roman"/>
        </w:rPr>
        <w:t xml:space="preserve"> novel technologies on information h</w:t>
      </w:r>
      <w:r w:rsidR="007F4F7B" w:rsidRPr="00590BB6">
        <w:rPr>
          <w:rFonts w:cs="Times New Roman"/>
        </w:rPr>
        <w:t>e</w:t>
      </w:r>
      <w:r w:rsidR="000739FE" w:rsidRPr="00590BB6">
        <w:rPr>
          <w:rFonts w:cs="Times New Roman"/>
        </w:rPr>
        <w:t>ld true only for limited number of years</w:t>
      </w:r>
      <w:r w:rsidR="007B195B" w:rsidRPr="00590BB6">
        <w:rPr>
          <w:rFonts w:cs="Times New Roman"/>
        </w:rPr>
        <w:t xml:space="preserve"> </w:t>
      </w:r>
      <w:r w:rsidR="000739FE" w:rsidRPr="00590BB6">
        <w:rPr>
          <w:rFonts w:cs="Times New Roman"/>
        </w:rPr>
        <w:t xml:space="preserve">(the foresight period), </w:t>
      </w:r>
      <w:r w:rsidR="00FF0FA2" w:rsidRPr="00590BB6">
        <w:rPr>
          <w:rFonts w:cs="Times New Roman"/>
        </w:rPr>
        <w:t xml:space="preserve">is </w:t>
      </w:r>
      <w:r w:rsidR="000739FE" w:rsidRPr="00590BB6">
        <w:rPr>
          <w:rFonts w:cs="Times New Roman"/>
        </w:rPr>
        <w:t>suitable</w:t>
      </w:r>
      <w:r w:rsidR="00FF0FA2" w:rsidRPr="00590BB6">
        <w:rPr>
          <w:rFonts w:cs="Times New Roman"/>
        </w:rPr>
        <w:t xml:space="preserve"> to capture</w:t>
      </w:r>
      <w:r w:rsidR="007B195B" w:rsidRPr="00590BB6">
        <w:rPr>
          <w:rFonts w:cs="Times New Roman"/>
        </w:rPr>
        <w:t xml:space="preserve"> </w:t>
      </w:r>
      <w:r w:rsidR="000739FE" w:rsidRPr="00590BB6">
        <w:rPr>
          <w:rFonts w:cs="Times New Roman"/>
        </w:rPr>
        <w:t>changing</w:t>
      </w:r>
      <w:r w:rsidR="007B195B" w:rsidRPr="00590BB6">
        <w:rPr>
          <w:rFonts w:cs="Times New Roman"/>
        </w:rPr>
        <w:t xml:space="preserve"> market </w:t>
      </w:r>
      <w:r w:rsidR="000739FE" w:rsidRPr="00590BB6">
        <w:rPr>
          <w:rFonts w:cs="Times New Roman"/>
        </w:rPr>
        <w:t>conditions</w:t>
      </w:r>
      <w:r w:rsidR="00FF0FA2" w:rsidRPr="00590BB6">
        <w:rPr>
          <w:rFonts w:cs="Times New Roman"/>
        </w:rPr>
        <w:t xml:space="preserve">, </w:t>
      </w:r>
      <w:r w:rsidR="000739FE" w:rsidRPr="00590BB6">
        <w:rPr>
          <w:rFonts w:cs="Times New Roman"/>
        </w:rPr>
        <w:t xml:space="preserve">applying </w:t>
      </w:r>
      <w:r w:rsidR="00FF0FA2" w:rsidRPr="00590BB6">
        <w:rPr>
          <w:rFonts w:cs="Times New Roman"/>
        </w:rPr>
        <w:t xml:space="preserve">especially when new technologies </w:t>
      </w:r>
      <w:r w:rsidR="000739FE" w:rsidRPr="00590BB6">
        <w:rPr>
          <w:rFonts w:cs="Times New Roman"/>
        </w:rPr>
        <w:t>enter the market</w:t>
      </w:r>
      <w:r w:rsidR="00AF7C08" w:rsidRPr="00590BB6">
        <w:rPr>
          <w:rFonts w:cs="Times New Roman"/>
        </w:rPr>
        <w:t xml:space="preserve">. </w:t>
      </w:r>
      <w:r w:rsidR="00EB78DD" w:rsidRPr="00590BB6">
        <w:rPr>
          <w:rFonts w:cs="Times New Roman"/>
        </w:rPr>
        <w:t xml:space="preserve"> </w:t>
      </w:r>
      <w:r w:rsidR="000739FE" w:rsidRPr="00590BB6">
        <w:rPr>
          <w:rFonts w:cs="Times New Roman"/>
        </w:rPr>
        <w:t>A</w:t>
      </w:r>
      <w:r w:rsidR="00EB78DD" w:rsidRPr="00590BB6">
        <w:rPr>
          <w:rFonts w:cs="Times New Roman"/>
        </w:rPr>
        <w:t xml:space="preserve">n open-source agent-based integrated assessment model </w:t>
      </w:r>
      <w:r w:rsidR="00FF0FA2" w:rsidRPr="00590BB6">
        <w:rPr>
          <w:rFonts w:cs="Times New Roman"/>
        </w:rPr>
        <w:t>(</w:t>
      </w:r>
      <w:proofErr w:type="spellStart"/>
      <w:r w:rsidR="00FF0FA2" w:rsidRPr="00590BB6">
        <w:rPr>
          <w:rFonts w:cs="Times New Roman"/>
        </w:rPr>
        <w:t>ModUlar</w:t>
      </w:r>
      <w:proofErr w:type="spellEnd"/>
      <w:r w:rsidR="00FF0FA2" w:rsidRPr="00590BB6">
        <w:rPr>
          <w:rFonts w:cs="Times New Roman"/>
        </w:rPr>
        <w:t xml:space="preserve"> energy system Simulation Environment (MUSE) </w:t>
      </w:r>
      <w:r w:rsidR="00FF0FA2" w:rsidRPr="00590BB6">
        <w:rPr>
          <w:rFonts w:cs="Times New Roman"/>
        </w:rPr>
        <w:fldChar w:fldCharType="begin" w:fldLock="1"/>
      </w:r>
      <w:r w:rsidR="00FF0FA2" w:rsidRPr="00590BB6">
        <w:rPr>
          <w:rFonts w:cs="Times New Roman"/>
        </w:rPr>
        <w:instrText>ADDIN CSL_CITATION {"citationItems":[{"id":"ITEM-1","itemData":{"DOI":"10.1016/j.esr.2022.100964","ISSN":"2211467X","abstract":"Integrated assessment models (IAMs) are a cornerstone of an effective approach to climate change mitigation. Despite the variety of methodologies for characterising the energy system, land use change, economics, and climate response, the modelling community has an open and urgent request for tools capable of more realistic interpretation of the energy transition, capturing human behaviour, and embodying the principles of transparency, reproducibility, and flexibility of use. This paper presents an open-source modelling framework designed to fill that gap. Named MUSE (ModUlar energy systems Simulation Environment), this new agent-based model supports flexible characterisation of agent decision-making, including individual goals, bounded-rationality, imperfect foresight, and limited knowledge during the decision process. MUSE integrates this agent-based approach in a partial-equilibrium framework and enables a technology-rich description of the energy systems with an unprecedented degree of flexibility for including technological, temporal, and geographical granularity. The structure of MUSE creates the ability to produce climate change mitigation assessments that are more grounded, and more tangible model outputs for conceiving effective approaches to mitigation. MUSE is available open source under a GNU General Public License v3.0 on GitHub at this link https://github.com/SGIModel/MUSE_OS.","author":[{"dropping-particle":"","family":"Giarola","given":"Sara","non-dropping-particle":"","parse-names":false,"suffix":""},{"dropping-particle":"","family":"Sachs","given":"Julia","non-dropping-particle":"","parse-names":false,"suffix":""},{"dropping-particle":"","family":"d'Avezac","given":"Mayeul","non-dropping-particle":"","parse-names":false,"suffix":""},{"dropping-particle":"","family":"Kell","given":"Alexander","non-dropping-particle":"","parse-names":false,"suffix":""},{"dropping-particle":"","family":"Hawkes","given":"Adam","non-dropping-particle":"","parse-names":false,"suffix":""}],"container-title":"Energy Strategy Reviews","id":"ITEM-1","issue":"March","issued":{"date-parts":[["2022"]]},"page":"100964","publisher":"Elsevier Ltd","title":"MUSE: An open-source agent-based integrated assessment modelling framework","type":"article-journal","volume":"44"},"uris":["http://www.mendeley.com/documents/?uuid=096f6e3d-0109-4b54-b0b8-fd6f7fe84f3a","http://www.mendeley.com/documents/?uuid=69e9d89f-8caf-4bf1-97ec-8fdd5030b71d"]}],"mendeley":{"formattedCitation":"[20]","plainTextFormattedCitation":"[20]","previouslyFormattedCitation":"[19]"},"properties":{"noteIndex":0},"schema":"https://github.com/citation-style-language/schema/raw/master/csl-citation.json"}</w:instrText>
      </w:r>
      <w:r w:rsidR="00FF0FA2" w:rsidRPr="00590BB6">
        <w:rPr>
          <w:rFonts w:cs="Times New Roman"/>
        </w:rPr>
        <w:fldChar w:fldCharType="separate"/>
      </w:r>
      <w:r w:rsidR="00FF0FA2" w:rsidRPr="00590BB6">
        <w:rPr>
          <w:rFonts w:cs="Times New Roman"/>
          <w:noProof/>
        </w:rPr>
        <w:t>[20]</w:t>
      </w:r>
      <w:r w:rsidR="00FF0FA2" w:rsidRPr="00590BB6">
        <w:rPr>
          <w:rFonts w:cs="Times New Roman"/>
        </w:rPr>
        <w:fldChar w:fldCharType="end"/>
      </w:r>
      <w:r w:rsidR="00FF0FA2" w:rsidRPr="00590BB6">
        <w:rPr>
          <w:rFonts w:cs="Times New Roman"/>
        </w:rPr>
        <w:t xml:space="preserve">) </w:t>
      </w:r>
      <w:r w:rsidR="000739FE" w:rsidRPr="00590BB6">
        <w:rPr>
          <w:rFonts w:cs="Times New Roman"/>
        </w:rPr>
        <w:t>using</w:t>
      </w:r>
      <w:r w:rsidR="00EB78DD" w:rsidRPr="00590BB6">
        <w:rPr>
          <w:rFonts w:cs="Times New Roman"/>
        </w:rPr>
        <w:t xml:space="preserve"> openly available data</w:t>
      </w:r>
      <w:r w:rsidR="000739FE" w:rsidRPr="00590BB6">
        <w:rPr>
          <w:rFonts w:cs="Times New Roman"/>
        </w:rPr>
        <w:t xml:space="preserve"> is applied in this work</w:t>
      </w:r>
      <w:r w:rsidR="00EB78DD" w:rsidRPr="00590BB6">
        <w:rPr>
          <w:rFonts w:cs="Times New Roman"/>
        </w:rPr>
        <w:t xml:space="preserve">. </w:t>
      </w:r>
      <w:r w:rsidR="00FF0FA2" w:rsidRPr="00590BB6">
        <w:rPr>
          <w:rFonts w:cs="Times New Roman"/>
        </w:rPr>
        <w:t xml:space="preserve">With its </w:t>
      </w:r>
      <w:r w:rsidR="002E1A8B" w:rsidRPr="00590BB6">
        <w:rPr>
          <w:rFonts w:cs="Times New Roman"/>
        </w:rPr>
        <w:t xml:space="preserve">methodological novelty, </w:t>
      </w:r>
      <w:r w:rsidR="00FF0FA2" w:rsidRPr="00590BB6">
        <w:rPr>
          <w:rFonts w:cs="Times New Roman"/>
        </w:rPr>
        <w:t xml:space="preserve">the </w:t>
      </w:r>
      <w:r w:rsidR="00CB65CC" w:rsidRPr="00590BB6">
        <w:rPr>
          <w:rFonts w:cs="Times New Roman"/>
        </w:rPr>
        <w:t xml:space="preserve">study </w:t>
      </w:r>
      <w:r w:rsidR="00FF0FA2" w:rsidRPr="00590BB6">
        <w:rPr>
          <w:rFonts w:cs="Times New Roman"/>
        </w:rPr>
        <w:t>can</w:t>
      </w:r>
      <w:r w:rsidR="00CB65CC" w:rsidRPr="00590BB6">
        <w:rPr>
          <w:rFonts w:cs="Times New Roman"/>
        </w:rPr>
        <w:t xml:space="preserve"> provide insights for public and private stakeholders concerning the effectiveness of policy measures for road freight decarbonisation</w:t>
      </w:r>
      <w:r w:rsidR="002E1A8B" w:rsidRPr="00590BB6">
        <w:rPr>
          <w:rFonts w:cs="Times New Roman"/>
        </w:rPr>
        <w:t xml:space="preserve"> in Italy</w:t>
      </w:r>
      <w:r w:rsidR="00FF0FA2" w:rsidRPr="00590BB6">
        <w:rPr>
          <w:rFonts w:cs="Times New Roman"/>
        </w:rPr>
        <w:t xml:space="preserve"> based on a more </w:t>
      </w:r>
      <w:r w:rsidR="00FF0FA2" w:rsidRPr="00590BB6">
        <w:rPr>
          <w:rFonts w:cs="Times New Roman"/>
        </w:rPr>
        <w:lastRenderedPageBreak/>
        <w:t>realistic grounds which reflects agents’ interactions, their goals, and limited knowledge of future markets [</w:t>
      </w:r>
      <w:r w:rsidR="000739FE" w:rsidRPr="00590BB6">
        <w:rPr>
          <w:rFonts w:cs="Times New Roman"/>
        </w:rPr>
        <w:t>20</w:t>
      </w:r>
      <w:r w:rsidR="00FF0FA2" w:rsidRPr="00590BB6">
        <w:rPr>
          <w:rFonts w:cs="Times New Roman"/>
        </w:rPr>
        <w:t>].</w:t>
      </w:r>
      <w:r w:rsidR="00CB65CC" w:rsidRPr="00590BB6">
        <w:rPr>
          <w:rFonts w:cs="Times New Roman"/>
        </w:rPr>
        <w:t xml:space="preserve"> </w:t>
      </w:r>
      <w:r w:rsidR="000739FE" w:rsidRPr="00590BB6">
        <w:rPr>
          <w:rFonts w:cs="Times New Roman"/>
        </w:rPr>
        <w:t xml:space="preserve"> The approach allows to model t</w:t>
      </w:r>
      <w:r w:rsidR="0075181D" w:rsidRPr="00590BB6">
        <w:rPr>
          <w:rFonts w:cs="Times New Roman"/>
        </w:rPr>
        <w:t>he complex interactions between policies, technologies, and fuel price dynamics necessar</w:t>
      </w:r>
      <w:r w:rsidR="000739FE" w:rsidRPr="00590BB6">
        <w:rPr>
          <w:rFonts w:cs="Times New Roman"/>
        </w:rPr>
        <w:t>y</w:t>
      </w:r>
      <w:r w:rsidR="007F4F7B" w:rsidRPr="00590BB6">
        <w:rPr>
          <w:rFonts w:cs="Times New Roman"/>
        </w:rPr>
        <w:t xml:space="preserve"> </w:t>
      </w:r>
      <w:r w:rsidR="0075181D" w:rsidRPr="00590BB6">
        <w:rPr>
          <w:rFonts w:cs="Times New Roman"/>
        </w:rPr>
        <w:t xml:space="preserve">to make plausible projections on the evolution of the road freight system. </w:t>
      </w:r>
      <w:r w:rsidR="00A23F19" w:rsidRPr="00590BB6">
        <w:rPr>
          <w:rFonts w:cs="Times New Roman"/>
        </w:rPr>
        <w:t xml:space="preserve">considering </w:t>
      </w:r>
      <w:r w:rsidR="0075181D" w:rsidRPr="00590BB6">
        <w:rPr>
          <w:rFonts w:cs="Times New Roman"/>
        </w:rPr>
        <w:t xml:space="preserve">the interplay between old fleet decommissioning, uptake of more efficient engines, and novel fuels </w:t>
      </w:r>
      <w:r w:rsidR="0075181D" w:rsidRPr="00590BB6">
        <w:rPr>
          <w:rFonts w:cs="Times New Roman"/>
        </w:rPr>
        <w:fldChar w:fldCharType="begin" w:fldLock="1"/>
      </w:r>
      <w:r w:rsidR="006F44A7" w:rsidRPr="00590BB6">
        <w:rPr>
          <w:rFonts w:cs="Times New Roman"/>
        </w:rPr>
        <w:instrText>ADDIN CSL_CITATION {"citationItems":[{"id":"ITEM-1","itemData":{"abstract":"Progress on reducing greenhouse gas emissions from transport has been relatively slow, with goods transportation and shipping emissions being particularly difficult to address. Local air pollutants arising from vehicles, such as nitrogen oxides, sulphur oxides and particulates, are also a significant concern for human health. Natural gas is an alternative transport fuel which may help reduce these emissions, particularly in shipping and long distance heavy goods transportation. However, there is some disagreement regarding the potential for natural gas to provide significant improvements relative to current transport systems. Global traffic of trucks and ships represents a significant proportion of transport emissions, with road freight representing 7% of global energy related CO2 emissions and shipping representing 2.6% of global emissions in 2015. These emissions are also expected to grow, with some estimates suggesting road freight emission growing by a third, and shipping emissions growing by between 50% and 250% by 2050, largely though increased demand for movement of goods. Decarbonising goods transportation has proved difficult relative to other forms of transport given the relatively long distances that ships and trucks travel. Trucks and ships also contribute significantly to air pollution, through emission of pollutants such as sulphur oxides (SOx), nitrogen oxides (NOx), hydrocarbons and particulate matter. For example, road freight contributes approximately 17% of global NOx emissions, and shipping contributes approximately 13% of global NOx emissions and 12% of global SOx emissions. These pollutants have a known impact on human health, including impacts on lung, heart and brain health. Natural gas has the potential to reduce these air pollution emissions, though as with CO2 there is debate as to the potential of that reduction. The aim of this white paper is to examine the evidence surrounding the use of natural gas as a transport fuel to address greenhouse gas and air pollution emissions in trucks and ships. This includes presenting the evidence on gas engine types, their emissions, technical considerations and costs. The report also discusses other options for emissions mitigation in transport including energy efficiency, after-treatment and other fuel-switching options such as hydrogen fuel cells or battery electric systems. ii","author":[{"dropping-particle":"","family":"Speirs","given":"Jamie","non-dropping-particle":"","parse-names":false,"suffix":""},{"dropping-particle":"","family":"Paul","given":"","non-dropping-particle":"","parse-names":false,"suffix":""},{"dropping-particle":"","family":"Blomerus","given":"Paul","non-dropping-particle":"","parse-names":false,"suffix":""},{"dropping-particle":"","family":"Stettler","given":"Marc","non-dropping-particle":"","parse-names":false,"suffix":""},{"dropping-particle":"","family":"Brandon","given":"Nigel","non-dropping-particle":"","parse-names":false,"suffix":""},{"dropping-particle":"","family":"Hawkes","given":"Adam","non-dropping-particle":"","parse-names":false,"suffix":""}],"id":"ITEM-1","issue":"January","issued":{"date-parts":[["2019"]]},"title":"Can natural gas reduce emissions from transport?: Heavy goods vehicles and shipping","type":"article-journal"},"uris":["http://www.mendeley.com/documents/?uuid=f026a6c0-b044-47e4-b98c-3cba6d02befc","http://www.mendeley.com/documents/?uuid=5ad080e0-4722-439c-aeeb-37f529017238"]}],"mendeley":{"formattedCitation":"[21]","plainTextFormattedCitation":"[21]","previouslyFormattedCitation":"[20]"},"properties":{"noteIndex":0},"schema":"https://github.com/citation-style-language/schema/raw/master/csl-citation.json"}</w:instrText>
      </w:r>
      <w:r w:rsidR="0075181D" w:rsidRPr="00590BB6">
        <w:rPr>
          <w:rFonts w:cs="Times New Roman"/>
        </w:rPr>
        <w:fldChar w:fldCharType="separate"/>
      </w:r>
      <w:r w:rsidR="006F44A7" w:rsidRPr="00590BB6">
        <w:rPr>
          <w:rFonts w:cs="Times New Roman"/>
          <w:noProof/>
        </w:rPr>
        <w:t>[21]</w:t>
      </w:r>
      <w:r w:rsidR="0075181D" w:rsidRPr="00590BB6">
        <w:rPr>
          <w:rFonts w:cs="Times New Roman"/>
        </w:rPr>
        <w:fldChar w:fldCharType="end"/>
      </w:r>
      <w:r w:rsidR="0075181D" w:rsidRPr="00590BB6">
        <w:rPr>
          <w:rFonts w:cs="Times New Roman"/>
        </w:rPr>
        <w:t xml:space="preserve">. </w:t>
      </w:r>
    </w:p>
    <w:p w14:paraId="6511F79A" w14:textId="5BCAB82B" w:rsidR="00931115" w:rsidRPr="00590BB6" w:rsidRDefault="2682376E" w:rsidP="00600286">
      <w:pPr>
        <w:spacing w:line="360" w:lineRule="auto"/>
        <w:jc w:val="both"/>
        <w:rPr>
          <w:rFonts w:cs="Times New Roman"/>
        </w:rPr>
      </w:pPr>
      <w:r w:rsidRPr="00590BB6">
        <w:rPr>
          <w:rFonts w:cs="Times New Roman"/>
        </w:rPr>
        <w:t>The next se</w:t>
      </w:r>
      <w:r w:rsidR="00B91DEE" w:rsidRPr="00590BB6">
        <w:rPr>
          <w:rFonts w:cs="Times New Roman"/>
        </w:rPr>
        <w:t xml:space="preserve">ctions are organised as follows. Section </w:t>
      </w:r>
      <w:r w:rsidR="00931115" w:rsidRPr="00590BB6">
        <w:rPr>
          <w:rFonts w:cs="Times New Roman"/>
        </w:rPr>
        <w:t>2</w:t>
      </w:r>
      <w:r w:rsidR="00B91DEE" w:rsidRPr="00590BB6">
        <w:rPr>
          <w:rFonts w:cs="Times New Roman"/>
        </w:rPr>
        <w:t xml:space="preserve"> </w:t>
      </w:r>
      <w:r w:rsidR="00CD2FE3" w:rsidRPr="00590BB6">
        <w:rPr>
          <w:rFonts w:cs="Times New Roman"/>
        </w:rPr>
        <w:t xml:space="preserve">describes </w:t>
      </w:r>
      <w:r w:rsidR="00EC2D6A" w:rsidRPr="00590BB6">
        <w:rPr>
          <w:rFonts w:cs="Times New Roman"/>
        </w:rPr>
        <w:t>the modelling framework</w:t>
      </w:r>
      <w:r w:rsidR="00CD2FE3" w:rsidRPr="00590BB6">
        <w:rPr>
          <w:rFonts w:cs="Times New Roman"/>
        </w:rPr>
        <w:t>, assumptions, and</w:t>
      </w:r>
      <w:r w:rsidR="00B91DEE" w:rsidRPr="00590BB6">
        <w:rPr>
          <w:rFonts w:cs="Times New Roman"/>
        </w:rPr>
        <w:t xml:space="preserve"> data</w:t>
      </w:r>
      <w:r w:rsidR="00EC2D6A" w:rsidRPr="00590BB6">
        <w:rPr>
          <w:rFonts w:cs="Times New Roman"/>
        </w:rPr>
        <w:t xml:space="preserve"> sources</w:t>
      </w:r>
      <w:r w:rsidR="001C1384" w:rsidRPr="00590BB6">
        <w:rPr>
          <w:rFonts w:cs="Times New Roman"/>
        </w:rPr>
        <w:t>.</w:t>
      </w:r>
      <w:r w:rsidR="00EC2D6A" w:rsidRPr="00590BB6">
        <w:rPr>
          <w:rFonts w:cs="Times New Roman"/>
        </w:rPr>
        <w:t xml:space="preserve"> Section </w:t>
      </w:r>
      <w:r w:rsidR="00467CBC" w:rsidRPr="00590BB6">
        <w:rPr>
          <w:rFonts w:cs="Times New Roman"/>
        </w:rPr>
        <w:t>3</w:t>
      </w:r>
      <w:r w:rsidR="00B91DEE" w:rsidRPr="00590BB6">
        <w:rPr>
          <w:rFonts w:cs="Times New Roman"/>
        </w:rPr>
        <w:t xml:space="preserve"> </w:t>
      </w:r>
      <w:r w:rsidR="00E14008" w:rsidRPr="00590BB6">
        <w:rPr>
          <w:rFonts w:cs="Times New Roman"/>
        </w:rPr>
        <w:t>describes</w:t>
      </w:r>
      <w:r w:rsidR="00B91DEE" w:rsidRPr="00590BB6">
        <w:rPr>
          <w:rFonts w:cs="Times New Roman"/>
        </w:rPr>
        <w:t xml:space="preserve"> the</w:t>
      </w:r>
      <w:r w:rsidR="005B67BE" w:rsidRPr="00590BB6">
        <w:rPr>
          <w:rFonts w:cs="Times New Roman"/>
        </w:rPr>
        <w:t xml:space="preserve"> modelling</w:t>
      </w:r>
      <w:r w:rsidR="00B91DEE" w:rsidRPr="00590BB6">
        <w:rPr>
          <w:rFonts w:cs="Times New Roman"/>
        </w:rPr>
        <w:t xml:space="preserve"> results</w:t>
      </w:r>
      <w:r w:rsidR="00F42B0B" w:rsidRPr="00590BB6">
        <w:rPr>
          <w:rFonts w:cs="Times New Roman"/>
        </w:rPr>
        <w:t xml:space="preserve"> and</w:t>
      </w:r>
      <w:r w:rsidR="00E14008" w:rsidRPr="00590BB6">
        <w:rPr>
          <w:rFonts w:cs="Times New Roman"/>
        </w:rPr>
        <w:t xml:space="preserve"> discuss</w:t>
      </w:r>
      <w:r w:rsidR="00F42B0B" w:rsidRPr="00590BB6">
        <w:rPr>
          <w:rFonts w:cs="Times New Roman"/>
        </w:rPr>
        <w:t xml:space="preserve"> them</w:t>
      </w:r>
      <w:r w:rsidR="005B67BE" w:rsidRPr="00590BB6">
        <w:rPr>
          <w:rFonts w:cs="Times New Roman"/>
        </w:rPr>
        <w:t xml:space="preserve"> in terms of effectiveness and feasibility. </w:t>
      </w:r>
      <w:r w:rsidR="00B91DEE" w:rsidRPr="00590BB6">
        <w:rPr>
          <w:rFonts w:cs="Times New Roman"/>
        </w:rPr>
        <w:t xml:space="preserve">Section </w:t>
      </w:r>
      <w:r w:rsidR="00F42B0B" w:rsidRPr="00590BB6">
        <w:rPr>
          <w:rFonts w:cs="Times New Roman"/>
        </w:rPr>
        <w:t>4</w:t>
      </w:r>
      <w:r w:rsidR="00B91DEE" w:rsidRPr="00590BB6">
        <w:rPr>
          <w:rFonts w:cs="Times New Roman"/>
        </w:rPr>
        <w:t xml:space="preserve"> concludes th</w:t>
      </w:r>
      <w:r w:rsidR="00E14008" w:rsidRPr="00590BB6">
        <w:rPr>
          <w:rFonts w:cs="Times New Roman"/>
        </w:rPr>
        <w:t>e</w:t>
      </w:r>
      <w:r w:rsidR="00B91DEE" w:rsidRPr="00590BB6">
        <w:rPr>
          <w:rFonts w:cs="Times New Roman"/>
        </w:rPr>
        <w:t xml:space="preserve"> work with </w:t>
      </w:r>
      <w:r w:rsidR="00376657" w:rsidRPr="00590BB6">
        <w:rPr>
          <w:rFonts w:cs="Times New Roman"/>
        </w:rPr>
        <w:t>main findings</w:t>
      </w:r>
      <w:r w:rsidR="00B91DEE" w:rsidRPr="00590BB6">
        <w:rPr>
          <w:rFonts w:cs="Times New Roman"/>
        </w:rPr>
        <w:t>, limitations, and future recommendations.</w:t>
      </w:r>
    </w:p>
    <w:p w14:paraId="0E08949A" w14:textId="60E1CB60" w:rsidR="0045494F" w:rsidRPr="00590BB6" w:rsidRDefault="0045494F" w:rsidP="0045494F">
      <w:pPr>
        <w:spacing w:line="360" w:lineRule="auto"/>
        <w:jc w:val="both"/>
        <w:rPr>
          <w:rFonts w:cs="Times New Roman"/>
        </w:rPr>
      </w:pPr>
    </w:p>
    <w:p w14:paraId="23651A20" w14:textId="57B6AB0F" w:rsidR="009F2DF7" w:rsidRPr="00590BB6" w:rsidRDefault="009F2DF7" w:rsidP="009F2DF7">
      <w:pPr>
        <w:pStyle w:val="Heading1"/>
        <w:spacing w:after="240" w:line="360" w:lineRule="auto"/>
        <w:rPr>
          <w:rFonts w:cs="Times New Roman"/>
          <w:sz w:val="22"/>
          <w:szCs w:val="22"/>
        </w:rPr>
      </w:pPr>
      <w:r w:rsidRPr="00590BB6">
        <w:rPr>
          <w:rFonts w:cs="Times New Roman"/>
          <w:sz w:val="22"/>
          <w:szCs w:val="22"/>
        </w:rPr>
        <w:t>Methods</w:t>
      </w:r>
    </w:p>
    <w:p w14:paraId="17BAA182" w14:textId="653E2925" w:rsidR="006A3806" w:rsidRPr="00590BB6" w:rsidRDefault="00EC2D6A" w:rsidP="00EC2D6A">
      <w:pPr>
        <w:pStyle w:val="Texto"/>
        <w:rPr>
          <w:rFonts w:ascii="Times New Roman" w:hAnsi="Times New Roman" w:cs="Times New Roman"/>
          <w:lang w:val="en-GB"/>
        </w:rPr>
      </w:pPr>
      <w:bookmarkStart w:id="1" w:name="_Ref110589872"/>
      <w:r w:rsidRPr="00590BB6">
        <w:rPr>
          <w:rFonts w:ascii="Times New Roman" w:hAnsi="Times New Roman" w:cs="Times New Roman"/>
          <w:lang w:val="en-GB"/>
        </w:rPr>
        <w:t>This work uses the open-source agent-based integrated assessment model MUSE</w:t>
      </w:r>
      <w:r w:rsidR="008C38B3" w:rsidRPr="00590BB6">
        <w:rPr>
          <w:rFonts w:ascii="Times New Roman" w:hAnsi="Times New Roman" w:cs="Times New Roman"/>
          <w:lang w:val="en-GB"/>
        </w:rPr>
        <w:t xml:space="preserve"> </w:t>
      </w:r>
      <w:r w:rsidR="008C38B3" w:rsidRPr="00590BB6">
        <w:rPr>
          <w:rFonts w:cs="Times New Roman"/>
        </w:rPr>
        <w:fldChar w:fldCharType="begin" w:fldLock="1"/>
      </w:r>
      <w:r w:rsidR="006F44A7" w:rsidRPr="00590BB6">
        <w:rPr>
          <w:rFonts w:ascii="Times New Roman" w:hAnsi="Times New Roman" w:cs="Times New Roman"/>
          <w:lang w:val="en-GB"/>
        </w:rPr>
        <w:instrText>ADDIN CSL_CITATION {"citationItems":[{"id":"ITEM-1","itemData":{"DOI":"10.1016/j.esr.2022.100964","ISSN":"2211467X","abstract":"Integrated assessment models (IAMs) are a cornerstone of an effective approach to climate change mitigation. Despite the variety of methodologies for characterising the energy system, land use change, economics, and climate response, the modelling community has an open and urgent request for tools capable of more realistic interpretation of the energy transition, capturing human behaviour, and embodying the principles of transparency, reproducibility, and flexibility of use. This paper presents an open-source modelling framework designed to fill that gap. Named MUSE (ModUlar energy systems Simulation Environment), this new agent-based model supports flexible characterisation of agent decision-making, including individual goals, bounded-rationality, imperfect foresight, and limited knowledge during the decision process. MUSE integrates this agent-based approach in a partial-equilibrium framework and enables a technology-rich description of the energy systems with an unprecedented degree of flexibility for including technological, temporal, and geographical granularity. The structure of MUSE creates the ability to produce climate change mitigation assessments that are more grounded, and more tangible model outputs for conceiving effective approaches to mitigation. MUSE is available open source under a GNU General Public License v3.0 on GitHub at this link https://github.com/SGIModel/MUSE_OS.","author":[{"dropping-particle":"","family":"Giarola","given":"Sara","non-dropping-particle":"","parse-names":false,"suffix":""},{"dropping-particle":"","family":"Sachs","given":"Julia","non-dropping-particle":"","parse-names":false,"suffix":""},{"dropping-particle":"","family":"d'Avezac","given":"Mayeul","non-dropping-particle":"","parse-names":false,"suffix":""},{"dropping-particle":"","family":"Kell","given":"Alexander","non-dropping-particle":"","parse-names":false,"suffix":""},{"dropping-particle":"","family":"Hawkes","given":"Adam","non-dropping-particle":"","parse-names":false,"suffix":""}],"container-title":"Energy Strategy Reviews","id":"ITEM-1","issue":"March","issued":{"date-parts":[["2022"]]},"page":"100964","publisher":"Elsevier Ltd","title":"MUSE: An open-source agent-based integrated assessment modelling framework","type":"article-journal","volume":"44"},"uris":["http://www.mendeley.com/documents/?uuid=69e9d89f-8caf-4bf1-97ec-8fdd5030b71d","http://www.mendeley.com/documents/?uuid=096f6e3d-0109-4b54-b0b8-fd6f7fe84f3a"]}],"mendeley":{"formattedCitation":"[20]","plainTextFormattedCitation":"[20]","previouslyFormattedCitation":"[19]"},"properties":{"noteIndex":0},"schema":"https://github.com/citation-style-language/schema/raw/master/csl-citation.json"}</w:instrText>
      </w:r>
      <w:r w:rsidR="008C38B3" w:rsidRPr="00590BB6">
        <w:rPr>
          <w:rFonts w:cs="Times New Roman"/>
        </w:rPr>
        <w:fldChar w:fldCharType="separate"/>
      </w:r>
      <w:r w:rsidR="006F44A7" w:rsidRPr="00590BB6">
        <w:rPr>
          <w:rFonts w:ascii="Times New Roman" w:hAnsi="Times New Roman" w:cs="Times New Roman"/>
          <w:noProof/>
          <w:lang w:val="en-GB"/>
        </w:rPr>
        <w:t>[20]</w:t>
      </w:r>
      <w:r w:rsidR="008C38B3" w:rsidRPr="00590BB6">
        <w:rPr>
          <w:rFonts w:cs="Times New Roman"/>
        </w:rPr>
        <w:fldChar w:fldCharType="end"/>
      </w:r>
      <w:r w:rsidR="00512318" w:rsidRPr="00590BB6">
        <w:rPr>
          <w:rFonts w:ascii="Times New Roman" w:hAnsi="Times New Roman" w:cs="Times New Roman"/>
          <w:lang w:val="en-GB"/>
        </w:rPr>
        <w:t>, version 1.0</w:t>
      </w:r>
      <w:r w:rsidR="00A96B22" w:rsidRPr="00590BB6">
        <w:rPr>
          <w:rFonts w:ascii="Times New Roman" w:hAnsi="Times New Roman" w:cs="Times New Roman"/>
          <w:lang w:val="en-GB"/>
        </w:rPr>
        <w:t>.0</w:t>
      </w:r>
      <w:r w:rsidR="005C0A9B" w:rsidRPr="00590BB6">
        <w:rPr>
          <w:rFonts w:ascii="Times New Roman" w:hAnsi="Times New Roman" w:cs="Times New Roman"/>
          <w:lang w:val="en-GB"/>
        </w:rPr>
        <w:t xml:space="preserve"> </w:t>
      </w:r>
      <w:r w:rsidR="005C0A9B" w:rsidRPr="00590BB6">
        <w:rPr>
          <w:rFonts w:cs="Times New Roman"/>
        </w:rPr>
        <w:fldChar w:fldCharType="begin" w:fldLock="1"/>
      </w:r>
      <w:r w:rsidR="006F44A7" w:rsidRPr="00590BB6">
        <w:rPr>
          <w:rFonts w:ascii="Times New Roman" w:hAnsi="Times New Roman" w:cs="Times New Roman"/>
          <w:lang w:val="en-GB"/>
        </w:rPr>
        <w:instrText>ADDIN CSL_CITATION {"citationItems":[{"id":"ITEM-1","itemData":{"id":"ITEM-1","issued":{"date-parts":[["0"]]},"title":"MUSE_OS","type":"webpage"},"uris":["http://www.mendeley.com/documents/?uuid=7ebcb759-684a-4e12-b938-d7f4115bb25b","http://www.mendeley.com/documents/?uuid=a730d2e0-3816-488c-b8b9-48754de70b02"]}],"mendeley":{"formattedCitation":"[22]","plainTextFormattedCitation":"[22]","previouslyFormattedCitation":"[21]"},"properties":{"noteIndex":0},"schema":"https://github.com/citation-style-language/schema/raw/master/csl-citation.json"}</w:instrText>
      </w:r>
      <w:r w:rsidR="005C0A9B" w:rsidRPr="00590BB6">
        <w:rPr>
          <w:rFonts w:cs="Times New Roman"/>
        </w:rPr>
        <w:fldChar w:fldCharType="separate"/>
      </w:r>
      <w:r w:rsidR="006F44A7" w:rsidRPr="00590BB6">
        <w:rPr>
          <w:rFonts w:ascii="Times New Roman" w:hAnsi="Times New Roman" w:cs="Times New Roman"/>
          <w:noProof/>
          <w:lang w:val="en-GB"/>
        </w:rPr>
        <w:t>[22]</w:t>
      </w:r>
      <w:r w:rsidR="005C0A9B" w:rsidRPr="00590BB6">
        <w:rPr>
          <w:rFonts w:cs="Times New Roman"/>
        </w:rPr>
        <w:fldChar w:fldCharType="end"/>
      </w:r>
      <w:r w:rsidRPr="00590BB6">
        <w:rPr>
          <w:rFonts w:ascii="Times New Roman" w:hAnsi="Times New Roman" w:cs="Times New Roman"/>
          <w:lang w:val="en-GB"/>
        </w:rPr>
        <w:t xml:space="preserve">. MUSE </w:t>
      </w:r>
      <w:r w:rsidR="00725135" w:rsidRPr="00590BB6">
        <w:rPr>
          <w:rFonts w:ascii="Times New Roman" w:hAnsi="Times New Roman" w:cs="Times New Roman"/>
          <w:lang w:val="en-GB"/>
        </w:rPr>
        <w:t xml:space="preserve">models long-term </w:t>
      </w:r>
      <w:r w:rsidRPr="00590BB6">
        <w:rPr>
          <w:rFonts w:ascii="Times New Roman" w:hAnsi="Times New Roman" w:cs="Times New Roman"/>
          <w:lang w:val="en-GB"/>
        </w:rPr>
        <w:t>energy system</w:t>
      </w:r>
      <w:r w:rsidR="00725135" w:rsidRPr="00590BB6">
        <w:rPr>
          <w:rFonts w:ascii="Times New Roman" w:hAnsi="Times New Roman" w:cs="Times New Roman"/>
          <w:lang w:val="en-GB"/>
        </w:rPr>
        <w:t xml:space="preserve"> transitions, using</w:t>
      </w:r>
      <w:r w:rsidRPr="00590BB6">
        <w:rPr>
          <w:rFonts w:ascii="Times New Roman" w:hAnsi="Times New Roman" w:cs="Times New Roman"/>
          <w:lang w:val="en-GB"/>
        </w:rPr>
        <w:t xml:space="preserve"> a bottom-up technology characteri</w:t>
      </w:r>
      <w:r w:rsidR="008834BF">
        <w:rPr>
          <w:rFonts w:ascii="Times New Roman" w:hAnsi="Times New Roman" w:cs="Times New Roman"/>
          <w:lang w:val="en-GB"/>
        </w:rPr>
        <w:t>s</w:t>
      </w:r>
      <w:r w:rsidRPr="00590BB6">
        <w:rPr>
          <w:rFonts w:ascii="Times New Roman" w:hAnsi="Times New Roman" w:cs="Times New Roman"/>
          <w:lang w:val="en-GB"/>
        </w:rPr>
        <w:t xml:space="preserve">ation (e.g., from 2010 to 2100). As an agent-based model, it </w:t>
      </w:r>
      <w:r w:rsidR="006A3806" w:rsidRPr="00590BB6">
        <w:rPr>
          <w:rFonts w:ascii="Times New Roman" w:hAnsi="Times New Roman" w:cs="Times New Roman"/>
          <w:lang w:val="en-GB"/>
        </w:rPr>
        <w:t>incorporate</w:t>
      </w:r>
      <w:r w:rsidR="00725135" w:rsidRPr="00590BB6">
        <w:rPr>
          <w:rFonts w:ascii="Times New Roman" w:hAnsi="Times New Roman" w:cs="Times New Roman"/>
          <w:lang w:val="en-GB"/>
        </w:rPr>
        <w:t>s</w:t>
      </w:r>
      <w:r w:rsidRPr="00590BB6">
        <w:rPr>
          <w:rFonts w:ascii="Times New Roman" w:hAnsi="Times New Roman" w:cs="Times New Roman"/>
          <w:lang w:val="en-GB"/>
        </w:rPr>
        <w:t xml:space="preserve"> decentralised decision making </w:t>
      </w:r>
      <w:r w:rsidR="005666FC" w:rsidRPr="00590BB6">
        <w:rPr>
          <w:rFonts w:ascii="Times New Roman" w:hAnsi="Times New Roman" w:cs="Times New Roman"/>
          <w:lang w:val="en-GB"/>
        </w:rPr>
        <w:t>in</w:t>
      </w:r>
      <w:r w:rsidRPr="00590BB6">
        <w:rPr>
          <w:rFonts w:ascii="Times New Roman" w:hAnsi="Times New Roman" w:cs="Times New Roman"/>
          <w:lang w:val="en-GB"/>
        </w:rPr>
        <w:t xml:space="preserve"> autonomous agents whose behaviour is defined by their own single or multi objective functions. </w:t>
      </w:r>
    </w:p>
    <w:p w14:paraId="4653CF9E" w14:textId="28865369" w:rsidR="00EC2D6A" w:rsidRPr="00590BB6" w:rsidRDefault="00EC2D6A" w:rsidP="00C261A6">
      <w:pPr>
        <w:pStyle w:val="Texto"/>
        <w:rPr>
          <w:rFonts w:ascii="Times New Roman" w:hAnsi="Times New Roman" w:cs="Times New Roman"/>
          <w:lang w:val="en-GB"/>
        </w:rPr>
      </w:pPr>
      <w:r w:rsidRPr="00590BB6">
        <w:rPr>
          <w:rFonts w:ascii="Times New Roman" w:hAnsi="Times New Roman" w:cs="Times New Roman"/>
          <w:lang w:val="en-GB"/>
        </w:rPr>
        <w:t>MUSE is modular, which means that the energy system is described by different sector modules, each one uses specific metrics to drive the operational and investment decisions</w:t>
      </w:r>
      <w:r w:rsidR="00E93276" w:rsidRPr="00590BB6">
        <w:rPr>
          <w:rFonts w:ascii="Times New Roman" w:hAnsi="Times New Roman" w:cs="Times New Roman"/>
          <w:lang w:val="en-GB"/>
        </w:rPr>
        <w:t>, and flexible in time and spatial scales</w:t>
      </w:r>
      <w:r w:rsidRPr="00590BB6">
        <w:rPr>
          <w:rFonts w:ascii="Times New Roman" w:hAnsi="Times New Roman" w:cs="Times New Roman"/>
          <w:lang w:val="en-GB"/>
        </w:rPr>
        <w:t xml:space="preserve">. </w:t>
      </w:r>
      <w:r w:rsidR="006A3806" w:rsidRPr="00590BB6">
        <w:rPr>
          <w:rFonts w:ascii="Times New Roman" w:hAnsi="Times New Roman" w:cs="Times New Roman"/>
          <w:lang w:val="en-GB"/>
        </w:rPr>
        <w:t>S</w:t>
      </w:r>
      <w:r w:rsidRPr="00590BB6">
        <w:rPr>
          <w:rFonts w:ascii="Times New Roman" w:hAnsi="Times New Roman" w:cs="Times New Roman"/>
          <w:lang w:val="en-GB"/>
        </w:rPr>
        <w:t xml:space="preserve">ector modules </w:t>
      </w:r>
      <w:r w:rsidR="006A3806" w:rsidRPr="00590BB6">
        <w:rPr>
          <w:rFonts w:ascii="Times New Roman" w:hAnsi="Times New Roman" w:cs="Times New Roman"/>
          <w:lang w:val="en-GB"/>
        </w:rPr>
        <w:t>are used to model each one of the energy system steps, from</w:t>
      </w:r>
      <w:r w:rsidRPr="00590BB6">
        <w:rPr>
          <w:rFonts w:ascii="Times New Roman" w:hAnsi="Times New Roman" w:cs="Times New Roman"/>
          <w:lang w:val="en-GB"/>
        </w:rPr>
        <w:t xml:space="preserve"> </w:t>
      </w:r>
      <w:r w:rsidR="006A3806" w:rsidRPr="00590BB6">
        <w:rPr>
          <w:rFonts w:ascii="Times New Roman" w:hAnsi="Times New Roman" w:cs="Times New Roman"/>
          <w:lang w:val="en-GB"/>
        </w:rPr>
        <w:t>the p</w:t>
      </w:r>
      <w:r w:rsidRPr="00590BB6">
        <w:rPr>
          <w:rFonts w:ascii="Times New Roman" w:hAnsi="Times New Roman" w:cs="Times New Roman"/>
          <w:lang w:val="en-GB"/>
        </w:rPr>
        <w:t>rimary supply</w:t>
      </w:r>
      <w:r w:rsidR="006A3806" w:rsidRPr="00590BB6">
        <w:rPr>
          <w:rFonts w:ascii="Times New Roman" w:hAnsi="Times New Roman" w:cs="Times New Roman"/>
          <w:lang w:val="en-GB"/>
        </w:rPr>
        <w:t xml:space="preserve"> of resources</w:t>
      </w:r>
      <w:r w:rsidRPr="00590BB6">
        <w:rPr>
          <w:rFonts w:ascii="Times New Roman" w:hAnsi="Times New Roman" w:cs="Times New Roman"/>
          <w:lang w:val="en-GB"/>
        </w:rPr>
        <w:t xml:space="preserve"> </w:t>
      </w:r>
      <w:r w:rsidR="006A3806" w:rsidRPr="00590BB6">
        <w:rPr>
          <w:rFonts w:ascii="Times New Roman" w:hAnsi="Times New Roman" w:cs="Times New Roman"/>
          <w:lang w:val="en-GB"/>
        </w:rPr>
        <w:t xml:space="preserve">to the </w:t>
      </w:r>
      <w:r w:rsidRPr="00590BB6">
        <w:rPr>
          <w:rFonts w:ascii="Times New Roman" w:hAnsi="Times New Roman" w:cs="Times New Roman"/>
          <w:lang w:val="en-GB"/>
        </w:rPr>
        <w:t>conversion</w:t>
      </w:r>
      <w:r w:rsidR="006A3806" w:rsidRPr="00590BB6">
        <w:rPr>
          <w:rFonts w:ascii="Times New Roman" w:hAnsi="Times New Roman" w:cs="Times New Roman"/>
          <w:lang w:val="en-GB"/>
        </w:rPr>
        <w:t xml:space="preserve"> of resources into energy vectors</w:t>
      </w:r>
      <w:r w:rsidRPr="00590BB6">
        <w:rPr>
          <w:rFonts w:ascii="Times New Roman" w:hAnsi="Times New Roman" w:cs="Times New Roman"/>
          <w:lang w:val="en-GB"/>
        </w:rPr>
        <w:t xml:space="preserve">, and </w:t>
      </w:r>
      <w:r w:rsidR="006A3806" w:rsidRPr="00590BB6">
        <w:rPr>
          <w:rFonts w:ascii="Times New Roman" w:hAnsi="Times New Roman" w:cs="Times New Roman"/>
          <w:lang w:val="en-GB"/>
        </w:rPr>
        <w:t xml:space="preserve">to the use of energy vectors to meet energy </w:t>
      </w:r>
      <w:r w:rsidRPr="00590BB6">
        <w:rPr>
          <w:rFonts w:ascii="Times New Roman" w:hAnsi="Times New Roman" w:cs="Times New Roman"/>
          <w:lang w:val="en-GB"/>
        </w:rPr>
        <w:t xml:space="preserve">demand. Demand sectors are where energy is consumed to provide an end-use service or product and can consist of industrial, agriculture, building, and transport. Each sector interacts through a market clearing algorithm (MCA), representing a micro-economic price-quantity mechanism that balances demand and supply. Examples of works that have used MUSE include Moya et al. </w:t>
      </w:r>
      <w:r w:rsidRPr="00590BB6">
        <w:rPr>
          <w:rFonts w:ascii="Times New Roman" w:hAnsi="Times New Roman" w:cs="Times New Roman"/>
          <w:lang w:val="en-GB"/>
        </w:rPr>
        <w:fldChar w:fldCharType="begin" w:fldLock="1"/>
      </w:r>
      <w:r w:rsidR="006F44A7" w:rsidRPr="00590BB6">
        <w:rPr>
          <w:rFonts w:ascii="Times New Roman" w:hAnsi="Times New Roman" w:cs="Times New Roman"/>
          <w:lang w:val="en-GB"/>
        </w:rPr>
        <w:instrText>ADDIN CSL_CITATION {"citationItems":[{"id":"ITEM-1","itemData":{"DOI":"10.1016/j.apenergy.2020.115295","ISSN":"03062619","abstract":"This paper presents the formulation and application of a novel agent-based integrated assessment approach to model the attributes, objectives and decision-making process of investors in a long-term energy transition in India's iron and steel sector. It takes empirical data from an on-site survey of 108 operating plants in Maharashtra to formulate objectives and decision-making metrics for the agent-based model and simulates possible future portfolio mixes. The studied decision drivers were capital costs, operating costs (including fuel consumption), a combination of capital and operating costs, and net present value. Where investors used a weighted combination of capital cost and operating costs, a natural gas uptake of ~12PJ was obtained and the highest cumulative emissions reduction was obtained, 2 Mt CO2 in the period from 2020 to 2050. Conversely if net present value alone is used, cumulative emissions reduction in the same period was lower, 1.6 Mt CO2, and the cumulative uptake of natural gas was equal to 15PJ. Results show how the differing upfront investment cost of the technology options could cause prevalence of high-carbon fuels, particularly heavy fuel oil, in the final mix. Results also represent the unique heterogeneity of fuel-switching industrial investors with distinct investment goals and limited foresight on costs. The perception of high capital expenditures for decarbonisation represents a significant barrier to the energy transition in industry and should be addressed via effective policy making (e.g. carbon policy/price).","author":[{"dropping-particle":"","family":"Moya","given":"Diego","non-dropping-particle":"","parse-names":false,"suffix":""},{"dropping-particle":"","family":"Budinis","given":"Sara","non-dropping-particle":"","parse-names":false,"suffix":""},{"dropping-particle":"","family":"Giarola","given":"Sara","non-dropping-particle":"","parse-names":false,"suffix":""},{"dropping-particle":"","family":"Hawkes","given":"Adam","non-dropping-particle":"","parse-names":false,"suffix":""}],"container-title":"Applied Energy","id":"ITEM-1","issued":{"date-parts":[["2020"]]},"page":"115295","publisher":"Elsevier","title":"Agent-based scenarios comparison for assessing fuel-switching investment in long-term energy transitions of the India's industry sector","type":"article-journal","volume":"274"},"uris":["http://www.mendeley.com/documents/?uuid=bb1528da-7a64-4441-a9b8-f4b08686bd68"]}],"mendeley":{"formattedCitation":"[23]","plainTextFormattedCitation":"[23]","previouslyFormattedCitation":"[22]"},"properties":{"noteIndex":0},"schema":"https://github.com/citation-style-language/schema/raw/master/csl-citation.json"}</w:instrText>
      </w:r>
      <w:r w:rsidRPr="00590BB6">
        <w:rPr>
          <w:rFonts w:ascii="Times New Roman" w:hAnsi="Times New Roman" w:cs="Times New Roman"/>
          <w:lang w:val="en-GB"/>
        </w:rPr>
        <w:fldChar w:fldCharType="separate"/>
      </w:r>
      <w:r w:rsidR="006F44A7" w:rsidRPr="00590BB6">
        <w:rPr>
          <w:rFonts w:ascii="Times New Roman" w:hAnsi="Times New Roman" w:cs="Times New Roman"/>
          <w:noProof/>
          <w:lang w:val="en-GB"/>
        </w:rPr>
        <w:t>[23]</w:t>
      </w:r>
      <w:r w:rsidRPr="00590BB6">
        <w:rPr>
          <w:rFonts w:ascii="Times New Roman" w:hAnsi="Times New Roman" w:cs="Times New Roman"/>
          <w:lang w:val="en-GB"/>
        </w:rPr>
        <w:fldChar w:fldCharType="end"/>
      </w:r>
      <w:r w:rsidRPr="00590BB6">
        <w:rPr>
          <w:rFonts w:ascii="Times New Roman" w:hAnsi="Times New Roman" w:cs="Times New Roman"/>
          <w:lang w:val="en-GB"/>
        </w:rPr>
        <w:t xml:space="preserve">, </w:t>
      </w:r>
      <w:r w:rsidR="00725135" w:rsidRPr="00590BB6">
        <w:rPr>
          <w:rFonts w:ascii="Times New Roman" w:hAnsi="Times New Roman" w:cs="Times New Roman"/>
          <w:lang w:val="en-GB"/>
        </w:rPr>
        <w:t xml:space="preserve">concerning </w:t>
      </w:r>
      <w:r w:rsidRPr="00590BB6">
        <w:rPr>
          <w:rFonts w:ascii="Times New Roman" w:hAnsi="Times New Roman" w:cs="Times New Roman"/>
          <w:lang w:val="en-GB"/>
        </w:rPr>
        <w:t>fuel-switching investment</w:t>
      </w:r>
      <w:r w:rsidR="00725135" w:rsidRPr="00590BB6">
        <w:rPr>
          <w:rFonts w:ascii="Times New Roman" w:hAnsi="Times New Roman" w:cs="Times New Roman"/>
          <w:lang w:val="en-GB"/>
        </w:rPr>
        <w:t>s</w:t>
      </w:r>
      <w:r w:rsidRPr="00590BB6">
        <w:rPr>
          <w:rFonts w:ascii="Times New Roman" w:hAnsi="Times New Roman" w:cs="Times New Roman"/>
          <w:lang w:val="en-GB"/>
        </w:rPr>
        <w:t xml:space="preserve"> in the India’s iron and steel sector, and Sachs et al. </w:t>
      </w:r>
      <w:r w:rsidRPr="00590BB6">
        <w:rPr>
          <w:rFonts w:ascii="Times New Roman" w:hAnsi="Times New Roman" w:cs="Times New Roman"/>
          <w:lang w:val="en-GB"/>
        </w:rPr>
        <w:fldChar w:fldCharType="begin" w:fldLock="1"/>
      </w:r>
      <w:r w:rsidR="006F44A7" w:rsidRPr="00590BB6">
        <w:rPr>
          <w:rFonts w:ascii="Times New Roman" w:hAnsi="Times New Roman" w:cs="Times New Roman"/>
          <w:lang w:val="en-GB"/>
        </w:rPr>
        <w:instrText>ADDIN CSL_CITATION {"citationItems":[{"id":"ITEM-1","itemData":{"DOI":"10.1016/j.energy.2019.01.161","ISSN":"03605442","abstract":"Energy-related investment decisions in the buildings sector are heterogeneous in that the outcome for each individual varies according to budget, values, and perception of a technology, even if an apparently identical decision task is faced. In particular, the rate of adoption of new energy-efficient technologies is often hard to model and underlines the need for an advanced approach to capture diversity in decision-making, and enable the inclusion of economic, comfort, environmental and social aspects. This paper presents an enhanced agent-based model that captures several characteristics of consumer behaviour that influence investment decisions. Multiple agents with different objectives, search strategies, and decision methods are implemented. A case study is presented which illustrates the benefits of the approach for the residential sector in the UK. The agent-based method shows diversity in investment decisions, without requiring the constraints on uptake needed in many models. This leads to a range of technologies in the market during a transition phase, continuous investment in low capital cost technologies, and eventually the emergence of a low carbon system based on new mass market technologies. The system that emerges is vastly different from one observed when economically rational investment is assumed and uptake constraints are applied.","author":[{"dropping-particle":"","family":"Sachs","given":"Julia","non-dropping-particle":"","parse-names":false,"suffix":""},{"dropping-particle":"","family":"Meng","given":"Yiming","non-dropping-particle":"","parse-names":false,"suffix":""},{"dropping-particle":"","family":"Giarola","given":"Sara","non-dropping-particle":"","parse-names":false,"suffix":""},{"dropping-particle":"","family":"Hawkes","given":"Adam","non-dropping-particle":"","parse-names":false,"suffix":""}],"container-title":"Energy","id":"ITEM-1","issued":{"date-parts":[["2019"]]},"page":"752-768","publisher":"Elsevier Ltd","title":"An agent-based model for energy investment decisions in the residential sector","type":"article-journal","volume":"172"},"uris":["http://www.mendeley.com/documents/?uuid=f9143e73-8bf9-4581-9d55-45f8cbd1ef89"]}],"mendeley":{"formattedCitation":"[24]","plainTextFormattedCitation":"[24]","previouslyFormattedCitation":"[23]"},"properties":{"noteIndex":0},"schema":"https://github.com/citation-style-language/schema/raw/master/csl-citation.json"}</w:instrText>
      </w:r>
      <w:r w:rsidRPr="00590BB6">
        <w:rPr>
          <w:rFonts w:ascii="Times New Roman" w:hAnsi="Times New Roman" w:cs="Times New Roman"/>
          <w:lang w:val="en-GB"/>
        </w:rPr>
        <w:fldChar w:fldCharType="separate"/>
      </w:r>
      <w:r w:rsidR="006F44A7" w:rsidRPr="00590BB6">
        <w:rPr>
          <w:rFonts w:ascii="Times New Roman" w:hAnsi="Times New Roman" w:cs="Times New Roman"/>
          <w:noProof/>
          <w:lang w:val="en-GB"/>
        </w:rPr>
        <w:t>[24]</w:t>
      </w:r>
      <w:r w:rsidRPr="00590BB6">
        <w:rPr>
          <w:rFonts w:ascii="Times New Roman" w:hAnsi="Times New Roman" w:cs="Times New Roman"/>
          <w:lang w:val="en-GB"/>
        </w:rPr>
        <w:fldChar w:fldCharType="end"/>
      </w:r>
      <w:r w:rsidRPr="00590BB6">
        <w:rPr>
          <w:rFonts w:ascii="Times New Roman" w:hAnsi="Times New Roman" w:cs="Times New Roman"/>
          <w:lang w:val="en-GB"/>
        </w:rPr>
        <w:t xml:space="preserve">, </w:t>
      </w:r>
      <w:r w:rsidR="00725135" w:rsidRPr="00590BB6">
        <w:rPr>
          <w:rFonts w:ascii="Times New Roman" w:hAnsi="Times New Roman" w:cs="Times New Roman"/>
          <w:lang w:val="en-GB"/>
        </w:rPr>
        <w:t>modelling</w:t>
      </w:r>
      <w:r w:rsidRPr="00590BB6">
        <w:rPr>
          <w:rFonts w:ascii="Times New Roman" w:hAnsi="Times New Roman" w:cs="Times New Roman"/>
          <w:lang w:val="en-GB"/>
        </w:rPr>
        <w:t xml:space="preserve"> energy investment decisions in the residential sector. Other research topics investigated with MUSE include: land use impacts on carbon mitigation </w:t>
      </w:r>
      <w:r w:rsidRPr="00590BB6">
        <w:rPr>
          <w:rFonts w:ascii="Times New Roman" w:hAnsi="Times New Roman" w:cs="Times New Roman"/>
          <w:lang w:val="en-GB"/>
        </w:rPr>
        <w:fldChar w:fldCharType="begin" w:fldLock="1"/>
      </w:r>
      <w:r w:rsidR="006F44A7" w:rsidRPr="00590BB6">
        <w:rPr>
          <w:rFonts w:ascii="Times New Roman" w:hAnsi="Times New Roman" w:cs="Times New Roman"/>
          <w:lang w:val="en-GB"/>
        </w:rPr>
        <w:instrText>ADDIN CSL_CITATION {"citationItems":[{"id":"ITEM-1","itemData":{"DOI":"10.1016/j.jclepro.2019.05.345","ISSN":"09596526","abstract":"Due to its low global share of direct energy consumption and greenhouse gas emissions (1–2%), the implications of technological transitions in the agricultural and forestry sector on the energy system have been overlooked. This paper introduces the Agriculture and Land Use Sector module part of the ModUlar energy System Environment (MUSE), a novel energy system simulation model. The study presents a generalisable method that enables energy modellers to characterise agricultural technologies within an energy system modelling framework. Different mechanisation processes were characterised to simulate intensification/extensification transitions in the sector and its wider implications in the energy and land use system aiming at providing reliable non-energy outputs similarly to those found in dedicated land use models. Additionally, a forest growth model has been integrated to explore the role of reforestation alongside decarbonisation measures in the energy system in achieving carbon mitigation pathways. To illustrate the model's capabilities, Brazil is used as case study. Outputs suggest that by 2030 under a 2 °C mitigation scenario, most of Brazil agricultural production would move from ‘transitional’ to ‘modern’ practices, improving productivity and reducing deforestation rates, at the expense of higher energy and fertiliser demand. By mid-century Brazil has the potential to liberate around 24.4 Mha of agricultural land, where large-scale reforestation could have the capacity to sequester around 5.6 GtCO2, alleviating mitigation efforts in the energy system, especially reducing carbon capture and storage technology investments in the industry and power sector.","author":[{"dropping-particle":"","family":"García Kerdan","given":"Iván","non-dropping-particle":"","parse-names":false,"suffix":""},{"dropping-particle":"","family":"Giarola","given":"Sara","non-dropping-particle":"","parse-names":false,"suffix":""},{"dropping-particle":"","family":"Hawkes","given":"Adam","non-dropping-particle":"","parse-names":false,"suffix":""}],"container-title":"Journal of Cleaner Production","id":"ITEM-1","issued":{"date-parts":[["2019"]]},"page":"796-821","title":"A novel energy systems model to explore the role of land use and reforestation in achieving carbon mitigation targets: A Brazil case study","type":"article-journal","volume":"232"},"uris":["http://www.mendeley.com/documents/?uuid=57203400-8b55-4577-835f-1d4706323e68"]}],"mendeley":{"formattedCitation":"[25]","plainTextFormattedCitation":"[25]","previouslyFormattedCitation":"[24]"},"properties":{"noteIndex":0},"schema":"https://github.com/citation-style-language/schema/raw/master/csl-citation.json"}</w:instrText>
      </w:r>
      <w:r w:rsidRPr="00590BB6">
        <w:rPr>
          <w:rFonts w:ascii="Times New Roman" w:hAnsi="Times New Roman" w:cs="Times New Roman"/>
          <w:lang w:val="en-GB"/>
        </w:rPr>
        <w:fldChar w:fldCharType="separate"/>
      </w:r>
      <w:r w:rsidR="006F44A7" w:rsidRPr="00590BB6">
        <w:rPr>
          <w:rFonts w:ascii="Times New Roman" w:hAnsi="Times New Roman" w:cs="Times New Roman"/>
          <w:noProof/>
          <w:lang w:val="en-GB"/>
        </w:rPr>
        <w:t>[25]</w:t>
      </w:r>
      <w:r w:rsidRPr="00590BB6">
        <w:rPr>
          <w:rFonts w:ascii="Times New Roman" w:hAnsi="Times New Roman" w:cs="Times New Roman"/>
          <w:lang w:val="en-GB"/>
        </w:rPr>
        <w:fldChar w:fldCharType="end"/>
      </w:r>
      <w:r w:rsidRPr="00590BB6">
        <w:rPr>
          <w:rFonts w:ascii="Times New Roman" w:hAnsi="Times New Roman" w:cs="Times New Roman"/>
          <w:lang w:val="en-GB"/>
        </w:rPr>
        <w:t xml:space="preserve"> and bioelectricity potential in Brazil </w:t>
      </w:r>
      <w:r w:rsidRPr="00590BB6">
        <w:rPr>
          <w:rFonts w:ascii="Times New Roman" w:hAnsi="Times New Roman" w:cs="Times New Roman"/>
          <w:lang w:val="en-GB"/>
        </w:rPr>
        <w:fldChar w:fldCharType="begin" w:fldLock="1"/>
      </w:r>
      <w:r w:rsidR="006F44A7" w:rsidRPr="00590BB6">
        <w:rPr>
          <w:rFonts w:ascii="Times New Roman" w:hAnsi="Times New Roman" w:cs="Times New Roman"/>
          <w:lang w:val="en-GB"/>
        </w:rPr>
        <w:instrText>ADDIN CSL_CITATION {"citationItems":[{"id":"ITEM-1","itemData":{"DOI":"10.1016/j.rser.2020.109765","ISSN":"18790690","abstract":"In Brazil, bioelectricity generation from sugarcane bagasse and black liquor is regarded as a sustainable electricity supply option. However, questions regarding land use, investment decisions, and demand for paper, ethanol and sugar make its future role uncertain. The aim of this paper is to present a novel modelling framework based on a soft-link between a multi-sectoral Brazilian integrated assessment model (MUSE-Brazil) and an electricity portfolio optimisation model (EPOM). The proposed framework is capable of dynamically simulating sectoral electricity demand, regional bioenergy production under land use constraints and optimal power sector technological shares in each of the electricity subsystems. Considering Brazil under a 2 °C carbon budget, two scenarios based on economic attractiveness of producing second-generation ethanol have been investigated. Under the scenario where second-generation ethanol is not produced, outputs indicate that by 2050, Brazil would increase sugarcane and wood production by 68% and 49% respectively without causing direct or indirect deforestation. Agriculture intensification is evidenced as an alternative for reducing land use disruptions. Bioelectricity share is projected to remain around 9–10%. However, if second generation ethanol becomes cost-effective, thus limiting bagasse availability, the share of bioelectricity production would decrease to approximately 7.7%, with natural gas-fired plants playing a stronger role in the future power system expansion, causing an increase on electricity sector emissions.","author":[{"dropping-particle":"","family":"Lyrio de Oliveira","given":"Lucas","non-dropping-particle":"","parse-names":false,"suffix":""},{"dropping-particle":"","family":"García Kerdan","given":"Iván","non-dropping-particle":"","parse-names":false,"suffix":""},{"dropping-particle":"","family":"Oliveira Ribeiro","given":"Celma","non-dropping-particle":"de","parse-names":false,"suffix":""},{"dropping-particle":"","family":"Oller do Nascimento","given":"Claudio Augusto","non-dropping-particle":"","parse-names":false,"suffix":""},{"dropping-particle":"","family":"Rego","given":"Erik Eduardo","non-dropping-particle":"","parse-names":false,"suffix":""},{"dropping-particle":"","family":"Giarola","given":"Sara","non-dropping-particle":"","parse-names":false,"suffix":""},{"dropping-particle":"","family":"Hawkes","given":"Adam","non-dropping-particle":"","parse-names":false,"suffix":""}],"container-title":"Renewable and Sustainable Energy Reviews","id":"ITEM-1","issue":"February","issued":{"date-parts":[["2020"]]},"title":"Modelling the technical potential of bioelectricity production under land use constraints: A multi-region Brazil case study","type":"article-journal","volume":"123"},"uris":["http://www.mendeley.com/documents/?uuid=d083d625-accb-4bb2-aa1e-8b418f43c6b2"]}],"mendeley":{"formattedCitation":"[26]","plainTextFormattedCitation":"[26]","previouslyFormattedCitation":"[25]"},"properties":{"noteIndex":0},"schema":"https://github.com/citation-style-language/schema/raw/master/csl-citation.json"}</w:instrText>
      </w:r>
      <w:r w:rsidRPr="00590BB6">
        <w:rPr>
          <w:rFonts w:ascii="Times New Roman" w:hAnsi="Times New Roman" w:cs="Times New Roman"/>
          <w:lang w:val="en-GB"/>
        </w:rPr>
        <w:fldChar w:fldCharType="separate"/>
      </w:r>
      <w:r w:rsidR="006F44A7" w:rsidRPr="00590BB6">
        <w:rPr>
          <w:rFonts w:ascii="Times New Roman" w:hAnsi="Times New Roman" w:cs="Times New Roman"/>
          <w:noProof/>
          <w:lang w:val="en-GB"/>
        </w:rPr>
        <w:t>[26]</w:t>
      </w:r>
      <w:r w:rsidRPr="00590BB6">
        <w:rPr>
          <w:rFonts w:ascii="Times New Roman" w:hAnsi="Times New Roman" w:cs="Times New Roman"/>
          <w:lang w:val="en-GB"/>
        </w:rPr>
        <w:fldChar w:fldCharType="end"/>
      </w:r>
      <w:r w:rsidRPr="00590BB6">
        <w:rPr>
          <w:rFonts w:ascii="Times New Roman" w:hAnsi="Times New Roman" w:cs="Times New Roman"/>
          <w:lang w:val="en-GB"/>
        </w:rPr>
        <w:t xml:space="preserve">, cost-effectiveness of natural gas infrastructure investments </w:t>
      </w:r>
      <w:r w:rsidRPr="00590BB6">
        <w:rPr>
          <w:rFonts w:ascii="Times New Roman" w:hAnsi="Times New Roman" w:cs="Times New Roman"/>
          <w:lang w:val="en-GB"/>
        </w:rPr>
        <w:fldChar w:fldCharType="begin" w:fldLock="1"/>
      </w:r>
      <w:r w:rsidR="006F44A7" w:rsidRPr="00590BB6">
        <w:rPr>
          <w:rFonts w:ascii="Times New Roman" w:hAnsi="Times New Roman" w:cs="Times New Roman"/>
          <w:lang w:val="en-GB"/>
        </w:rPr>
        <w:instrText>ADDIN CSL_CITATION {"citationItems":[{"id":"ITEM-1","itemData":{"DOI":"10.1016/j.apenergy.2019.113799","ISSN":"03062619","abstract":"Currently, natural gas in Brazil represents around 12.9% of the primary energy supply, with consistent annual growth during the last decade. However, Brazil is entering a time of uncertainty regarding future gas supply, mainly as import from Bolivia is being renegotiated. As such, diversification of gas supply sources and routes need to be considered. Energy systems and infrastructure models are essential tools in assisting energy planning decisions and policy programmes at regional and international levels. In this study, a novel combination of a simulation-based integrated assessment model (MUSE-South_Brazil) and the recently-developed Gas INfrastructure Optimisation model (GINO) is presented. The Brazilian region represented by the five southern states served by the Bolivian gas pipeline (GASBOL) has been investigated. Modelled projections suggest that regional gas demand would increase from 38.8 mcm/day in 2015 to 104.3 mcm/day by 2050, mainly driven by the increasing demand in the industry and power sectors. Therefore existing regional gas infrastructure would be insufficient to cover future demands. Three different renegotiation scenarios between Brazil and Bolivia were modelled, obtaining distinct cost-optimal infrastructure expansion pathways. Depending on the scenario, the model expects gas demand to be covered by other supply options, such as an increase in pre-salt production, LNG imports and imports from a new Argentinian pipeline.","author":[{"dropping-particle":"","family":"García Kerdan","given":"Iván","non-dropping-particle":"","parse-names":false,"suffix":""},{"dropping-particle":"","family":"Jalil-Vega","given":"Francisca","non-dropping-particle":"","parse-names":false,"suffix":""},{"dropping-particle":"","family":"Toole","given":"James","non-dropping-particle":"","parse-names":false,"suffix":""},{"dropping-particle":"","family":"Gulati","given":"Sachin","non-dropping-particle":"","parse-names":false,"suffix":""},{"dropping-particle":"","family":"Giarola","given":"Sara","non-dropping-particle":"","parse-names":false,"suffix":""},{"dropping-particle":"","family":"Hawkes","given":"Adam","non-dropping-particle":"","parse-names":false,"suffix":""}],"container-title":"Applied Energy","id":"ITEM-1","issue":"September","issued":{"date-parts":[["2019"]]},"page":"113799","publisher":"Elsevier","title":"Modelling cost-effective pathways for natural gas infrastructure: A southern Brazil case study","type":"article-journal","volume":"255"},"uris":["http://www.mendeley.com/documents/?uuid=689073e4-0a48-41e1-bd57-b3b12b73067d"]}],"mendeley":{"formattedCitation":"[27]","plainTextFormattedCitation":"[27]","previouslyFormattedCitation":"[26]"},"properties":{"noteIndex":0},"schema":"https://github.com/citation-style-language/schema/raw/master/csl-citation.json"}</w:instrText>
      </w:r>
      <w:r w:rsidRPr="00590BB6">
        <w:rPr>
          <w:rFonts w:ascii="Times New Roman" w:hAnsi="Times New Roman" w:cs="Times New Roman"/>
          <w:lang w:val="en-GB"/>
        </w:rPr>
        <w:fldChar w:fldCharType="separate"/>
      </w:r>
      <w:r w:rsidR="006F44A7" w:rsidRPr="00590BB6">
        <w:rPr>
          <w:rFonts w:ascii="Times New Roman" w:hAnsi="Times New Roman" w:cs="Times New Roman"/>
          <w:noProof/>
          <w:lang w:val="en-GB"/>
        </w:rPr>
        <w:t>[27]</w:t>
      </w:r>
      <w:r w:rsidRPr="00590BB6">
        <w:rPr>
          <w:rFonts w:ascii="Times New Roman" w:hAnsi="Times New Roman" w:cs="Times New Roman"/>
          <w:lang w:val="en-GB"/>
        </w:rPr>
        <w:fldChar w:fldCharType="end"/>
      </w:r>
      <w:r w:rsidRPr="00590BB6">
        <w:rPr>
          <w:rFonts w:ascii="Times New Roman" w:hAnsi="Times New Roman" w:cs="Times New Roman"/>
          <w:lang w:val="en-GB"/>
        </w:rPr>
        <w:t xml:space="preserve">, and household energy behaviour </w:t>
      </w:r>
      <w:r w:rsidRPr="00590BB6">
        <w:rPr>
          <w:rFonts w:ascii="Times New Roman" w:hAnsi="Times New Roman" w:cs="Times New Roman"/>
          <w:lang w:val="en-GB"/>
        </w:rPr>
        <w:fldChar w:fldCharType="begin" w:fldLock="1"/>
      </w:r>
      <w:r w:rsidR="006F44A7" w:rsidRPr="00590BB6">
        <w:rPr>
          <w:rFonts w:ascii="Times New Roman" w:hAnsi="Times New Roman" w:cs="Times New Roman"/>
          <w:lang w:val="en-GB"/>
        </w:rPr>
        <w:instrText>ADDIN CSL_CITATION {"citationItems":[{"id":"ITEM-1","itemData":{"DOI":"10.1016/j.isci.2022.103905","ISSN":"25890042","abstract":"Decarbonizing the building sector depends on choices made at the household level, which are heterogeneous. Agent-based models are tools used to describe heterogeneous choices but require data-intensive calibration. This study analyzes a novel, cross-country European household-level survey, including sociodemographic characteristics, energy-saving habits, energy-saving investments, and metered household electricity consumption, to enhance the empirical grounding of an agent-based residential energy choice model. Applying cluster analysis to the data shows that energy consumption is not straightforwardly explained by sociodemographic classes, preferences, or attitudes, but some patterns emerge. Income consistently has the largest effect on demand, dwelling efficiency, and energy-saving investments, and the potential to improve a dwellings' energy use affects the efficiency investments made. Including the various sources of heterogeneity found to characterize the model agents affects the timing and speed of the transition. The results reinforce the need for grounding agent-based models in empirical data, to better understand energy transition dynamics.","author":[{"dropping-particle":"","family":"Edelenbosch","given":"Oreane Y.","non-dropping-particle":"","parse-names":false,"suffix":""},{"dropping-particle":"","family":"Miu","given":"Luciana","non-dropping-particle":"","parse-names":false,"suffix":""},{"dropping-particle":"","family":"Sachs","given":"Julia","non-dropping-particle":"","parse-names":false,"suffix":""},{"dropping-particle":"","family":"Hawkes","given":"Adam","non-dropping-particle":"","parse-names":false,"suffix":""},{"dropping-particle":"","family":"Tavoni","given":"Massimo","non-dropping-particle":"","parse-names":false,"suffix":""}],"container-title":"iScience","id":"ITEM-1","issue":"3","issued":{"date-parts":[["2022"]]},"page":"103905","publisher":"The Author(s)","title":"Translating observed household energy behavior to agent-based technology choices in an integrated modeling framework","type":"article-journal","volume":"25"},"uris":["http://www.mendeley.com/documents/?uuid=b735e3a8-1c48-404a-8216-ddafbb6c903c"]}],"mendeley":{"formattedCitation":"[28]","plainTextFormattedCitation":"[28]","previouslyFormattedCitation":"[27]"},"properties":{"noteIndex":0},"schema":"https://github.com/citation-style-language/schema/raw/master/csl-citation.json"}</w:instrText>
      </w:r>
      <w:r w:rsidRPr="00590BB6">
        <w:rPr>
          <w:rFonts w:ascii="Times New Roman" w:hAnsi="Times New Roman" w:cs="Times New Roman"/>
          <w:lang w:val="en-GB"/>
        </w:rPr>
        <w:fldChar w:fldCharType="separate"/>
      </w:r>
      <w:r w:rsidR="006F44A7" w:rsidRPr="00590BB6">
        <w:rPr>
          <w:rFonts w:ascii="Times New Roman" w:hAnsi="Times New Roman" w:cs="Times New Roman"/>
          <w:noProof/>
          <w:lang w:val="en-GB"/>
        </w:rPr>
        <w:t>[28]</w:t>
      </w:r>
      <w:r w:rsidRPr="00590BB6">
        <w:rPr>
          <w:rFonts w:ascii="Times New Roman" w:hAnsi="Times New Roman" w:cs="Times New Roman"/>
          <w:lang w:val="en-GB"/>
        </w:rPr>
        <w:fldChar w:fldCharType="end"/>
      </w:r>
      <w:r w:rsidRPr="00590BB6">
        <w:rPr>
          <w:rFonts w:ascii="Times New Roman" w:hAnsi="Times New Roman" w:cs="Times New Roman"/>
          <w:lang w:val="en-GB"/>
        </w:rPr>
        <w:t>.</w:t>
      </w:r>
    </w:p>
    <w:p w14:paraId="350D7243" w14:textId="476369FB" w:rsidR="00F63221" w:rsidRPr="00590BB6" w:rsidRDefault="00F63221" w:rsidP="00C261A6">
      <w:pPr>
        <w:pStyle w:val="Heading2"/>
        <w:spacing w:after="240"/>
        <w:rPr>
          <w:rFonts w:cs="Times New Roman"/>
        </w:rPr>
      </w:pPr>
      <w:r w:rsidRPr="00590BB6">
        <w:rPr>
          <w:rFonts w:cs="Times New Roman"/>
        </w:rPr>
        <w:t>Model structure</w:t>
      </w:r>
    </w:p>
    <w:p w14:paraId="78975AF7" w14:textId="443AB38B" w:rsidR="00161800" w:rsidRPr="00590BB6" w:rsidRDefault="00AD7CC5" w:rsidP="00161800">
      <w:pPr>
        <w:spacing w:line="360" w:lineRule="auto"/>
        <w:jc w:val="both"/>
        <w:rPr>
          <w:rFonts w:cs="Times New Roman"/>
        </w:rPr>
      </w:pPr>
      <w:r w:rsidRPr="00590BB6">
        <w:rPr>
          <w:rFonts w:cs="Times New Roman"/>
        </w:rPr>
        <w:t xml:space="preserve">The </w:t>
      </w:r>
      <w:r w:rsidR="009741FB" w:rsidRPr="00590BB6">
        <w:rPr>
          <w:rFonts w:cs="Times New Roman"/>
        </w:rPr>
        <w:t>model aims to describe</w:t>
      </w:r>
      <w:r w:rsidRPr="00590BB6">
        <w:rPr>
          <w:rFonts w:cs="Times New Roman"/>
        </w:rPr>
        <w:t xml:space="preserve"> the </w:t>
      </w:r>
      <w:r w:rsidR="009741FB" w:rsidRPr="00590BB6">
        <w:rPr>
          <w:rFonts w:cs="Times New Roman"/>
        </w:rPr>
        <w:t xml:space="preserve">truck </w:t>
      </w:r>
      <w:r w:rsidR="00161800" w:rsidRPr="00590BB6">
        <w:rPr>
          <w:rFonts w:cs="Times New Roman"/>
        </w:rPr>
        <w:t>fleet</w:t>
      </w:r>
      <w:r w:rsidRPr="00590BB6">
        <w:rPr>
          <w:rFonts w:cs="Times New Roman"/>
        </w:rPr>
        <w:t xml:space="preserve"> </w:t>
      </w:r>
      <w:r w:rsidR="00161800" w:rsidRPr="00590BB6">
        <w:rPr>
          <w:rFonts w:cs="Times New Roman"/>
        </w:rPr>
        <w:t>evolution</w:t>
      </w:r>
      <w:r w:rsidR="009741FB" w:rsidRPr="00590BB6">
        <w:rPr>
          <w:rFonts w:cs="Times New Roman"/>
        </w:rPr>
        <w:t xml:space="preserve"> in Italy</w:t>
      </w:r>
      <w:r w:rsidR="00161800" w:rsidRPr="00590BB6">
        <w:rPr>
          <w:rFonts w:cs="Times New Roman"/>
        </w:rPr>
        <w:t xml:space="preserve"> to meet future service demand</w:t>
      </w:r>
      <w:r w:rsidRPr="00590BB6">
        <w:rPr>
          <w:rFonts w:cs="Times New Roman"/>
        </w:rPr>
        <w:t xml:space="preserve">. </w:t>
      </w:r>
      <w:r w:rsidR="00161800" w:rsidRPr="00590BB6">
        <w:rPr>
          <w:rFonts w:cs="Times New Roman"/>
        </w:rPr>
        <w:t>Service demand in freight transport</w:t>
      </w:r>
      <w:r w:rsidR="00796C78" w:rsidRPr="00590BB6">
        <w:rPr>
          <w:rFonts w:cs="Times New Roman"/>
        </w:rPr>
        <w:t xml:space="preserve"> represents the amount of goods to be delivered in a certain distance. This service</w:t>
      </w:r>
      <w:r w:rsidR="00161800" w:rsidRPr="00590BB6">
        <w:rPr>
          <w:rFonts w:cs="Times New Roman"/>
        </w:rPr>
        <w:t xml:space="preserve"> is evaluated using the quantities tonne-kilometre (t-km)</w:t>
      </w:r>
      <w:r w:rsidR="00681114">
        <w:rPr>
          <w:rFonts w:cs="Times New Roman"/>
        </w:rPr>
        <w:t xml:space="preserve"> </w:t>
      </w:r>
      <w:r w:rsidR="00161800" w:rsidRPr="00590BB6">
        <w:rPr>
          <w:rFonts w:cs="Times New Roman"/>
        </w:rPr>
        <w:t>and vehicle-kilometre (v-km)</w:t>
      </w:r>
      <w:r w:rsidR="00105699" w:rsidRPr="00590BB6">
        <w:rPr>
          <w:rStyle w:val="FootnoteReference"/>
          <w:rFonts w:cs="Times New Roman"/>
        </w:rPr>
        <w:footnoteReference w:id="5"/>
      </w:r>
      <w:r w:rsidR="00681114">
        <w:rPr>
          <w:rFonts w:cs="Times New Roman"/>
        </w:rPr>
        <w:t xml:space="preserve"> served in a year</w:t>
      </w:r>
      <w:r w:rsidR="00161800" w:rsidRPr="00590BB6">
        <w:rPr>
          <w:rFonts w:cs="Times New Roman"/>
        </w:rPr>
        <w:t xml:space="preserve">. </w:t>
      </w:r>
    </w:p>
    <w:p w14:paraId="6AE8F4A2" w14:textId="28CBFC81" w:rsidR="00EC2D6A" w:rsidRPr="00590BB6" w:rsidRDefault="00EC2D6A" w:rsidP="00EC2D6A">
      <w:pPr>
        <w:spacing w:line="360" w:lineRule="auto"/>
        <w:jc w:val="both"/>
        <w:rPr>
          <w:rFonts w:cs="Times New Roman"/>
        </w:rPr>
      </w:pPr>
      <w:r w:rsidRPr="00590BB6">
        <w:rPr>
          <w:rFonts w:cs="Times New Roman"/>
        </w:rPr>
        <w:lastRenderedPageBreak/>
        <w:t>The model had a national scale as the region of interest was Italy</w:t>
      </w:r>
      <w:r w:rsidR="006751BE" w:rsidRPr="00590BB6">
        <w:rPr>
          <w:rFonts w:cs="Times New Roman"/>
        </w:rPr>
        <w:t xml:space="preserve"> and a </w:t>
      </w:r>
      <w:r w:rsidR="00E93245" w:rsidRPr="00590BB6">
        <w:rPr>
          <w:rFonts w:cs="Times New Roman"/>
        </w:rPr>
        <w:t>time horizon of 30 years (2020-2050) with a time step of 5 years</w:t>
      </w:r>
      <w:r w:rsidRPr="00590BB6">
        <w:rPr>
          <w:rFonts w:cs="Times New Roman"/>
        </w:rPr>
        <w:t xml:space="preserve">. </w:t>
      </w:r>
      <w:r w:rsidR="00796C78" w:rsidRPr="00590BB6">
        <w:rPr>
          <w:rFonts w:cs="Times New Roman"/>
        </w:rPr>
        <w:t>At every milestone year, modelled</w:t>
      </w:r>
      <w:r w:rsidRPr="00590BB6">
        <w:rPr>
          <w:rFonts w:cs="Times New Roman"/>
        </w:rPr>
        <w:t xml:space="preserve"> technologies</w:t>
      </w:r>
      <w:r w:rsidR="00796C78" w:rsidRPr="00590BB6">
        <w:rPr>
          <w:rFonts w:cs="Times New Roman"/>
        </w:rPr>
        <w:t xml:space="preserve">, which are </w:t>
      </w:r>
      <w:r w:rsidR="008834BF">
        <w:rPr>
          <w:rFonts w:cs="Times New Roman"/>
        </w:rPr>
        <w:t xml:space="preserve">the different </w:t>
      </w:r>
      <w:r w:rsidR="00796C78" w:rsidRPr="00590BB6">
        <w:rPr>
          <w:rFonts w:cs="Times New Roman"/>
        </w:rPr>
        <w:t>truck typolog</w:t>
      </w:r>
      <w:r w:rsidR="008834BF">
        <w:rPr>
          <w:rFonts w:cs="Times New Roman"/>
        </w:rPr>
        <w:t>ies</w:t>
      </w:r>
      <w:r w:rsidR="00796C78" w:rsidRPr="00590BB6">
        <w:rPr>
          <w:rFonts w:cs="Times New Roman"/>
        </w:rPr>
        <w:t>,</w:t>
      </w:r>
      <w:r w:rsidRPr="00590BB6">
        <w:rPr>
          <w:rFonts w:cs="Times New Roman"/>
        </w:rPr>
        <w:t xml:space="preserve"> </w:t>
      </w:r>
      <w:r w:rsidR="00796C78" w:rsidRPr="00590BB6">
        <w:rPr>
          <w:rFonts w:cs="Times New Roman"/>
        </w:rPr>
        <w:t xml:space="preserve">are called to meet </w:t>
      </w:r>
      <w:r w:rsidR="005666FC" w:rsidRPr="00590BB6">
        <w:rPr>
          <w:rFonts w:cs="Times New Roman"/>
        </w:rPr>
        <w:t xml:space="preserve">a </w:t>
      </w:r>
      <w:r w:rsidRPr="00590BB6">
        <w:rPr>
          <w:rFonts w:cs="Times New Roman"/>
        </w:rPr>
        <w:t xml:space="preserve">forecasted </w:t>
      </w:r>
      <w:r w:rsidR="005666FC" w:rsidRPr="00590BB6">
        <w:rPr>
          <w:rFonts w:cs="Times New Roman"/>
        </w:rPr>
        <w:t xml:space="preserve">service </w:t>
      </w:r>
      <w:r w:rsidRPr="00590BB6">
        <w:rPr>
          <w:rFonts w:cs="Times New Roman"/>
        </w:rPr>
        <w:t>demand</w:t>
      </w:r>
      <w:r w:rsidR="005666FC" w:rsidRPr="00590BB6">
        <w:rPr>
          <w:rFonts w:cs="Times New Roman"/>
        </w:rPr>
        <w:t xml:space="preserve">, </w:t>
      </w:r>
      <w:r w:rsidR="009741FB" w:rsidRPr="00590BB6">
        <w:rPr>
          <w:rFonts w:cs="Times New Roman"/>
        </w:rPr>
        <w:t xml:space="preserve">in </w:t>
      </w:r>
      <w:r w:rsidR="00796C78" w:rsidRPr="00590BB6">
        <w:rPr>
          <w:rFonts w:cs="Times New Roman"/>
        </w:rPr>
        <w:t>each year</w:t>
      </w:r>
      <w:r w:rsidR="009741FB" w:rsidRPr="00590BB6">
        <w:rPr>
          <w:rFonts w:cs="Times New Roman"/>
        </w:rPr>
        <w:t xml:space="preserve"> beyond 2020</w:t>
      </w:r>
      <w:r w:rsidRPr="00590BB6">
        <w:rPr>
          <w:rFonts w:cs="Times New Roman"/>
        </w:rPr>
        <w:t xml:space="preserve">. </w:t>
      </w:r>
      <w:r w:rsidR="00796C78" w:rsidRPr="00590BB6">
        <w:rPr>
          <w:rFonts w:cs="Times New Roman"/>
        </w:rPr>
        <w:t>Each agent-investor would sort investments in the different trucks according to a certain metric, specifically m</w:t>
      </w:r>
      <w:r w:rsidRPr="00590BB6">
        <w:rPr>
          <w:rFonts w:cs="Times New Roman"/>
        </w:rPr>
        <w:t xml:space="preserve">odel outputs </w:t>
      </w:r>
      <w:r w:rsidR="005666FC" w:rsidRPr="00590BB6">
        <w:rPr>
          <w:rFonts w:cs="Times New Roman"/>
        </w:rPr>
        <w:t>are</w:t>
      </w:r>
      <w:r w:rsidRPr="00590BB6">
        <w:rPr>
          <w:rFonts w:cs="Times New Roman"/>
        </w:rPr>
        <w:t xml:space="preserve"> based on the </w:t>
      </w:r>
      <w:proofErr w:type="spellStart"/>
      <w:r w:rsidRPr="00590BB6">
        <w:rPr>
          <w:rFonts w:cs="Times New Roman"/>
        </w:rPr>
        <w:t>levelised</w:t>
      </w:r>
      <w:proofErr w:type="spellEnd"/>
      <w:r w:rsidRPr="00590BB6">
        <w:rPr>
          <w:rFonts w:cs="Times New Roman"/>
        </w:rPr>
        <w:t xml:space="preserve"> cost of energy (LCOE) represented by Equation 1 (Eq. 1), as the minimi</w:t>
      </w:r>
      <w:r w:rsidR="008834BF">
        <w:rPr>
          <w:rFonts w:cs="Times New Roman"/>
        </w:rPr>
        <w:t>s</w:t>
      </w:r>
      <w:r w:rsidRPr="00590BB6">
        <w:rPr>
          <w:rFonts w:cs="Times New Roman"/>
        </w:rPr>
        <w:t xml:space="preserve">ation of LCOE was taken </w:t>
      </w:r>
      <w:r w:rsidR="008834BF">
        <w:rPr>
          <w:rFonts w:cs="Times New Roman"/>
        </w:rPr>
        <w:t>to guide</w:t>
      </w:r>
      <w:r w:rsidRPr="00590BB6">
        <w:rPr>
          <w:rFonts w:cs="Times New Roman"/>
        </w:rPr>
        <w:t xml:space="preserve"> decisions</w:t>
      </w:r>
      <w:r w:rsidR="00314EDB" w:rsidRPr="00590BB6">
        <w:rPr>
          <w:rFonts w:cs="Times New Roman"/>
        </w:rPr>
        <w:t>:</w:t>
      </w: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4"/>
        <w:gridCol w:w="4097"/>
      </w:tblGrid>
      <w:tr w:rsidR="00EC2D6A" w:rsidRPr="00590BB6" w14:paraId="031D5BB7" w14:textId="77777777" w:rsidTr="00EC2D6A">
        <w:trPr>
          <w:trHeight w:val="376"/>
        </w:trPr>
        <w:tc>
          <w:tcPr>
            <w:tcW w:w="5254" w:type="dxa"/>
            <w:vAlign w:val="center"/>
          </w:tcPr>
          <w:p w14:paraId="05FDDC99" w14:textId="77777777" w:rsidR="00EC2D6A" w:rsidRPr="00590BB6" w:rsidRDefault="00EC2D6A" w:rsidP="00EC2D6A">
            <w:pPr>
              <w:pStyle w:val="CETBodytext"/>
              <w:spacing w:line="360" w:lineRule="auto"/>
              <w:jc w:val="left"/>
              <w:rPr>
                <w:rFonts w:ascii="Times New Roman" w:hAnsi="Times New Roman"/>
                <w:sz w:val="22"/>
                <w:szCs w:val="22"/>
                <w:lang w:val="en-GB"/>
              </w:rPr>
            </w:pPr>
            <m:oMathPara>
              <m:oMathParaPr>
                <m:jc m:val="left"/>
              </m:oMathParaPr>
              <m:oMath>
                <m:r>
                  <w:rPr>
                    <w:rFonts w:ascii="Cambria Math" w:eastAsiaTheme="minorHAnsi" w:hAnsi="Cambria Math"/>
                    <w:sz w:val="22"/>
                    <w:szCs w:val="22"/>
                    <w:lang w:val="en-GB"/>
                  </w:rPr>
                  <m:t>LCOE=</m:t>
                </m:r>
                <m:f>
                  <m:fPr>
                    <m:ctrlPr>
                      <w:rPr>
                        <w:rFonts w:ascii="Cambria Math" w:eastAsiaTheme="minorHAnsi" w:hAnsi="Cambria Math"/>
                        <w:i/>
                        <w:sz w:val="22"/>
                        <w:szCs w:val="22"/>
                        <w:lang w:val="en-GB"/>
                      </w:rPr>
                    </m:ctrlPr>
                  </m:fPr>
                  <m:num>
                    <m:nary>
                      <m:naryPr>
                        <m:chr m:val="∑"/>
                        <m:limLoc m:val="undOvr"/>
                        <m:ctrlPr>
                          <w:rPr>
                            <w:rFonts w:ascii="Cambria Math" w:eastAsiaTheme="minorHAnsi" w:hAnsi="Cambria Math"/>
                            <w:i/>
                            <w:sz w:val="22"/>
                            <w:szCs w:val="22"/>
                            <w:lang w:val="en-GB"/>
                          </w:rPr>
                        </m:ctrlPr>
                      </m:naryPr>
                      <m:sub>
                        <m:r>
                          <w:rPr>
                            <w:rFonts w:ascii="Cambria Math" w:eastAsiaTheme="minorHAnsi" w:hAnsi="Cambria Math"/>
                            <w:sz w:val="22"/>
                            <w:szCs w:val="22"/>
                            <w:lang w:val="en-GB"/>
                          </w:rPr>
                          <m:t>t=1</m:t>
                        </m:r>
                      </m:sub>
                      <m:sup>
                        <m:r>
                          <w:rPr>
                            <w:rFonts w:ascii="Cambria Math" w:eastAsiaTheme="minorHAnsi" w:hAnsi="Cambria Math"/>
                            <w:sz w:val="22"/>
                            <w:szCs w:val="22"/>
                            <w:lang w:val="en-GB"/>
                          </w:rPr>
                          <m:t>n</m:t>
                        </m:r>
                      </m:sup>
                      <m:e>
                        <m:f>
                          <m:fPr>
                            <m:ctrlPr>
                              <w:rPr>
                                <w:rFonts w:ascii="Cambria Math" w:eastAsiaTheme="minorHAnsi" w:hAnsi="Cambria Math"/>
                                <w:i/>
                                <w:sz w:val="22"/>
                                <w:szCs w:val="22"/>
                                <w:lang w:val="en-GB"/>
                              </w:rPr>
                            </m:ctrlPr>
                          </m:fPr>
                          <m:num>
                            <m:sSub>
                              <m:sSubPr>
                                <m:ctrlPr>
                                  <w:rPr>
                                    <w:rFonts w:ascii="Cambria Math" w:eastAsiaTheme="minorHAnsi" w:hAnsi="Cambria Math"/>
                                    <w:i/>
                                    <w:sz w:val="22"/>
                                    <w:szCs w:val="22"/>
                                    <w:lang w:val="en-GB"/>
                                  </w:rPr>
                                </m:ctrlPr>
                              </m:sSubPr>
                              <m:e>
                                <m:r>
                                  <w:rPr>
                                    <w:rFonts w:ascii="Cambria Math" w:eastAsiaTheme="minorHAnsi" w:hAnsi="Cambria Math"/>
                                    <w:sz w:val="22"/>
                                    <w:szCs w:val="22"/>
                                    <w:lang w:val="en-GB"/>
                                  </w:rPr>
                                  <m:t>I</m:t>
                                </m:r>
                              </m:e>
                              <m:sub>
                                <m:r>
                                  <w:rPr>
                                    <w:rFonts w:ascii="Cambria Math" w:eastAsiaTheme="minorHAnsi" w:hAnsi="Cambria Math"/>
                                    <w:sz w:val="22"/>
                                    <w:szCs w:val="22"/>
                                    <w:lang w:val="en-GB"/>
                                  </w:rPr>
                                  <m:t>t</m:t>
                                </m:r>
                              </m:sub>
                            </m:sSub>
                            <m:r>
                              <w:rPr>
                                <w:rFonts w:ascii="Cambria Math" w:eastAsiaTheme="minorHAnsi" w:hAnsi="Cambria Math"/>
                                <w:sz w:val="22"/>
                                <w:szCs w:val="22"/>
                                <w:lang w:val="en-GB"/>
                              </w:rPr>
                              <m:t>+</m:t>
                            </m:r>
                            <m:sSub>
                              <m:sSubPr>
                                <m:ctrlPr>
                                  <w:rPr>
                                    <w:rFonts w:ascii="Cambria Math" w:eastAsiaTheme="minorHAnsi" w:hAnsi="Cambria Math"/>
                                    <w:i/>
                                    <w:sz w:val="22"/>
                                    <w:szCs w:val="22"/>
                                    <w:lang w:val="en-GB"/>
                                  </w:rPr>
                                </m:ctrlPr>
                              </m:sSubPr>
                              <m:e>
                                <m:r>
                                  <w:rPr>
                                    <w:rFonts w:ascii="Cambria Math" w:eastAsiaTheme="minorHAnsi" w:hAnsi="Cambria Math"/>
                                    <w:sz w:val="22"/>
                                    <w:szCs w:val="22"/>
                                    <w:lang w:val="en-GB"/>
                                  </w:rPr>
                                  <m:t>M</m:t>
                                </m:r>
                              </m:e>
                              <m:sub>
                                <m:r>
                                  <w:rPr>
                                    <w:rFonts w:ascii="Cambria Math" w:eastAsiaTheme="minorHAnsi" w:hAnsi="Cambria Math"/>
                                    <w:sz w:val="22"/>
                                    <w:szCs w:val="22"/>
                                    <w:lang w:val="en-GB"/>
                                  </w:rPr>
                                  <m:t>t</m:t>
                                </m:r>
                              </m:sub>
                            </m:sSub>
                            <m:r>
                              <w:rPr>
                                <w:rFonts w:ascii="Cambria Math" w:eastAsiaTheme="minorHAnsi" w:hAnsi="Cambria Math"/>
                                <w:sz w:val="22"/>
                                <w:szCs w:val="22"/>
                                <w:lang w:val="en-GB"/>
                              </w:rPr>
                              <m:t>+</m:t>
                            </m:r>
                            <m:sSub>
                              <m:sSubPr>
                                <m:ctrlPr>
                                  <w:rPr>
                                    <w:rFonts w:ascii="Cambria Math" w:eastAsiaTheme="minorHAnsi" w:hAnsi="Cambria Math"/>
                                    <w:i/>
                                    <w:sz w:val="22"/>
                                    <w:szCs w:val="22"/>
                                    <w:lang w:val="en-GB"/>
                                  </w:rPr>
                                </m:ctrlPr>
                              </m:sSubPr>
                              <m:e>
                                <m:r>
                                  <w:rPr>
                                    <w:rFonts w:ascii="Cambria Math" w:eastAsiaTheme="minorHAnsi" w:hAnsi="Cambria Math"/>
                                    <w:sz w:val="22"/>
                                    <w:szCs w:val="22"/>
                                    <w:lang w:val="en-GB"/>
                                  </w:rPr>
                                  <m:t>F</m:t>
                                </m:r>
                              </m:e>
                              <m:sub>
                                <m:r>
                                  <w:rPr>
                                    <w:rFonts w:ascii="Cambria Math" w:eastAsiaTheme="minorHAnsi" w:hAnsi="Cambria Math"/>
                                    <w:sz w:val="22"/>
                                    <w:szCs w:val="22"/>
                                    <w:lang w:val="en-GB"/>
                                  </w:rPr>
                                  <m:t>t</m:t>
                                </m:r>
                              </m:sub>
                            </m:sSub>
                          </m:num>
                          <m:den>
                            <m:sSup>
                              <m:sSupPr>
                                <m:ctrlPr>
                                  <w:rPr>
                                    <w:rFonts w:ascii="Cambria Math" w:eastAsiaTheme="minorHAnsi" w:hAnsi="Cambria Math"/>
                                    <w:i/>
                                    <w:sz w:val="22"/>
                                    <w:szCs w:val="22"/>
                                    <w:lang w:val="en-GB"/>
                                  </w:rPr>
                                </m:ctrlPr>
                              </m:sSupPr>
                              <m:e>
                                <m:r>
                                  <w:rPr>
                                    <w:rFonts w:ascii="Cambria Math" w:eastAsiaTheme="minorHAnsi" w:hAnsi="Cambria Math"/>
                                    <w:sz w:val="22"/>
                                    <w:szCs w:val="22"/>
                                    <w:lang w:val="en-GB"/>
                                  </w:rPr>
                                  <m:t>(1+r)</m:t>
                                </m:r>
                              </m:e>
                              <m:sup>
                                <m:r>
                                  <w:rPr>
                                    <w:rFonts w:ascii="Cambria Math" w:eastAsiaTheme="minorHAnsi" w:hAnsi="Cambria Math"/>
                                    <w:sz w:val="22"/>
                                    <w:szCs w:val="22"/>
                                    <w:lang w:val="en-GB"/>
                                  </w:rPr>
                                  <m:t>t</m:t>
                                </m:r>
                              </m:sup>
                            </m:sSup>
                          </m:den>
                        </m:f>
                      </m:e>
                    </m:nary>
                  </m:num>
                  <m:den>
                    <m:nary>
                      <m:naryPr>
                        <m:chr m:val="∑"/>
                        <m:limLoc m:val="undOvr"/>
                        <m:ctrlPr>
                          <w:rPr>
                            <w:rFonts w:ascii="Cambria Math" w:eastAsiaTheme="minorHAnsi" w:hAnsi="Cambria Math"/>
                            <w:i/>
                            <w:sz w:val="22"/>
                            <w:szCs w:val="22"/>
                            <w:lang w:val="en-GB"/>
                          </w:rPr>
                        </m:ctrlPr>
                      </m:naryPr>
                      <m:sub>
                        <m:r>
                          <w:rPr>
                            <w:rFonts w:ascii="Cambria Math" w:eastAsiaTheme="minorHAnsi" w:hAnsi="Cambria Math"/>
                            <w:sz w:val="22"/>
                            <w:szCs w:val="22"/>
                            <w:lang w:val="en-GB"/>
                          </w:rPr>
                          <m:t>t=1</m:t>
                        </m:r>
                      </m:sub>
                      <m:sup>
                        <m:r>
                          <w:rPr>
                            <w:rFonts w:ascii="Cambria Math" w:eastAsiaTheme="minorHAnsi" w:hAnsi="Cambria Math"/>
                            <w:sz w:val="22"/>
                            <w:szCs w:val="22"/>
                            <w:lang w:val="en-GB"/>
                          </w:rPr>
                          <m:t>n</m:t>
                        </m:r>
                      </m:sup>
                      <m:e>
                        <m:f>
                          <m:fPr>
                            <m:ctrlPr>
                              <w:rPr>
                                <w:rFonts w:ascii="Cambria Math" w:eastAsiaTheme="minorHAnsi" w:hAnsi="Cambria Math"/>
                                <w:i/>
                                <w:sz w:val="22"/>
                                <w:szCs w:val="22"/>
                                <w:lang w:val="en-GB"/>
                              </w:rPr>
                            </m:ctrlPr>
                          </m:fPr>
                          <m:num>
                            <m:sSub>
                              <m:sSubPr>
                                <m:ctrlPr>
                                  <w:rPr>
                                    <w:rFonts w:ascii="Cambria Math" w:eastAsiaTheme="minorHAnsi" w:hAnsi="Cambria Math"/>
                                    <w:i/>
                                    <w:sz w:val="22"/>
                                    <w:szCs w:val="22"/>
                                    <w:lang w:val="en-GB"/>
                                  </w:rPr>
                                </m:ctrlPr>
                              </m:sSubPr>
                              <m:e>
                                <m:r>
                                  <w:rPr>
                                    <w:rFonts w:ascii="Cambria Math" w:eastAsiaTheme="minorHAnsi" w:hAnsi="Cambria Math"/>
                                    <w:sz w:val="22"/>
                                    <w:szCs w:val="22"/>
                                    <w:lang w:val="en-GB"/>
                                  </w:rPr>
                                  <m:t>E</m:t>
                                </m:r>
                              </m:e>
                              <m:sub>
                                <m:r>
                                  <w:rPr>
                                    <w:rFonts w:ascii="Cambria Math" w:eastAsiaTheme="minorHAnsi" w:hAnsi="Cambria Math"/>
                                    <w:sz w:val="22"/>
                                    <w:szCs w:val="22"/>
                                    <w:lang w:val="en-GB"/>
                                  </w:rPr>
                                  <m:t>t</m:t>
                                </m:r>
                              </m:sub>
                            </m:sSub>
                          </m:num>
                          <m:den>
                            <m:sSup>
                              <m:sSupPr>
                                <m:ctrlPr>
                                  <w:rPr>
                                    <w:rFonts w:ascii="Cambria Math" w:eastAsiaTheme="minorHAnsi" w:hAnsi="Cambria Math"/>
                                    <w:i/>
                                    <w:sz w:val="22"/>
                                    <w:szCs w:val="22"/>
                                    <w:lang w:val="en-GB"/>
                                  </w:rPr>
                                </m:ctrlPr>
                              </m:sSupPr>
                              <m:e>
                                <m:r>
                                  <w:rPr>
                                    <w:rFonts w:ascii="Cambria Math" w:eastAsiaTheme="minorHAnsi" w:hAnsi="Cambria Math"/>
                                    <w:sz w:val="22"/>
                                    <w:szCs w:val="22"/>
                                    <w:lang w:val="en-GB"/>
                                  </w:rPr>
                                  <m:t>(1+r)</m:t>
                                </m:r>
                              </m:e>
                              <m:sup>
                                <m:r>
                                  <w:rPr>
                                    <w:rFonts w:ascii="Cambria Math" w:eastAsiaTheme="minorHAnsi" w:hAnsi="Cambria Math"/>
                                    <w:sz w:val="22"/>
                                    <w:szCs w:val="22"/>
                                    <w:lang w:val="en-GB"/>
                                  </w:rPr>
                                  <m:t>t</m:t>
                                </m:r>
                              </m:sup>
                            </m:sSup>
                          </m:den>
                        </m:f>
                      </m:e>
                    </m:nary>
                  </m:den>
                </m:f>
              </m:oMath>
            </m:oMathPara>
          </w:p>
        </w:tc>
        <w:tc>
          <w:tcPr>
            <w:tcW w:w="4097" w:type="dxa"/>
            <w:vAlign w:val="center"/>
          </w:tcPr>
          <w:p w14:paraId="770482DD" w14:textId="77777777" w:rsidR="00EC2D6A" w:rsidRPr="00590BB6" w:rsidRDefault="00EC2D6A" w:rsidP="00EC2D6A">
            <w:pPr>
              <w:pStyle w:val="CETBodytext"/>
              <w:spacing w:after="120" w:line="360" w:lineRule="auto"/>
              <w:jc w:val="right"/>
              <w:rPr>
                <w:rFonts w:ascii="Times New Roman" w:hAnsi="Times New Roman"/>
                <w:sz w:val="22"/>
                <w:szCs w:val="22"/>
                <w:lang w:val="en-GB"/>
              </w:rPr>
            </w:pPr>
            <w:r w:rsidRPr="00590BB6">
              <w:rPr>
                <w:rFonts w:ascii="Times New Roman" w:hAnsi="Times New Roman"/>
                <w:sz w:val="22"/>
                <w:szCs w:val="22"/>
                <w:lang w:val="en-GB"/>
              </w:rPr>
              <w:t xml:space="preserve">Eq. </w:t>
            </w:r>
            <w:r w:rsidRPr="00590BB6">
              <w:rPr>
                <w:rFonts w:ascii="Times New Roman" w:hAnsi="Times New Roman"/>
                <w:sz w:val="22"/>
                <w:szCs w:val="22"/>
                <w:lang w:val="en-GB"/>
              </w:rPr>
              <w:fldChar w:fldCharType="begin"/>
            </w:r>
            <w:r w:rsidRPr="00590BB6">
              <w:rPr>
                <w:rFonts w:ascii="Times New Roman" w:hAnsi="Times New Roman"/>
                <w:sz w:val="22"/>
                <w:szCs w:val="22"/>
                <w:lang w:val="en-GB"/>
              </w:rPr>
              <w:instrText xml:space="preserve"> SEQ Eq. \* ARABIC </w:instrText>
            </w:r>
            <w:r w:rsidRPr="00590BB6">
              <w:rPr>
                <w:rFonts w:ascii="Times New Roman" w:hAnsi="Times New Roman"/>
                <w:sz w:val="22"/>
                <w:szCs w:val="22"/>
                <w:lang w:val="en-GB"/>
              </w:rPr>
              <w:fldChar w:fldCharType="separate"/>
            </w:r>
            <w:r w:rsidRPr="00590BB6">
              <w:rPr>
                <w:rFonts w:ascii="Times New Roman" w:hAnsi="Times New Roman"/>
                <w:sz w:val="22"/>
                <w:szCs w:val="22"/>
                <w:lang w:val="en-GB"/>
              </w:rPr>
              <w:t>1</w:t>
            </w:r>
            <w:r w:rsidRPr="00590BB6">
              <w:rPr>
                <w:rFonts w:ascii="Times New Roman" w:hAnsi="Times New Roman"/>
                <w:sz w:val="22"/>
                <w:szCs w:val="22"/>
                <w:lang w:val="en-GB"/>
              </w:rPr>
              <w:fldChar w:fldCharType="end"/>
            </w:r>
          </w:p>
        </w:tc>
      </w:tr>
    </w:tbl>
    <w:p w14:paraId="6E4FD90F" w14:textId="76285E2D" w:rsidR="00EC2D6A" w:rsidRPr="00590BB6" w:rsidRDefault="00EC2D6A" w:rsidP="00314EDB">
      <w:pPr>
        <w:spacing w:before="240" w:line="360" w:lineRule="auto"/>
        <w:jc w:val="both"/>
        <w:rPr>
          <w:rFonts w:eastAsiaTheme="minorEastAsia" w:cs="Times New Roman"/>
        </w:rPr>
      </w:pPr>
      <w:r w:rsidRPr="00590BB6">
        <w:rPr>
          <w:rFonts w:cs="Times New Roman"/>
        </w:rPr>
        <w:t xml:space="preserve">In Eq. 1, </w:t>
      </w:r>
      <w:r w:rsidRPr="00590BB6">
        <w:rPr>
          <w:rFonts w:cs="Times New Roman"/>
          <w:i/>
        </w:rPr>
        <w:t>I</w:t>
      </w:r>
      <w:r w:rsidRPr="00590BB6">
        <w:rPr>
          <w:rFonts w:cs="Times New Roman"/>
        </w:rPr>
        <w:t xml:space="preserve"> </w:t>
      </w:r>
      <w:r w:rsidRPr="00590BB6">
        <w:rPr>
          <w:rFonts w:eastAsiaTheme="minorEastAsia" w:cs="Times New Roman"/>
        </w:rPr>
        <w:t xml:space="preserve">and </w:t>
      </w:r>
      <w:r w:rsidRPr="00590BB6">
        <w:rPr>
          <w:rFonts w:eastAsiaTheme="minorEastAsia" w:cs="Times New Roman"/>
          <w:i/>
        </w:rPr>
        <w:t>M</w:t>
      </w:r>
      <w:r w:rsidRPr="00590BB6">
        <w:rPr>
          <w:rFonts w:eastAsiaTheme="minorEastAsia" w:cs="Times New Roman"/>
        </w:rPr>
        <w:t xml:space="preserve"> represent the investment (i.e., capital costs) and the fixed operations and maintenance costs</w:t>
      </w:r>
      <w:r w:rsidR="005749EE" w:rsidRPr="00590BB6">
        <w:rPr>
          <w:rFonts w:eastAsiaTheme="minorEastAsia" w:cs="Times New Roman"/>
        </w:rPr>
        <w:t xml:space="preserve"> </w:t>
      </w:r>
      <w:r w:rsidRPr="00590BB6">
        <w:rPr>
          <w:rFonts w:eastAsiaTheme="minorEastAsia" w:cs="Times New Roman"/>
        </w:rPr>
        <w:t xml:space="preserve">(i.e., FOM), respectively, </w:t>
      </w:r>
      <w:r w:rsidRPr="00590BB6">
        <w:rPr>
          <w:rFonts w:eastAsiaTheme="minorEastAsia" w:cs="Times New Roman"/>
          <w:i/>
        </w:rPr>
        <w:t>F</w:t>
      </w:r>
      <w:r w:rsidRPr="00590BB6">
        <w:rPr>
          <w:rFonts w:eastAsiaTheme="minorEastAsia" w:cs="Times New Roman"/>
        </w:rPr>
        <w:t xml:space="preserve"> is the fuel expenditures, </w:t>
      </w:r>
      <w:r w:rsidRPr="00590BB6">
        <w:rPr>
          <w:rFonts w:eastAsiaTheme="minorEastAsia" w:cs="Times New Roman"/>
          <w:i/>
        </w:rPr>
        <w:t>E</w:t>
      </w:r>
      <w:r w:rsidRPr="00590BB6">
        <w:rPr>
          <w:rFonts w:eastAsiaTheme="minorEastAsia" w:cs="Times New Roman"/>
        </w:rPr>
        <w:t xml:space="preserve"> the amount of energy produced, </w:t>
      </w:r>
      <w:r w:rsidRPr="00590BB6">
        <w:rPr>
          <w:rFonts w:eastAsiaTheme="minorEastAsia" w:cs="Times New Roman"/>
          <w:i/>
        </w:rPr>
        <w:t>r</w:t>
      </w:r>
      <w:r w:rsidRPr="00590BB6">
        <w:rPr>
          <w:rFonts w:eastAsiaTheme="minorEastAsia" w:cs="Times New Roman"/>
        </w:rPr>
        <w:t xml:space="preserve"> the </w:t>
      </w:r>
      <w:r w:rsidR="005749EE" w:rsidRPr="00590BB6">
        <w:rPr>
          <w:rFonts w:eastAsiaTheme="minorEastAsia" w:cs="Times New Roman"/>
        </w:rPr>
        <w:t>interest rate</w:t>
      </w:r>
      <w:r w:rsidRPr="00590BB6">
        <w:rPr>
          <w:rFonts w:eastAsiaTheme="minorEastAsia" w:cs="Times New Roman"/>
        </w:rPr>
        <w:t xml:space="preserve">, </w:t>
      </w:r>
      <w:proofErr w:type="spellStart"/>
      <w:r w:rsidRPr="00590BB6">
        <w:rPr>
          <w:rFonts w:eastAsiaTheme="minorEastAsia" w:cs="Times New Roman"/>
          <w:i/>
        </w:rPr>
        <w:t>n</w:t>
      </w:r>
      <w:proofErr w:type="spellEnd"/>
      <w:r w:rsidRPr="00590BB6">
        <w:rPr>
          <w:rFonts w:eastAsiaTheme="minorEastAsia" w:cs="Times New Roman"/>
        </w:rPr>
        <w:t xml:space="preserve"> the expected technologies’ lifetime and </w:t>
      </w:r>
      <w:r w:rsidRPr="00590BB6">
        <w:rPr>
          <w:rFonts w:eastAsiaTheme="minorEastAsia" w:cs="Times New Roman"/>
          <w:i/>
        </w:rPr>
        <w:t>t</w:t>
      </w:r>
      <w:r w:rsidRPr="00590BB6">
        <w:rPr>
          <w:rFonts w:eastAsiaTheme="minorEastAsia" w:cs="Times New Roman"/>
        </w:rPr>
        <w:t xml:space="preserve"> the simulation year.</w:t>
      </w:r>
      <w:r w:rsidR="00BB1D63" w:rsidRPr="00590BB6">
        <w:rPr>
          <w:rFonts w:eastAsiaTheme="minorEastAsia" w:cs="Times New Roman"/>
        </w:rPr>
        <w:t xml:space="preserve"> </w:t>
      </w:r>
      <w:r w:rsidR="00BB1D63" w:rsidRPr="00590BB6">
        <w:t xml:space="preserve">The LCOE is used to quantify the cost of the </w:t>
      </w:r>
      <w:r w:rsidR="00612010" w:rsidRPr="00590BB6">
        <w:t>electricity</w:t>
      </w:r>
      <w:r w:rsidR="00BB1D63" w:rsidRPr="00590BB6">
        <w:t xml:space="preserve"> delivered</w:t>
      </w:r>
      <w:r w:rsidR="009741FB" w:rsidRPr="00590BB6">
        <w:t xml:space="preserve"> in the</w:t>
      </w:r>
      <w:r w:rsidR="00BB1D63" w:rsidRPr="00590BB6">
        <w:t xml:space="preserve"> </w:t>
      </w:r>
      <w:r w:rsidR="00612010" w:rsidRPr="00590BB6">
        <w:t>power sector</w:t>
      </w:r>
      <w:r w:rsidR="009741FB" w:rsidRPr="00590BB6">
        <w:t>.</w:t>
      </w:r>
      <w:r w:rsidR="00BB1D63" w:rsidRPr="00590BB6">
        <w:t xml:space="preserve"> </w:t>
      </w:r>
      <w:r w:rsidR="00AA24CB" w:rsidRPr="00590BB6">
        <w:t>In the MUSE model, the concept is expected to the energy delivered and becomes</w:t>
      </w:r>
      <w:r w:rsidR="00BB1D63" w:rsidRPr="00590BB6">
        <w:t xml:space="preserve"> the net present cost of an energy delivering system normalised over the net present value of the energy delivered. In this application, the energy delivered is measured as </w:t>
      </w:r>
      <w:r w:rsidR="00411036">
        <w:t xml:space="preserve">a </w:t>
      </w:r>
      <w:r w:rsidR="00BB1D63" w:rsidRPr="00590BB6">
        <w:t>service</w:t>
      </w:r>
      <w:r w:rsidR="009741FB" w:rsidRPr="00590BB6">
        <w:t xml:space="preserve"> demand</w:t>
      </w:r>
      <w:r w:rsidR="00BB1D63" w:rsidRPr="00590BB6">
        <w:t xml:space="preserve"> offered by trucks.</w:t>
      </w:r>
    </w:p>
    <w:p w14:paraId="0295C3B2" w14:textId="00C3ABD5" w:rsidR="00247E88" w:rsidRPr="00590BB6" w:rsidRDefault="00247E88" w:rsidP="00B35DBE">
      <w:pPr>
        <w:spacing w:line="360" w:lineRule="auto"/>
        <w:jc w:val="both"/>
        <w:rPr>
          <w:rFonts w:cs="Times New Roman"/>
        </w:rPr>
      </w:pPr>
      <w:r w:rsidRPr="00590BB6">
        <w:rPr>
          <w:rFonts w:cs="Times New Roman"/>
        </w:rPr>
        <w:t xml:space="preserve">A simplified model structure and its main components are presented in </w:t>
      </w:r>
      <w:r w:rsidR="00A644B3" w:rsidRPr="00590BB6">
        <w:rPr>
          <w:rFonts w:cs="Times New Roman"/>
        </w:rPr>
        <w:fldChar w:fldCharType="begin"/>
      </w:r>
      <w:r w:rsidR="00A644B3" w:rsidRPr="00590BB6">
        <w:rPr>
          <w:rFonts w:cs="Times New Roman"/>
        </w:rPr>
        <w:instrText xml:space="preserve"> REF _Ref143128131 \h </w:instrText>
      </w:r>
      <w:r w:rsidR="00590BB6">
        <w:rPr>
          <w:rFonts w:cs="Times New Roman"/>
        </w:rPr>
        <w:instrText xml:space="preserve"> \* MERGEFORMAT </w:instrText>
      </w:r>
      <w:r w:rsidR="00A644B3" w:rsidRPr="00590BB6">
        <w:rPr>
          <w:rFonts w:cs="Times New Roman"/>
        </w:rPr>
      </w:r>
      <w:r w:rsidR="00A644B3" w:rsidRPr="00590BB6">
        <w:rPr>
          <w:rFonts w:cs="Times New Roman"/>
        </w:rPr>
        <w:fldChar w:fldCharType="separate"/>
      </w:r>
      <w:r w:rsidR="00A644B3" w:rsidRPr="00590BB6">
        <w:t xml:space="preserve">Figure </w:t>
      </w:r>
      <w:r w:rsidR="00A644B3" w:rsidRPr="00590BB6">
        <w:rPr>
          <w:noProof/>
        </w:rPr>
        <w:t>1</w:t>
      </w:r>
      <w:r w:rsidR="00A644B3" w:rsidRPr="00590BB6">
        <w:rPr>
          <w:rFonts w:cs="Times New Roman"/>
        </w:rPr>
        <w:fldChar w:fldCharType="end"/>
      </w:r>
      <w:r w:rsidR="00A644B3" w:rsidRPr="00590BB6">
        <w:rPr>
          <w:rFonts w:cs="Times New Roman"/>
        </w:rPr>
        <w:t xml:space="preserve"> </w:t>
      </w:r>
      <w:r w:rsidR="00F63221" w:rsidRPr="00590BB6">
        <w:rPr>
          <w:rFonts w:cs="Times New Roman"/>
        </w:rPr>
        <w:t>and further explained in the next subsections</w:t>
      </w:r>
      <w:r w:rsidRPr="00590BB6">
        <w:rPr>
          <w:rFonts w:cs="Times New Roman"/>
        </w:rPr>
        <w:t xml:space="preserve">, </w:t>
      </w:r>
      <w:r w:rsidR="00F63221" w:rsidRPr="00590BB6">
        <w:rPr>
          <w:rFonts w:cs="Times New Roman"/>
        </w:rPr>
        <w:t xml:space="preserve">namely, </w:t>
      </w:r>
      <w:r w:rsidR="00B90C9D" w:rsidRPr="00590BB6">
        <w:rPr>
          <w:rFonts w:cs="Times New Roman"/>
        </w:rPr>
        <w:t xml:space="preserve">macroeconomic drivers </w:t>
      </w:r>
      <w:r w:rsidR="00561EE4" w:rsidRPr="00590BB6">
        <w:rPr>
          <w:rFonts w:cs="Times New Roman"/>
        </w:rPr>
        <w:t xml:space="preserve">(Section 2.1), </w:t>
      </w:r>
      <w:r w:rsidR="00B90C9D" w:rsidRPr="00590BB6">
        <w:rPr>
          <w:rFonts w:cs="Times New Roman"/>
        </w:rPr>
        <w:t xml:space="preserve">the HDV sector </w:t>
      </w:r>
      <w:r w:rsidR="00561EE4" w:rsidRPr="00590BB6">
        <w:rPr>
          <w:rFonts w:cs="Times New Roman"/>
        </w:rPr>
        <w:t>(Section 2.2), techn</w:t>
      </w:r>
      <w:r w:rsidR="009F2331" w:rsidRPr="00590BB6">
        <w:rPr>
          <w:rFonts w:cs="Times New Roman"/>
        </w:rPr>
        <w:t xml:space="preserve">o-economic </w:t>
      </w:r>
      <w:r w:rsidR="00561EE4" w:rsidRPr="00590BB6">
        <w:rPr>
          <w:rFonts w:cs="Times New Roman"/>
        </w:rPr>
        <w:t>data (Section 2.3), fuels (Section 2.4), and emissions (Section 2.5)</w:t>
      </w:r>
      <w:r w:rsidR="001B0FD8" w:rsidRPr="00590BB6">
        <w:rPr>
          <w:rFonts w:cs="Times New Roman"/>
        </w:rPr>
        <w:t>.</w:t>
      </w:r>
    </w:p>
    <w:p w14:paraId="46814500" w14:textId="77777777" w:rsidR="00247E88" w:rsidRPr="00590BB6" w:rsidRDefault="00247E88" w:rsidP="00247E88">
      <w:pPr>
        <w:keepNext/>
        <w:spacing w:line="360" w:lineRule="auto"/>
        <w:jc w:val="both"/>
        <w:rPr>
          <w:rFonts w:cs="Times New Roman"/>
        </w:rPr>
      </w:pPr>
      <w:r w:rsidRPr="00590BB6">
        <w:rPr>
          <w:rFonts w:cs="Times New Roman"/>
          <w:noProof/>
          <w:lang w:val="en-US"/>
        </w:rPr>
        <w:lastRenderedPageBreak/>
        <w:drawing>
          <wp:inline distT="0" distB="0" distL="0" distR="0" wp14:anchorId="1FBD08EB" wp14:editId="320BDD1D">
            <wp:extent cx="6120130" cy="399351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USE scheme.png"/>
                    <pic:cNvPicPr/>
                  </pic:nvPicPr>
                  <pic:blipFill>
                    <a:blip r:embed="rId8">
                      <a:extLst>
                        <a:ext uri="{28A0092B-C50C-407E-A947-70E740481C1C}">
                          <a14:useLocalDpi xmlns:a14="http://schemas.microsoft.com/office/drawing/2010/main" val="0"/>
                        </a:ext>
                      </a:extLst>
                    </a:blip>
                    <a:stretch>
                      <a:fillRect/>
                    </a:stretch>
                  </pic:blipFill>
                  <pic:spPr>
                    <a:xfrm>
                      <a:off x="0" y="0"/>
                      <a:ext cx="6120130" cy="3993515"/>
                    </a:xfrm>
                    <a:prstGeom prst="rect">
                      <a:avLst/>
                    </a:prstGeom>
                  </pic:spPr>
                </pic:pic>
              </a:graphicData>
            </a:graphic>
          </wp:inline>
        </w:drawing>
      </w:r>
    </w:p>
    <w:p w14:paraId="24F0B362" w14:textId="2663EFA9" w:rsidR="00247E88" w:rsidRPr="00590BB6" w:rsidRDefault="004C610A" w:rsidP="004C610A">
      <w:pPr>
        <w:pStyle w:val="Caption"/>
      </w:pPr>
      <w:bookmarkStart w:id="2" w:name="_Ref143128131"/>
      <w:r w:rsidRPr="00590BB6">
        <w:t xml:space="preserve">Figure </w:t>
      </w:r>
      <w:r w:rsidRPr="00590BB6">
        <w:fldChar w:fldCharType="begin"/>
      </w:r>
      <w:r w:rsidRPr="00590BB6">
        <w:instrText xml:space="preserve"> SEQ Figure \* ARABIC </w:instrText>
      </w:r>
      <w:r w:rsidRPr="00590BB6">
        <w:fldChar w:fldCharType="separate"/>
      </w:r>
      <w:r w:rsidR="00A644B3" w:rsidRPr="00590BB6">
        <w:rPr>
          <w:noProof/>
        </w:rPr>
        <w:t>1</w:t>
      </w:r>
      <w:r w:rsidRPr="00590BB6">
        <w:fldChar w:fldCharType="end"/>
      </w:r>
      <w:bookmarkEnd w:id="2"/>
      <w:r w:rsidR="00247E88" w:rsidRPr="00590BB6">
        <w:t xml:space="preserve">. Simplified model structure: The </w:t>
      </w:r>
      <w:r w:rsidR="00F63221" w:rsidRPr="00590BB6">
        <w:t xml:space="preserve">HDV </w:t>
      </w:r>
      <w:r w:rsidR="00247E88" w:rsidRPr="00590BB6">
        <w:t>demand sector in MUSE.</w:t>
      </w:r>
      <w:r w:rsidR="00386FA8" w:rsidRPr="00590BB6">
        <w:t xml:space="preserve"> SE stands for ‘Standard Efficiency’, ME ‘Medium Efficiency’, and HE ‘High Efficiency’.</w:t>
      </w:r>
      <w:r w:rsidR="00411036">
        <w:t xml:space="preserve"> LPG stands for ‘Liquefied Petroleum Gas’ and CNG stands for ‘Compressed natural Gas’.</w:t>
      </w:r>
    </w:p>
    <w:p w14:paraId="7E62A83A" w14:textId="172E2EC6" w:rsidR="001B0FD8" w:rsidRPr="00590BB6" w:rsidRDefault="00105699" w:rsidP="001B0FD8">
      <w:pPr>
        <w:pStyle w:val="Heading2"/>
        <w:spacing w:after="240"/>
        <w:rPr>
          <w:rFonts w:cs="Times New Roman"/>
        </w:rPr>
      </w:pPr>
      <w:r w:rsidRPr="00590BB6">
        <w:rPr>
          <w:rFonts w:cs="Times New Roman"/>
        </w:rPr>
        <w:t>Calibration of the vehicle fleet</w:t>
      </w:r>
    </w:p>
    <w:p w14:paraId="65B7415A" w14:textId="61C515EE" w:rsidR="008A2CBE" w:rsidRPr="00590BB6" w:rsidRDefault="00105699" w:rsidP="00EE34F1">
      <w:pPr>
        <w:spacing w:line="360" w:lineRule="auto"/>
        <w:jc w:val="both"/>
        <w:rPr>
          <w:rFonts w:cs="Times New Roman"/>
        </w:rPr>
      </w:pPr>
      <w:r w:rsidRPr="00590BB6">
        <w:rPr>
          <w:rFonts w:cs="Times New Roman"/>
        </w:rPr>
        <w:t xml:space="preserve">The model setup requires a calibration </w:t>
      </w:r>
      <w:r w:rsidR="001F6D6E" w:rsidRPr="00590BB6">
        <w:rPr>
          <w:rFonts w:cs="Times New Roman"/>
        </w:rPr>
        <w:t xml:space="preserve">on the initial number of vehicles available. To do so, historical data on freight demand and on vehicle registrations were collected from </w:t>
      </w:r>
      <w:r w:rsidR="001F6D6E" w:rsidRPr="00590BB6">
        <w:t xml:space="preserve">EUROSTAT </w:t>
      </w:r>
      <w:r w:rsidR="001F6D6E" w:rsidRPr="00590BB6">
        <w:fldChar w:fldCharType="begin" w:fldLock="1"/>
      </w:r>
      <w:r w:rsidR="001F6D6E" w:rsidRPr="00590BB6">
        <w:instrText>ADDIN CSL_CITATION {"citationItems":[{"id":"ITEM-1","itemData":{"author":[{"dropping-particle":"","family":"EUROSTAT","given":"","non-dropping-particle":"","parse-names":false,"suffix":""}],"id":"ITEM-1","issued":{"date-parts":[["2022"]]},"title":"Summary of annual road freight transport by type of operation and type of transport (1 000 t, Mio Tkm, Mio Veh-km)","type":"webpage"},"uris":["http://www.mendeley.com/documents/?uuid=78cebdeb-af6f-4de6-93b9-fcc33509c6e3","http://www.mendeley.com/documents/?uuid=f5275920-d9b4-4279-a73d-3bb5c2117532"]}],"mendeley":{"formattedCitation":"[29]","plainTextFormattedCitation":"[29]","previouslyFormattedCitation":"[28]"},"properties":{"noteIndex":0},"schema":"https://github.com/citation-style-language/schema/raw/master/csl-citation.json"}</w:instrText>
      </w:r>
      <w:r w:rsidR="001F6D6E" w:rsidRPr="00590BB6">
        <w:fldChar w:fldCharType="separate"/>
      </w:r>
      <w:r w:rsidR="001F6D6E" w:rsidRPr="00590BB6">
        <w:rPr>
          <w:noProof/>
        </w:rPr>
        <w:t>[29]</w:t>
      </w:r>
      <w:r w:rsidR="001F6D6E" w:rsidRPr="00590BB6">
        <w:fldChar w:fldCharType="end"/>
      </w:r>
      <w:r w:rsidR="001F6D6E" w:rsidRPr="00590BB6">
        <w:t xml:space="preserve"> and ISTAT </w:t>
      </w:r>
      <w:r w:rsidR="001F6D6E" w:rsidRPr="00590BB6">
        <w:fldChar w:fldCharType="begin" w:fldLock="1"/>
      </w:r>
      <w:r w:rsidR="001F6D6E" w:rsidRPr="00590BB6">
        <w:instrText>ADDIN CSL_CITATION {"citationItems":[{"id":"ITEM-1","itemData":{"author":[{"dropping-particle":"","family":"ISTAT","given":"","non-dropping-particle":"","parse-names":false,"suffix":""}],"id":"ITEM-1","issued":{"date-parts":[["2022"]]},"title":"Trasporto merci su strada","type":"webpage"},"uris":["http://www.mendeley.com/documents/?uuid=9742c4fa-8e96-41ff-99d6-63649b20f082","http://www.mendeley.com/documents/?uuid=fdaa1ef0-a252-44f9-92c4-260fb18c7f5b"]}],"mendeley":{"formattedCitation":"[30]","plainTextFormattedCitation":"[30]","previouslyFormattedCitation":"[29]"},"properties":{"noteIndex":0},"schema":"https://github.com/citation-style-language/schema/raw/master/csl-citation.json"}</w:instrText>
      </w:r>
      <w:r w:rsidR="001F6D6E" w:rsidRPr="00590BB6">
        <w:fldChar w:fldCharType="separate"/>
      </w:r>
      <w:r w:rsidR="001F6D6E" w:rsidRPr="00590BB6">
        <w:rPr>
          <w:noProof/>
        </w:rPr>
        <w:t>[30]</w:t>
      </w:r>
      <w:r w:rsidR="001F6D6E" w:rsidRPr="00590BB6">
        <w:fldChar w:fldCharType="end"/>
      </w:r>
      <w:r w:rsidR="001F6D6E" w:rsidRPr="00590BB6">
        <w:t>.</w:t>
      </w:r>
    </w:p>
    <w:p w14:paraId="1E043FAA" w14:textId="32364E20" w:rsidR="00AD7CC5" w:rsidRPr="00590BB6" w:rsidRDefault="001F6D6E" w:rsidP="00AD7CC5">
      <w:pPr>
        <w:spacing w:line="360" w:lineRule="auto"/>
        <w:jc w:val="both"/>
        <w:rPr>
          <w:rFonts w:cs="Times New Roman"/>
        </w:rPr>
      </w:pPr>
      <w:r w:rsidRPr="00590BB6">
        <w:rPr>
          <w:rFonts w:cs="Times New Roman"/>
        </w:rPr>
        <w:t xml:space="preserve">Since 2008, the trend in the number of vehicles </w:t>
      </w:r>
      <w:r w:rsidR="00AD7CC5" w:rsidRPr="00590BB6">
        <w:rPr>
          <w:rFonts w:cs="Times New Roman"/>
        </w:rPr>
        <w:t xml:space="preserve">registered in Italy exceeding 3.5 t </w:t>
      </w:r>
      <w:r w:rsidR="00AD7CC5" w:rsidRPr="00590BB6">
        <w:rPr>
          <w:rStyle w:val="FootnoteReference"/>
          <w:rFonts w:cs="Times New Roman"/>
        </w:rPr>
        <w:footnoteReference w:id="6"/>
      </w:r>
      <w:r w:rsidR="00AD7CC5" w:rsidRPr="00590BB6">
        <w:rPr>
          <w:rFonts w:cs="Times New Roman"/>
        </w:rPr>
        <w:t xml:space="preserve"> showed a peak </w:t>
      </w:r>
      <w:r w:rsidRPr="00590BB6">
        <w:rPr>
          <w:rFonts w:cs="Times New Roman"/>
        </w:rPr>
        <w:t>first, then a fall due to the financial crisis in 2008,</w:t>
      </w:r>
      <w:r w:rsidR="00AD7CC5" w:rsidRPr="00590BB6">
        <w:rPr>
          <w:rFonts w:cs="Times New Roman"/>
        </w:rPr>
        <w:t xml:space="preserve"> </w:t>
      </w:r>
      <w:r w:rsidRPr="00590BB6">
        <w:rPr>
          <w:rFonts w:cs="Times New Roman"/>
        </w:rPr>
        <w:t xml:space="preserve">followed by </w:t>
      </w:r>
      <w:r w:rsidR="00AD7CC5" w:rsidRPr="00590BB6">
        <w:rPr>
          <w:rFonts w:cs="Times New Roman"/>
        </w:rPr>
        <w:t xml:space="preserve">a slight recovery </w:t>
      </w:r>
      <w:r w:rsidRPr="00590BB6">
        <w:rPr>
          <w:rFonts w:cs="Times New Roman"/>
        </w:rPr>
        <w:t xml:space="preserve">up until </w:t>
      </w:r>
      <w:r w:rsidR="00411036">
        <w:rPr>
          <w:rFonts w:cs="Times New Roman"/>
        </w:rPr>
        <w:t xml:space="preserve">the </w:t>
      </w:r>
      <w:r w:rsidRPr="00590BB6">
        <w:rPr>
          <w:rFonts w:cs="Times New Roman"/>
        </w:rPr>
        <w:t xml:space="preserve"> </w:t>
      </w:r>
      <w:r w:rsidR="00AD7CC5" w:rsidRPr="00590BB6">
        <w:rPr>
          <w:rFonts w:cs="Times New Roman"/>
        </w:rPr>
        <w:t>COVID-19 pandemic  (</w:t>
      </w:r>
      <w:r w:rsidR="00AD7CC5" w:rsidRPr="00590BB6">
        <w:rPr>
          <w:rFonts w:cs="Times New Roman"/>
        </w:rPr>
        <w:fldChar w:fldCharType="begin"/>
      </w:r>
      <w:r w:rsidR="00AD7CC5" w:rsidRPr="00590BB6">
        <w:rPr>
          <w:rFonts w:cs="Times New Roman"/>
        </w:rPr>
        <w:instrText xml:space="preserve"> REF _Ref102493813 \h </w:instrText>
      </w:r>
      <w:r w:rsidR="00590BB6">
        <w:rPr>
          <w:rFonts w:cs="Times New Roman"/>
        </w:rPr>
        <w:instrText xml:space="preserve"> \* MERGEFORMAT </w:instrText>
      </w:r>
      <w:r w:rsidR="00AD7CC5" w:rsidRPr="00590BB6">
        <w:rPr>
          <w:rFonts w:cs="Times New Roman"/>
        </w:rPr>
      </w:r>
      <w:r w:rsidR="00AD7CC5" w:rsidRPr="00590BB6">
        <w:rPr>
          <w:rFonts w:cs="Times New Roman"/>
        </w:rPr>
        <w:fldChar w:fldCharType="separate"/>
      </w:r>
      <w:r w:rsidR="00AD7CC5" w:rsidRPr="00590BB6">
        <w:t xml:space="preserve">Table </w:t>
      </w:r>
      <w:r w:rsidR="00AD7CC5" w:rsidRPr="00590BB6">
        <w:rPr>
          <w:noProof/>
        </w:rPr>
        <w:t>1</w:t>
      </w:r>
      <w:r w:rsidR="00AD7CC5" w:rsidRPr="00590BB6">
        <w:rPr>
          <w:rFonts w:cs="Times New Roman"/>
        </w:rPr>
        <w:fldChar w:fldCharType="end"/>
      </w:r>
      <w:r w:rsidR="00AD7CC5" w:rsidRPr="00590BB6">
        <w:rPr>
          <w:rFonts w:cs="Times New Roman"/>
        </w:rPr>
        <w:t>).</w:t>
      </w:r>
    </w:p>
    <w:p w14:paraId="1EB16A72" w14:textId="15689411" w:rsidR="007B3A89" w:rsidRPr="00590BB6" w:rsidRDefault="007B3A89" w:rsidP="00F67207">
      <w:pPr>
        <w:pStyle w:val="Caption"/>
      </w:pPr>
      <w:bookmarkStart w:id="3" w:name="_Ref102493813"/>
      <w:bookmarkStart w:id="4" w:name="_Ref103610636"/>
      <w:r w:rsidRPr="00590BB6">
        <w:t xml:space="preserve">Table </w:t>
      </w:r>
      <w:r w:rsidRPr="00590BB6">
        <w:fldChar w:fldCharType="begin"/>
      </w:r>
      <w:r w:rsidRPr="00590BB6">
        <w:instrText xml:space="preserve"> SEQ Table \* ARABIC </w:instrText>
      </w:r>
      <w:r w:rsidRPr="00590BB6">
        <w:fldChar w:fldCharType="separate"/>
      </w:r>
      <w:r w:rsidR="0037440B" w:rsidRPr="00590BB6">
        <w:rPr>
          <w:noProof/>
        </w:rPr>
        <w:t>1</w:t>
      </w:r>
      <w:r w:rsidRPr="00590BB6">
        <w:fldChar w:fldCharType="end"/>
      </w:r>
      <w:bookmarkEnd w:id="3"/>
      <w:r w:rsidRPr="00590BB6">
        <w:t xml:space="preserve">. Historical data on the road transport market for vehicles registered in Italy exceeding 3.5 tonnes. Source: Adapted from </w:t>
      </w:r>
      <w:r w:rsidRPr="00590BB6">
        <w:fldChar w:fldCharType="begin" w:fldLock="1"/>
      </w:r>
      <w:r w:rsidR="00BB1D63" w:rsidRPr="00590BB6">
        <w:instrText>ADDIN CSL_CITATION {"citationItems":[{"id":"ITEM-1","itemData":{"author":[{"dropping-particle":"","family":"EUROSTAT","given":"","non-dropping-particle":"","parse-names":false,"suffix":""}],"id":"ITEM-1","issued":{"date-parts":[["2022"]]},"title":"Summary of annual road freight transport by type of operation and type of transport (1 000 t, Mio Tkm, Mio Veh-km)","type":"webpage"},"uris":["http://www.mendeley.com/documents/?uuid=78cebdeb-af6f-4de6-93b9-fcc33509c6e3","http://www.mendeley.com/documents/?uuid=f5275920-d9b4-4279-a73d-3bb5c2117532"]}],"mendeley":{"formattedCitation":"[29]","plainTextFormattedCitation":"[29]","previouslyFormattedCitation":"[28]"},"properties":{"noteIndex":0},"schema":"https://github.com/citation-style-language/schema/raw/master/csl-citation.json"}</w:instrText>
      </w:r>
      <w:r w:rsidRPr="00590BB6">
        <w:fldChar w:fldCharType="separate"/>
      </w:r>
      <w:r w:rsidR="00BB1D63" w:rsidRPr="00590BB6">
        <w:rPr>
          <w:noProof/>
        </w:rPr>
        <w:t>[29]</w:t>
      </w:r>
      <w:r w:rsidRPr="00590BB6">
        <w:fldChar w:fldCharType="end"/>
      </w:r>
      <w:r w:rsidRPr="00590BB6">
        <w:t xml:space="preserve"> </w:t>
      </w:r>
      <w:r w:rsidRPr="00590BB6">
        <w:fldChar w:fldCharType="begin" w:fldLock="1"/>
      </w:r>
      <w:r w:rsidR="00BB1D63" w:rsidRPr="00590BB6">
        <w:instrText>ADDIN CSL_CITATION {"citationItems":[{"id":"ITEM-1","itemData":{"author":[{"dropping-particle":"","family":"ISTAT","given":"","non-dropping-particle":"","parse-names":false,"suffix":""}],"id":"ITEM-1","issued":{"date-parts":[["2022"]]},"title":"Trasporto merci su strada","type":"webpage"},"uris":["http://www.mendeley.com/documents/?uuid=9742c4fa-8e96-41ff-99d6-63649b20f082","http://www.mendeley.com/documents/?uuid=fdaa1ef0-a252-44f9-92c4-260fb18c7f5b"]}],"mendeley":{"formattedCitation":"[30]","plainTextFormattedCitation":"[30]","previouslyFormattedCitation":"[29]"},"properties":{"noteIndex":0},"schema":"https://github.com/citation-style-language/schema/raw/master/csl-citation.json"}</w:instrText>
      </w:r>
      <w:r w:rsidRPr="00590BB6">
        <w:fldChar w:fldCharType="separate"/>
      </w:r>
      <w:r w:rsidR="00BB1D63" w:rsidRPr="00590BB6">
        <w:rPr>
          <w:noProof/>
        </w:rPr>
        <w:t>[30]</w:t>
      </w:r>
      <w:r w:rsidRPr="00590BB6">
        <w:fldChar w:fldCharType="end"/>
      </w:r>
      <w:r w:rsidRPr="00590BB6">
        <w:t>.</w:t>
      </w:r>
      <w:bookmarkEnd w:id="4"/>
    </w:p>
    <w:tbl>
      <w:tblPr>
        <w:tblW w:w="8460" w:type="dxa"/>
        <w:jc w:val="center"/>
        <w:tblLayout w:type="fixed"/>
        <w:tblLook w:val="04A0" w:firstRow="1" w:lastRow="0" w:firstColumn="1" w:lastColumn="0" w:noHBand="0" w:noVBand="1"/>
      </w:tblPr>
      <w:tblGrid>
        <w:gridCol w:w="990"/>
        <w:gridCol w:w="2430"/>
        <w:gridCol w:w="2250"/>
        <w:gridCol w:w="2790"/>
      </w:tblGrid>
      <w:tr w:rsidR="007B3A89" w:rsidRPr="00590BB6" w14:paraId="23F88099" w14:textId="4BF2069B" w:rsidTr="00072156">
        <w:trPr>
          <w:trHeight w:val="33"/>
          <w:jc w:val="center"/>
        </w:trPr>
        <w:tc>
          <w:tcPr>
            <w:tcW w:w="990" w:type="dxa"/>
            <w:tcBorders>
              <w:top w:val="single" w:sz="4" w:space="0" w:color="auto"/>
              <w:bottom w:val="single" w:sz="6" w:space="0" w:color="auto"/>
            </w:tcBorders>
            <w:shd w:val="clear" w:color="auto" w:fill="auto"/>
            <w:vAlign w:val="center"/>
          </w:tcPr>
          <w:p w14:paraId="174D542F" w14:textId="1A1C8BA5" w:rsidR="007B3A89" w:rsidRPr="00590BB6" w:rsidRDefault="007B3A89" w:rsidP="00072156">
            <w:pPr>
              <w:pStyle w:val="PreformattedText"/>
              <w:spacing w:line="360" w:lineRule="auto"/>
              <w:contextualSpacing/>
              <w:jc w:val="center"/>
              <w:rPr>
                <w:rFonts w:ascii="Times New Roman" w:hAnsi="Times New Roman" w:cs="Times New Roman"/>
                <w:b/>
                <w:bCs/>
                <w:color w:val="000000"/>
                <w:lang w:val="en-GB"/>
              </w:rPr>
            </w:pPr>
            <w:r w:rsidRPr="00590BB6">
              <w:rPr>
                <w:rFonts w:ascii="Times New Roman" w:hAnsi="Times New Roman" w:cs="Times New Roman"/>
                <w:b/>
                <w:bCs/>
                <w:color w:val="000000" w:themeColor="text1"/>
                <w:lang w:val="en-GB"/>
              </w:rPr>
              <w:t>Year</w:t>
            </w:r>
          </w:p>
        </w:tc>
        <w:tc>
          <w:tcPr>
            <w:tcW w:w="2430" w:type="dxa"/>
            <w:tcBorders>
              <w:top w:val="single" w:sz="4" w:space="0" w:color="auto"/>
              <w:bottom w:val="single" w:sz="6" w:space="0" w:color="auto"/>
            </w:tcBorders>
            <w:shd w:val="clear" w:color="auto" w:fill="auto"/>
            <w:vAlign w:val="center"/>
          </w:tcPr>
          <w:p w14:paraId="0CA34E78" w14:textId="5FB6F080" w:rsidR="007B3A89" w:rsidRPr="00590BB6" w:rsidRDefault="007B3A89" w:rsidP="006A61AB">
            <w:pPr>
              <w:pStyle w:val="PreformattedText"/>
              <w:spacing w:line="360" w:lineRule="auto"/>
              <w:contextualSpacing/>
              <w:jc w:val="center"/>
              <w:rPr>
                <w:rFonts w:ascii="Times New Roman" w:hAnsi="Times New Roman" w:cs="Times New Roman"/>
                <w:b/>
                <w:bCs/>
                <w:color w:val="000000"/>
                <w:lang w:val="en-GB"/>
              </w:rPr>
            </w:pPr>
            <w:r w:rsidRPr="00590BB6">
              <w:rPr>
                <w:rFonts w:ascii="Times New Roman" w:hAnsi="Times New Roman" w:cs="Times New Roman"/>
                <w:b/>
                <w:bCs/>
                <w:color w:val="000000" w:themeColor="text1"/>
                <w:lang w:val="en-GB"/>
              </w:rPr>
              <w:t>Capacity</w:t>
            </w:r>
            <w:r w:rsidR="008A57CF" w:rsidRPr="00590BB6">
              <w:rPr>
                <w:rFonts w:ascii="Times New Roman" w:hAnsi="Times New Roman" w:cs="Times New Roman"/>
                <w:b/>
                <w:bCs/>
                <w:color w:val="000000" w:themeColor="text1"/>
                <w:lang w:val="en-GB"/>
              </w:rPr>
              <w:t xml:space="preserve"> (billion t-km)</w:t>
            </w:r>
          </w:p>
        </w:tc>
        <w:tc>
          <w:tcPr>
            <w:tcW w:w="2250" w:type="dxa"/>
            <w:tcBorders>
              <w:top w:val="single" w:sz="4" w:space="0" w:color="auto"/>
              <w:bottom w:val="single" w:sz="6" w:space="0" w:color="auto"/>
            </w:tcBorders>
          </w:tcPr>
          <w:p w14:paraId="7005F854" w14:textId="7153F62F" w:rsidR="007B3A89" w:rsidRPr="00590BB6" w:rsidRDefault="007B3A89" w:rsidP="006A61AB">
            <w:pPr>
              <w:pStyle w:val="PreformattedText"/>
              <w:spacing w:line="360" w:lineRule="auto"/>
              <w:contextualSpacing/>
              <w:jc w:val="center"/>
              <w:rPr>
                <w:rFonts w:ascii="Times New Roman" w:hAnsi="Times New Roman" w:cs="Times New Roman"/>
                <w:b/>
                <w:bCs/>
                <w:color w:val="000000"/>
                <w:lang w:val="en-GB"/>
              </w:rPr>
            </w:pPr>
            <w:r w:rsidRPr="00590BB6">
              <w:rPr>
                <w:rFonts w:ascii="Times New Roman" w:hAnsi="Times New Roman" w:cs="Times New Roman"/>
                <w:b/>
                <w:bCs/>
                <w:color w:val="000000" w:themeColor="text1"/>
                <w:lang w:val="en-GB"/>
              </w:rPr>
              <w:t>Load</w:t>
            </w:r>
            <w:r w:rsidR="008A57CF" w:rsidRPr="00590BB6">
              <w:rPr>
                <w:rFonts w:ascii="Times New Roman" w:hAnsi="Times New Roman" w:cs="Times New Roman"/>
                <w:b/>
                <w:bCs/>
                <w:color w:val="000000" w:themeColor="text1"/>
                <w:lang w:val="en-GB"/>
              </w:rPr>
              <w:t xml:space="preserve"> (million t)</w:t>
            </w:r>
          </w:p>
        </w:tc>
        <w:tc>
          <w:tcPr>
            <w:tcW w:w="2790" w:type="dxa"/>
            <w:tcBorders>
              <w:top w:val="single" w:sz="4" w:space="0" w:color="auto"/>
              <w:bottom w:val="single" w:sz="6" w:space="0" w:color="auto"/>
            </w:tcBorders>
          </w:tcPr>
          <w:p w14:paraId="3014AB33" w14:textId="0F8DBF56" w:rsidR="007B3A89" w:rsidRPr="00590BB6" w:rsidRDefault="007B3A89" w:rsidP="006A61AB">
            <w:pPr>
              <w:pStyle w:val="PreformattedText"/>
              <w:spacing w:line="360" w:lineRule="auto"/>
              <w:contextualSpacing/>
              <w:jc w:val="center"/>
              <w:rPr>
                <w:rFonts w:ascii="Times New Roman" w:hAnsi="Times New Roman" w:cs="Times New Roman"/>
                <w:b/>
                <w:bCs/>
                <w:color w:val="000000"/>
                <w:lang w:val="en-GB"/>
              </w:rPr>
            </w:pPr>
            <w:r w:rsidRPr="00590BB6">
              <w:rPr>
                <w:rFonts w:ascii="Times New Roman" w:hAnsi="Times New Roman" w:cs="Times New Roman"/>
                <w:b/>
                <w:bCs/>
                <w:color w:val="000000" w:themeColor="text1"/>
                <w:lang w:val="en-GB"/>
              </w:rPr>
              <w:t>Traffic flow</w:t>
            </w:r>
            <w:r w:rsidR="008A57CF" w:rsidRPr="00590BB6">
              <w:rPr>
                <w:rFonts w:ascii="Times New Roman" w:hAnsi="Times New Roman" w:cs="Times New Roman"/>
                <w:b/>
                <w:bCs/>
                <w:color w:val="000000" w:themeColor="text1"/>
                <w:lang w:val="en-GB"/>
              </w:rPr>
              <w:t xml:space="preserve"> (million v-km)</w:t>
            </w:r>
          </w:p>
        </w:tc>
      </w:tr>
      <w:tr w:rsidR="007B3A89" w:rsidRPr="00590BB6" w14:paraId="78965107" w14:textId="72664F2E" w:rsidTr="00072156">
        <w:trPr>
          <w:trHeight w:val="69"/>
          <w:jc w:val="center"/>
        </w:trPr>
        <w:tc>
          <w:tcPr>
            <w:tcW w:w="990" w:type="dxa"/>
            <w:tcBorders>
              <w:top w:val="single" w:sz="6" w:space="0" w:color="auto"/>
            </w:tcBorders>
            <w:shd w:val="clear" w:color="auto" w:fill="auto"/>
            <w:vAlign w:val="center"/>
          </w:tcPr>
          <w:p w14:paraId="0F6A227C" w14:textId="1BC59B8A"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2008</w:t>
            </w:r>
          </w:p>
        </w:tc>
        <w:tc>
          <w:tcPr>
            <w:tcW w:w="2430" w:type="dxa"/>
            <w:tcBorders>
              <w:top w:val="single" w:sz="6" w:space="0" w:color="auto"/>
            </w:tcBorders>
            <w:shd w:val="clear" w:color="auto" w:fill="auto"/>
            <w:vAlign w:val="center"/>
          </w:tcPr>
          <w:p w14:paraId="75B9ABA9" w14:textId="436AE962"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180.5</w:t>
            </w:r>
          </w:p>
        </w:tc>
        <w:tc>
          <w:tcPr>
            <w:tcW w:w="2250" w:type="dxa"/>
            <w:tcBorders>
              <w:top w:val="single" w:sz="6" w:space="0" w:color="auto"/>
            </w:tcBorders>
          </w:tcPr>
          <w:p w14:paraId="6EFB7092" w14:textId="3FE305C8"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1,520.4</w:t>
            </w:r>
          </w:p>
        </w:tc>
        <w:tc>
          <w:tcPr>
            <w:tcW w:w="2790" w:type="dxa"/>
            <w:tcBorders>
              <w:top w:val="single" w:sz="6" w:space="0" w:color="auto"/>
            </w:tcBorders>
          </w:tcPr>
          <w:p w14:paraId="3F1A8CBF" w14:textId="5351563D"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w:t>
            </w:r>
          </w:p>
        </w:tc>
      </w:tr>
      <w:tr w:rsidR="007B3A89" w:rsidRPr="00590BB6" w14:paraId="3EC57158" w14:textId="4395743A" w:rsidTr="00072156">
        <w:trPr>
          <w:trHeight w:val="69"/>
          <w:jc w:val="center"/>
        </w:trPr>
        <w:tc>
          <w:tcPr>
            <w:tcW w:w="990" w:type="dxa"/>
            <w:shd w:val="clear" w:color="auto" w:fill="auto"/>
            <w:vAlign w:val="center"/>
          </w:tcPr>
          <w:p w14:paraId="39AF6AFC" w14:textId="2CCF8D09"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2009</w:t>
            </w:r>
          </w:p>
        </w:tc>
        <w:tc>
          <w:tcPr>
            <w:tcW w:w="2430" w:type="dxa"/>
            <w:shd w:val="clear" w:color="auto" w:fill="auto"/>
            <w:vAlign w:val="center"/>
          </w:tcPr>
          <w:p w14:paraId="19A81FB0" w14:textId="25537CF2"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167.6</w:t>
            </w:r>
          </w:p>
        </w:tc>
        <w:tc>
          <w:tcPr>
            <w:tcW w:w="2250" w:type="dxa"/>
          </w:tcPr>
          <w:p w14:paraId="61D46A1E" w14:textId="3690BA87"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1,468.9</w:t>
            </w:r>
          </w:p>
        </w:tc>
        <w:tc>
          <w:tcPr>
            <w:tcW w:w="2790" w:type="dxa"/>
          </w:tcPr>
          <w:p w14:paraId="2CF7F02B" w14:textId="5205CCFA"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w:t>
            </w:r>
          </w:p>
        </w:tc>
      </w:tr>
      <w:tr w:rsidR="007B3A89" w:rsidRPr="00590BB6" w14:paraId="3320A0E1" w14:textId="33E03AFF" w:rsidTr="00072156">
        <w:trPr>
          <w:trHeight w:val="69"/>
          <w:jc w:val="center"/>
        </w:trPr>
        <w:tc>
          <w:tcPr>
            <w:tcW w:w="990" w:type="dxa"/>
            <w:shd w:val="clear" w:color="auto" w:fill="auto"/>
            <w:vAlign w:val="center"/>
          </w:tcPr>
          <w:p w14:paraId="379A2100" w14:textId="183E6986"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2010</w:t>
            </w:r>
          </w:p>
        </w:tc>
        <w:tc>
          <w:tcPr>
            <w:tcW w:w="2430" w:type="dxa"/>
            <w:shd w:val="clear" w:color="auto" w:fill="auto"/>
            <w:vAlign w:val="center"/>
          </w:tcPr>
          <w:p w14:paraId="2EF0C349" w14:textId="4B1EFBF0"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175.8</w:t>
            </w:r>
          </w:p>
        </w:tc>
        <w:tc>
          <w:tcPr>
            <w:tcW w:w="2250" w:type="dxa"/>
          </w:tcPr>
          <w:p w14:paraId="65808988" w14:textId="5CB0C459"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1,527.8</w:t>
            </w:r>
          </w:p>
        </w:tc>
        <w:tc>
          <w:tcPr>
            <w:tcW w:w="2790" w:type="dxa"/>
          </w:tcPr>
          <w:p w14:paraId="0F290139" w14:textId="5D201C08"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w:t>
            </w:r>
          </w:p>
        </w:tc>
      </w:tr>
      <w:tr w:rsidR="007B3A89" w:rsidRPr="00590BB6" w14:paraId="0BD00069" w14:textId="5E826833" w:rsidTr="00072156">
        <w:trPr>
          <w:trHeight w:val="69"/>
          <w:jc w:val="center"/>
        </w:trPr>
        <w:tc>
          <w:tcPr>
            <w:tcW w:w="990" w:type="dxa"/>
            <w:shd w:val="clear" w:color="auto" w:fill="auto"/>
            <w:vAlign w:val="center"/>
          </w:tcPr>
          <w:p w14:paraId="05C8A1EC" w14:textId="18878690"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2011</w:t>
            </w:r>
          </w:p>
        </w:tc>
        <w:tc>
          <w:tcPr>
            <w:tcW w:w="2430" w:type="dxa"/>
            <w:shd w:val="clear" w:color="auto" w:fill="auto"/>
            <w:vAlign w:val="center"/>
          </w:tcPr>
          <w:p w14:paraId="7CF88777" w14:textId="5770B8B3"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142.8</w:t>
            </w:r>
          </w:p>
        </w:tc>
        <w:tc>
          <w:tcPr>
            <w:tcW w:w="2250" w:type="dxa"/>
          </w:tcPr>
          <w:p w14:paraId="6571CAED" w14:textId="067D4789"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1,339.9</w:t>
            </w:r>
          </w:p>
        </w:tc>
        <w:tc>
          <w:tcPr>
            <w:tcW w:w="2790" w:type="dxa"/>
          </w:tcPr>
          <w:p w14:paraId="5982D91D" w14:textId="74398A7A"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9,027</w:t>
            </w:r>
          </w:p>
        </w:tc>
      </w:tr>
      <w:tr w:rsidR="007B3A89" w:rsidRPr="00590BB6" w14:paraId="287711A9" w14:textId="39B0255E" w:rsidTr="00072156">
        <w:trPr>
          <w:trHeight w:val="69"/>
          <w:jc w:val="center"/>
        </w:trPr>
        <w:tc>
          <w:tcPr>
            <w:tcW w:w="990" w:type="dxa"/>
            <w:shd w:val="clear" w:color="auto" w:fill="auto"/>
            <w:vAlign w:val="center"/>
          </w:tcPr>
          <w:p w14:paraId="45AC6B93" w14:textId="10524B7A"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2012</w:t>
            </w:r>
          </w:p>
        </w:tc>
        <w:tc>
          <w:tcPr>
            <w:tcW w:w="2430" w:type="dxa"/>
            <w:shd w:val="clear" w:color="auto" w:fill="auto"/>
            <w:vAlign w:val="center"/>
          </w:tcPr>
          <w:p w14:paraId="02A7BF6C" w14:textId="17EF1BA9"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124.0</w:t>
            </w:r>
          </w:p>
        </w:tc>
        <w:tc>
          <w:tcPr>
            <w:tcW w:w="2250" w:type="dxa"/>
          </w:tcPr>
          <w:p w14:paraId="78673D9D" w14:textId="15370A8C"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1,121.3</w:t>
            </w:r>
          </w:p>
        </w:tc>
        <w:tc>
          <w:tcPr>
            <w:tcW w:w="2790" w:type="dxa"/>
          </w:tcPr>
          <w:p w14:paraId="2BB3B6C3" w14:textId="3746FEF7"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7,975</w:t>
            </w:r>
          </w:p>
        </w:tc>
      </w:tr>
      <w:tr w:rsidR="007B3A89" w:rsidRPr="00590BB6" w14:paraId="78A0E495" w14:textId="019F8E61" w:rsidTr="00072156">
        <w:trPr>
          <w:trHeight w:val="69"/>
          <w:jc w:val="center"/>
        </w:trPr>
        <w:tc>
          <w:tcPr>
            <w:tcW w:w="990" w:type="dxa"/>
            <w:shd w:val="clear" w:color="auto" w:fill="auto"/>
            <w:vAlign w:val="center"/>
          </w:tcPr>
          <w:p w14:paraId="7AED4A6C" w14:textId="65EB31E1"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2013</w:t>
            </w:r>
          </w:p>
        </w:tc>
        <w:tc>
          <w:tcPr>
            <w:tcW w:w="2430" w:type="dxa"/>
            <w:shd w:val="clear" w:color="auto" w:fill="auto"/>
            <w:vAlign w:val="center"/>
          </w:tcPr>
          <w:p w14:paraId="7C4CFCC1" w14:textId="21C547C0"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127.2</w:t>
            </w:r>
          </w:p>
        </w:tc>
        <w:tc>
          <w:tcPr>
            <w:tcW w:w="2250" w:type="dxa"/>
          </w:tcPr>
          <w:p w14:paraId="30896B21" w14:textId="47B92536"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1,023.9</w:t>
            </w:r>
          </w:p>
        </w:tc>
        <w:tc>
          <w:tcPr>
            <w:tcW w:w="2790" w:type="dxa"/>
          </w:tcPr>
          <w:p w14:paraId="22DFA3F0" w14:textId="284BDE65"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8,297</w:t>
            </w:r>
          </w:p>
        </w:tc>
      </w:tr>
      <w:tr w:rsidR="007B3A89" w:rsidRPr="00590BB6" w14:paraId="467238F1" w14:textId="3FBCC17F" w:rsidTr="00072156">
        <w:trPr>
          <w:trHeight w:val="69"/>
          <w:jc w:val="center"/>
        </w:trPr>
        <w:tc>
          <w:tcPr>
            <w:tcW w:w="990" w:type="dxa"/>
            <w:shd w:val="clear" w:color="auto" w:fill="auto"/>
            <w:vAlign w:val="center"/>
          </w:tcPr>
          <w:p w14:paraId="4F6E2363" w14:textId="02A44D12"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lastRenderedPageBreak/>
              <w:t>2014</w:t>
            </w:r>
          </w:p>
        </w:tc>
        <w:tc>
          <w:tcPr>
            <w:tcW w:w="2430" w:type="dxa"/>
            <w:shd w:val="clear" w:color="auto" w:fill="auto"/>
            <w:vAlign w:val="center"/>
          </w:tcPr>
          <w:p w14:paraId="4F505F29" w14:textId="0DC235B0"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117.8</w:t>
            </w:r>
          </w:p>
        </w:tc>
        <w:tc>
          <w:tcPr>
            <w:tcW w:w="2250" w:type="dxa"/>
          </w:tcPr>
          <w:p w14:paraId="595F8BB3" w14:textId="0060E54D"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963.1</w:t>
            </w:r>
          </w:p>
        </w:tc>
        <w:tc>
          <w:tcPr>
            <w:tcW w:w="2790" w:type="dxa"/>
          </w:tcPr>
          <w:p w14:paraId="417F29C5" w14:textId="3DDF6F47"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7,843</w:t>
            </w:r>
          </w:p>
        </w:tc>
      </w:tr>
      <w:tr w:rsidR="007B3A89" w:rsidRPr="00590BB6" w14:paraId="20F3AC9A" w14:textId="20370BBF" w:rsidTr="00072156">
        <w:trPr>
          <w:trHeight w:val="69"/>
          <w:jc w:val="center"/>
        </w:trPr>
        <w:tc>
          <w:tcPr>
            <w:tcW w:w="990" w:type="dxa"/>
            <w:shd w:val="clear" w:color="auto" w:fill="auto"/>
            <w:vAlign w:val="center"/>
          </w:tcPr>
          <w:p w14:paraId="26FF4F3E" w14:textId="166A6828"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2015</w:t>
            </w:r>
          </w:p>
        </w:tc>
        <w:tc>
          <w:tcPr>
            <w:tcW w:w="2430" w:type="dxa"/>
            <w:shd w:val="clear" w:color="auto" w:fill="auto"/>
            <w:vAlign w:val="center"/>
          </w:tcPr>
          <w:p w14:paraId="2B8FC143" w14:textId="7BC1E06A"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116.8</w:t>
            </w:r>
          </w:p>
        </w:tc>
        <w:tc>
          <w:tcPr>
            <w:tcW w:w="2250" w:type="dxa"/>
          </w:tcPr>
          <w:p w14:paraId="44F5E29C" w14:textId="2C9168DE"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957.0</w:t>
            </w:r>
          </w:p>
        </w:tc>
        <w:tc>
          <w:tcPr>
            <w:tcW w:w="2790" w:type="dxa"/>
          </w:tcPr>
          <w:p w14:paraId="28034826" w14:textId="40D75725"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7,582</w:t>
            </w:r>
          </w:p>
        </w:tc>
      </w:tr>
      <w:tr w:rsidR="007B3A89" w:rsidRPr="00590BB6" w14:paraId="407FDFA1" w14:textId="3A0F3D15" w:rsidTr="00072156">
        <w:trPr>
          <w:trHeight w:val="69"/>
          <w:jc w:val="center"/>
        </w:trPr>
        <w:tc>
          <w:tcPr>
            <w:tcW w:w="990" w:type="dxa"/>
            <w:shd w:val="clear" w:color="auto" w:fill="auto"/>
            <w:vAlign w:val="center"/>
          </w:tcPr>
          <w:p w14:paraId="3F315EC5" w14:textId="420636AD"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2016</w:t>
            </w:r>
          </w:p>
        </w:tc>
        <w:tc>
          <w:tcPr>
            <w:tcW w:w="2430" w:type="dxa"/>
            <w:shd w:val="clear" w:color="auto" w:fill="auto"/>
            <w:vAlign w:val="center"/>
          </w:tcPr>
          <w:p w14:paraId="640D88B3" w14:textId="717EF8AD"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112.6</w:t>
            </w:r>
          </w:p>
        </w:tc>
        <w:tc>
          <w:tcPr>
            <w:tcW w:w="2250" w:type="dxa"/>
          </w:tcPr>
          <w:p w14:paraId="764232C2" w14:textId="1CD40764"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901.5</w:t>
            </w:r>
          </w:p>
        </w:tc>
        <w:tc>
          <w:tcPr>
            <w:tcW w:w="2790" w:type="dxa"/>
          </w:tcPr>
          <w:p w14:paraId="64A246B8" w14:textId="787EF879"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7,481</w:t>
            </w:r>
          </w:p>
        </w:tc>
      </w:tr>
      <w:tr w:rsidR="007B3A89" w:rsidRPr="00590BB6" w14:paraId="34A12CD8" w14:textId="6EFB6502" w:rsidTr="00072156">
        <w:trPr>
          <w:trHeight w:val="69"/>
          <w:jc w:val="center"/>
        </w:trPr>
        <w:tc>
          <w:tcPr>
            <w:tcW w:w="990" w:type="dxa"/>
            <w:shd w:val="clear" w:color="auto" w:fill="auto"/>
            <w:vAlign w:val="center"/>
          </w:tcPr>
          <w:p w14:paraId="04B2F4B7" w14:textId="28105D8B"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2017</w:t>
            </w:r>
          </w:p>
        </w:tc>
        <w:tc>
          <w:tcPr>
            <w:tcW w:w="2430" w:type="dxa"/>
            <w:shd w:val="clear" w:color="auto" w:fill="auto"/>
            <w:vAlign w:val="center"/>
          </w:tcPr>
          <w:p w14:paraId="6062C00F" w14:textId="61E878B5"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119.7</w:t>
            </w:r>
          </w:p>
        </w:tc>
        <w:tc>
          <w:tcPr>
            <w:tcW w:w="2250" w:type="dxa"/>
          </w:tcPr>
          <w:p w14:paraId="476EE667" w14:textId="716C727D"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885.4</w:t>
            </w:r>
          </w:p>
        </w:tc>
        <w:tc>
          <w:tcPr>
            <w:tcW w:w="2790" w:type="dxa"/>
          </w:tcPr>
          <w:p w14:paraId="0489C6ED" w14:textId="5704D20F"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7,754</w:t>
            </w:r>
          </w:p>
        </w:tc>
      </w:tr>
      <w:tr w:rsidR="007B3A89" w:rsidRPr="00590BB6" w14:paraId="39CD0C05" w14:textId="37D53B35" w:rsidTr="00072156">
        <w:trPr>
          <w:trHeight w:val="69"/>
          <w:jc w:val="center"/>
        </w:trPr>
        <w:tc>
          <w:tcPr>
            <w:tcW w:w="990" w:type="dxa"/>
            <w:shd w:val="clear" w:color="auto" w:fill="auto"/>
            <w:vAlign w:val="center"/>
          </w:tcPr>
          <w:p w14:paraId="26421D88" w14:textId="000CA78A"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2018</w:t>
            </w:r>
          </w:p>
        </w:tc>
        <w:tc>
          <w:tcPr>
            <w:tcW w:w="2430" w:type="dxa"/>
            <w:shd w:val="clear" w:color="auto" w:fill="auto"/>
            <w:vAlign w:val="center"/>
          </w:tcPr>
          <w:p w14:paraId="5173B3AF" w14:textId="657CE77D"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124.9</w:t>
            </w:r>
          </w:p>
        </w:tc>
        <w:tc>
          <w:tcPr>
            <w:tcW w:w="2250" w:type="dxa"/>
          </w:tcPr>
          <w:p w14:paraId="5EC13323" w14:textId="6807D01C"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920.7</w:t>
            </w:r>
          </w:p>
        </w:tc>
        <w:tc>
          <w:tcPr>
            <w:tcW w:w="2790" w:type="dxa"/>
          </w:tcPr>
          <w:p w14:paraId="34D3BB81" w14:textId="1CAD1A43"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7,922</w:t>
            </w:r>
          </w:p>
        </w:tc>
      </w:tr>
      <w:tr w:rsidR="007B3A89" w:rsidRPr="00590BB6" w14:paraId="2822F6BA" w14:textId="43D72DFD" w:rsidTr="00072156">
        <w:trPr>
          <w:trHeight w:val="69"/>
          <w:jc w:val="center"/>
        </w:trPr>
        <w:tc>
          <w:tcPr>
            <w:tcW w:w="990" w:type="dxa"/>
            <w:shd w:val="clear" w:color="auto" w:fill="auto"/>
            <w:vAlign w:val="center"/>
          </w:tcPr>
          <w:p w14:paraId="0A52F296" w14:textId="4C42445A"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2019</w:t>
            </w:r>
          </w:p>
        </w:tc>
        <w:tc>
          <w:tcPr>
            <w:tcW w:w="2430" w:type="dxa"/>
            <w:shd w:val="clear" w:color="auto" w:fill="auto"/>
            <w:vAlign w:val="center"/>
          </w:tcPr>
          <w:p w14:paraId="2B312502" w14:textId="65BD4F69"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138.0</w:t>
            </w:r>
          </w:p>
        </w:tc>
        <w:tc>
          <w:tcPr>
            <w:tcW w:w="2250" w:type="dxa"/>
          </w:tcPr>
          <w:p w14:paraId="17658044" w14:textId="4E659B22"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978.9</w:t>
            </w:r>
          </w:p>
        </w:tc>
        <w:tc>
          <w:tcPr>
            <w:tcW w:w="2790" w:type="dxa"/>
          </w:tcPr>
          <w:p w14:paraId="2BF66F92" w14:textId="5147A023"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8,398</w:t>
            </w:r>
          </w:p>
        </w:tc>
      </w:tr>
      <w:tr w:rsidR="007B3A89" w:rsidRPr="00590BB6" w14:paraId="70804837" w14:textId="4E53A2FB" w:rsidTr="00072156">
        <w:trPr>
          <w:trHeight w:val="69"/>
          <w:jc w:val="center"/>
        </w:trPr>
        <w:tc>
          <w:tcPr>
            <w:tcW w:w="990" w:type="dxa"/>
            <w:tcBorders>
              <w:bottom w:val="single" w:sz="4" w:space="0" w:color="auto"/>
            </w:tcBorders>
            <w:shd w:val="clear" w:color="auto" w:fill="auto"/>
            <w:vAlign w:val="center"/>
          </w:tcPr>
          <w:p w14:paraId="60600A5F" w14:textId="39BA77C9"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2020</w:t>
            </w:r>
          </w:p>
        </w:tc>
        <w:tc>
          <w:tcPr>
            <w:tcW w:w="2430" w:type="dxa"/>
            <w:tcBorders>
              <w:bottom w:val="single" w:sz="4" w:space="0" w:color="auto"/>
            </w:tcBorders>
            <w:shd w:val="clear" w:color="auto" w:fill="auto"/>
            <w:vAlign w:val="center"/>
          </w:tcPr>
          <w:p w14:paraId="5F7ABF51" w14:textId="1CF3FD9A"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133.2</w:t>
            </w:r>
          </w:p>
        </w:tc>
        <w:tc>
          <w:tcPr>
            <w:tcW w:w="2250" w:type="dxa"/>
            <w:tcBorders>
              <w:bottom w:val="single" w:sz="4" w:space="0" w:color="auto"/>
            </w:tcBorders>
          </w:tcPr>
          <w:p w14:paraId="030A7A58" w14:textId="69231855"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933.6</w:t>
            </w:r>
          </w:p>
        </w:tc>
        <w:tc>
          <w:tcPr>
            <w:tcW w:w="2790" w:type="dxa"/>
            <w:tcBorders>
              <w:bottom w:val="single" w:sz="4" w:space="0" w:color="auto"/>
            </w:tcBorders>
          </w:tcPr>
          <w:p w14:paraId="4404355F" w14:textId="2050943D" w:rsidR="007B3A89" w:rsidRPr="00590BB6" w:rsidRDefault="007B3A89" w:rsidP="00072156">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8,060</w:t>
            </w:r>
          </w:p>
        </w:tc>
      </w:tr>
    </w:tbl>
    <w:p w14:paraId="47607830" w14:textId="6BB138F0" w:rsidR="00380858" w:rsidRPr="00590BB6" w:rsidRDefault="00B76937" w:rsidP="00B35DBE">
      <w:pPr>
        <w:spacing w:before="240" w:line="360" w:lineRule="auto"/>
        <w:jc w:val="both"/>
        <w:rPr>
          <w:rFonts w:cs="Times New Roman"/>
        </w:rPr>
      </w:pPr>
      <w:r w:rsidRPr="00590BB6">
        <w:rPr>
          <w:rFonts w:cs="Times New Roman"/>
        </w:rPr>
        <w:t>T</w:t>
      </w:r>
      <w:r w:rsidR="00380858" w:rsidRPr="00590BB6">
        <w:rPr>
          <w:rFonts w:cs="Times New Roman"/>
        </w:rPr>
        <w:t>ruck types</w:t>
      </w:r>
      <w:r w:rsidRPr="00590BB6">
        <w:rPr>
          <w:rFonts w:cs="Times New Roman"/>
        </w:rPr>
        <w:t xml:space="preserve"> vary, especially</w:t>
      </w:r>
      <w:r w:rsidR="00380858" w:rsidRPr="00590BB6">
        <w:rPr>
          <w:rFonts w:cs="Times New Roman"/>
        </w:rPr>
        <w:t xml:space="preserve"> </w:t>
      </w:r>
      <w:r w:rsidRPr="00590BB6">
        <w:rPr>
          <w:rFonts w:cs="Times New Roman"/>
        </w:rPr>
        <w:t xml:space="preserve">due to </w:t>
      </w:r>
      <w:r w:rsidR="009F2331" w:rsidRPr="00590BB6">
        <w:rPr>
          <w:rFonts w:cs="Times New Roman"/>
        </w:rPr>
        <w:t>uses and drive cycles</w:t>
      </w:r>
      <w:r w:rsidRPr="00590BB6">
        <w:rPr>
          <w:rFonts w:cs="Times New Roman"/>
        </w:rPr>
        <w:t>. However, this variability</w:t>
      </w:r>
      <w:r w:rsidR="00380858" w:rsidRPr="00590BB6">
        <w:rPr>
          <w:rFonts w:cs="Times New Roman"/>
        </w:rPr>
        <w:t xml:space="preserve"> cannot be captured due to </w:t>
      </w:r>
      <w:r w:rsidR="009F2331" w:rsidRPr="00590BB6">
        <w:rPr>
          <w:rFonts w:cs="Times New Roman"/>
        </w:rPr>
        <w:t xml:space="preserve">a </w:t>
      </w:r>
      <w:r w:rsidR="00380858" w:rsidRPr="00590BB6">
        <w:rPr>
          <w:rFonts w:cs="Times New Roman"/>
        </w:rPr>
        <w:t xml:space="preserve">lack of </w:t>
      </w:r>
      <w:r w:rsidR="009F2331" w:rsidRPr="00590BB6">
        <w:rPr>
          <w:rFonts w:cs="Times New Roman"/>
        </w:rPr>
        <w:t xml:space="preserve">comprehensive </w:t>
      </w:r>
      <w:r w:rsidR="00380858" w:rsidRPr="00590BB6">
        <w:rPr>
          <w:rFonts w:cs="Times New Roman"/>
        </w:rPr>
        <w:t>data at a national level</w:t>
      </w:r>
      <w:r w:rsidRPr="00590BB6">
        <w:rPr>
          <w:rFonts w:cs="Times New Roman"/>
        </w:rPr>
        <w:t xml:space="preserve"> and to </w:t>
      </w:r>
      <w:r w:rsidR="009F2331" w:rsidRPr="00590BB6">
        <w:rPr>
          <w:rFonts w:cs="Times New Roman"/>
        </w:rPr>
        <w:t xml:space="preserve">a need to leverage the </w:t>
      </w:r>
      <w:r w:rsidRPr="00590BB6">
        <w:rPr>
          <w:rFonts w:cs="Times New Roman"/>
        </w:rPr>
        <w:t>computational burden of the simulations</w:t>
      </w:r>
      <w:r w:rsidR="00380858" w:rsidRPr="00590BB6">
        <w:rPr>
          <w:rFonts w:cs="Times New Roman"/>
        </w:rPr>
        <w:t xml:space="preserve">. Nevertheless, the modelling approach </w:t>
      </w:r>
      <w:r w:rsidRPr="00590BB6">
        <w:rPr>
          <w:rFonts w:cs="Times New Roman"/>
        </w:rPr>
        <w:t>balances accuracy in the fleet composition with the granularity of the data available</w:t>
      </w:r>
      <w:r w:rsidR="00C30428" w:rsidRPr="00590BB6">
        <w:rPr>
          <w:rStyle w:val="FootnoteReference"/>
          <w:rFonts w:cs="Times New Roman"/>
        </w:rPr>
        <w:footnoteReference w:id="7"/>
      </w:r>
      <w:r w:rsidRPr="00590BB6">
        <w:rPr>
          <w:rFonts w:cs="Times New Roman"/>
        </w:rPr>
        <w:t xml:space="preserve"> </w:t>
      </w:r>
      <w:r w:rsidR="00C30428" w:rsidRPr="00590BB6">
        <w:rPr>
          <w:rFonts w:cs="Times New Roman"/>
        </w:rPr>
        <w:t>using</w:t>
      </w:r>
      <w:r w:rsidR="00380858" w:rsidRPr="00590BB6">
        <w:rPr>
          <w:rFonts w:cs="Times New Roman"/>
        </w:rPr>
        <w:t xml:space="preserve"> three vehicle classes</w:t>
      </w:r>
      <w:r w:rsidRPr="00590BB6">
        <w:rPr>
          <w:rFonts w:cs="Times New Roman"/>
        </w:rPr>
        <w:t xml:space="preserve"> (</w:t>
      </w:r>
      <w:r w:rsidR="00380858" w:rsidRPr="00590BB6">
        <w:rPr>
          <w:rFonts w:cs="Times New Roman"/>
        </w:rPr>
        <w:t>light, medium, and h</w:t>
      </w:r>
      <w:r w:rsidRPr="00590BB6">
        <w:rPr>
          <w:rFonts w:cs="Times New Roman"/>
        </w:rPr>
        <w:t>eavy)</w:t>
      </w:r>
      <w:r w:rsidR="006E377A" w:rsidRPr="00590BB6">
        <w:rPr>
          <w:rFonts w:cs="Times New Roman"/>
        </w:rPr>
        <w:t>, each one characterised by a representative mileage,</w:t>
      </w:r>
      <w:r w:rsidRPr="00590BB6">
        <w:rPr>
          <w:rFonts w:cs="Times New Roman"/>
        </w:rPr>
        <w:t xml:space="preserve"> </w:t>
      </w:r>
      <w:r w:rsidR="00C30428" w:rsidRPr="00590BB6">
        <w:rPr>
          <w:rFonts w:cs="Times New Roman"/>
        </w:rPr>
        <w:t xml:space="preserve">and </w:t>
      </w:r>
      <w:r w:rsidR="00411036">
        <w:rPr>
          <w:rFonts w:cs="Times New Roman"/>
        </w:rPr>
        <w:t xml:space="preserve">efficiency, </w:t>
      </w:r>
      <w:r w:rsidR="00C30428" w:rsidRPr="00590BB6">
        <w:rPr>
          <w:rFonts w:cs="Times New Roman"/>
        </w:rPr>
        <w:t>applying three</w:t>
      </w:r>
      <w:r w:rsidRPr="00590BB6">
        <w:rPr>
          <w:rFonts w:cs="Times New Roman"/>
        </w:rPr>
        <w:t xml:space="preserve"> efficiency</w:t>
      </w:r>
      <w:r w:rsidR="00C30428" w:rsidRPr="00590BB6">
        <w:rPr>
          <w:rFonts w:cs="Times New Roman"/>
        </w:rPr>
        <w:t>-categories</w:t>
      </w:r>
      <w:r w:rsidR="00411036">
        <w:rPr>
          <w:rFonts w:cs="Times New Roman"/>
        </w:rPr>
        <w:t>,</w:t>
      </w:r>
      <w:r w:rsidRPr="00590BB6">
        <w:rPr>
          <w:rFonts w:cs="Times New Roman"/>
        </w:rPr>
        <w:t xml:space="preserve"> a proxy of the vehicle performance </w:t>
      </w:r>
      <w:r w:rsidR="00411036">
        <w:rPr>
          <w:rFonts w:cs="Times New Roman"/>
        </w:rPr>
        <w:t>determining</w:t>
      </w:r>
      <w:r w:rsidRPr="00590BB6">
        <w:rPr>
          <w:rFonts w:cs="Times New Roman"/>
        </w:rPr>
        <w:t xml:space="preserve"> fuel consumption </w:t>
      </w:r>
      <w:r w:rsidR="00411036">
        <w:rPr>
          <w:rFonts w:cs="Times New Roman"/>
        </w:rPr>
        <w:t>and</w:t>
      </w:r>
      <w:r w:rsidRPr="00590BB6">
        <w:rPr>
          <w:rFonts w:cs="Times New Roman"/>
        </w:rPr>
        <w:t xml:space="preserve"> emissions.</w:t>
      </w:r>
    </w:p>
    <w:p w14:paraId="4F97564E" w14:textId="77777777" w:rsidR="00380858" w:rsidRPr="00590BB6" w:rsidRDefault="00380858" w:rsidP="00380858">
      <w:pPr>
        <w:pStyle w:val="Heading2"/>
        <w:spacing w:after="240"/>
        <w:rPr>
          <w:rFonts w:cs="Times New Roman"/>
        </w:rPr>
      </w:pPr>
      <w:r w:rsidRPr="00590BB6">
        <w:rPr>
          <w:rFonts w:cs="Times New Roman"/>
        </w:rPr>
        <w:t>Service demand of freight goods</w:t>
      </w:r>
    </w:p>
    <w:p w14:paraId="4EB81650" w14:textId="3967AA25" w:rsidR="005864DB" w:rsidRPr="00590BB6" w:rsidRDefault="00A3563E" w:rsidP="00B35DBE">
      <w:pPr>
        <w:spacing w:before="240" w:line="360" w:lineRule="auto"/>
        <w:jc w:val="both"/>
        <w:rPr>
          <w:rFonts w:cs="Times New Roman"/>
        </w:rPr>
      </w:pPr>
      <w:r w:rsidRPr="00590BB6">
        <w:rPr>
          <w:rFonts w:cs="Times New Roman"/>
        </w:rPr>
        <w:t>After calibrating</w:t>
      </w:r>
      <w:r w:rsidR="001F6D6E" w:rsidRPr="00590BB6">
        <w:rPr>
          <w:rFonts w:cs="Times New Roman"/>
        </w:rPr>
        <w:t xml:space="preserve"> the stock of vehicles</w:t>
      </w:r>
      <w:r w:rsidRPr="00590BB6">
        <w:rPr>
          <w:rFonts w:cs="Times New Roman"/>
        </w:rPr>
        <w:t xml:space="preserve"> in 2020</w:t>
      </w:r>
      <w:r w:rsidR="001F6D6E" w:rsidRPr="00590BB6">
        <w:rPr>
          <w:rFonts w:cs="Times New Roman"/>
        </w:rPr>
        <w:t xml:space="preserve">, the </w:t>
      </w:r>
      <w:r w:rsidRPr="00590BB6">
        <w:rPr>
          <w:rFonts w:cs="Times New Roman"/>
        </w:rPr>
        <w:t xml:space="preserve">model estimates the </w:t>
      </w:r>
      <w:r w:rsidR="001F6D6E" w:rsidRPr="00590BB6">
        <w:rPr>
          <w:rFonts w:cs="Times New Roman"/>
        </w:rPr>
        <w:t xml:space="preserve">service </w:t>
      </w:r>
      <w:r w:rsidRPr="00590BB6">
        <w:rPr>
          <w:rFonts w:cs="Times New Roman"/>
        </w:rPr>
        <w:t>demand for</w:t>
      </w:r>
      <w:r w:rsidR="001F6D6E" w:rsidRPr="00590BB6">
        <w:rPr>
          <w:rFonts w:cs="Times New Roman"/>
        </w:rPr>
        <w:t xml:space="preserve"> the future</w:t>
      </w:r>
      <w:r w:rsidRPr="00590BB6">
        <w:rPr>
          <w:rFonts w:cs="Times New Roman"/>
        </w:rPr>
        <w:t xml:space="preserve"> years</w:t>
      </w:r>
      <w:r w:rsidR="001F6D6E" w:rsidRPr="00590BB6">
        <w:rPr>
          <w:rFonts w:cs="Times New Roman"/>
        </w:rPr>
        <w:t xml:space="preserve">. </w:t>
      </w:r>
      <w:r w:rsidR="005864DB" w:rsidRPr="00590BB6">
        <w:rPr>
          <w:rFonts w:cs="Times New Roman"/>
        </w:rPr>
        <w:t>The service demand was est</w:t>
      </w:r>
      <w:r w:rsidRPr="00590BB6">
        <w:rPr>
          <w:rFonts w:cs="Times New Roman"/>
        </w:rPr>
        <w:t>imated</w:t>
      </w:r>
      <w:r w:rsidR="005864DB" w:rsidRPr="00590BB6">
        <w:rPr>
          <w:rFonts w:cs="Times New Roman"/>
        </w:rPr>
        <w:t xml:space="preserve"> </w:t>
      </w:r>
      <w:r w:rsidRPr="00590BB6">
        <w:rPr>
          <w:rFonts w:cs="Times New Roman"/>
        </w:rPr>
        <w:t>as a correlation with</w:t>
      </w:r>
      <w:r w:rsidR="005864DB" w:rsidRPr="00590BB6">
        <w:rPr>
          <w:rFonts w:cs="Times New Roman"/>
        </w:rPr>
        <w:t xml:space="preserve"> </w:t>
      </w:r>
      <w:r w:rsidR="00411036">
        <w:rPr>
          <w:rFonts w:cs="Times New Roman"/>
        </w:rPr>
        <w:t>Gross Domestic Product (</w:t>
      </w:r>
      <w:r w:rsidR="005864DB" w:rsidRPr="00590BB6">
        <w:rPr>
          <w:rFonts w:cs="Times New Roman"/>
        </w:rPr>
        <w:t>GDP</w:t>
      </w:r>
      <w:r w:rsidR="00411036">
        <w:rPr>
          <w:rFonts w:cs="Times New Roman"/>
        </w:rPr>
        <w:t>)</w:t>
      </w:r>
      <w:r w:rsidR="005864DB" w:rsidRPr="00590BB6">
        <w:rPr>
          <w:rFonts w:cs="Times New Roman"/>
        </w:rPr>
        <w:t xml:space="preserve"> and population </w:t>
      </w:r>
      <w:r w:rsidRPr="00590BB6">
        <w:rPr>
          <w:rFonts w:cs="Times New Roman"/>
        </w:rPr>
        <w:t xml:space="preserve">following previous works on </w:t>
      </w:r>
      <w:r w:rsidR="001F6D6E" w:rsidRPr="00590BB6">
        <w:rPr>
          <w:rFonts w:cs="Times New Roman"/>
        </w:rPr>
        <w:t>harmonisation</w:t>
      </w:r>
      <w:r w:rsidR="005864DB" w:rsidRPr="00590BB6">
        <w:rPr>
          <w:rFonts w:cs="Times New Roman"/>
        </w:rPr>
        <w:t xml:space="preserve"> of integrated assessment models </w:t>
      </w:r>
      <w:r w:rsidR="005864DB" w:rsidRPr="00590BB6">
        <w:rPr>
          <w:rFonts w:cs="Times New Roman"/>
        </w:rPr>
        <w:fldChar w:fldCharType="begin" w:fldLock="1"/>
      </w:r>
      <w:r w:rsidR="005864DB" w:rsidRPr="00590BB6">
        <w:rPr>
          <w:rFonts w:cs="Times New Roman"/>
        </w:rPr>
        <w:instrText>ADDIN CSL_CITATION {"citationItems":[{"id":"ITEM-1","itemData":{"DOI":"10.1016/j.scitotenv.2021.146861","ISSN":"18791026","PMID":"33872899","abstract":"Harmonisation sets the ground to a solid inter-comparison of integrated assessment models. A clear and transparent harmonisation process promotes a consistent interpretation of the modelling outcomes divergences and, reducing the model variance, is instrumental to the use of integrated assessment models to support policy decision-making. Despite its crucial role for climate economic policies, the definition of a comprehensive harmonisation methodology for integrated assessment modelling remains an open challenge for the scientific community. This paper proposes a framework for a harmonisation methodology with the definition of indispensable steps and recommendations to overcome stumbling blocks in order to reduce the variance of the outcomes which depends on controllable modelling assumptions. The harmonisation approach of the PARIS REINFORCE project is presented here to layout such a framework. A decomposition analysis of the harmonisation process is shown through 6 integrated assessment models (GCAM, ICES-XPS, MUSE, E3ME, GEMINI-E3, and TIAM). Results prove the potentials of the proposed framework to reduce the model variance and present a powerful diagnostic tool to feedback on the quality of the harmonisation itself.","author":[{"dropping-particle":"","family":"Giarola","given":"Sara","non-dropping-particle":"","parse-names":false,"suffix":""},{"dropping-particle":"","family":"Mittal","given":"Shivika","non-dropping-particle":"","parse-names":false,"suffix":""},{"dropping-particle":"","family":"Vielle","given":"Marc","non-dropping-particle":"","parse-names":false,"suffix":""},{"dropping-particle":"","family":"Perdana","given":"Sigit","non-dropping-particle":"","parse-names":false,"suffix":""},{"dropping-particle":"","family":"Campagnolo","given":"Lorenza","non-dropping-particle":"","parse-names":false,"suffix":""},{"dropping-particle":"","family":"Delpiazzo","given":"Elisa","non-dropping-particle":"","parse-names":false,"suffix":""},{"dropping-particle":"","family":"Bui","given":"Ha","non-dropping-particle":"","parse-names":false,"suffix":""},{"dropping-particle":"","family":"Kraavi","given":"Annela Anger","non-dropping-particle":"","parse-names":false,"suffix":""},{"dropping-particle":"","family":"Kolpakov","given":"Andrey","non-dropping-particle":"","parse-names":false,"suffix":""},{"dropping-particle":"","family":"Sognnaes","given":"Ida","non-dropping-particle":"","parse-names":false,"suffix":""},{"dropping-particle":"","family":"Peters","given":"Glen","non-dropping-particle":"","parse-names":false,"suffix":""},{"dropping-particle":"","family":"Hawkes","given":"Adam","non-dropping-particle":"","parse-names":false,"suffix":""},{"dropping-particle":"","family":"Köberle","given":"Alexandre C.","non-dropping-particle":"","parse-names":false,"suffix":""},{"dropping-particle":"","family":"Grant","given":"Neil","non-dropping-particle":"","parse-names":false,"suffix":""},{"dropping-particle":"","family":"Gambhir","given":"Ajay","non-dropping-particle":"","parse-names":false,"suffix":""},{"dropping-particle":"","family":"Nikas","given":"Alexandros","non-dropping-particle":"","parse-names":false,"suffix":""},{"dropping-particle":"","family":"Doukas","given":"Haris","non-dropping-particle":"","parse-names":false,"suffix":""},{"dropping-particle":"","family":"Moreno","given":"Jorge","non-dropping-particle":"","parse-names":false,"suffix":""},{"dropping-particle":"","family":"Ven","given":"Dirk Jan","non-dropping-particle":"van de","parse-names":false,"suffix":""}],"container-title":"Science of the Total Environment","id":"ITEM-1","issued":{"date-parts":[["2021"]]},"title":"Challenges in the harmonisation of global integrated assessment models: A comprehensive methodology to reduce model response heterogeneity","type":"article-journal","volume":"783"},"uris":["http://www.mendeley.com/documents/?uuid=a6d39a07-5ebd-44f4-9816-f21cc9bfcc62"]}],"mendeley":{"formattedCitation":"[31]","plainTextFormattedCitation":"[31]","previouslyFormattedCitation":"[30]"},"properties":{"noteIndex":0},"schema":"https://github.com/citation-style-language/schema/raw/master/csl-citation.json"}</w:instrText>
      </w:r>
      <w:r w:rsidR="005864DB" w:rsidRPr="00590BB6">
        <w:rPr>
          <w:rFonts w:cs="Times New Roman"/>
        </w:rPr>
        <w:fldChar w:fldCharType="separate"/>
      </w:r>
      <w:r w:rsidR="005864DB" w:rsidRPr="00590BB6">
        <w:rPr>
          <w:rFonts w:cs="Times New Roman"/>
          <w:noProof/>
        </w:rPr>
        <w:t>[31]</w:t>
      </w:r>
      <w:r w:rsidR="005864DB" w:rsidRPr="00590BB6">
        <w:rPr>
          <w:rFonts w:cs="Times New Roman"/>
        </w:rPr>
        <w:fldChar w:fldCharType="end"/>
      </w:r>
      <w:r w:rsidR="005864DB" w:rsidRPr="00590BB6">
        <w:rPr>
          <w:rFonts w:cs="Times New Roman"/>
        </w:rPr>
        <w:t>.</w:t>
      </w:r>
    </w:p>
    <w:p w14:paraId="6F9A1C65" w14:textId="3E6C6416" w:rsidR="00BB0D5F" w:rsidRPr="00590BB6" w:rsidRDefault="00A644B3" w:rsidP="00BB0D5F">
      <w:pPr>
        <w:spacing w:line="360" w:lineRule="auto"/>
        <w:jc w:val="both"/>
        <w:rPr>
          <w:rFonts w:cs="Times New Roman"/>
        </w:rPr>
      </w:pPr>
      <w:r w:rsidRPr="00590BB6">
        <w:rPr>
          <w:rFonts w:cs="Times New Roman"/>
        </w:rPr>
        <w:fldChar w:fldCharType="begin"/>
      </w:r>
      <w:r w:rsidRPr="00590BB6">
        <w:rPr>
          <w:rFonts w:cs="Times New Roman"/>
        </w:rPr>
        <w:instrText xml:space="preserve"> REF _Ref143128190 \h </w:instrText>
      </w:r>
      <w:r w:rsidR="00590BB6">
        <w:rPr>
          <w:rFonts w:cs="Times New Roman"/>
        </w:rPr>
        <w:instrText xml:space="preserve"> \* MERGEFORMAT </w:instrText>
      </w:r>
      <w:r w:rsidRPr="00590BB6">
        <w:rPr>
          <w:rFonts w:cs="Times New Roman"/>
        </w:rPr>
      </w:r>
      <w:r w:rsidRPr="00590BB6">
        <w:rPr>
          <w:rFonts w:cs="Times New Roman"/>
        </w:rPr>
        <w:fldChar w:fldCharType="separate"/>
      </w:r>
      <w:r w:rsidRPr="00590BB6">
        <w:t xml:space="preserve">Figure </w:t>
      </w:r>
      <w:r w:rsidRPr="00590BB6">
        <w:rPr>
          <w:noProof/>
        </w:rPr>
        <w:t>2</w:t>
      </w:r>
      <w:r w:rsidRPr="00590BB6">
        <w:rPr>
          <w:rFonts w:cs="Times New Roman"/>
        </w:rPr>
        <w:fldChar w:fldCharType="end"/>
      </w:r>
      <w:r w:rsidRPr="00590BB6">
        <w:rPr>
          <w:rFonts w:cs="Times New Roman"/>
        </w:rPr>
        <w:t xml:space="preserve"> </w:t>
      </w:r>
      <w:r w:rsidR="007B3A89" w:rsidRPr="00590BB6">
        <w:rPr>
          <w:rFonts w:cs="Times New Roman"/>
        </w:rPr>
        <w:t xml:space="preserve">displays </w:t>
      </w:r>
      <w:r w:rsidR="00BB0D5F" w:rsidRPr="00590BB6">
        <w:rPr>
          <w:rFonts w:cs="Times New Roman"/>
        </w:rPr>
        <w:t>a timeseries of historical and</w:t>
      </w:r>
      <w:r w:rsidR="007B3A89" w:rsidRPr="00590BB6">
        <w:rPr>
          <w:rFonts w:cs="Times New Roman"/>
        </w:rPr>
        <w:t xml:space="preserve"> projected </w:t>
      </w:r>
      <w:r w:rsidR="00BB0D5F" w:rsidRPr="00590BB6">
        <w:rPr>
          <w:rFonts w:cs="Times New Roman"/>
        </w:rPr>
        <w:t xml:space="preserve">data of </w:t>
      </w:r>
      <w:r w:rsidR="007B3A89" w:rsidRPr="00590BB6">
        <w:rPr>
          <w:rFonts w:cs="Times New Roman"/>
        </w:rPr>
        <w:t>population and annual GDP in 2010 US dollars (2010 USD). Historical values were retrieved from the Federal Reserve Bank of St. Louis database</w:t>
      </w:r>
      <w:r w:rsidR="00814A40" w:rsidRPr="00590BB6">
        <w:rPr>
          <w:rFonts w:cs="Times New Roman"/>
        </w:rPr>
        <w:t xml:space="preserve"> (FRED) </w:t>
      </w:r>
      <w:r w:rsidR="007B3A89" w:rsidRPr="00590BB6">
        <w:rPr>
          <w:rFonts w:cs="Times New Roman"/>
        </w:rPr>
        <w:t xml:space="preserve"> </w:t>
      </w:r>
      <w:r w:rsidR="007B3A89" w:rsidRPr="00590BB6">
        <w:rPr>
          <w:rFonts w:cs="Times New Roman"/>
        </w:rPr>
        <w:fldChar w:fldCharType="begin" w:fldLock="1"/>
      </w:r>
      <w:r w:rsidR="006F44A7" w:rsidRPr="00590BB6">
        <w:rPr>
          <w:rFonts w:cs="Times New Roman"/>
        </w:rPr>
        <w:instrText>ADDIN CSL_CITATION {"citationItems":[{"id":"ITEM-1","itemData":{"author":[{"dropping-particle":"","family":"FRED","given":"","non-dropping-particle":"","parse-names":false,"suffix":""}],"id":"ITEM-1","issued":{"date-parts":[["2022"]]},"title":"Population, Total for Italy [POPTOTITA647NWDB], retrieved from FRED, Federal Reserve Bank of St. Louis","type":"webpage"},"uris":["http://www.mendeley.com/documents/?uuid=ce207a83-2317-4531-928e-883011e7fd36","http://www.mendeley.com/documents/?uuid=f001b026-fe4c-4262-b223-06394374e77c"]}],"mendeley":{"formattedCitation":"[32]","plainTextFormattedCitation":"[32]","previouslyFormattedCitation":"[31]"},"properties":{"noteIndex":0},"schema":"https://github.com/citation-style-language/schema/raw/master/csl-citation.json"}</w:instrText>
      </w:r>
      <w:r w:rsidR="007B3A89" w:rsidRPr="00590BB6">
        <w:rPr>
          <w:rFonts w:cs="Times New Roman"/>
        </w:rPr>
        <w:fldChar w:fldCharType="separate"/>
      </w:r>
      <w:r w:rsidR="006F44A7" w:rsidRPr="00590BB6">
        <w:rPr>
          <w:rFonts w:cs="Times New Roman"/>
          <w:noProof/>
        </w:rPr>
        <w:t>[32]</w:t>
      </w:r>
      <w:r w:rsidR="007B3A89" w:rsidRPr="00590BB6">
        <w:rPr>
          <w:rFonts w:cs="Times New Roman"/>
        </w:rPr>
        <w:fldChar w:fldCharType="end"/>
      </w:r>
      <w:r w:rsidR="00BB0D5F" w:rsidRPr="00590BB6">
        <w:rPr>
          <w:rFonts w:cs="Times New Roman"/>
        </w:rPr>
        <w:t>;</w:t>
      </w:r>
      <w:r w:rsidR="0057691A" w:rsidRPr="00590BB6">
        <w:rPr>
          <w:rFonts w:cs="Times New Roman"/>
        </w:rPr>
        <w:t xml:space="preserve"> </w:t>
      </w:r>
      <w:r w:rsidR="007B3A89" w:rsidRPr="00590BB6">
        <w:rPr>
          <w:rFonts w:cs="Times New Roman"/>
        </w:rPr>
        <w:t xml:space="preserve">projections </w:t>
      </w:r>
      <w:r w:rsidR="00BB0D5F" w:rsidRPr="00590BB6">
        <w:rPr>
          <w:rFonts w:cs="Times New Roman"/>
        </w:rPr>
        <w:t xml:space="preserve">were </w:t>
      </w:r>
      <w:r w:rsidR="007B3A89" w:rsidRPr="00590BB6">
        <w:rPr>
          <w:rFonts w:cs="Times New Roman"/>
        </w:rPr>
        <w:t xml:space="preserve">from ISTAT </w:t>
      </w:r>
      <w:r w:rsidR="007B3A89" w:rsidRPr="00590BB6">
        <w:rPr>
          <w:rFonts w:cs="Times New Roman"/>
        </w:rPr>
        <w:fldChar w:fldCharType="begin" w:fldLock="1"/>
      </w:r>
      <w:r w:rsidR="006F44A7" w:rsidRPr="00590BB6">
        <w:rPr>
          <w:rFonts w:cs="Times New Roman"/>
        </w:rPr>
        <w:instrText>ADDIN CSL_CITATION {"citationItems":[{"id":"ITEM-1","itemData":{"author":[{"dropping-particle":"","family":"ISTAT","given":"","non-dropping-particle":"","parse-names":false,"suffix":""}],"id":"ITEM-1","issued":{"date-parts":[["2020"]]},"title":"Previsioni della popolazione - Anni 2020-2070","type":"webpage"},"uris":["http://www.mendeley.com/documents/?uuid=5c5faf0d-b73c-4aaf-a966-bf6a2d2eb7fe","http://www.mendeley.com/documents/?uuid=9664c9d9-a68f-493c-bccb-d7b51f345c48"]}],"mendeley":{"formattedCitation":"[33]","plainTextFormattedCitation":"[33]","previouslyFormattedCitation":"[32]"},"properties":{"noteIndex":0},"schema":"https://github.com/citation-style-language/schema/raw/master/csl-citation.json"}</w:instrText>
      </w:r>
      <w:r w:rsidR="007B3A89" w:rsidRPr="00590BB6">
        <w:rPr>
          <w:rFonts w:cs="Times New Roman"/>
        </w:rPr>
        <w:fldChar w:fldCharType="separate"/>
      </w:r>
      <w:r w:rsidR="006F44A7" w:rsidRPr="00590BB6">
        <w:rPr>
          <w:rFonts w:cs="Times New Roman"/>
          <w:noProof/>
        </w:rPr>
        <w:t>[33]</w:t>
      </w:r>
      <w:r w:rsidR="007B3A89" w:rsidRPr="00590BB6">
        <w:rPr>
          <w:rFonts w:cs="Times New Roman"/>
        </w:rPr>
        <w:fldChar w:fldCharType="end"/>
      </w:r>
      <w:r w:rsidR="007B3A89" w:rsidRPr="00590BB6">
        <w:rPr>
          <w:rFonts w:cs="Times New Roman"/>
        </w:rPr>
        <w:t xml:space="preserve">, INECP </w:t>
      </w:r>
      <w:bookmarkStart w:id="5" w:name="_Hlk122684185"/>
      <w:r w:rsidR="007B3A89" w:rsidRPr="00590BB6">
        <w:rPr>
          <w:rFonts w:cs="Times New Roman"/>
        </w:rPr>
        <w:fldChar w:fldCharType="begin" w:fldLock="1"/>
      </w:r>
      <w:r w:rsidR="006F44A7" w:rsidRPr="00590BB6">
        <w:rPr>
          <w:rFonts w:cs="Times New Roman"/>
        </w:rPr>
        <w:instrText>ADDIN CSL_CITATION {"citationItems":[{"id":"ITEM-1","itemData":{"author":[{"dropping-particle":"","family":"Ministry of Economic Development","given":"Ministry of the Environment and Protection of Natural Resources and the Sea and Ministry of Infrastructure and Transport","non-dropping-particle":"","parse-names":false,"suffix":""}],"id":"ITEM-1","issue":"December","issued":{"date-parts":[["2019"]]},"title":"INTEGRATED NATIONAL ENERGY AND CLIMATE PLAN","type":"article-journal"},"uris":["http://www.mendeley.com/documents/?uuid=d54a07a1-e890-4466-887f-f5a283ccae32","http://www.mendeley.com/documents/?uuid=d7a97139-9386-4d6c-98f2-f217b6b2b372"]}],"mendeley":{"formattedCitation":"[34]","plainTextFormattedCitation":"[34]","previouslyFormattedCitation":"[33]"},"properties":{"noteIndex":0},"schema":"https://github.com/citation-style-language/schema/raw/master/csl-citation.json"}</w:instrText>
      </w:r>
      <w:r w:rsidR="007B3A89" w:rsidRPr="00590BB6">
        <w:rPr>
          <w:rFonts w:cs="Times New Roman"/>
        </w:rPr>
        <w:fldChar w:fldCharType="separate"/>
      </w:r>
      <w:r w:rsidR="006F44A7" w:rsidRPr="00590BB6">
        <w:rPr>
          <w:rFonts w:cs="Times New Roman"/>
          <w:noProof/>
        </w:rPr>
        <w:t>[34]</w:t>
      </w:r>
      <w:r w:rsidR="007B3A89" w:rsidRPr="00590BB6">
        <w:rPr>
          <w:rFonts w:cs="Times New Roman"/>
        </w:rPr>
        <w:fldChar w:fldCharType="end"/>
      </w:r>
      <w:bookmarkEnd w:id="5"/>
      <w:r w:rsidR="007B3A89" w:rsidRPr="00590BB6">
        <w:rPr>
          <w:rFonts w:cs="Times New Roman"/>
        </w:rPr>
        <w:t>, and Gi</w:t>
      </w:r>
      <w:r w:rsidR="00BE7167" w:rsidRPr="00590BB6">
        <w:rPr>
          <w:rFonts w:cs="Times New Roman"/>
        </w:rPr>
        <w:t>ar</w:t>
      </w:r>
      <w:r w:rsidR="007B3A89" w:rsidRPr="00590BB6">
        <w:rPr>
          <w:rFonts w:cs="Times New Roman"/>
        </w:rPr>
        <w:t xml:space="preserve">ola et al. (2021) </w:t>
      </w:r>
      <w:r w:rsidR="007B3A89" w:rsidRPr="00590BB6">
        <w:rPr>
          <w:rFonts w:cs="Times New Roman"/>
        </w:rPr>
        <w:fldChar w:fldCharType="begin" w:fldLock="1"/>
      </w:r>
      <w:r w:rsidR="006F44A7" w:rsidRPr="00590BB6">
        <w:rPr>
          <w:rFonts w:cs="Times New Roman"/>
        </w:rPr>
        <w:instrText>ADDIN CSL_CITATION {"citationItems":[{"id":"ITEM-1","itemData":{"DOI":"10.1016/j.scitotenv.2021.146861","ISSN":"18791026","PMID":"33872899","abstract":"Harmonisation sets the ground to a solid inter-comparison of integrated assessment models. A clear and transparent harmonisation process promotes a consistent interpretation of the modelling outcomes divergences and, reducing the model variance, is instrumental to the use of integrated assessment models to support policy decision-making. Despite its crucial role for climate economic policies, the definition of a comprehensive harmonisation methodology for integrated assessment modelling remains an open challenge for the scientific community. This paper proposes a framework for a harmonisation methodology with the definition of indispensable steps and recommendations to overcome stumbling blocks in order to reduce the variance of the outcomes which depends on controllable modelling assumptions. The harmonisation approach of the PARIS REINFORCE project is presented here to layout such a framework. A decomposition analysis of the harmonisation process is shown through 6 integrated assessment models (GCAM, ICES-XPS, MUSE, E3ME, GEMINI-E3, and TIAM). Results prove the potentials of the proposed framework to reduce the model variance and present a powerful diagnostic tool to feedback on the quality of the harmonisation itself.","author":[{"dropping-particle":"","family":"Giarola","given":"Sara","non-dropping-particle":"","parse-names":false,"suffix":""},{"dropping-particle":"","family":"Mittal","given":"Shivika","non-dropping-particle":"","parse-names":false,"suffix":""},{"dropping-particle":"","family":"Vielle","given":"Marc","non-dropping-particle":"","parse-names":false,"suffix":""},{"dropping-particle":"","family":"Perdana","given":"Sigit","non-dropping-particle":"","parse-names":false,"suffix":""},{"dropping-particle":"","family":"Campagnolo","given":"Lorenza","non-dropping-particle":"","parse-names":false,"suffix":""},{"dropping-particle":"","family":"Delpiazzo","given":"Elisa","non-dropping-particle":"","parse-names":false,"suffix":""},{"dropping-particle":"","family":"Bui","given":"Ha","non-dropping-particle":"","parse-names":false,"suffix":""},{"dropping-particle":"","family":"Kraavi","given":"Annela Anger","non-dropping-particle":"","parse-names":false,"suffix":""},{"dropping-particle":"","family":"Kolpakov","given":"Andrey","non-dropping-particle":"","parse-names":false,"suffix":""},{"dropping-particle":"","family":"Sognnaes","given":"Ida","non-dropping-particle":"","parse-names":false,"suffix":""},{"dropping-particle":"","family":"Peters","given":"Glen","non-dropping-particle":"","parse-names":false,"suffix":""},{"dropping-particle":"","family":"Hawkes","given":"Adam","non-dropping-particle":"","parse-names":false,"suffix":""},{"dropping-particle":"","family":"Köberle","given":"Alexandre C.","non-dropping-particle":"","parse-names":false,"suffix":""},{"dropping-particle":"","family":"Grant","given":"Neil","non-dropping-particle":"","parse-names":false,"suffix":""},{"dropping-particle":"","family":"Gambhir","given":"Ajay","non-dropping-particle":"","parse-names":false,"suffix":""},{"dropping-particle":"","family":"Nikas","given":"Alexandros","non-dropping-particle":"","parse-names":false,"suffix":""},{"dropping-particle":"","family":"Doukas","given":"Haris","non-dropping-particle":"","parse-names":false,"suffix":""},{"dropping-particle":"","family":"Moreno","given":"Jorge","non-dropping-particle":"","parse-names":false,"suffix":""},{"dropping-particle":"","family":"Ven","given":"Dirk Jan","non-dropping-particle":"van de","parse-names":false,"suffix":""}],"container-title":"Science of the Total Environment","id":"ITEM-1","issued":{"date-parts":[["2021"]]},"title":"Challenges in the harmonisation of global integrated assessment models: A comprehensive methodology to reduce model response heterogeneity","type":"article-journal","volume":"783"},"uris":["http://www.mendeley.com/documents/?uuid=a6d39a07-5ebd-44f4-9816-f21cc9bfcc62"]}],"mendeley":{"formattedCitation":"[31]","plainTextFormattedCitation":"[31]","previouslyFormattedCitation":"[30]"},"properties":{"noteIndex":0},"schema":"https://github.com/citation-style-language/schema/raw/master/csl-citation.json"}</w:instrText>
      </w:r>
      <w:r w:rsidR="007B3A89" w:rsidRPr="00590BB6">
        <w:rPr>
          <w:rFonts w:cs="Times New Roman"/>
        </w:rPr>
        <w:fldChar w:fldCharType="separate"/>
      </w:r>
      <w:r w:rsidR="006F44A7" w:rsidRPr="00590BB6">
        <w:rPr>
          <w:rFonts w:cs="Times New Roman"/>
          <w:noProof/>
        </w:rPr>
        <w:t>[31]</w:t>
      </w:r>
      <w:r w:rsidR="007B3A89" w:rsidRPr="00590BB6">
        <w:rPr>
          <w:rFonts w:cs="Times New Roman"/>
        </w:rPr>
        <w:fldChar w:fldCharType="end"/>
      </w:r>
      <w:r w:rsidR="007B3A89" w:rsidRPr="00590BB6">
        <w:rPr>
          <w:rFonts w:cs="Times New Roman"/>
        </w:rPr>
        <w:t>.</w:t>
      </w:r>
      <w:r w:rsidR="00BB0D5F" w:rsidRPr="00590BB6">
        <w:rPr>
          <w:rFonts w:cs="Times New Roman"/>
        </w:rPr>
        <w:t xml:space="preserve"> Despite the consensus on GDP growth over the next decades, in terms of population, all the references</w:t>
      </w:r>
      <w:r w:rsidR="006E377A" w:rsidRPr="00590BB6">
        <w:rPr>
          <w:rFonts w:cs="Times New Roman"/>
        </w:rPr>
        <w:t>,</w:t>
      </w:r>
      <w:r w:rsidR="00BB0D5F" w:rsidRPr="00590BB6">
        <w:rPr>
          <w:rFonts w:cs="Times New Roman"/>
        </w:rPr>
        <w:t xml:space="preserve"> </w:t>
      </w:r>
      <w:r w:rsidR="006E377A" w:rsidRPr="00590BB6">
        <w:rPr>
          <w:rFonts w:cs="Times New Roman"/>
        </w:rPr>
        <w:t xml:space="preserve">except one, </w:t>
      </w:r>
      <w:r w:rsidR="00BB0D5F" w:rsidRPr="00590BB6">
        <w:rPr>
          <w:rFonts w:cs="Times New Roman"/>
        </w:rPr>
        <w:t>agree on a decrease in the number of inhabitants [31].</w:t>
      </w:r>
    </w:p>
    <w:p w14:paraId="0253706A" w14:textId="06404801" w:rsidR="007B3A89" w:rsidRPr="00590BB6" w:rsidRDefault="007B3A89" w:rsidP="00B35DBE">
      <w:pPr>
        <w:spacing w:before="240" w:line="360" w:lineRule="auto"/>
        <w:jc w:val="both"/>
        <w:rPr>
          <w:rFonts w:cs="Times New Roman"/>
        </w:rPr>
      </w:pPr>
    </w:p>
    <w:p w14:paraId="560C5485" w14:textId="77777777" w:rsidR="007B3A89" w:rsidRPr="00590BB6" w:rsidRDefault="005E1B5D" w:rsidP="007B3A89">
      <w:pPr>
        <w:keepNext/>
        <w:spacing w:after="0" w:line="360" w:lineRule="auto"/>
        <w:jc w:val="both"/>
        <w:rPr>
          <w:rFonts w:cs="Times New Roman"/>
        </w:rPr>
      </w:pPr>
      <w:r w:rsidRPr="005E1B5D">
        <w:rPr>
          <w:rFonts w:asciiTheme="minorHAnsi" w:hAnsiTheme="minorHAnsi"/>
          <w:noProof/>
        </w:rPr>
        <w:object w:dxaOrig="4785" w:dyaOrig="3645" w14:anchorId="54E85A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alt="Project Path: C:\Users\carbmat91702\OneDrive - Università degli Studi di Padova\ONEDRIVE\DOTTORATO PADOVA\Muse\MUSE_SHARED\TRUCK\Graphs\variety.opju&#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PE Folder: /variety/Folder1/&#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Short Name: GDP_graph" style="width:233.8pt;height:182.85pt;mso-width-percent:0;mso-height-percent:0;mso-width-percent:0;mso-height-percent:0" o:ole="">
            <v:imagedata r:id="rId9" o:title=""/>
          </v:shape>
          <o:OLEObject Type="Embed" ProgID="Origin95.Graph" ShapeID="_x0000_i1036" DrawAspect="Content" ObjectID="_1759330200" r:id="rId10"/>
        </w:object>
      </w:r>
      <w:r w:rsidRPr="005E1B5D">
        <w:rPr>
          <w:rFonts w:asciiTheme="minorHAnsi" w:hAnsiTheme="minorHAnsi"/>
          <w:noProof/>
        </w:rPr>
        <w:object w:dxaOrig="4785" w:dyaOrig="3660" w14:anchorId="2AD5FB95">
          <v:shape id="_x0000_i1035" type="#_x0000_t75" alt="Project Path: C:\Users\carbmat91702\OneDrive - Università degli Studi di Padova\ONEDRIVE\DOTTORATO PADOVA\Muse\MUSE_SHARED\TRUCK\Graphs\variety.opju&#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PE Folder: /variety/Folder1/&#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Short Name: People_graph" style="width:233.8pt;height:182.85pt;mso-width-percent:0;mso-height-percent:0;mso-width-percent:0;mso-height-percent:0" o:ole="">
            <v:imagedata r:id="rId11" o:title=""/>
          </v:shape>
          <o:OLEObject Type="Embed" ProgID="Origin95.Graph" ShapeID="_x0000_i1035" DrawAspect="Content" ObjectID="_1759330201" r:id="rId12"/>
        </w:object>
      </w:r>
    </w:p>
    <w:p w14:paraId="32134D22" w14:textId="4ECD3AFE" w:rsidR="007B3A89" w:rsidRPr="00590BB6" w:rsidRDefault="004C610A" w:rsidP="004C610A">
      <w:pPr>
        <w:pStyle w:val="Caption"/>
      </w:pPr>
      <w:bookmarkStart w:id="6" w:name="_Ref143128190"/>
      <w:r w:rsidRPr="00590BB6">
        <w:t xml:space="preserve">Figure </w:t>
      </w:r>
      <w:r w:rsidRPr="00590BB6">
        <w:fldChar w:fldCharType="begin"/>
      </w:r>
      <w:r w:rsidRPr="00590BB6">
        <w:instrText xml:space="preserve"> SEQ Figure \* ARABIC </w:instrText>
      </w:r>
      <w:r w:rsidRPr="00590BB6">
        <w:fldChar w:fldCharType="separate"/>
      </w:r>
      <w:r w:rsidR="00A644B3" w:rsidRPr="00590BB6">
        <w:rPr>
          <w:noProof/>
        </w:rPr>
        <w:t>2</w:t>
      </w:r>
      <w:r w:rsidRPr="00590BB6">
        <w:fldChar w:fldCharType="end"/>
      </w:r>
      <w:bookmarkEnd w:id="6"/>
      <w:r w:rsidR="007B3A89" w:rsidRPr="00590BB6">
        <w:t xml:space="preserve">. Italy’s historical data and projections of (a) annual constant GDP per capita expressed in 2010 USD and (b) population. Source: Adapted from FRED database </w:t>
      </w:r>
      <w:r w:rsidR="007B3A89" w:rsidRPr="00590BB6">
        <w:fldChar w:fldCharType="begin" w:fldLock="1"/>
      </w:r>
      <w:r w:rsidR="006F44A7" w:rsidRPr="00590BB6">
        <w:instrText>ADDIN CSL_CITATION {"citationItems":[{"id":"ITEM-1","itemData":{"author":[{"dropping-particle":"","family":"FRED","given":"","non-dropping-particle":"","parse-names":false,"suffix":""}],"id":"ITEM-1","issued":{"date-parts":[["2022"]]},"title":"Population, Total for Italy [POPTOTITA647NWDB], retrieved from FRED, Federal Reserve Bank of St. Louis","type":"webpage"},"uris":["http://www.mendeley.com/documents/?uuid=f001b026-fe4c-4262-b223-06394374e77c","http://www.mendeley.com/documents/?uuid=ce207a83-2317-4531-928e-883011e7fd36"]}],"mendeley":{"formattedCitation":"[32]","plainTextFormattedCitation":"[32]","previouslyFormattedCitation":"[31]"},"properties":{"noteIndex":0},"schema":"https://github.com/citation-style-language/schema/raw/master/csl-citation.json"}</w:instrText>
      </w:r>
      <w:r w:rsidR="007B3A89" w:rsidRPr="00590BB6">
        <w:fldChar w:fldCharType="separate"/>
      </w:r>
      <w:r w:rsidR="006F44A7" w:rsidRPr="00590BB6">
        <w:rPr>
          <w:noProof/>
        </w:rPr>
        <w:t>[32]</w:t>
      </w:r>
      <w:r w:rsidR="007B3A89" w:rsidRPr="00590BB6">
        <w:fldChar w:fldCharType="end"/>
      </w:r>
      <w:r w:rsidR="007B3A89" w:rsidRPr="00590BB6">
        <w:t xml:space="preserve">, Giarola et al. (2021) </w:t>
      </w:r>
      <w:r w:rsidR="007B3A89" w:rsidRPr="00590BB6">
        <w:fldChar w:fldCharType="begin" w:fldLock="1"/>
      </w:r>
      <w:r w:rsidR="006F44A7" w:rsidRPr="00590BB6">
        <w:instrText>ADDIN CSL_CITATION {"citationItems":[{"id":"ITEM-1","itemData":{"DOI":"10.1016/j.scitotenv.2021.146861","ISSN":"18791026","PMID":"33872899","abstract":"Harmonisation sets the ground to a solid inter-comparison of integrated assessment models. A clear and transparent harmonisation process promotes a consistent interpretation of the modelling outcomes divergences and, reducing the model variance, is instrumental to the use of integrated assessment models to support policy decision-making. Despite its crucial role for climate economic policies, the definition of a comprehensive harmonisation methodology for integrated assessment modelling remains an open challenge for the scientific community. This paper proposes a framework for a harmonisation methodology with the definition of indispensable steps and recommendations to overcome stumbling blocks in order to reduce the variance of the outcomes which depends on controllable modelling assumptions. The harmonisation approach of the PARIS REINFORCE project is presented here to layout such a framework. A decomposition analysis of the harmonisation process is shown through 6 integrated assessment models (GCAM, ICES-XPS, MUSE, E3ME, GEMINI-E3, and TIAM). Results prove the potentials of the proposed framework to reduce the model variance and present a powerful diagnostic tool to feedback on the quality of the harmonisation itself.","author":[{"dropping-particle":"","family":"Giarola","given":"Sara","non-dropping-particle":"","parse-names":false,"suffix":""},{"dropping-particle":"","family":"Mittal","given":"Shivika","non-dropping-particle":"","parse-names":false,"suffix":""},{"dropping-particle":"","family":"Vielle","given":"Marc","non-dropping-particle":"","parse-names":false,"suffix":""},{"dropping-particle":"","family":"Perdana","given":"Sigit","non-dropping-particle":"","parse-names":false,"suffix":""},{"dropping-particle":"","family":"Campagnolo","given":"Lorenza","non-dropping-particle":"","parse-names":false,"suffix":""},{"dropping-particle":"","family":"Delpiazzo","given":"Elisa","non-dropping-particle":"","parse-names":false,"suffix":""},{"dropping-particle":"","family":"Bui","given":"Ha","non-dropping-particle":"","parse-names":false,"suffix":""},{"dropping-particle":"","family":"Kraavi","given":"Annela Anger","non-dropping-particle":"","parse-names":false,"suffix":""},{"dropping-particle":"","family":"Kolpakov","given":"Andrey","non-dropping-particle":"","parse-names":false,"suffix":""},{"dropping-particle":"","family":"Sognnaes","given":"Ida","non-dropping-particle":"","parse-names":false,"suffix":""},{"dropping-particle":"","family":"Peters","given":"Glen","non-dropping-particle":"","parse-names":false,"suffix":""},{"dropping-particle":"","family":"Hawkes","given":"Adam","non-dropping-particle":"","parse-names":false,"suffix":""},{"dropping-particle":"","family":"Köberle","given":"Alexandre C.","non-dropping-particle":"","parse-names":false,"suffix":""},{"dropping-particle":"","family":"Grant","given":"Neil","non-dropping-particle":"","parse-names":false,"suffix":""},{"dropping-particle":"","family":"Gambhir","given":"Ajay","non-dropping-particle":"","parse-names":false,"suffix":""},{"dropping-particle":"","family":"Nikas","given":"Alexandros","non-dropping-particle":"","parse-names":false,"suffix":""},{"dropping-particle":"","family":"Doukas","given":"Haris","non-dropping-particle":"","parse-names":false,"suffix":""},{"dropping-particle":"","family":"Moreno","given":"Jorge","non-dropping-particle":"","parse-names":false,"suffix":""},{"dropping-particle":"","family":"Ven","given":"Dirk Jan","non-dropping-particle":"van de","parse-names":false,"suffix":""}],"container-title":"Science of the Total Environment","id":"ITEM-1","issued":{"date-parts":[["2021"]]},"title":"Challenges in the harmonisation of global integrated assessment models: A comprehensive methodology to reduce model response heterogeneity","type":"article-journal","volume":"783"},"uris":["http://www.mendeley.com/documents/?uuid=a6d39a07-5ebd-44f4-9816-f21cc9bfcc62"]}],"mendeley":{"formattedCitation":"[31]","plainTextFormattedCitation":"[31]","previouslyFormattedCitation":"[30]"},"properties":{"noteIndex":0},"schema":"https://github.com/citation-style-language/schema/raw/master/csl-citation.json"}</w:instrText>
      </w:r>
      <w:r w:rsidR="007B3A89" w:rsidRPr="00590BB6">
        <w:fldChar w:fldCharType="separate"/>
      </w:r>
      <w:r w:rsidR="006F44A7" w:rsidRPr="00590BB6">
        <w:rPr>
          <w:noProof/>
        </w:rPr>
        <w:t>[31]</w:t>
      </w:r>
      <w:r w:rsidR="007B3A89" w:rsidRPr="00590BB6">
        <w:fldChar w:fldCharType="end"/>
      </w:r>
      <w:r w:rsidR="007B3A89" w:rsidRPr="00590BB6">
        <w:t xml:space="preserve">, ISTAT </w:t>
      </w:r>
      <w:r w:rsidR="007B3A89" w:rsidRPr="00590BB6">
        <w:fldChar w:fldCharType="begin" w:fldLock="1"/>
      </w:r>
      <w:r w:rsidR="006F44A7" w:rsidRPr="00590BB6">
        <w:instrText>ADDIN CSL_CITATION {"citationItems":[{"id":"ITEM-1","itemData":{"author":[{"dropping-particle":"","family":"ISTAT","given":"","non-dropping-particle":"","parse-names":false,"suffix":""}],"id":"ITEM-1","issued":{"date-parts":[["2020"]]},"title":"Previsioni della popolazione - Anni 2020-2070","type":"webpage"},"uris":["http://www.mendeley.com/documents/?uuid=9664c9d9-a68f-493c-bccb-d7b51f345c48","http://www.mendeley.com/documents/?uuid=5c5faf0d-b73c-4aaf-a966-bf6a2d2eb7fe"]}],"mendeley":{"formattedCitation":"[33]","plainTextFormattedCitation":"[33]","previouslyFormattedCitation":"[32]"},"properties":{"noteIndex":0},"schema":"https://github.com/citation-style-language/schema/raw/master/csl-citation.json"}</w:instrText>
      </w:r>
      <w:r w:rsidR="007B3A89" w:rsidRPr="00590BB6">
        <w:fldChar w:fldCharType="separate"/>
      </w:r>
      <w:r w:rsidR="006F44A7" w:rsidRPr="00590BB6">
        <w:rPr>
          <w:noProof/>
        </w:rPr>
        <w:t>[33]</w:t>
      </w:r>
      <w:r w:rsidR="007B3A89" w:rsidRPr="00590BB6">
        <w:fldChar w:fldCharType="end"/>
      </w:r>
      <w:r w:rsidR="007B3A89" w:rsidRPr="00590BB6">
        <w:t xml:space="preserve">, and INECP </w:t>
      </w:r>
      <w:r w:rsidR="007B3A89" w:rsidRPr="00590BB6">
        <w:fldChar w:fldCharType="begin" w:fldLock="1"/>
      </w:r>
      <w:r w:rsidR="006F44A7" w:rsidRPr="00590BB6">
        <w:instrText>ADDIN CSL_CITATION {"citationItems":[{"id":"ITEM-1","itemData":{"author":[{"dropping-particle":"","family":"Ministry of Economic Development","given":"Ministry of the Environment and Protection of Natural Resources and the Sea and Ministry of Infrastructure and Transport","non-dropping-particle":"","parse-names":false,"suffix":""}],"id":"ITEM-1","issue":"December","issued":{"date-parts":[["2019"]]},"title":"INTEGRATED NATIONAL ENERGY AND CLIMATE PLAN","type":"article-journal"},"uris":["http://www.mendeley.com/documents/?uuid=d54a07a1-e890-4466-887f-f5a283ccae32","http://www.mendeley.com/documents/?uuid=d7a97139-9386-4d6c-98f2-f217b6b2b372"]}],"mendeley":{"formattedCitation":"[34]","plainTextFormattedCitation":"[34]","previouslyFormattedCitation":"[33]"},"properties":{"noteIndex":0},"schema":"https://github.com/citation-style-language/schema/raw/master/csl-citation.json"}</w:instrText>
      </w:r>
      <w:r w:rsidR="007B3A89" w:rsidRPr="00590BB6">
        <w:fldChar w:fldCharType="separate"/>
      </w:r>
      <w:r w:rsidR="006F44A7" w:rsidRPr="00590BB6">
        <w:rPr>
          <w:noProof/>
        </w:rPr>
        <w:t>[34]</w:t>
      </w:r>
      <w:r w:rsidR="007B3A89" w:rsidRPr="00590BB6">
        <w:fldChar w:fldCharType="end"/>
      </w:r>
      <w:r w:rsidR="007B3A89" w:rsidRPr="00590BB6">
        <w:t>.</w:t>
      </w:r>
    </w:p>
    <w:p w14:paraId="12542CF2" w14:textId="77777777" w:rsidR="00BB0D5F" w:rsidRPr="00590BB6" w:rsidRDefault="00BB0D5F" w:rsidP="002137F1">
      <w:pPr>
        <w:spacing w:line="360" w:lineRule="auto"/>
        <w:jc w:val="both"/>
        <w:rPr>
          <w:rFonts w:cs="Times New Roman"/>
        </w:rPr>
      </w:pPr>
      <w:bookmarkStart w:id="7" w:name="_Ref116466662"/>
      <w:bookmarkEnd w:id="1"/>
    </w:p>
    <w:p w14:paraId="1E834DC1" w14:textId="720C351D" w:rsidR="002137F1" w:rsidRPr="00590BB6" w:rsidRDefault="007F407C" w:rsidP="002137F1">
      <w:pPr>
        <w:spacing w:line="360" w:lineRule="auto"/>
        <w:jc w:val="both"/>
        <w:rPr>
          <w:rFonts w:cs="Times New Roman"/>
        </w:rPr>
      </w:pPr>
      <w:r>
        <w:rPr>
          <w:rFonts w:cs="Times New Roman"/>
        </w:rPr>
        <w:t xml:space="preserve">Freight demand dependence with GDP and population was modelled with a </w:t>
      </w:r>
      <w:r w:rsidR="002137F1" w:rsidRPr="00590BB6">
        <w:rPr>
          <w:rFonts w:cs="Times New Roman"/>
        </w:rPr>
        <w:t xml:space="preserve">logistic </w:t>
      </w:r>
      <w:r w:rsidR="00411036">
        <w:rPr>
          <w:rFonts w:cs="Times New Roman"/>
        </w:rPr>
        <w:t xml:space="preserve">relation </w:t>
      </w:r>
      <w:r>
        <w:rPr>
          <w:rFonts w:cs="Times New Roman"/>
        </w:rPr>
        <w:t>using</w:t>
      </w:r>
      <w:r w:rsidR="002137F1" w:rsidRPr="00590BB6">
        <w:rPr>
          <w:rFonts w:cs="Times New Roman"/>
        </w:rPr>
        <w:t xml:space="preserve"> a Sigmoid function with four parameters (A</w:t>
      </w:r>
      <w:r w:rsidR="002137F1" w:rsidRPr="00590BB6">
        <w:rPr>
          <w:rFonts w:cs="Times New Roman"/>
          <w:vertAlign w:val="subscript"/>
        </w:rPr>
        <w:t>1</w:t>
      </w:r>
      <w:r w:rsidR="002137F1" w:rsidRPr="00590BB6">
        <w:rPr>
          <w:rFonts w:cs="Times New Roman"/>
        </w:rPr>
        <w:t>, A</w:t>
      </w:r>
      <w:r w:rsidR="002137F1" w:rsidRPr="00590BB6">
        <w:rPr>
          <w:rFonts w:cs="Times New Roman"/>
          <w:vertAlign w:val="subscript"/>
        </w:rPr>
        <w:t>2</w:t>
      </w:r>
      <w:r w:rsidR="002137F1" w:rsidRPr="00590BB6">
        <w:rPr>
          <w:rFonts w:cs="Times New Roman"/>
        </w:rPr>
        <w:t>, X</w:t>
      </w:r>
      <w:r w:rsidR="002137F1" w:rsidRPr="00590BB6">
        <w:rPr>
          <w:rFonts w:cs="Times New Roman"/>
          <w:vertAlign w:val="subscript"/>
        </w:rPr>
        <w:t>0</w:t>
      </w:r>
      <w:r w:rsidR="002137F1" w:rsidRPr="00590BB6">
        <w:rPr>
          <w:rFonts w:cs="Times New Roman"/>
        </w:rPr>
        <w:t>, and L), as shown in Equation 2 (Eq. 2):</w:t>
      </w: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4"/>
        <w:gridCol w:w="4097"/>
      </w:tblGrid>
      <w:tr w:rsidR="002137F1" w:rsidRPr="00590BB6" w14:paraId="6943AA36" w14:textId="77777777" w:rsidTr="00B94B4A">
        <w:trPr>
          <w:trHeight w:val="376"/>
        </w:trPr>
        <w:tc>
          <w:tcPr>
            <w:tcW w:w="5254" w:type="dxa"/>
            <w:vAlign w:val="center"/>
          </w:tcPr>
          <w:p w14:paraId="2E4A98BE" w14:textId="77777777" w:rsidR="002137F1" w:rsidRPr="00590BB6" w:rsidRDefault="002137F1" w:rsidP="00B94B4A">
            <w:pPr>
              <w:pStyle w:val="CETBodytext"/>
              <w:spacing w:line="360" w:lineRule="auto"/>
              <w:jc w:val="left"/>
              <w:rPr>
                <w:rFonts w:ascii="Times New Roman" w:hAnsi="Times New Roman"/>
                <w:sz w:val="22"/>
                <w:szCs w:val="22"/>
                <w:lang w:val="en-GB"/>
              </w:rPr>
            </w:pPr>
            <m:oMathPara>
              <m:oMathParaPr>
                <m:jc m:val="left"/>
              </m:oMathParaPr>
              <m:oMath>
                <m:r>
                  <w:rPr>
                    <w:rFonts w:ascii="Cambria Math" w:eastAsiaTheme="minorHAnsi" w:hAnsi="Cambria Math"/>
                    <w:sz w:val="20"/>
                    <w:szCs w:val="22"/>
                    <w:lang w:val="en-GB"/>
                  </w:rPr>
                  <m:t>D=</m:t>
                </m:r>
                <m:d>
                  <m:dPr>
                    <m:begChr m:val="["/>
                    <m:endChr m:val="]"/>
                    <m:ctrlPr>
                      <w:rPr>
                        <w:rFonts w:ascii="Cambria Math" w:eastAsiaTheme="minorHAnsi" w:hAnsi="Cambria Math"/>
                        <w:i/>
                        <w:sz w:val="20"/>
                        <w:szCs w:val="22"/>
                        <w:lang w:val="en-GB"/>
                      </w:rPr>
                    </m:ctrlPr>
                  </m:dPr>
                  <m:e>
                    <m:sSub>
                      <m:sSubPr>
                        <m:ctrlPr>
                          <w:rPr>
                            <w:rFonts w:ascii="Cambria Math" w:eastAsiaTheme="minorHAnsi" w:hAnsi="Cambria Math"/>
                            <w:i/>
                            <w:sz w:val="20"/>
                            <w:szCs w:val="22"/>
                            <w:lang w:val="en-GB"/>
                          </w:rPr>
                        </m:ctrlPr>
                      </m:sSubPr>
                      <m:e>
                        <m:r>
                          <w:rPr>
                            <w:rFonts w:ascii="Cambria Math" w:eastAsiaTheme="minorHAnsi" w:hAnsi="Cambria Math"/>
                            <w:sz w:val="20"/>
                            <w:szCs w:val="22"/>
                            <w:lang w:val="en-GB"/>
                          </w:rPr>
                          <m:t>A</m:t>
                        </m:r>
                      </m:e>
                      <m:sub>
                        <m:r>
                          <w:rPr>
                            <w:rFonts w:ascii="Cambria Math" w:eastAsiaTheme="minorHAnsi" w:hAnsi="Cambria Math"/>
                            <w:sz w:val="20"/>
                            <w:szCs w:val="22"/>
                            <w:lang w:val="en-GB"/>
                          </w:rPr>
                          <m:t>2</m:t>
                        </m:r>
                      </m:sub>
                    </m:sSub>
                    <m:r>
                      <w:rPr>
                        <w:rFonts w:ascii="Cambria Math" w:eastAsiaTheme="minorHAnsi" w:hAnsi="Cambria Math"/>
                        <w:sz w:val="20"/>
                        <w:szCs w:val="22"/>
                        <w:lang w:val="en-GB"/>
                      </w:rPr>
                      <m:t>+</m:t>
                    </m:r>
                    <m:f>
                      <m:fPr>
                        <m:ctrlPr>
                          <w:rPr>
                            <w:rFonts w:ascii="Cambria Math" w:eastAsiaTheme="minorHAnsi" w:hAnsi="Cambria Math"/>
                            <w:i/>
                            <w:sz w:val="20"/>
                            <w:szCs w:val="22"/>
                            <w:lang w:val="en-GB"/>
                          </w:rPr>
                        </m:ctrlPr>
                      </m:fPr>
                      <m:num>
                        <m:sSub>
                          <m:sSubPr>
                            <m:ctrlPr>
                              <w:rPr>
                                <w:rFonts w:ascii="Cambria Math" w:eastAsiaTheme="minorHAnsi" w:hAnsi="Cambria Math"/>
                                <w:i/>
                                <w:sz w:val="20"/>
                                <w:szCs w:val="22"/>
                                <w:lang w:val="en-GB"/>
                              </w:rPr>
                            </m:ctrlPr>
                          </m:sSubPr>
                          <m:e>
                            <m:r>
                              <w:rPr>
                                <w:rFonts w:ascii="Cambria Math" w:eastAsiaTheme="minorHAnsi" w:hAnsi="Cambria Math"/>
                                <w:sz w:val="20"/>
                                <w:szCs w:val="22"/>
                                <w:lang w:val="en-GB"/>
                              </w:rPr>
                              <m:t>A</m:t>
                            </m:r>
                          </m:e>
                          <m:sub>
                            <m:r>
                              <w:rPr>
                                <w:rFonts w:ascii="Cambria Math" w:eastAsiaTheme="minorHAnsi" w:hAnsi="Cambria Math"/>
                                <w:sz w:val="20"/>
                                <w:szCs w:val="22"/>
                                <w:lang w:val="en-GB"/>
                              </w:rPr>
                              <m:t>1</m:t>
                            </m:r>
                          </m:sub>
                        </m:sSub>
                        <m:r>
                          <w:rPr>
                            <w:rFonts w:ascii="Cambria Math" w:eastAsiaTheme="minorHAnsi" w:hAnsi="Cambria Math"/>
                            <w:sz w:val="20"/>
                            <w:szCs w:val="22"/>
                            <w:lang w:val="en-GB"/>
                          </w:rPr>
                          <m:t>-</m:t>
                        </m:r>
                        <m:sSub>
                          <m:sSubPr>
                            <m:ctrlPr>
                              <w:rPr>
                                <w:rFonts w:ascii="Cambria Math" w:eastAsiaTheme="minorHAnsi" w:hAnsi="Cambria Math"/>
                                <w:i/>
                                <w:sz w:val="20"/>
                                <w:szCs w:val="22"/>
                                <w:lang w:val="en-GB"/>
                              </w:rPr>
                            </m:ctrlPr>
                          </m:sSubPr>
                          <m:e>
                            <m:r>
                              <w:rPr>
                                <w:rFonts w:ascii="Cambria Math" w:eastAsiaTheme="minorHAnsi" w:hAnsi="Cambria Math"/>
                                <w:sz w:val="20"/>
                                <w:szCs w:val="22"/>
                                <w:lang w:val="en-GB"/>
                              </w:rPr>
                              <m:t>A</m:t>
                            </m:r>
                          </m:e>
                          <m:sub>
                            <m:r>
                              <w:rPr>
                                <w:rFonts w:ascii="Cambria Math" w:eastAsiaTheme="minorHAnsi" w:hAnsi="Cambria Math"/>
                                <w:sz w:val="20"/>
                                <w:szCs w:val="22"/>
                                <w:lang w:val="en-GB"/>
                              </w:rPr>
                              <m:t>2</m:t>
                            </m:r>
                          </m:sub>
                        </m:sSub>
                      </m:num>
                      <m:den>
                        <m:r>
                          <w:rPr>
                            <w:rFonts w:ascii="Cambria Math" w:eastAsiaTheme="minorHAnsi" w:hAnsi="Cambria Math"/>
                            <w:sz w:val="20"/>
                            <w:szCs w:val="22"/>
                            <w:lang w:val="en-GB"/>
                          </w:rPr>
                          <m:t>1+</m:t>
                        </m:r>
                        <m:sSup>
                          <m:sSupPr>
                            <m:ctrlPr>
                              <w:rPr>
                                <w:rFonts w:ascii="Cambria Math" w:eastAsiaTheme="minorHAnsi" w:hAnsi="Cambria Math"/>
                                <w:i/>
                                <w:sz w:val="20"/>
                                <w:szCs w:val="22"/>
                                <w:lang w:val="en-GB"/>
                              </w:rPr>
                            </m:ctrlPr>
                          </m:sSupPr>
                          <m:e>
                            <m:d>
                              <m:dPr>
                                <m:ctrlPr>
                                  <w:rPr>
                                    <w:rFonts w:ascii="Cambria Math" w:eastAsiaTheme="minorHAnsi" w:hAnsi="Cambria Math"/>
                                    <w:i/>
                                    <w:sz w:val="20"/>
                                    <w:szCs w:val="22"/>
                                    <w:lang w:val="en-GB"/>
                                  </w:rPr>
                                </m:ctrlPr>
                              </m:dPr>
                              <m:e>
                                <m:f>
                                  <m:fPr>
                                    <m:ctrlPr>
                                      <w:rPr>
                                        <w:rFonts w:ascii="Cambria Math" w:eastAsiaTheme="minorHAnsi" w:hAnsi="Cambria Math"/>
                                        <w:i/>
                                        <w:sz w:val="20"/>
                                        <w:szCs w:val="22"/>
                                        <w:lang w:val="en-GB"/>
                                      </w:rPr>
                                    </m:ctrlPr>
                                  </m:fPr>
                                  <m:num>
                                    <m:f>
                                      <m:fPr>
                                        <m:type m:val="skw"/>
                                        <m:ctrlPr>
                                          <w:rPr>
                                            <w:rFonts w:ascii="Cambria Math" w:eastAsiaTheme="minorHAnsi" w:hAnsi="Cambria Math"/>
                                            <w:i/>
                                            <w:sz w:val="20"/>
                                            <w:szCs w:val="22"/>
                                            <w:lang w:val="en-GB"/>
                                          </w:rPr>
                                        </m:ctrlPr>
                                      </m:fPr>
                                      <m:num>
                                        <m:r>
                                          <w:rPr>
                                            <w:rFonts w:ascii="Cambria Math" w:eastAsiaTheme="minorHAnsi" w:hAnsi="Cambria Math"/>
                                            <w:sz w:val="20"/>
                                            <w:szCs w:val="22"/>
                                            <w:lang w:val="en-GB"/>
                                          </w:rPr>
                                          <m:t>GDP</m:t>
                                        </m:r>
                                      </m:num>
                                      <m:den>
                                        <m:r>
                                          <w:rPr>
                                            <w:rFonts w:ascii="Cambria Math" w:eastAsiaTheme="minorHAnsi" w:hAnsi="Cambria Math"/>
                                            <w:sz w:val="20"/>
                                            <w:szCs w:val="22"/>
                                            <w:lang w:val="en-GB"/>
                                          </w:rPr>
                                          <m:t>population</m:t>
                                        </m:r>
                                      </m:den>
                                    </m:f>
                                  </m:num>
                                  <m:den>
                                    <m:sSub>
                                      <m:sSubPr>
                                        <m:ctrlPr>
                                          <w:rPr>
                                            <w:rFonts w:ascii="Cambria Math" w:eastAsiaTheme="minorHAnsi" w:hAnsi="Cambria Math"/>
                                            <w:i/>
                                            <w:sz w:val="20"/>
                                            <w:szCs w:val="22"/>
                                            <w:lang w:val="en-GB"/>
                                          </w:rPr>
                                        </m:ctrlPr>
                                      </m:sSubPr>
                                      <m:e>
                                        <m:r>
                                          <w:rPr>
                                            <w:rFonts w:ascii="Cambria Math" w:eastAsiaTheme="minorHAnsi" w:hAnsi="Cambria Math"/>
                                            <w:sz w:val="20"/>
                                            <w:szCs w:val="22"/>
                                            <w:lang w:val="en-GB"/>
                                          </w:rPr>
                                          <m:t>x</m:t>
                                        </m:r>
                                      </m:e>
                                      <m:sub>
                                        <m:r>
                                          <w:rPr>
                                            <w:rFonts w:ascii="Cambria Math" w:eastAsiaTheme="minorHAnsi" w:hAnsi="Cambria Math"/>
                                            <w:sz w:val="20"/>
                                            <w:szCs w:val="22"/>
                                            <w:lang w:val="en-GB"/>
                                          </w:rPr>
                                          <m:t>0</m:t>
                                        </m:r>
                                      </m:sub>
                                    </m:sSub>
                                  </m:den>
                                </m:f>
                              </m:e>
                            </m:d>
                          </m:e>
                          <m:sup>
                            <m:r>
                              <w:rPr>
                                <w:rFonts w:ascii="Cambria Math" w:eastAsiaTheme="minorHAnsi" w:hAnsi="Cambria Math"/>
                                <w:sz w:val="20"/>
                                <w:szCs w:val="22"/>
                                <w:lang w:val="en-GB"/>
                              </w:rPr>
                              <m:t>L</m:t>
                            </m:r>
                          </m:sup>
                        </m:sSup>
                      </m:den>
                    </m:f>
                  </m:e>
                </m:d>
                <m:r>
                  <w:rPr>
                    <w:rFonts w:ascii="Cambria Math" w:eastAsiaTheme="minorHAnsi" w:hAnsi="Cambria Math"/>
                    <w:sz w:val="20"/>
                    <w:szCs w:val="22"/>
                    <w:lang w:val="en-GB"/>
                  </w:rPr>
                  <m:t>*population</m:t>
                </m:r>
              </m:oMath>
            </m:oMathPara>
          </w:p>
        </w:tc>
        <w:tc>
          <w:tcPr>
            <w:tcW w:w="4097" w:type="dxa"/>
            <w:vAlign w:val="center"/>
          </w:tcPr>
          <w:p w14:paraId="7ED26A44" w14:textId="77777777" w:rsidR="002137F1" w:rsidRPr="00590BB6" w:rsidRDefault="002137F1" w:rsidP="00B94B4A">
            <w:pPr>
              <w:pStyle w:val="CETBodytext"/>
              <w:spacing w:after="120" w:line="360" w:lineRule="auto"/>
              <w:jc w:val="right"/>
              <w:rPr>
                <w:rFonts w:ascii="Times New Roman" w:hAnsi="Times New Roman"/>
                <w:sz w:val="22"/>
                <w:szCs w:val="22"/>
                <w:lang w:val="en-GB"/>
              </w:rPr>
            </w:pPr>
            <w:r w:rsidRPr="00590BB6">
              <w:rPr>
                <w:rFonts w:ascii="Times New Roman" w:hAnsi="Times New Roman"/>
                <w:sz w:val="22"/>
                <w:szCs w:val="22"/>
                <w:lang w:val="en-GB"/>
              </w:rPr>
              <w:t>Eq. 2</w:t>
            </w:r>
          </w:p>
        </w:tc>
      </w:tr>
    </w:tbl>
    <w:p w14:paraId="63E5CF07" w14:textId="77777777" w:rsidR="002137F1" w:rsidRPr="00590BB6" w:rsidRDefault="002137F1" w:rsidP="002137F1">
      <w:pPr>
        <w:spacing w:after="0" w:line="360" w:lineRule="auto"/>
        <w:jc w:val="both"/>
        <w:rPr>
          <w:rFonts w:cs="Times New Roman"/>
        </w:rPr>
      </w:pPr>
    </w:p>
    <w:p w14:paraId="02443197" w14:textId="595E8F19" w:rsidR="002137F1" w:rsidRPr="00590BB6" w:rsidRDefault="002137F1" w:rsidP="002137F1">
      <w:pPr>
        <w:spacing w:line="360" w:lineRule="auto"/>
        <w:jc w:val="both"/>
        <w:rPr>
          <w:rFonts w:cs="Times New Roman"/>
        </w:rPr>
      </w:pPr>
      <w:r w:rsidRPr="00590BB6">
        <w:rPr>
          <w:rFonts w:cs="Times New Roman"/>
        </w:rPr>
        <w:t>Where D represents the demand for delivered goods by trucks</w:t>
      </w:r>
      <w:r w:rsidR="008B67A9" w:rsidRPr="00590BB6">
        <w:rPr>
          <w:rFonts w:cs="Times New Roman"/>
        </w:rPr>
        <w:t>. The regression of the Sigmoid function on the</w:t>
      </w:r>
      <w:r w:rsidR="00411036">
        <w:rPr>
          <w:rFonts w:cs="Times New Roman"/>
        </w:rPr>
        <w:t xml:space="preserve"> </w:t>
      </w:r>
      <w:r w:rsidR="008B67A9" w:rsidRPr="00590BB6">
        <w:rPr>
          <w:rFonts w:cs="Times New Roman"/>
        </w:rPr>
        <w:t>data allowed to obtain four</w:t>
      </w:r>
      <w:r w:rsidRPr="00590BB6">
        <w:rPr>
          <w:rFonts w:cs="Times New Roman"/>
        </w:rPr>
        <w:t xml:space="preserve"> parameters A</w:t>
      </w:r>
      <w:r w:rsidRPr="00590BB6">
        <w:rPr>
          <w:rFonts w:cs="Times New Roman"/>
          <w:vertAlign w:val="subscript"/>
        </w:rPr>
        <w:t>1</w:t>
      </w:r>
      <w:r w:rsidRPr="00590BB6">
        <w:rPr>
          <w:rFonts w:cs="Times New Roman"/>
        </w:rPr>
        <w:t>, A</w:t>
      </w:r>
      <w:r w:rsidRPr="00590BB6">
        <w:rPr>
          <w:rFonts w:cs="Times New Roman"/>
          <w:vertAlign w:val="subscript"/>
        </w:rPr>
        <w:t>2</w:t>
      </w:r>
      <w:r w:rsidRPr="00590BB6">
        <w:rPr>
          <w:rFonts w:cs="Times New Roman"/>
        </w:rPr>
        <w:t>, X</w:t>
      </w:r>
      <w:r w:rsidRPr="00590BB6">
        <w:rPr>
          <w:rFonts w:cs="Times New Roman"/>
          <w:vertAlign w:val="subscript"/>
        </w:rPr>
        <w:t>0</w:t>
      </w:r>
      <w:r w:rsidRPr="00590BB6">
        <w:rPr>
          <w:rFonts w:cs="Times New Roman"/>
        </w:rPr>
        <w:t>, and L for the different weight categories</w:t>
      </w:r>
      <w:r w:rsidR="008B67A9" w:rsidRPr="00590BB6">
        <w:rPr>
          <w:rFonts w:cs="Times New Roman"/>
        </w:rPr>
        <w:t>, as</w:t>
      </w:r>
      <w:r w:rsidRPr="00590BB6">
        <w:rPr>
          <w:rFonts w:cs="Times New Roman"/>
        </w:rPr>
        <w:t xml:space="preserve"> shown in </w:t>
      </w:r>
      <w:r w:rsidRPr="00590BB6">
        <w:rPr>
          <w:rFonts w:cs="Times New Roman"/>
        </w:rPr>
        <w:fldChar w:fldCharType="begin"/>
      </w:r>
      <w:r w:rsidRPr="00590BB6">
        <w:rPr>
          <w:rFonts w:cs="Times New Roman"/>
        </w:rPr>
        <w:instrText xml:space="preserve"> REF _Ref102493813 \h </w:instrText>
      </w:r>
      <w:r w:rsidR="008B67A9" w:rsidRPr="00590BB6">
        <w:rPr>
          <w:rFonts w:cs="Times New Roman"/>
        </w:rPr>
        <w:instrText xml:space="preserve"> \* MERGEFORMAT </w:instrText>
      </w:r>
      <w:r w:rsidRPr="00590BB6">
        <w:rPr>
          <w:rFonts w:cs="Times New Roman"/>
        </w:rPr>
      </w:r>
      <w:r w:rsidRPr="00590BB6">
        <w:rPr>
          <w:rFonts w:cs="Times New Roman"/>
        </w:rPr>
        <w:fldChar w:fldCharType="separate"/>
      </w:r>
      <w:r w:rsidRPr="00590BB6">
        <w:t xml:space="preserve">Table </w:t>
      </w:r>
      <w:r w:rsidRPr="00590BB6">
        <w:rPr>
          <w:noProof/>
        </w:rPr>
        <w:t>1</w:t>
      </w:r>
      <w:r w:rsidRPr="00590BB6">
        <w:rPr>
          <w:rFonts w:cs="Times New Roman"/>
        </w:rPr>
        <w:fldChar w:fldCharType="end"/>
      </w:r>
      <w:r w:rsidRPr="00590BB6">
        <w:rPr>
          <w:rFonts w:cs="Times New Roman"/>
        </w:rPr>
        <w:t>.</w:t>
      </w:r>
    </w:p>
    <w:p w14:paraId="0D2F0C81" w14:textId="77777777" w:rsidR="002137F1" w:rsidRPr="00590BB6" w:rsidRDefault="002137F1" w:rsidP="002137F1">
      <w:pPr>
        <w:pStyle w:val="Caption"/>
      </w:pPr>
      <w:r w:rsidRPr="00590BB6">
        <w:t>Table 1. Logistic regression parameters (A</w:t>
      </w:r>
      <w:r w:rsidRPr="00590BB6">
        <w:rPr>
          <w:vertAlign w:val="subscript"/>
        </w:rPr>
        <w:t>1</w:t>
      </w:r>
      <w:r w:rsidRPr="00590BB6">
        <w:t>, A</w:t>
      </w:r>
      <w:r w:rsidRPr="00590BB6">
        <w:rPr>
          <w:vertAlign w:val="subscript"/>
        </w:rPr>
        <w:t>2</w:t>
      </w:r>
      <w:r w:rsidRPr="00590BB6">
        <w:t>, X</w:t>
      </w:r>
      <w:r w:rsidRPr="00590BB6">
        <w:rPr>
          <w:vertAlign w:val="subscript"/>
        </w:rPr>
        <w:t>0</w:t>
      </w:r>
      <w:r w:rsidRPr="00590BB6">
        <w:t>, and L) for each weight category of trucks.</w:t>
      </w:r>
    </w:p>
    <w:tbl>
      <w:tblPr>
        <w:tblW w:w="9520" w:type="dxa"/>
        <w:tblLayout w:type="fixed"/>
        <w:tblLook w:val="04A0" w:firstRow="1" w:lastRow="0" w:firstColumn="1" w:lastColumn="0" w:noHBand="0" w:noVBand="1"/>
      </w:tblPr>
      <w:tblGrid>
        <w:gridCol w:w="1904"/>
        <w:gridCol w:w="1904"/>
        <w:gridCol w:w="1904"/>
        <w:gridCol w:w="1904"/>
        <w:gridCol w:w="1904"/>
      </w:tblGrid>
      <w:tr w:rsidR="002137F1" w:rsidRPr="00590BB6" w14:paraId="45F43BE4" w14:textId="77777777" w:rsidTr="00B94B4A">
        <w:trPr>
          <w:trHeight w:val="61"/>
        </w:trPr>
        <w:tc>
          <w:tcPr>
            <w:tcW w:w="1904" w:type="dxa"/>
            <w:tcBorders>
              <w:top w:val="single" w:sz="4" w:space="0" w:color="auto"/>
              <w:bottom w:val="single" w:sz="6" w:space="0" w:color="auto"/>
            </w:tcBorders>
            <w:shd w:val="clear" w:color="auto" w:fill="auto"/>
            <w:vAlign w:val="center"/>
          </w:tcPr>
          <w:p w14:paraId="60FF6F81" w14:textId="77777777" w:rsidR="002137F1" w:rsidRPr="00590BB6" w:rsidRDefault="002137F1" w:rsidP="00B94B4A">
            <w:pPr>
              <w:pStyle w:val="PreformattedText"/>
              <w:spacing w:line="360" w:lineRule="auto"/>
              <w:contextualSpacing/>
              <w:jc w:val="center"/>
              <w:rPr>
                <w:rFonts w:ascii="Times New Roman" w:hAnsi="Times New Roman" w:cs="Times New Roman"/>
                <w:b/>
                <w:bCs/>
                <w:color w:val="000000"/>
                <w:szCs w:val="22"/>
                <w:lang w:val="en-GB"/>
              </w:rPr>
            </w:pPr>
            <w:r w:rsidRPr="00590BB6">
              <w:rPr>
                <w:rFonts w:ascii="Times New Roman" w:hAnsi="Times New Roman" w:cs="Times New Roman"/>
                <w:b/>
                <w:bCs/>
                <w:color w:val="000000" w:themeColor="text1"/>
                <w:szCs w:val="22"/>
                <w:lang w:val="en-GB"/>
              </w:rPr>
              <w:t>Weight categories</w:t>
            </w:r>
          </w:p>
        </w:tc>
        <w:tc>
          <w:tcPr>
            <w:tcW w:w="1904" w:type="dxa"/>
            <w:tcBorders>
              <w:top w:val="single" w:sz="4" w:space="0" w:color="auto"/>
              <w:bottom w:val="single" w:sz="6" w:space="0" w:color="auto"/>
            </w:tcBorders>
          </w:tcPr>
          <w:p w14:paraId="42659300" w14:textId="77777777" w:rsidR="002137F1" w:rsidRPr="00590BB6" w:rsidRDefault="002137F1" w:rsidP="00B94B4A">
            <w:pPr>
              <w:pStyle w:val="PreformattedText"/>
              <w:spacing w:line="360" w:lineRule="auto"/>
              <w:contextualSpacing/>
              <w:jc w:val="center"/>
              <w:rPr>
                <w:rFonts w:ascii="Times New Roman" w:hAnsi="Times New Roman" w:cs="Times New Roman"/>
                <w:b/>
                <w:bCs/>
                <w:color w:val="000000"/>
                <w:szCs w:val="22"/>
                <w:lang w:val="en-GB"/>
              </w:rPr>
            </w:pPr>
            <w:r w:rsidRPr="00590BB6">
              <w:rPr>
                <w:rFonts w:ascii="Times New Roman" w:hAnsi="Times New Roman" w:cs="Times New Roman"/>
                <w:b/>
                <w:bCs/>
                <w:szCs w:val="22"/>
                <w:lang w:val="en-GB"/>
              </w:rPr>
              <w:t>A</w:t>
            </w:r>
            <w:r w:rsidRPr="00590BB6">
              <w:rPr>
                <w:rFonts w:ascii="Times New Roman" w:hAnsi="Times New Roman" w:cs="Times New Roman"/>
                <w:b/>
                <w:bCs/>
                <w:szCs w:val="22"/>
                <w:vertAlign w:val="subscript"/>
                <w:lang w:val="en-GB"/>
              </w:rPr>
              <w:t>1</w:t>
            </w:r>
          </w:p>
        </w:tc>
        <w:tc>
          <w:tcPr>
            <w:tcW w:w="1904" w:type="dxa"/>
            <w:tcBorders>
              <w:top w:val="single" w:sz="4" w:space="0" w:color="auto"/>
              <w:bottom w:val="single" w:sz="6" w:space="0" w:color="auto"/>
            </w:tcBorders>
          </w:tcPr>
          <w:p w14:paraId="4DC54E2D" w14:textId="77777777" w:rsidR="002137F1" w:rsidRPr="00590BB6" w:rsidRDefault="002137F1" w:rsidP="00B94B4A">
            <w:pPr>
              <w:pStyle w:val="PreformattedText"/>
              <w:spacing w:line="360" w:lineRule="auto"/>
              <w:contextualSpacing/>
              <w:jc w:val="center"/>
              <w:rPr>
                <w:rFonts w:ascii="Times New Roman" w:hAnsi="Times New Roman" w:cs="Times New Roman"/>
                <w:b/>
                <w:bCs/>
                <w:color w:val="000000"/>
                <w:szCs w:val="22"/>
                <w:lang w:val="en-GB"/>
              </w:rPr>
            </w:pPr>
            <w:r w:rsidRPr="00590BB6">
              <w:rPr>
                <w:rFonts w:ascii="Times New Roman" w:hAnsi="Times New Roman" w:cs="Times New Roman"/>
                <w:b/>
                <w:bCs/>
                <w:szCs w:val="22"/>
                <w:lang w:val="en-GB"/>
              </w:rPr>
              <w:t>A</w:t>
            </w:r>
            <w:r w:rsidRPr="00590BB6">
              <w:rPr>
                <w:rFonts w:ascii="Times New Roman" w:hAnsi="Times New Roman" w:cs="Times New Roman"/>
                <w:b/>
                <w:bCs/>
                <w:szCs w:val="22"/>
                <w:vertAlign w:val="subscript"/>
                <w:lang w:val="en-GB"/>
              </w:rPr>
              <w:t>2</w:t>
            </w:r>
          </w:p>
        </w:tc>
        <w:tc>
          <w:tcPr>
            <w:tcW w:w="1904" w:type="dxa"/>
            <w:tcBorders>
              <w:top w:val="single" w:sz="4" w:space="0" w:color="auto"/>
              <w:bottom w:val="single" w:sz="6" w:space="0" w:color="auto"/>
            </w:tcBorders>
          </w:tcPr>
          <w:p w14:paraId="2554F2C2" w14:textId="77777777" w:rsidR="002137F1" w:rsidRPr="00590BB6" w:rsidRDefault="002137F1" w:rsidP="00B94B4A">
            <w:pPr>
              <w:pStyle w:val="PreformattedText"/>
              <w:spacing w:line="360" w:lineRule="auto"/>
              <w:contextualSpacing/>
              <w:jc w:val="center"/>
              <w:rPr>
                <w:rFonts w:ascii="Times New Roman" w:hAnsi="Times New Roman" w:cs="Times New Roman"/>
                <w:b/>
                <w:bCs/>
                <w:szCs w:val="22"/>
                <w:lang w:val="en-GB"/>
              </w:rPr>
            </w:pPr>
            <w:r w:rsidRPr="00590BB6">
              <w:rPr>
                <w:rFonts w:ascii="Times New Roman" w:hAnsi="Times New Roman" w:cs="Times New Roman"/>
                <w:b/>
                <w:bCs/>
                <w:szCs w:val="22"/>
                <w:lang w:val="en-GB"/>
              </w:rPr>
              <w:t>X</w:t>
            </w:r>
            <w:r w:rsidRPr="00590BB6">
              <w:rPr>
                <w:rFonts w:ascii="Times New Roman" w:hAnsi="Times New Roman" w:cs="Times New Roman"/>
                <w:b/>
                <w:bCs/>
                <w:szCs w:val="22"/>
                <w:vertAlign w:val="subscript"/>
                <w:lang w:val="en-GB"/>
              </w:rPr>
              <w:t>0</w:t>
            </w:r>
          </w:p>
        </w:tc>
        <w:tc>
          <w:tcPr>
            <w:tcW w:w="1904" w:type="dxa"/>
            <w:tcBorders>
              <w:top w:val="single" w:sz="4" w:space="0" w:color="auto"/>
              <w:bottom w:val="single" w:sz="6" w:space="0" w:color="auto"/>
            </w:tcBorders>
          </w:tcPr>
          <w:p w14:paraId="46F1D138" w14:textId="77777777" w:rsidR="002137F1" w:rsidRPr="00590BB6" w:rsidRDefault="002137F1" w:rsidP="00B94B4A">
            <w:pPr>
              <w:pStyle w:val="PreformattedText"/>
              <w:spacing w:line="360" w:lineRule="auto"/>
              <w:contextualSpacing/>
              <w:jc w:val="center"/>
              <w:rPr>
                <w:rFonts w:ascii="Times New Roman" w:hAnsi="Times New Roman" w:cs="Times New Roman"/>
                <w:b/>
                <w:bCs/>
                <w:szCs w:val="22"/>
                <w:lang w:val="en-GB"/>
              </w:rPr>
            </w:pPr>
            <w:r w:rsidRPr="00590BB6">
              <w:rPr>
                <w:rFonts w:ascii="Times New Roman" w:hAnsi="Times New Roman" w:cs="Times New Roman"/>
                <w:b/>
                <w:bCs/>
                <w:szCs w:val="22"/>
                <w:lang w:val="en-GB"/>
              </w:rPr>
              <w:t>L</w:t>
            </w:r>
          </w:p>
        </w:tc>
      </w:tr>
      <w:tr w:rsidR="002137F1" w:rsidRPr="00590BB6" w14:paraId="7E3FD247" w14:textId="77777777" w:rsidTr="00B94B4A">
        <w:trPr>
          <w:trHeight w:val="131"/>
        </w:trPr>
        <w:tc>
          <w:tcPr>
            <w:tcW w:w="1904" w:type="dxa"/>
            <w:tcBorders>
              <w:top w:val="single" w:sz="6" w:space="0" w:color="auto"/>
            </w:tcBorders>
            <w:shd w:val="clear" w:color="auto" w:fill="auto"/>
            <w:vAlign w:val="center"/>
          </w:tcPr>
          <w:p w14:paraId="45AA7EE8" w14:textId="77777777" w:rsidR="002137F1" w:rsidRPr="00590BB6" w:rsidRDefault="002137F1" w:rsidP="00B94B4A">
            <w:pPr>
              <w:pStyle w:val="PreformattedText"/>
              <w:spacing w:line="360" w:lineRule="auto"/>
              <w:contextualSpacing/>
              <w:jc w:val="center"/>
              <w:rPr>
                <w:rFonts w:ascii="Times New Roman" w:hAnsi="Times New Roman" w:cs="Times New Roman"/>
                <w:color w:val="000000"/>
                <w:szCs w:val="22"/>
                <w:lang w:val="en-GB"/>
              </w:rPr>
            </w:pPr>
            <w:r w:rsidRPr="00590BB6">
              <w:rPr>
                <w:rFonts w:ascii="Times New Roman" w:hAnsi="Times New Roman" w:cs="Times New Roman"/>
                <w:color w:val="000000" w:themeColor="text1"/>
                <w:szCs w:val="22"/>
                <w:lang w:val="en-GB"/>
              </w:rPr>
              <w:t>Light</w:t>
            </w:r>
          </w:p>
        </w:tc>
        <w:tc>
          <w:tcPr>
            <w:tcW w:w="1904" w:type="dxa"/>
            <w:tcBorders>
              <w:top w:val="single" w:sz="6" w:space="0" w:color="auto"/>
            </w:tcBorders>
          </w:tcPr>
          <w:p w14:paraId="38D36565" w14:textId="77777777" w:rsidR="002137F1" w:rsidRPr="00590BB6" w:rsidRDefault="002137F1" w:rsidP="00B94B4A">
            <w:pPr>
              <w:pStyle w:val="PreformattedText"/>
              <w:spacing w:line="360" w:lineRule="auto"/>
              <w:contextualSpacing/>
              <w:jc w:val="center"/>
              <w:rPr>
                <w:rFonts w:ascii="Times New Roman" w:hAnsi="Times New Roman" w:cs="Times New Roman"/>
                <w:color w:val="000000"/>
                <w:szCs w:val="22"/>
                <w:lang w:val="en-GB"/>
              </w:rPr>
            </w:pPr>
            <w:r w:rsidRPr="00590BB6">
              <w:rPr>
                <w:rFonts w:ascii="Times New Roman" w:hAnsi="Times New Roman" w:cs="Times New Roman"/>
                <w:color w:val="000000" w:themeColor="text1"/>
                <w:szCs w:val="22"/>
                <w:lang w:val="en-GB"/>
              </w:rPr>
              <w:t>427.5</w:t>
            </w:r>
          </w:p>
        </w:tc>
        <w:tc>
          <w:tcPr>
            <w:tcW w:w="1904" w:type="dxa"/>
            <w:tcBorders>
              <w:top w:val="single" w:sz="6" w:space="0" w:color="auto"/>
            </w:tcBorders>
          </w:tcPr>
          <w:p w14:paraId="20E5A8BD" w14:textId="77777777" w:rsidR="002137F1" w:rsidRPr="00590BB6" w:rsidRDefault="002137F1" w:rsidP="00B94B4A">
            <w:pPr>
              <w:pStyle w:val="PreformattedText"/>
              <w:spacing w:line="360" w:lineRule="auto"/>
              <w:contextualSpacing/>
              <w:jc w:val="center"/>
              <w:rPr>
                <w:rFonts w:ascii="Times New Roman" w:hAnsi="Times New Roman" w:cs="Times New Roman"/>
                <w:color w:val="000000"/>
                <w:szCs w:val="22"/>
                <w:lang w:val="en-GB"/>
              </w:rPr>
            </w:pPr>
            <w:r w:rsidRPr="00590BB6">
              <w:rPr>
                <w:rFonts w:ascii="Times New Roman" w:hAnsi="Times New Roman" w:cs="Times New Roman"/>
                <w:color w:val="000000" w:themeColor="text1"/>
                <w:szCs w:val="22"/>
                <w:lang w:val="en-GB"/>
              </w:rPr>
              <w:t>599.0</w:t>
            </w:r>
          </w:p>
        </w:tc>
        <w:tc>
          <w:tcPr>
            <w:tcW w:w="1904" w:type="dxa"/>
            <w:vMerge w:val="restart"/>
            <w:tcBorders>
              <w:top w:val="single" w:sz="6" w:space="0" w:color="auto"/>
              <w:bottom w:val="single" w:sz="4" w:space="0" w:color="auto"/>
            </w:tcBorders>
            <w:vAlign w:val="center"/>
          </w:tcPr>
          <w:p w14:paraId="2587145B" w14:textId="77777777" w:rsidR="002137F1" w:rsidRPr="00590BB6" w:rsidRDefault="002137F1" w:rsidP="00B94B4A">
            <w:pPr>
              <w:pStyle w:val="PreformattedText"/>
              <w:spacing w:line="360" w:lineRule="auto"/>
              <w:contextualSpacing/>
              <w:jc w:val="center"/>
              <w:rPr>
                <w:rFonts w:ascii="Times New Roman" w:hAnsi="Times New Roman" w:cs="Times New Roman"/>
                <w:color w:val="000000"/>
                <w:szCs w:val="22"/>
                <w:lang w:val="en-GB"/>
              </w:rPr>
            </w:pPr>
            <w:r w:rsidRPr="00590BB6">
              <w:rPr>
                <w:rFonts w:ascii="Times New Roman" w:hAnsi="Times New Roman" w:cs="Times New Roman"/>
                <w:color w:val="000000" w:themeColor="text1"/>
                <w:szCs w:val="22"/>
                <w:lang w:val="en-GB"/>
              </w:rPr>
              <w:t>31638.7</w:t>
            </w:r>
          </w:p>
        </w:tc>
        <w:tc>
          <w:tcPr>
            <w:tcW w:w="1904" w:type="dxa"/>
            <w:vMerge w:val="restart"/>
            <w:tcBorders>
              <w:top w:val="single" w:sz="6" w:space="0" w:color="auto"/>
              <w:bottom w:val="single" w:sz="4" w:space="0" w:color="auto"/>
            </w:tcBorders>
            <w:vAlign w:val="center"/>
          </w:tcPr>
          <w:p w14:paraId="4A24BBA7" w14:textId="77777777" w:rsidR="002137F1" w:rsidRPr="00590BB6" w:rsidRDefault="002137F1" w:rsidP="00B94B4A">
            <w:pPr>
              <w:pStyle w:val="PreformattedText"/>
              <w:spacing w:line="360" w:lineRule="auto"/>
              <w:contextualSpacing/>
              <w:jc w:val="center"/>
              <w:rPr>
                <w:rFonts w:ascii="Times New Roman" w:hAnsi="Times New Roman" w:cs="Times New Roman"/>
                <w:color w:val="000000"/>
                <w:szCs w:val="22"/>
                <w:lang w:val="en-GB"/>
              </w:rPr>
            </w:pPr>
            <w:r w:rsidRPr="00590BB6">
              <w:rPr>
                <w:rFonts w:ascii="Times New Roman" w:hAnsi="Times New Roman" w:cs="Times New Roman"/>
                <w:color w:val="000000" w:themeColor="text1"/>
                <w:szCs w:val="22"/>
                <w:lang w:val="en-GB"/>
              </w:rPr>
              <w:t>37.9</w:t>
            </w:r>
          </w:p>
        </w:tc>
      </w:tr>
      <w:tr w:rsidR="002137F1" w:rsidRPr="00590BB6" w14:paraId="131ED93B" w14:textId="77777777" w:rsidTr="00B94B4A">
        <w:trPr>
          <w:trHeight w:val="131"/>
        </w:trPr>
        <w:tc>
          <w:tcPr>
            <w:tcW w:w="1904" w:type="dxa"/>
            <w:shd w:val="clear" w:color="auto" w:fill="auto"/>
            <w:vAlign w:val="center"/>
          </w:tcPr>
          <w:p w14:paraId="7172DB1C" w14:textId="77777777" w:rsidR="002137F1" w:rsidRPr="00590BB6" w:rsidRDefault="002137F1" w:rsidP="00B94B4A">
            <w:pPr>
              <w:pStyle w:val="PreformattedText"/>
              <w:spacing w:line="360" w:lineRule="auto"/>
              <w:contextualSpacing/>
              <w:jc w:val="center"/>
              <w:rPr>
                <w:rFonts w:ascii="Times New Roman" w:hAnsi="Times New Roman" w:cs="Times New Roman"/>
                <w:color w:val="000000"/>
                <w:szCs w:val="22"/>
                <w:lang w:val="en-GB"/>
              </w:rPr>
            </w:pPr>
            <w:r w:rsidRPr="00590BB6">
              <w:rPr>
                <w:rFonts w:ascii="Times New Roman" w:hAnsi="Times New Roman" w:cs="Times New Roman"/>
                <w:color w:val="000000" w:themeColor="text1"/>
                <w:szCs w:val="22"/>
                <w:lang w:val="en-GB"/>
              </w:rPr>
              <w:t>Medium</w:t>
            </w:r>
          </w:p>
        </w:tc>
        <w:tc>
          <w:tcPr>
            <w:tcW w:w="1904" w:type="dxa"/>
          </w:tcPr>
          <w:p w14:paraId="5E4CC1F9" w14:textId="77777777" w:rsidR="002137F1" w:rsidRPr="00590BB6" w:rsidRDefault="002137F1" w:rsidP="00B94B4A">
            <w:pPr>
              <w:pStyle w:val="PreformattedText"/>
              <w:spacing w:line="360" w:lineRule="auto"/>
              <w:contextualSpacing/>
              <w:jc w:val="center"/>
              <w:rPr>
                <w:rFonts w:ascii="Times New Roman" w:hAnsi="Times New Roman" w:cs="Times New Roman"/>
                <w:color w:val="000000"/>
                <w:szCs w:val="22"/>
                <w:lang w:val="en-GB"/>
              </w:rPr>
            </w:pPr>
            <w:r w:rsidRPr="00590BB6">
              <w:rPr>
                <w:rFonts w:ascii="Times New Roman" w:hAnsi="Times New Roman" w:cs="Times New Roman"/>
                <w:color w:val="000000" w:themeColor="text1"/>
                <w:szCs w:val="22"/>
                <w:lang w:val="en-GB"/>
              </w:rPr>
              <w:t>961.9</w:t>
            </w:r>
          </w:p>
        </w:tc>
        <w:tc>
          <w:tcPr>
            <w:tcW w:w="1904" w:type="dxa"/>
          </w:tcPr>
          <w:p w14:paraId="41BA5096" w14:textId="77777777" w:rsidR="002137F1" w:rsidRPr="00590BB6" w:rsidRDefault="002137F1" w:rsidP="00B94B4A">
            <w:pPr>
              <w:pStyle w:val="PreformattedText"/>
              <w:spacing w:line="360" w:lineRule="auto"/>
              <w:contextualSpacing/>
              <w:jc w:val="center"/>
              <w:rPr>
                <w:rFonts w:ascii="Times New Roman" w:hAnsi="Times New Roman" w:cs="Times New Roman"/>
                <w:color w:val="000000"/>
                <w:szCs w:val="22"/>
                <w:lang w:val="en-GB"/>
              </w:rPr>
            </w:pPr>
            <w:r w:rsidRPr="00590BB6">
              <w:rPr>
                <w:rFonts w:ascii="Times New Roman" w:hAnsi="Times New Roman" w:cs="Times New Roman"/>
                <w:color w:val="000000" w:themeColor="text1"/>
                <w:szCs w:val="22"/>
                <w:lang w:val="en-GB"/>
              </w:rPr>
              <w:t>1347.8</w:t>
            </w:r>
          </w:p>
        </w:tc>
        <w:tc>
          <w:tcPr>
            <w:tcW w:w="1904" w:type="dxa"/>
            <w:vMerge/>
            <w:tcBorders>
              <w:bottom w:val="single" w:sz="4" w:space="0" w:color="auto"/>
            </w:tcBorders>
          </w:tcPr>
          <w:p w14:paraId="23B2703F" w14:textId="77777777" w:rsidR="002137F1" w:rsidRPr="00590BB6" w:rsidRDefault="002137F1" w:rsidP="00B94B4A">
            <w:pPr>
              <w:pStyle w:val="PreformattedText"/>
              <w:spacing w:line="360" w:lineRule="auto"/>
              <w:contextualSpacing/>
              <w:jc w:val="center"/>
              <w:rPr>
                <w:rFonts w:ascii="Times New Roman" w:hAnsi="Times New Roman" w:cs="Times New Roman"/>
                <w:color w:val="000000"/>
                <w:szCs w:val="22"/>
                <w:lang w:val="en-GB"/>
              </w:rPr>
            </w:pPr>
          </w:p>
        </w:tc>
        <w:tc>
          <w:tcPr>
            <w:tcW w:w="1904" w:type="dxa"/>
            <w:vMerge/>
            <w:tcBorders>
              <w:bottom w:val="single" w:sz="4" w:space="0" w:color="auto"/>
            </w:tcBorders>
          </w:tcPr>
          <w:p w14:paraId="0F88EDFE" w14:textId="77777777" w:rsidR="002137F1" w:rsidRPr="00590BB6" w:rsidRDefault="002137F1" w:rsidP="00B94B4A">
            <w:pPr>
              <w:pStyle w:val="PreformattedText"/>
              <w:spacing w:line="360" w:lineRule="auto"/>
              <w:contextualSpacing/>
              <w:jc w:val="center"/>
              <w:rPr>
                <w:rFonts w:ascii="Times New Roman" w:hAnsi="Times New Roman" w:cs="Times New Roman"/>
                <w:color w:val="000000"/>
                <w:szCs w:val="22"/>
                <w:lang w:val="en-GB"/>
              </w:rPr>
            </w:pPr>
          </w:p>
        </w:tc>
      </w:tr>
      <w:tr w:rsidR="002137F1" w:rsidRPr="00590BB6" w14:paraId="34234FBD" w14:textId="77777777" w:rsidTr="00B94B4A">
        <w:trPr>
          <w:trHeight w:val="131"/>
        </w:trPr>
        <w:tc>
          <w:tcPr>
            <w:tcW w:w="1904" w:type="dxa"/>
            <w:tcBorders>
              <w:bottom w:val="single" w:sz="4" w:space="0" w:color="auto"/>
            </w:tcBorders>
            <w:shd w:val="clear" w:color="auto" w:fill="auto"/>
            <w:vAlign w:val="center"/>
          </w:tcPr>
          <w:p w14:paraId="21806981" w14:textId="77777777" w:rsidR="002137F1" w:rsidRPr="00590BB6" w:rsidRDefault="002137F1" w:rsidP="00B94B4A">
            <w:pPr>
              <w:pStyle w:val="PreformattedText"/>
              <w:spacing w:line="360" w:lineRule="auto"/>
              <w:contextualSpacing/>
              <w:jc w:val="center"/>
              <w:rPr>
                <w:rFonts w:ascii="Times New Roman" w:hAnsi="Times New Roman" w:cs="Times New Roman"/>
                <w:color w:val="000000"/>
                <w:szCs w:val="22"/>
                <w:lang w:val="en-GB"/>
              </w:rPr>
            </w:pPr>
            <w:r w:rsidRPr="00590BB6">
              <w:rPr>
                <w:rFonts w:ascii="Times New Roman" w:hAnsi="Times New Roman" w:cs="Times New Roman"/>
                <w:color w:val="000000" w:themeColor="text1"/>
                <w:szCs w:val="22"/>
                <w:lang w:val="en-GB"/>
              </w:rPr>
              <w:t>Heavy</w:t>
            </w:r>
          </w:p>
        </w:tc>
        <w:tc>
          <w:tcPr>
            <w:tcW w:w="1904" w:type="dxa"/>
            <w:tcBorders>
              <w:bottom w:val="single" w:sz="4" w:space="0" w:color="auto"/>
            </w:tcBorders>
          </w:tcPr>
          <w:p w14:paraId="565C2EC3" w14:textId="77777777" w:rsidR="002137F1" w:rsidRPr="00590BB6" w:rsidRDefault="002137F1" w:rsidP="00B94B4A">
            <w:pPr>
              <w:pStyle w:val="PreformattedText"/>
              <w:spacing w:line="360" w:lineRule="auto"/>
              <w:contextualSpacing/>
              <w:jc w:val="center"/>
              <w:rPr>
                <w:rFonts w:ascii="Times New Roman" w:hAnsi="Times New Roman" w:cs="Times New Roman"/>
                <w:color w:val="000000"/>
                <w:szCs w:val="22"/>
                <w:lang w:val="en-GB"/>
              </w:rPr>
            </w:pPr>
            <w:r w:rsidRPr="00590BB6">
              <w:rPr>
                <w:rFonts w:ascii="Times New Roman" w:hAnsi="Times New Roman" w:cs="Times New Roman"/>
                <w:color w:val="000000" w:themeColor="text1"/>
                <w:szCs w:val="22"/>
                <w:lang w:val="en-GB"/>
              </w:rPr>
              <w:t>1390.0</w:t>
            </w:r>
          </w:p>
        </w:tc>
        <w:tc>
          <w:tcPr>
            <w:tcW w:w="1904" w:type="dxa"/>
            <w:tcBorders>
              <w:bottom w:val="single" w:sz="4" w:space="0" w:color="auto"/>
            </w:tcBorders>
          </w:tcPr>
          <w:p w14:paraId="297AD1D2" w14:textId="77777777" w:rsidR="002137F1" w:rsidRPr="00590BB6" w:rsidRDefault="002137F1" w:rsidP="00B94B4A">
            <w:pPr>
              <w:pStyle w:val="PreformattedText"/>
              <w:spacing w:line="360" w:lineRule="auto"/>
              <w:contextualSpacing/>
              <w:jc w:val="center"/>
              <w:rPr>
                <w:rFonts w:ascii="Times New Roman" w:hAnsi="Times New Roman" w:cs="Times New Roman"/>
                <w:color w:val="000000"/>
                <w:szCs w:val="22"/>
                <w:lang w:val="en-GB"/>
              </w:rPr>
            </w:pPr>
            <w:r w:rsidRPr="00590BB6">
              <w:rPr>
                <w:rFonts w:ascii="Times New Roman" w:hAnsi="Times New Roman" w:cs="Times New Roman"/>
                <w:color w:val="000000" w:themeColor="text1"/>
                <w:szCs w:val="22"/>
                <w:lang w:val="en-GB"/>
              </w:rPr>
              <w:t>1946.8</w:t>
            </w:r>
          </w:p>
        </w:tc>
        <w:tc>
          <w:tcPr>
            <w:tcW w:w="1904" w:type="dxa"/>
            <w:vMerge/>
            <w:tcBorders>
              <w:bottom w:val="single" w:sz="4" w:space="0" w:color="auto"/>
            </w:tcBorders>
          </w:tcPr>
          <w:p w14:paraId="67D03D1A" w14:textId="77777777" w:rsidR="002137F1" w:rsidRPr="00590BB6" w:rsidRDefault="002137F1" w:rsidP="00B94B4A">
            <w:pPr>
              <w:pStyle w:val="PreformattedText"/>
              <w:spacing w:line="360" w:lineRule="auto"/>
              <w:contextualSpacing/>
              <w:jc w:val="center"/>
              <w:rPr>
                <w:rFonts w:ascii="Times New Roman" w:hAnsi="Times New Roman" w:cs="Times New Roman"/>
                <w:color w:val="000000"/>
                <w:szCs w:val="22"/>
                <w:lang w:val="en-GB"/>
              </w:rPr>
            </w:pPr>
          </w:p>
        </w:tc>
        <w:tc>
          <w:tcPr>
            <w:tcW w:w="1904" w:type="dxa"/>
            <w:vMerge/>
            <w:tcBorders>
              <w:bottom w:val="single" w:sz="4" w:space="0" w:color="auto"/>
            </w:tcBorders>
          </w:tcPr>
          <w:p w14:paraId="3AC50A27" w14:textId="77777777" w:rsidR="002137F1" w:rsidRPr="00590BB6" w:rsidRDefault="002137F1" w:rsidP="00B94B4A">
            <w:pPr>
              <w:pStyle w:val="PreformattedText"/>
              <w:spacing w:line="360" w:lineRule="auto"/>
              <w:contextualSpacing/>
              <w:jc w:val="center"/>
              <w:rPr>
                <w:rFonts w:ascii="Times New Roman" w:hAnsi="Times New Roman" w:cs="Times New Roman"/>
                <w:color w:val="000000"/>
                <w:szCs w:val="22"/>
                <w:lang w:val="en-GB"/>
              </w:rPr>
            </w:pPr>
          </w:p>
        </w:tc>
      </w:tr>
    </w:tbl>
    <w:p w14:paraId="56E2B857" w14:textId="77777777" w:rsidR="002137F1" w:rsidRPr="00590BB6" w:rsidRDefault="002137F1" w:rsidP="000B0ADE">
      <w:pPr>
        <w:spacing w:line="360" w:lineRule="auto"/>
        <w:jc w:val="both"/>
        <w:rPr>
          <w:rFonts w:cs="Times New Roman"/>
        </w:rPr>
      </w:pPr>
    </w:p>
    <w:p w14:paraId="290CF538" w14:textId="51A25C17" w:rsidR="000B0ADE" w:rsidRPr="00590BB6" w:rsidRDefault="007F407C" w:rsidP="000B0ADE">
      <w:pPr>
        <w:spacing w:line="360" w:lineRule="auto"/>
        <w:jc w:val="both"/>
        <w:rPr>
          <w:rFonts w:cs="Times New Roman"/>
        </w:rPr>
      </w:pPr>
      <w:r>
        <w:rPr>
          <w:rFonts w:cs="Times New Roman"/>
        </w:rPr>
        <w:t xml:space="preserve">The regression was performed on estimated </w:t>
      </w:r>
      <w:r w:rsidRPr="00590BB6">
        <w:rPr>
          <w:rFonts w:cs="Times New Roman"/>
        </w:rPr>
        <w:t>historical freight demand for each of the freight category, GDP, and population data, from 2008 to 2020</w:t>
      </w:r>
      <w:r>
        <w:rPr>
          <w:rFonts w:cs="Times New Roman"/>
        </w:rPr>
        <w:t xml:space="preserve"> and integrating information on demand drivers. First, </w:t>
      </w:r>
      <w:r w:rsidRPr="00590BB6">
        <w:rPr>
          <w:rFonts w:eastAsiaTheme="minorEastAsia" w:cs="Times New Roman"/>
        </w:rPr>
        <w:t xml:space="preserve">consistently with the literature, 2020 hypotheses on average payload and annual mileage </w:t>
      </w:r>
      <w:r>
        <w:rPr>
          <w:rFonts w:eastAsiaTheme="minorEastAsia" w:cs="Times New Roman"/>
        </w:rPr>
        <w:t xml:space="preserve">were extended </w:t>
      </w:r>
      <w:r w:rsidRPr="00590BB6">
        <w:rPr>
          <w:rFonts w:eastAsiaTheme="minorEastAsia" w:cs="Times New Roman"/>
        </w:rPr>
        <w:t xml:space="preserve">over time </w:t>
      </w:r>
      <w:r w:rsidRPr="00590BB6">
        <w:rPr>
          <w:rFonts w:cs="Times New Roman"/>
        </w:rPr>
        <w:fldChar w:fldCharType="begin" w:fldLock="1"/>
      </w:r>
      <w:r w:rsidRPr="00590BB6">
        <w:rPr>
          <w:rFonts w:cs="Times New Roman"/>
        </w:rPr>
        <w:instrText>ADDIN CSL_CITATION {"citationItems":[{"id":"ITEM-1","itemData":{"DOI":"10.1016/j.egyr.2019.07.017","ISSN":"23524847","abstract":"With about 22%, the transport sector is one of the largest global emitters of the greenhouse gas CO2. Long-distance road freight transport accounts for a large and rising share within this sector. For this reason, in February 2019, the European Union agreed to introduce CO2 emission standards following Canada, China, Japan and the United States. One way to reduce CO2 emissions from long-distance road freight transport is to use alternative powertrains in trucks — especially heavy-duty vehicles (HDV) because of their high mileage, weight and fuel consumption. Multiple alternative fuels and powertrains (AFPs) have been proposed as potential options to lower CO2 emissions. However, the current research does not paint a clear picture of the path towards decarbonizing transport that uses AFPs in HDVs. The aim of this literature review is to understand the current state of research on the market diffusion of HDVs with alternative powertrains. We present a summary of market diffusion studies of AFPs in HDVs, including their methods, main findings and policy recommendations. We compare and synthesize the results of these studies to identify strengths and weaknesses in the field, and to propose further options to improve AFP HDV market diffusion modelling. All the studies expect AFPs on a small scale in their reference scenarios under current regulations. In climate protection scenarios, however, AFPs dominate the market, indicating their positive effect on CO2 reduction. There is a high degree of uncertainty regarding the emergence of a superior AFP technology for HDVs. The authors of this review recommend more research into policy measures, and that infrastructure development and energy supply should be included in order to obtain a holistic understanding of modelling AFP market diffusion for HDVs.","author":[{"dropping-particle":"","family":"Kluschke","given":"Philipp","non-dropping-particle":"","parse-names":false,"suffix":""},{"dropping-particle":"","family":"Gnann","given":"Till","non-dropping-particle":"","parse-names":false,"suffix":""},{"dropping-particle":"","family":"Plötz","given":"Patrick","non-dropping-particle":"","parse-names":false,"suffix":""},{"dropping-particle":"","family":"Wietschel","given":"Martin","non-dropping-particle":"","parse-names":false,"suffix":""}],"container-title":"Energy Reports","id":"ITEM-1","issued":{"date-parts":[["2019"]]},"page":"1010-1024","publisher":"Elsevier Ltd","title":"Market diffusion of alternative fuels and powertrains in heavy-duty vehicles: A literature review","type":"article-journal","volume":"5"},"uris":["http://www.mendeley.com/documents/?uuid=05a0fa9f-c1e3-4761-8be7-f94a30f95a50","http://www.mendeley.com/documents/?uuid=ce0d2116-fa0b-4c35-8983-d59a67fdd0c1"]}],"mendeley":{"formattedCitation":"[19]","plainTextFormattedCitation":"[19]","previouslyFormattedCitation":"[18]"},"properties":{"noteIndex":0},"schema":"https://github.com/citation-style-language/schema/raw/master/csl-citation.json"}</w:instrText>
      </w:r>
      <w:r w:rsidRPr="00590BB6">
        <w:rPr>
          <w:rFonts w:cs="Times New Roman"/>
        </w:rPr>
        <w:fldChar w:fldCharType="separate"/>
      </w:r>
      <w:r w:rsidRPr="00590BB6">
        <w:rPr>
          <w:rFonts w:cs="Times New Roman"/>
          <w:noProof/>
        </w:rPr>
        <w:t>[19]</w:t>
      </w:r>
      <w:r w:rsidRPr="00590BB6">
        <w:rPr>
          <w:rFonts w:cs="Times New Roman"/>
        </w:rPr>
        <w:fldChar w:fldCharType="end"/>
      </w:r>
      <w:r>
        <w:rPr>
          <w:rFonts w:cs="Times New Roman"/>
        </w:rPr>
        <w:t xml:space="preserve">. Second, </w:t>
      </w:r>
      <w:r w:rsidR="003F0D6F">
        <w:rPr>
          <w:rFonts w:cs="Times New Roman"/>
        </w:rPr>
        <w:t>considerations of plausible</w:t>
      </w:r>
      <w:r w:rsidR="003F0D6F" w:rsidRPr="00590BB6">
        <w:rPr>
          <w:rFonts w:cs="Times New Roman"/>
        </w:rPr>
        <w:t xml:space="preserve"> post-COVID-19 rebound effects (up until 2030) </w:t>
      </w:r>
      <w:r w:rsidR="003F0D6F" w:rsidRPr="00590BB6">
        <w:rPr>
          <w:rFonts w:cs="Times New Roman"/>
        </w:rPr>
        <w:fldChar w:fldCharType="begin" w:fldLock="1"/>
      </w:r>
      <w:r w:rsidR="003F0D6F" w:rsidRPr="00590BB6">
        <w:rPr>
          <w:rFonts w:cs="Times New Roman"/>
        </w:rPr>
        <w:instrText>ADDIN CSL_CITATION {"citationItems":[{"id":"ITEM-1","itemData":{"DOI":"10.1016/j.energy.2021.122015","ISSN":"03605442","abstract":"The aim of this paper is to estimate the potential impacts of different COVID-19 scenarios on the Italian energy sector through 2030, with a specific focus on transport and industry. The analysis takes a multi-disciplinary approach to properly consider the complex interactions of sectors across Italy. This approach includes the assessment of economic conditions using macroeconomic and input-output models, modelling the evolution of the energy system using an energy and transport model, and forecasting the reaction of travel demand and modal choice using econometric models and expert interviews. Results show that the effect of COVID-19 pandemic may lead to mid-term effects on energy consumption. The medium scenario, which assumes a stop of the emergency by the end of 2021, shows that energy-related emissions remain 10% lower than the baseline in the industry sector and 6% lower in the transport sector by 2030, when compared with a pre-COVID trend. Policy recommendations to support a green recovery are discussed in light of the results.","author":[{"dropping-particle":"","family":"Bazzana","given":"Davide","non-dropping-particle":"","parse-names":false,"suffix":""},{"dropping-particle":"","family":"Cohen","given":"Jed J.","non-dropping-particle":"","parse-names":false,"suffix":""},{"dropping-particle":"","family":"Golinucci","given":"Nicolò","non-dropping-particle":"","parse-names":false,"suffix":""},{"dropping-particle":"","family":"Hafner","given":"Manfred","non-dropping-particle":"","parse-names":false,"suffix":""},{"dropping-particle":"","family":"Noussan","given":"Michel","non-dropping-particle":"","parse-names":false,"suffix":""},{"dropping-particle":"","family":"Reichl","given":"Johannes","non-dropping-particle":"","parse-names":false,"suffix":""},{"dropping-particle":"","family":"Rocco","given":"Matteo Vincenzo","non-dropping-particle":"","parse-names":false,"suffix":""},{"dropping-particle":"","family":"Sciullo","given":"Alessandro","non-dropping-particle":"","parse-names":false,"suffix":""},{"dropping-particle":"","family":"Vergalli","given":"Sergio","non-dropping-particle":"","parse-names":false,"suffix":""}],"container-title":"Energy","id":"ITEM-1","issued":{"date-parts":[["2022","1"]]},"page":"122015","title":"A multi-disciplinary approach to estimate the medium-term impact of COVID-19 on transport and energy: A case study for Italy","type":"article-journal","volume":"238"},"uris":["http://www.mendeley.com/documents/?uuid=9e941213-df2e-414a-a69b-ec42e5cbda50","http://www.mendeley.com/documents/?uuid=6f0c181d-9790-46a6-a768-5fd9215c4503"]}],"mendeley":{"formattedCitation":"[36]","plainTextFormattedCitation":"[36]","previouslyFormattedCitation":"[35]"},"properties":{"noteIndex":0},"schema":"https://github.com/citation-style-language/schema/raw/master/csl-citation.json"}</w:instrText>
      </w:r>
      <w:r w:rsidR="003F0D6F" w:rsidRPr="00590BB6">
        <w:rPr>
          <w:rFonts w:cs="Times New Roman"/>
        </w:rPr>
        <w:fldChar w:fldCharType="separate"/>
      </w:r>
      <w:r w:rsidR="003F0D6F" w:rsidRPr="00590BB6">
        <w:rPr>
          <w:rFonts w:cs="Times New Roman"/>
          <w:noProof/>
        </w:rPr>
        <w:t>[36]</w:t>
      </w:r>
      <w:r w:rsidR="003F0D6F" w:rsidRPr="00590BB6">
        <w:rPr>
          <w:rFonts w:cs="Times New Roman"/>
        </w:rPr>
        <w:fldChar w:fldCharType="end"/>
      </w:r>
      <w:r w:rsidR="003F0D6F" w:rsidRPr="00590BB6">
        <w:rPr>
          <w:rFonts w:cs="Times New Roman"/>
        </w:rPr>
        <w:t xml:space="preserve">, and post-2030 growth rates  </w:t>
      </w:r>
      <w:r w:rsidR="003F0D6F" w:rsidRPr="00590BB6">
        <w:rPr>
          <w:rFonts w:cs="Times New Roman"/>
        </w:rPr>
        <w:fldChar w:fldCharType="begin" w:fldLock="1"/>
      </w:r>
      <w:r w:rsidR="003F0D6F" w:rsidRPr="00590BB6">
        <w:rPr>
          <w:rFonts w:cs="Times New Roman"/>
        </w:rPr>
        <w:instrText>ADDIN CSL_CITATION {"citationItems":[{"id":"ITEM-1","itemData":{"author":[{"dropping-particle":"","family":"Ministry of Economic Development","given":"Ministry of the Environment and Protection of Natural Resources and the Sea and Ministry of Infrastructure and Transport","non-dropping-particle":"","parse-names":false,"suffix":""}],"id":"ITEM-1","issue":"December","issued":{"date-parts":[["2019"]]},"title":"INTEGRATED NATIONAL ENERGY AND CLIMATE PLAN","type":"article-journal"},"uris":["http://www.mendeley.com/documents/?uuid=d54a07a1-e890-4466-887f-f5a283ccae32","http://www.mendeley.com/documents/?uuid=d7a97139-9386-4d6c-98f2-f217b6b2b372"]}],"mendeley":{"formattedCitation":"[34]","plainTextFormattedCitation":"[34]","previouslyFormattedCitation":"[33]"},"properties":{"noteIndex":0},"schema":"https://github.com/citation-style-language/schema/raw/master/csl-citation.json"}</w:instrText>
      </w:r>
      <w:r w:rsidR="003F0D6F" w:rsidRPr="00590BB6">
        <w:rPr>
          <w:rFonts w:cs="Times New Roman"/>
        </w:rPr>
        <w:fldChar w:fldCharType="separate"/>
      </w:r>
      <w:r w:rsidR="003F0D6F" w:rsidRPr="00590BB6">
        <w:rPr>
          <w:rFonts w:cs="Times New Roman"/>
          <w:noProof/>
        </w:rPr>
        <w:t>[34]</w:t>
      </w:r>
      <w:r w:rsidR="003F0D6F" w:rsidRPr="00590BB6">
        <w:rPr>
          <w:rFonts w:cs="Times New Roman"/>
        </w:rPr>
        <w:fldChar w:fldCharType="end"/>
      </w:r>
      <w:r w:rsidR="003F0D6F">
        <w:rPr>
          <w:rFonts w:cs="Times New Roman"/>
        </w:rPr>
        <w:t xml:space="preserve"> were included. </w:t>
      </w:r>
      <w:r w:rsidR="000B0ADE" w:rsidRPr="00590BB6">
        <w:rPr>
          <w:rFonts w:cs="Times New Roman"/>
        </w:rPr>
        <w:t xml:space="preserve">The </w:t>
      </w:r>
      <w:r w:rsidR="00C97235" w:rsidRPr="00590BB6">
        <w:rPr>
          <w:rFonts w:cs="Times New Roman"/>
        </w:rPr>
        <w:t>obtained</w:t>
      </w:r>
      <w:r w:rsidR="00BB0D5F" w:rsidRPr="00590BB6">
        <w:rPr>
          <w:rFonts w:cs="Times New Roman"/>
        </w:rPr>
        <w:t xml:space="preserve"> freight road</w:t>
      </w:r>
      <w:r w:rsidR="00C97235" w:rsidRPr="00590BB6">
        <w:rPr>
          <w:rFonts w:cs="Times New Roman"/>
        </w:rPr>
        <w:t xml:space="preserve"> </w:t>
      </w:r>
      <w:r w:rsidR="00BB0D5F" w:rsidRPr="00590BB6">
        <w:rPr>
          <w:rFonts w:cs="Times New Roman"/>
        </w:rPr>
        <w:t xml:space="preserve">transport </w:t>
      </w:r>
      <w:r w:rsidR="000B0ADE" w:rsidRPr="00590BB6">
        <w:rPr>
          <w:rFonts w:cs="Times New Roman"/>
        </w:rPr>
        <w:t>demand</w:t>
      </w:r>
      <w:r w:rsidR="008B67A9" w:rsidRPr="00590BB6">
        <w:rPr>
          <w:rFonts w:cs="Times New Roman"/>
        </w:rPr>
        <w:t>, containing historical and projected demand,</w:t>
      </w:r>
      <w:r w:rsidR="000B0ADE" w:rsidRPr="00590BB6">
        <w:rPr>
          <w:rFonts w:eastAsiaTheme="minorEastAsia" w:cs="Times New Roman"/>
        </w:rPr>
        <w:t xml:space="preserve"> </w:t>
      </w:r>
      <w:r w:rsidR="000B0ADE" w:rsidRPr="00590BB6">
        <w:rPr>
          <w:rFonts w:eastAsiaTheme="minorEastAsia" w:cs="Times New Roman"/>
        </w:rPr>
        <w:lastRenderedPageBreak/>
        <w:t xml:space="preserve">presented as a function of GDP per capita </w:t>
      </w:r>
      <w:r w:rsidR="00F371DC" w:rsidRPr="00590BB6">
        <w:rPr>
          <w:rFonts w:eastAsiaTheme="minorEastAsia" w:cs="Times New Roman"/>
        </w:rPr>
        <w:t>(</w:t>
      </w:r>
      <w:r w:rsidR="00A644B3" w:rsidRPr="00590BB6">
        <w:rPr>
          <w:rFonts w:cs="Times New Roman"/>
        </w:rPr>
        <w:fldChar w:fldCharType="begin"/>
      </w:r>
      <w:r w:rsidR="00A644B3" w:rsidRPr="00590BB6">
        <w:rPr>
          <w:rFonts w:cs="Times New Roman"/>
        </w:rPr>
        <w:instrText xml:space="preserve"> REF _Ref143128234 \h </w:instrText>
      </w:r>
      <w:r w:rsidR="00590BB6">
        <w:rPr>
          <w:rFonts w:cs="Times New Roman"/>
        </w:rPr>
        <w:instrText xml:space="preserve"> \* MERGEFORMAT </w:instrText>
      </w:r>
      <w:r w:rsidR="00A644B3" w:rsidRPr="00590BB6">
        <w:rPr>
          <w:rFonts w:cs="Times New Roman"/>
        </w:rPr>
      </w:r>
      <w:r w:rsidR="00A644B3" w:rsidRPr="00590BB6">
        <w:rPr>
          <w:rFonts w:cs="Times New Roman"/>
        </w:rPr>
        <w:fldChar w:fldCharType="separate"/>
      </w:r>
      <w:r w:rsidR="00A644B3" w:rsidRPr="00590BB6">
        <w:t xml:space="preserve">Figure </w:t>
      </w:r>
      <w:r w:rsidR="00A644B3" w:rsidRPr="00590BB6">
        <w:rPr>
          <w:noProof/>
        </w:rPr>
        <w:t>3</w:t>
      </w:r>
      <w:r w:rsidR="00A644B3" w:rsidRPr="00590BB6">
        <w:rPr>
          <w:rFonts w:cs="Times New Roman"/>
        </w:rPr>
        <w:fldChar w:fldCharType="end"/>
      </w:r>
      <w:r w:rsidR="00F371DC" w:rsidRPr="00590BB6">
        <w:rPr>
          <w:rFonts w:cs="Times New Roman"/>
        </w:rPr>
        <w:t>)</w:t>
      </w:r>
      <w:r w:rsidR="00B35DBE" w:rsidRPr="00590BB6">
        <w:rPr>
          <w:rFonts w:cs="Times New Roman"/>
        </w:rPr>
        <w:t>,</w:t>
      </w:r>
      <w:r w:rsidR="00F371DC" w:rsidRPr="00590BB6">
        <w:rPr>
          <w:rFonts w:cs="Times New Roman"/>
        </w:rPr>
        <w:t xml:space="preserve"> </w:t>
      </w:r>
      <w:r w:rsidR="00B35DBE" w:rsidRPr="00590BB6">
        <w:rPr>
          <w:rFonts w:cs="Times New Roman"/>
        </w:rPr>
        <w:t xml:space="preserve"> </w:t>
      </w:r>
      <w:r w:rsidR="00F371DC" w:rsidRPr="00590BB6">
        <w:rPr>
          <w:rFonts w:cs="Times New Roman"/>
        </w:rPr>
        <w:t xml:space="preserve">shows </w:t>
      </w:r>
      <w:r w:rsidR="00B35DBE" w:rsidRPr="00590BB6">
        <w:rPr>
          <w:rFonts w:cs="Times New Roman"/>
        </w:rPr>
        <w:t xml:space="preserve">a period with increasing demand </w:t>
      </w:r>
      <w:r w:rsidR="00F371DC" w:rsidRPr="00590BB6">
        <w:rPr>
          <w:rFonts w:cs="Times New Roman"/>
        </w:rPr>
        <w:t>between</w:t>
      </w:r>
      <w:r w:rsidR="00B35DBE" w:rsidRPr="00590BB6">
        <w:rPr>
          <w:rFonts w:cs="Times New Roman"/>
        </w:rPr>
        <w:t xml:space="preserve"> 30 to 35 thousand 2010 USD of GDP</w:t>
      </w:r>
      <w:r w:rsidR="00F371DC" w:rsidRPr="00590BB6">
        <w:rPr>
          <w:rFonts w:cs="Times New Roman"/>
        </w:rPr>
        <w:t xml:space="preserve"> (</w:t>
      </w:r>
      <w:r w:rsidR="00B35DBE" w:rsidRPr="00590BB6">
        <w:rPr>
          <w:rFonts w:cs="Times New Roman"/>
        </w:rPr>
        <w:t xml:space="preserve">which refers to the </w:t>
      </w:r>
      <w:r w:rsidR="008B67A9" w:rsidRPr="00590BB6">
        <w:rPr>
          <w:rFonts w:cs="Times New Roman"/>
        </w:rPr>
        <w:t>years</w:t>
      </w:r>
      <w:r w:rsidR="00B35DBE" w:rsidRPr="00590BB6">
        <w:rPr>
          <w:rFonts w:cs="Times New Roman"/>
        </w:rPr>
        <w:t xml:space="preserve"> between 2020 and 2040</w:t>
      </w:r>
      <w:r w:rsidR="00F371DC" w:rsidRPr="00590BB6">
        <w:rPr>
          <w:rFonts w:cs="Times New Roman"/>
        </w:rPr>
        <w:t>)</w:t>
      </w:r>
      <w:r w:rsidR="00D44E74" w:rsidRPr="00590BB6">
        <w:rPr>
          <w:rFonts w:cs="Times New Roman"/>
        </w:rPr>
        <w:t xml:space="preserve"> </w:t>
      </w:r>
      <w:r w:rsidR="00F371DC" w:rsidRPr="00590BB6">
        <w:rPr>
          <w:rFonts w:cs="Times New Roman"/>
        </w:rPr>
        <w:t>followed by market</w:t>
      </w:r>
      <w:r w:rsidR="00B35DBE" w:rsidRPr="00590BB6">
        <w:rPr>
          <w:rFonts w:cs="Times New Roman"/>
        </w:rPr>
        <w:t xml:space="preserve"> saturation</w:t>
      </w:r>
      <w:r w:rsidR="00F371DC" w:rsidRPr="00590BB6">
        <w:rPr>
          <w:rFonts w:cs="Times New Roman"/>
        </w:rPr>
        <w:t xml:space="preserve"> with a nearly flat</w:t>
      </w:r>
      <w:r w:rsidR="00B35DBE" w:rsidRPr="00590BB6">
        <w:rPr>
          <w:rFonts w:cs="Times New Roman"/>
        </w:rPr>
        <w:t xml:space="preserve"> </w:t>
      </w:r>
      <w:r w:rsidR="00F371DC" w:rsidRPr="00590BB6">
        <w:rPr>
          <w:rFonts w:cs="Times New Roman"/>
        </w:rPr>
        <w:t>profile</w:t>
      </w:r>
      <w:r w:rsidR="00B35DBE" w:rsidRPr="00590BB6">
        <w:rPr>
          <w:rFonts w:cs="Times New Roman"/>
        </w:rPr>
        <w:t>.</w:t>
      </w:r>
    </w:p>
    <w:p w14:paraId="71283F54" w14:textId="77777777" w:rsidR="000B0ADE" w:rsidRPr="00590BB6" w:rsidRDefault="000B0ADE" w:rsidP="000B0ADE">
      <w:pPr>
        <w:keepNext/>
        <w:spacing w:after="0" w:line="360" w:lineRule="auto"/>
        <w:jc w:val="center"/>
        <w:rPr>
          <w:rFonts w:cs="Times New Roman"/>
        </w:rPr>
      </w:pPr>
      <w:r w:rsidRPr="00590BB6">
        <w:rPr>
          <w:rFonts w:cs="Times New Roman"/>
          <w:noProof/>
          <w:lang w:val="en-US"/>
        </w:rPr>
        <w:drawing>
          <wp:inline distT="0" distB="0" distL="0" distR="0" wp14:anchorId="50B1AF8F" wp14:editId="4BA8CFEC">
            <wp:extent cx="4838700" cy="37084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303243" name="Picture 27830324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38700" cy="3708400"/>
                    </a:xfrm>
                    <a:prstGeom prst="rect">
                      <a:avLst/>
                    </a:prstGeom>
                  </pic:spPr>
                </pic:pic>
              </a:graphicData>
            </a:graphic>
          </wp:inline>
        </w:drawing>
      </w:r>
    </w:p>
    <w:p w14:paraId="28F9418E" w14:textId="062EBD9C" w:rsidR="000B0ADE" w:rsidRPr="00590BB6" w:rsidRDefault="004C610A" w:rsidP="00D44E74">
      <w:pPr>
        <w:pStyle w:val="Caption"/>
      </w:pPr>
      <w:bookmarkStart w:id="8" w:name="_Ref143128234"/>
      <w:r w:rsidRPr="00590BB6">
        <w:t xml:space="preserve">Figure </w:t>
      </w:r>
      <w:r w:rsidRPr="00590BB6">
        <w:fldChar w:fldCharType="begin"/>
      </w:r>
      <w:r w:rsidRPr="00590BB6">
        <w:instrText xml:space="preserve"> SEQ Figure \* ARABIC </w:instrText>
      </w:r>
      <w:r w:rsidRPr="00590BB6">
        <w:fldChar w:fldCharType="separate"/>
      </w:r>
      <w:r w:rsidR="00A644B3" w:rsidRPr="00590BB6">
        <w:rPr>
          <w:noProof/>
        </w:rPr>
        <w:t>3</w:t>
      </w:r>
      <w:r w:rsidRPr="00590BB6">
        <w:fldChar w:fldCharType="end"/>
      </w:r>
      <w:bookmarkEnd w:id="8"/>
      <w:r w:rsidR="000B0ADE" w:rsidRPr="00590BB6">
        <w:t xml:space="preserve">. Transport freight demand versus constant GDP per capita obtained through a logistic regression implementing a Sigmoid function on historical data up to 2020 </w:t>
      </w:r>
      <w:r w:rsidR="000B0ADE" w:rsidRPr="00590BB6">
        <w:fldChar w:fldCharType="begin" w:fldLock="1"/>
      </w:r>
      <w:r w:rsidR="006F44A7" w:rsidRPr="00590BB6">
        <w:instrText>ADDIN CSL_CITATION {"citationItems":[{"id":"ITEM-1","itemData":{"author":[{"dropping-particle":"","family":"EUROSTAT","given":"","non-dropping-particle":"","parse-names":false,"suffix":""}],"id":"ITEM-1","issued":{"date-parts":[["2022"]]},"title":"Summary of annual road freight transport by type of operation and type of transport (1 000 t, Mio Tkm, Mio Veh-km)","type":"webpage"},"uris":["http://www.mendeley.com/documents/?uuid=78cebdeb-af6f-4de6-93b9-fcc33509c6e3","http://www.mendeley.com/documents/?uuid=f5275920-d9b4-4279-a73d-3bb5c2117532"]}],"mendeley":{"formattedCitation":"[29]","plainTextFormattedCitation":"[29]","previouslyFormattedCitation":"[28]"},"properties":{"noteIndex":0},"schema":"https://github.com/citation-style-language/schema/raw/master/csl-citation.json"}</w:instrText>
      </w:r>
      <w:r w:rsidR="000B0ADE" w:rsidRPr="00590BB6">
        <w:fldChar w:fldCharType="separate"/>
      </w:r>
      <w:r w:rsidR="006F44A7" w:rsidRPr="00590BB6">
        <w:rPr>
          <w:noProof/>
        </w:rPr>
        <w:t>[29]</w:t>
      </w:r>
      <w:r w:rsidR="000B0ADE" w:rsidRPr="00590BB6">
        <w:fldChar w:fldCharType="end"/>
      </w:r>
      <w:r w:rsidR="000B0ADE" w:rsidRPr="00590BB6">
        <w:t xml:space="preserve">, growth rate tend retrieved from </w:t>
      </w:r>
      <w:proofErr w:type="spellStart"/>
      <w:r w:rsidR="000B0ADE" w:rsidRPr="00590BB6">
        <w:t>Bazzana</w:t>
      </w:r>
      <w:proofErr w:type="spellEnd"/>
      <w:r w:rsidR="000B0ADE" w:rsidRPr="00590BB6">
        <w:t xml:space="preserve"> et al. (2022) </w:t>
      </w:r>
      <w:r w:rsidR="000B0ADE" w:rsidRPr="00590BB6">
        <w:fldChar w:fldCharType="begin" w:fldLock="1"/>
      </w:r>
      <w:r w:rsidR="006F44A7" w:rsidRPr="00590BB6">
        <w:instrText>ADDIN CSL_CITATION {"citationItems":[{"id":"ITEM-1","itemData":{"DOI":"10.1016/j.energy.2021.122015","ISSN":"03605442","abstract":"The aim of this paper is to estimate the potential impacts of different COVID-19 scenarios on the Italian energy sector through 2030, with a specific focus on transport and industry. The analysis takes a multi-disciplinary approach to properly consider the complex interactions of sectors across Italy. This approach includes the assessment of economic conditions using macroeconomic and input-output models, modelling the evolution of the energy system using an energy and transport model, and forecasting the reaction of travel demand and modal choice using econometric models and expert interviews. Results show that the effect of COVID-19 pandemic may lead to mid-term effects on energy consumption. The medium scenario, which assumes a stop of the emergency by the end of 2021, shows that energy-related emissions remain 10% lower than the baseline in the industry sector and 6% lower in the transport sector by 2030, when compared with a pre-COVID trend. Policy recommendations to support a green recovery are discussed in light of the results.","author":[{"dropping-particle":"","family":"Bazzana","given":"Davide","non-dropping-particle":"","parse-names":false,"suffix":""},{"dropping-particle":"","family":"Cohen","given":"Jed J.","non-dropping-particle":"","parse-names":false,"suffix":""},{"dropping-particle":"","family":"Golinucci","given":"Nicolò","non-dropping-particle":"","parse-names":false,"suffix":""},{"dropping-particle":"","family":"Hafner","given":"Manfred","non-dropping-particle":"","parse-names":false,"suffix":""},{"dropping-particle":"","family":"Noussan","given":"Michel","non-dropping-particle":"","parse-names":false,"suffix":""},{"dropping-particle":"","family":"Reichl","given":"Johannes","non-dropping-particle":"","parse-names":false,"suffix":""},{"dropping-particle":"","family":"Rocco","given":"Matteo Vincenzo","non-dropping-particle":"","parse-names":false,"suffix":""},{"dropping-particle":"","family":"Sciullo","given":"Alessandro","non-dropping-particle":"","parse-names":false,"suffix":""},{"dropping-particle":"","family":"Vergalli","given":"Sergio","non-dropping-particle":"","parse-names":false,"suffix":""}],"container-title":"Energy","id":"ITEM-1","issued":{"date-parts":[["2022","1"]]},"page":"122015","title":"A multi-disciplinary approach to estimate the medium-term impact of COVID-19 on transport and energy: A case study for Italy","type":"article-journal","volume":"238"},"uris":["http://www.mendeley.com/documents/?uuid=9e941213-df2e-414a-a69b-ec42e5cbda50","http://www.mendeley.com/documents/?uuid=6f0c181d-9790-46a6-a768-5fd9215c4503"]}],"mendeley":{"formattedCitation":"[36]","plainTextFormattedCitation":"[36]","previouslyFormattedCitation":"[35]"},"properties":{"noteIndex":0},"schema":"https://github.com/citation-style-language/schema/raw/master/csl-citation.json"}</w:instrText>
      </w:r>
      <w:r w:rsidR="000B0ADE" w:rsidRPr="00590BB6">
        <w:fldChar w:fldCharType="separate"/>
      </w:r>
      <w:r w:rsidR="006F44A7" w:rsidRPr="00590BB6">
        <w:rPr>
          <w:noProof/>
        </w:rPr>
        <w:t>[36]</w:t>
      </w:r>
      <w:r w:rsidR="000B0ADE" w:rsidRPr="00590BB6">
        <w:fldChar w:fldCharType="end"/>
      </w:r>
      <w:r w:rsidR="000B0ADE" w:rsidRPr="00590BB6">
        <w:t xml:space="preserve">, which considered COVID-19 effect, and INECP </w:t>
      </w:r>
      <w:r w:rsidR="000B0ADE" w:rsidRPr="00590BB6">
        <w:fldChar w:fldCharType="begin" w:fldLock="1"/>
      </w:r>
      <w:r w:rsidR="006F44A7" w:rsidRPr="00590BB6">
        <w:instrText>ADDIN CSL_CITATION {"citationItems":[{"id":"ITEM-1","itemData":{"author":[{"dropping-particle":"","family":"Ministry of Economic Development","given":"Ministry of the Environment and Protection of Natural Resources and the Sea and Ministry of Infrastructure and Transport","non-dropping-particle":"","parse-names":false,"suffix":""}],"id":"ITEM-1","issue":"December","issued":{"date-parts":[["2019"]]},"title":"INTEGRATED NATIONAL ENERGY AND CLIMATE PLAN","type":"article-journal"},"uris":["http://www.mendeley.com/documents/?uuid=d54a07a1-e890-4466-887f-f5a283ccae32","http://www.mendeley.com/documents/?uuid=d7a97139-9386-4d6c-98f2-f217b6b2b372"]}],"mendeley":{"formattedCitation":"[34]","plainTextFormattedCitation":"[34]","previouslyFormattedCitation":"[33]"},"properties":{"noteIndex":0},"schema":"https://github.com/citation-style-language/schema/raw/master/csl-citation.json"}</w:instrText>
      </w:r>
      <w:r w:rsidR="000B0ADE" w:rsidRPr="00590BB6">
        <w:fldChar w:fldCharType="separate"/>
      </w:r>
      <w:r w:rsidR="006F44A7" w:rsidRPr="00590BB6">
        <w:rPr>
          <w:noProof/>
        </w:rPr>
        <w:t>[34]</w:t>
      </w:r>
      <w:r w:rsidR="000B0ADE" w:rsidRPr="00590BB6">
        <w:fldChar w:fldCharType="end"/>
      </w:r>
      <w:r w:rsidR="000B0ADE" w:rsidRPr="00590BB6">
        <w:t>.</w:t>
      </w:r>
    </w:p>
    <w:p w14:paraId="5D1D87F0" w14:textId="77777777" w:rsidR="000B0ADE" w:rsidRPr="00590BB6" w:rsidRDefault="000B0ADE" w:rsidP="00161800">
      <w:pPr>
        <w:spacing w:after="0" w:line="360" w:lineRule="auto"/>
        <w:jc w:val="both"/>
        <w:rPr>
          <w:rFonts w:cs="Times New Roman"/>
        </w:rPr>
      </w:pPr>
    </w:p>
    <w:p w14:paraId="678AFF08" w14:textId="30AB39F3" w:rsidR="00593A97" w:rsidRPr="00590BB6" w:rsidRDefault="000B0ADE" w:rsidP="00B35DBE">
      <w:pPr>
        <w:spacing w:after="0" w:line="360" w:lineRule="auto"/>
        <w:jc w:val="both"/>
        <w:rPr>
          <w:rFonts w:eastAsiaTheme="minorEastAsia" w:cs="Times New Roman"/>
        </w:rPr>
      </w:pPr>
      <w:r w:rsidRPr="00590BB6">
        <w:rPr>
          <w:rFonts w:cs="Times New Roman"/>
        </w:rPr>
        <w:t>The freight demand in billion t-km per weight category</w:t>
      </w:r>
      <w:r w:rsidR="00BB0D5F" w:rsidRPr="00590BB6">
        <w:rPr>
          <w:rFonts w:cs="Times New Roman"/>
        </w:rPr>
        <w:t xml:space="preserve"> (e.g., light, medium, and heavy) </w:t>
      </w:r>
      <w:r w:rsidR="003F0D6F">
        <w:rPr>
          <w:rFonts w:eastAsiaTheme="minorEastAsia" w:cs="Times New Roman"/>
        </w:rPr>
        <w:t xml:space="preserve">is shown in </w:t>
      </w:r>
      <w:r w:rsidR="00BB0D5F" w:rsidRPr="00590BB6">
        <w:rPr>
          <w:rFonts w:cs="Times New Roman"/>
        </w:rPr>
        <w:t xml:space="preserve"> </w:t>
      </w:r>
      <w:r w:rsidR="00A644B3" w:rsidRPr="00590BB6">
        <w:rPr>
          <w:rFonts w:cs="Times New Roman"/>
        </w:rPr>
        <w:fldChar w:fldCharType="begin"/>
      </w:r>
      <w:r w:rsidR="00A644B3" w:rsidRPr="00590BB6">
        <w:rPr>
          <w:rFonts w:cs="Times New Roman"/>
        </w:rPr>
        <w:instrText xml:space="preserve"> REF _Ref143128373 \h </w:instrText>
      </w:r>
      <w:r w:rsidR="00590BB6">
        <w:rPr>
          <w:rFonts w:cs="Times New Roman"/>
        </w:rPr>
        <w:instrText xml:space="preserve"> \* MERGEFORMAT </w:instrText>
      </w:r>
      <w:r w:rsidR="00A644B3" w:rsidRPr="00590BB6">
        <w:rPr>
          <w:rFonts w:cs="Times New Roman"/>
        </w:rPr>
      </w:r>
      <w:r w:rsidR="00A644B3" w:rsidRPr="00590BB6">
        <w:rPr>
          <w:rFonts w:cs="Times New Roman"/>
        </w:rPr>
        <w:fldChar w:fldCharType="separate"/>
      </w:r>
      <w:r w:rsidR="00A644B3" w:rsidRPr="00590BB6">
        <w:t xml:space="preserve">Figure </w:t>
      </w:r>
      <w:r w:rsidR="00A644B3" w:rsidRPr="00590BB6">
        <w:rPr>
          <w:noProof/>
        </w:rPr>
        <w:t>4</w:t>
      </w:r>
      <w:r w:rsidR="00A644B3" w:rsidRPr="00590BB6">
        <w:rPr>
          <w:rFonts w:cs="Times New Roman"/>
        </w:rPr>
        <w:fldChar w:fldCharType="end"/>
      </w:r>
      <w:r w:rsidR="003F0D6F">
        <w:rPr>
          <w:rFonts w:cs="Times New Roman"/>
        </w:rPr>
        <w:t xml:space="preserve"> as a function of time.</w:t>
      </w:r>
      <w:r w:rsidRPr="00590BB6">
        <w:rPr>
          <w:rFonts w:cs="Times New Roman"/>
        </w:rPr>
        <w:t xml:space="preserve"> </w:t>
      </w:r>
      <w:r w:rsidR="003F0D6F">
        <w:rPr>
          <w:rFonts w:cs="Times New Roman"/>
        </w:rPr>
        <w:t xml:space="preserve">The trend </w:t>
      </w:r>
      <w:r w:rsidR="00C97235" w:rsidRPr="00590BB6">
        <w:rPr>
          <w:rFonts w:cs="Times New Roman"/>
        </w:rPr>
        <w:t>is</w:t>
      </w:r>
      <w:r w:rsidR="00EC2A6A" w:rsidRPr="00590BB6">
        <w:rPr>
          <w:rFonts w:cs="Times New Roman"/>
        </w:rPr>
        <w:t xml:space="preserve"> consistent with</w:t>
      </w:r>
      <w:r w:rsidRPr="00590BB6">
        <w:rPr>
          <w:rFonts w:cs="Times New Roman"/>
        </w:rPr>
        <w:t xml:space="preserve"> </w:t>
      </w:r>
      <w:r w:rsidR="00EC2A6A" w:rsidRPr="00590BB6">
        <w:rPr>
          <w:rFonts w:cs="Times New Roman"/>
        </w:rPr>
        <w:t>h</w:t>
      </w:r>
      <w:r w:rsidR="00C07169" w:rsidRPr="00590BB6">
        <w:rPr>
          <w:rFonts w:cs="Times New Roman"/>
        </w:rPr>
        <w:t xml:space="preserve">istorical </w:t>
      </w:r>
      <w:r w:rsidR="00C97235" w:rsidRPr="00590BB6">
        <w:rPr>
          <w:rFonts w:cs="Times New Roman"/>
        </w:rPr>
        <w:t xml:space="preserve">(up until 2020) </w:t>
      </w:r>
      <w:r w:rsidR="00C07169" w:rsidRPr="00590BB6">
        <w:rPr>
          <w:rFonts w:cs="Times New Roman"/>
        </w:rPr>
        <w:t>data</w:t>
      </w:r>
      <w:r w:rsidR="00C97235" w:rsidRPr="00590BB6">
        <w:rPr>
          <w:rFonts w:cs="Times New Roman"/>
        </w:rPr>
        <w:t xml:space="preserve"> </w:t>
      </w:r>
      <w:r w:rsidR="00C07169" w:rsidRPr="00590BB6">
        <w:rPr>
          <w:rFonts w:cs="Times New Roman"/>
        </w:rPr>
        <w:t>from E</w:t>
      </w:r>
      <w:r w:rsidRPr="00590BB6">
        <w:rPr>
          <w:rFonts w:cs="Times New Roman"/>
        </w:rPr>
        <w:t>UROSTAT</w:t>
      </w:r>
      <w:r w:rsidR="00C07169" w:rsidRPr="00590BB6">
        <w:rPr>
          <w:rFonts w:cs="Times New Roman"/>
        </w:rPr>
        <w:t xml:space="preserve"> </w:t>
      </w:r>
      <w:r w:rsidR="00C07169" w:rsidRPr="00590BB6">
        <w:rPr>
          <w:rFonts w:cs="Times New Roman"/>
        </w:rPr>
        <w:fldChar w:fldCharType="begin" w:fldLock="1"/>
      </w:r>
      <w:r w:rsidR="006F44A7" w:rsidRPr="00590BB6">
        <w:rPr>
          <w:rFonts w:cs="Times New Roman"/>
        </w:rPr>
        <w:instrText>ADDIN CSL_CITATION {"citationItems":[{"id":"ITEM-1","itemData":{"author":[{"dropping-particle":"","family":"EUROSTAT","given":"","non-dropping-particle":"","parse-names":false,"suffix":""}],"id":"ITEM-1","issued":{"date-parts":[["2022"]]},"title":"Summary of annual road freight transport by type of operation and type of transport (1 000 t, Mio Tkm, Mio Veh-km)","type":"webpage"},"uris":["http://www.mendeley.com/documents/?uuid=78cebdeb-af6f-4de6-93b9-fcc33509c6e3","http://www.mendeley.com/documents/?uuid=f5275920-d9b4-4279-a73d-3bb5c2117532"]}],"mendeley":{"formattedCitation":"[29]","plainTextFormattedCitation":"[29]","previouslyFormattedCitation":"[28]"},"properties":{"noteIndex":0},"schema":"https://github.com/citation-style-language/schema/raw/master/csl-citation.json"}</w:instrText>
      </w:r>
      <w:r w:rsidR="00C07169" w:rsidRPr="00590BB6">
        <w:rPr>
          <w:rFonts w:cs="Times New Roman"/>
        </w:rPr>
        <w:fldChar w:fldCharType="separate"/>
      </w:r>
      <w:r w:rsidR="006F44A7" w:rsidRPr="00590BB6">
        <w:rPr>
          <w:rFonts w:cs="Times New Roman"/>
          <w:noProof/>
        </w:rPr>
        <w:t>[29]</w:t>
      </w:r>
      <w:r w:rsidR="00C07169" w:rsidRPr="00590BB6">
        <w:rPr>
          <w:rFonts w:cs="Times New Roman"/>
        </w:rPr>
        <w:fldChar w:fldCharType="end"/>
      </w:r>
      <w:r w:rsidR="00C97235" w:rsidRPr="00590BB6">
        <w:rPr>
          <w:rFonts w:cs="Times New Roman"/>
        </w:rPr>
        <w:t>, with</w:t>
      </w:r>
      <w:r w:rsidRPr="00590BB6">
        <w:rPr>
          <w:rFonts w:cs="Times New Roman"/>
        </w:rPr>
        <w:t xml:space="preserve"> </w:t>
      </w:r>
      <w:r w:rsidR="00C97235" w:rsidRPr="00590BB6">
        <w:rPr>
          <w:rFonts w:cs="Times New Roman"/>
        </w:rPr>
        <w:t>post-</w:t>
      </w:r>
      <w:r w:rsidR="00EC2A6A" w:rsidRPr="00590BB6">
        <w:rPr>
          <w:rFonts w:cs="Times New Roman"/>
        </w:rPr>
        <w:t xml:space="preserve">COVID-19 </w:t>
      </w:r>
      <w:r w:rsidR="00C97235" w:rsidRPr="00590BB6">
        <w:rPr>
          <w:rFonts w:cs="Times New Roman"/>
        </w:rPr>
        <w:t>rebound effects (</w:t>
      </w:r>
      <w:r w:rsidR="00EC2A6A" w:rsidRPr="00590BB6">
        <w:rPr>
          <w:rFonts w:cs="Times New Roman"/>
        </w:rPr>
        <w:t xml:space="preserve">up </w:t>
      </w:r>
      <w:r w:rsidR="00C97235" w:rsidRPr="00590BB6">
        <w:rPr>
          <w:rFonts w:cs="Times New Roman"/>
        </w:rPr>
        <w:t>until</w:t>
      </w:r>
      <w:r w:rsidR="00EC2A6A" w:rsidRPr="00590BB6">
        <w:rPr>
          <w:rFonts w:cs="Times New Roman"/>
        </w:rPr>
        <w:t xml:space="preserve"> 2030</w:t>
      </w:r>
      <w:r w:rsidR="00C97235" w:rsidRPr="00590BB6">
        <w:rPr>
          <w:rFonts w:cs="Times New Roman"/>
        </w:rPr>
        <w:t>)</w:t>
      </w:r>
      <w:r w:rsidR="00C07169" w:rsidRPr="00590BB6">
        <w:rPr>
          <w:rFonts w:cs="Times New Roman"/>
        </w:rPr>
        <w:t xml:space="preserve"> </w:t>
      </w:r>
      <w:r w:rsidR="00C07169" w:rsidRPr="00590BB6">
        <w:rPr>
          <w:rFonts w:cs="Times New Roman"/>
        </w:rPr>
        <w:fldChar w:fldCharType="begin" w:fldLock="1"/>
      </w:r>
      <w:r w:rsidR="006F44A7" w:rsidRPr="00590BB6">
        <w:rPr>
          <w:rFonts w:cs="Times New Roman"/>
        </w:rPr>
        <w:instrText>ADDIN CSL_CITATION {"citationItems":[{"id":"ITEM-1","itemData":{"DOI":"10.1016/j.energy.2021.122015","ISSN":"03605442","abstract":"The aim of this paper is to estimate the potential impacts of different COVID-19 scenarios on the Italian energy sector through 2030, with a specific focus on transport and industry. The analysis takes a multi-disciplinary approach to properly consider the complex interactions of sectors across Italy. This approach includes the assessment of economic conditions using macroeconomic and input-output models, modelling the evolution of the energy system using an energy and transport model, and forecasting the reaction of travel demand and modal choice using econometric models and expert interviews. Results show that the effect of COVID-19 pandemic may lead to mid-term effects on energy consumption. The medium scenario, which assumes a stop of the emergency by the end of 2021, shows that energy-related emissions remain 10% lower than the baseline in the industry sector and 6% lower in the transport sector by 2030, when compared with a pre-COVID trend. Policy recommendations to support a green recovery are discussed in light of the results.","author":[{"dropping-particle":"","family":"Bazzana","given":"Davide","non-dropping-particle":"","parse-names":false,"suffix":""},{"dropping-particle":"","family":"Cohen","given":"Jed J.","non-dropping-particle":"","parse-names":false,"suffix":""},{"dropping-particle":"","family":"Golinucci","given":"Nicolò","non-dropping-particle":"","parse-names":false,"suffix":""},{"dropping-particle":"","family":"Hafner","given":"Manfred","non-dropping-particle":"","parse-names":false,"suffix":""},{"dropping-particle":"","family":"Noussan","given":"Michel","non-dropping-particle":"","parse-names":false,"suffix":""},{"dropping-particle":"","family":"Reichl","given":"Johannes","non-dropping-particle":"","parse-names":false,"suffix":""},{"dropping-particle":"","family":"Rocco","given":"Matteo Vincenzo","non-dropping-particle":"","parse-names":false,"suffix":""},{"dropping-particle":"","family":"Sciullo","given":"Alessandro","non-dropping-particle":"","parse-names":false,"suffix":""},{"dropping-particle":"","family":"Vergalli","given":"Sergio","non-dropping-particle":"","parse-names":false,"suffix":""}],"container-title":"Energy","id":"ITEM-1","issued":{"date-parts":[["2022","1"]]},"page":"122015","title":"A multi-disciplinary approach to estimate the medium-term impact of COVID-19 on transport and energy: A case study for Italy","type":"article-journal","volume":"238"},"uris":["http://www.mendeley.com/documents/?uuid=9e941213-df2e-414a-a69b-ec42e5cbda50","http://www.mendeley.com/documents/?uuid=6f0c181d-9790-46a6-a768-5fd9215c4503"]}],"mendeley":{"formattedCitation":"[36]","plainTextFormattedCitation":"[36]","previouslyFormattedCitation":"[35]"},"properties":{"noteIndex":0},"schema":"https://github.com/citation-style-language/schema/raw/master/csl-citation.json"}</w:instrText>
      </w:r>
      <w:r w:rsidR="00C07169" w:rsidRPr="00590BB6">
        <w:rPr>
          <w:rFonts w:cs="Times New Roman"/>
        </w:rPr>
        <w:fldChar w:fldCharType="separate"/>
      </w:r>
      <w:r w:rsidR="006F44A7" w:rsidRPr="00590BB6">
        <w:rPr>
          <w:rFonts w:cs="Times New Roman"/>
          <w:noProof/>
        </w:rPr>
        <w:t>[36]</w:t>
      </w:r>
      <w:r w:rsidR="00C07169" w:rsidRPr="00590BB6">
        <w:rPr>
          <w:rFonts w:cs="Times New Roman"/>
        </w:rPr>
        <w:fldChar w:fldCharType="end"/>
      </w:r>
      <w:r w:rsidR="00C97235" w:rsidRPr="00590BB6">
        <w:rPr>
          <w:rFonts w:cs="Times New Roman"/>
        </w:rPr>
        <w:t>, and</w:t>
      </w:r>
      <w:r w:rsidRPr="00590BB6">
        <w:rPr>
          <w:rFonts w:cs="Times New Roman"/>
        </w:rPr>
        <w:t xml:space="preserve"> </w:t>
      </w:r>
      <w:r w:rsidR="00C97235" w:rsidRPr="00590BB6">
        <w:rPr>
          <w:rFonts w:cs="Times New Roman"/>
        </w:rPr>
        <w:t xml:space="preserve">post-2030 </w:t>
      </w:r>
      <w:r w:rsidRPr="00590BB6">
        <w:rPr>
          <w:rFonts w:cs="Times New Roman"/>
        </w:rPr>
        <w:t>growth</w:t>
      </w:r>
      <w:r w:rsidR="00C07169" w:rsidRPr="00590BB6">
        <w:rPr>
          <w:rFonts w:cs="Times New Roman"/>
        </w:rPr>
        <w:t xml:space="preserve"> rate</w:t>
      </w:r>
      <w:r w:rsidR="00EC2A6A" w:rsidRPr="00590BB6">
        <w:rPr>
          <w:rFonts w:cs="Times New Roman"/>
        </w:rPr>
        <w:t xml:space="preserve">s  </w:t>
      </w:r>
      <w:r w:rsidR="00C97235" w:rsidRPr="00590BB6">
        <w:rPr>
          <w:rFonts w:cs="Times New Roman"/>
        </w:rPr>
        <w:t xml:space="preserve">as </w:t>
      </w:r>
      <w:r w:rsidR="00EC2A6A" w:rsidRPr="00590BB6">
        <w:rPr>
          <w:rFonts w:cs="Times New Roman"/>
        </w:rPr>
        <w:t xml:space="preserve">estimated in </w:t>
      </w:r>
      <w:r w:rsidRPr="00590BB6">
        <w:rPr>
          <w:rFonts w:cs="Times New Roman"/>
        </w:rPr>
        <w:t xml:space="preserve">the </w:t>
      </w:r>
      <w:r w:rsidR="00C07169" w:rsidRPr="00590BB6">
        <w:rPr>
          <w:rFonts w:cs="Times New Roman"/>
        </w:rPr>
        <w:t xml:space="preserve">INECP </w:t>
      </w:r>
      <w:r w:rsidR="00C07169" w:rsidRPr="00590BB6">
        <w:rPr>
          <w:rFonts w:cs="Times New Roman"/>
        </w:rPr>
        <w:fldChar w:fldCharType="begin" w:fldLock="1"/>
      </w:r>
      <w:r w:rsidR="006F44A7" w:rsidRPr="00590BB6">
        <w:rPr>
          <w:rFonts w:cs="Times New Roman"/>
        </w:rPr>
        <w:instrText>ADDIN CSL_CITATION {"citationItems":[{"id":"ITEM-1","itemData":{"author":[{"dropping-particle":"","family":"Ministry of Economic Development","given":"Ministry of the Environment and Protection of Natural Resources and the Sea and Ministry of Infrastructure and Transport","non-dropping-particle":"","parse-names":false,"suffix":""}],"id":"ITEM-1","issue":"December","issued":{"date-parts":[["2019"]]},"title":"INTEGRATED NATIONAL ENERGY AND CLIMATE PLAN","type":"article-journal"},"uris":["http://www.mendeley.com/documents/?uuid=d54a07a1-e890-4466-887f-f5a283ccae32","http://www.mendeley.com/documents/?uuid=d7a97139-9386-4d6c-98f2-f217b6b2b372"]}],"mendeley":{"formattedCitation":"[34]","plainTextFormattedCitation":"[34]","previouslyFormattedCitation":"[33]"},"properties":{"noteIndex":0},"schema":"https://github.com/citation-style-language/schema/raw/master/csl-citation.json"}</w:instrText>
      </w:r>
      <w:r w:rsidR="00C07169" w:rsidRPr="00590BB6">
        <w:rPr>
          <w:rFonts w:cs="Times New Roman"/>
        </w:rPr>
        <w:fldChar w:fldCharType="separate"/>
      </w:r>
      <w:r w:rsidR="006F44A7" w:rsidRPr="00590BB6">
        <w:rPr>
          <w:rFonts w:cs="Times New Roman"/>
          <w:noProof/>
        </w:rPr>
        <w:t>[34]</w:t>
      </w:r>
      <w:r w:rsidR="00C07169" w:rsidRPr="00590BB6">
        <w:rPr>
          <w:rFonts w:cs="Times New Roman"/>
        </w:rPr>
        <w:fldChar w:fldCharType="end"/>
      </w:r>
      <w:r w:rsidRPr="00590BB6">
        <w:rPr>
          <w:rFonts w:cs="Times New Roman"/>
        </w:rPr>
        <w:t>.</w:t>
      </w:r>
      <w:r w:rsidR="00905896" w:rsidRPr="00590BB6">
        <w:rPr>
          <w:rFonts w:cs="Times New Roman"/>
        </w:rPr>
        <w:t xml:space="preserve"> </w:t>
      </w:r>
    </w:p>
    <w:p w14:paraId="18D8BD70" w14:textId="77777777" w:rsidR="00C07169" w:rsidRPr="00590BB6" w:rsidRDefault="00C07169" w:rsidP="00EC2A6A">
      <w:pPr>
        <w:keepNext/>
        <w:spacing w:after="0" w:line="360" w:lineRule="auto"/>
        <w:jc w:val="center"/>
        <w:rPr>
          <w:rFonts w:cs="Times New Roman"/>
        </w:rPr>
      </w:pPr>
      <w:r w:rsidRPr="00590BB6">
        <w:rPr>
          <w:rFonts w:cs="Times New Roman"/>
          <w:noProof/>
          <w:lang w:val="en-US"/>
        </w:rPr>
        <w:lastRenderedPageBreak/>
        <w:drawing>
          <wp:inline distT="0" distB="0" distL="0" distR="0" wp14:anchorId="46DE18B1" wp14:editId="711BDD80">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DE83F50" w14:textId="386B7A7C" w:rsidR="00C07169" w:rsidRPr="00590BB6" w:rsidRDefault="004C610A" w:rsidP="004C610A">
      <w:pPr>
        <w:pStyle w:val="Caption"/>
      </w:pPr>
      <w:bookmarkStart w:id="9" w:name="_Ref143128373"/>
      <w:bookmarkStart w:id="10" w:name="_Ref110620431"/>
      <w:r w:rsidRPr="00590BB6">
        <w:t xml:space="preserve">Figure </w:t>
      </w:r>
      <w:r w:rsidRPr="00590BB6">
        <w:fldChar w:fldCharType="begin"/>
      </w:r>
      <w:r w:rsidRPr="00590BB6">
        <w:instrText xml:space="preserve"> SEQ Figure \* ARABIC </w:instrText>
      </w:r>
      <w:r w:rsidRPr="00590BB6">
        <w:fldChar w:fldCharType="separate"/>
      </w:r>
      <w:r w:rsidR="00A644B3" w:rsidRPr="00590BB6">
        <w:rPr>
          <w:noProof/>
        </w:rPr>
        <w:t>4</w:t>
      </w:r>
      <w:r w:rsidRPr="00590BB6">
        <w:fldChar w:fldCharType="end"/>
      </w:r>
      <w:bookmarkEnd w:id="9"/>
      <w:r w:rsidR="00C07169" w:rsidRPr="00590BB6">
        <w:t>. Final demand per weight category.</w:t>
      </w:r>
      <w:bookmarkEnd w:id="10"/>
    </w:p>
    <w:p w14:paraId="0E2EDD21" w14:textId="77777777" w:rsidR="006916DE" w:rsidRPr="00590BB6" w:rsidRDefault="006916DE" w:rsidP="006916DE"/>
    <w:p w14:paraId="6AD0DF6B" w14:textId="3220360D" w:rsidR="009F2DF7" w:rsidRPr="00590BB6" w:rsidRDefault="001B0FD8" w:rsidP="009F2DF7">
      <w:pPr>
        <w:pStyle w:val="Heading2"/>
        <w:spacing w:after="240" w:line="360" w:lineRule="auto"/>
        <w:rPr>
          <w:rFonts w:cs="Times New Roman"/>
          <w:sz w:val="22"/>
          <w:szCs w:val="22"/>
        </w:rPr>
      </w:pPr>
      <w:bookmarkStart w:id="11" w:name="_Ref116648755"/>
      <w:r w:rsidRPr="00590BB6">
        <w:rPr>
          <w:rFonts w:cs="Times New Roman"/>
          <w:sz w:val="22"/>
          <w:szCs w:val="22"/>
        </w:rPr>
        <w:t>Heavy-duty vehicles</w:t>
      </w:r>
      <w:bookmarkEnd w:id="7"/>
      <w:bookmarkEnd w:id="11"/>
    </w:p>
    <w:p w14:paraId="752B8EEB" w14:textId="0257C204" w:rsidR="003A706E" w:rsidRPr="00590BB6" w:rsidRDefault="00A41275" w:rsidP="009F2DF7">
      <w:pPr>
        <w:spacing w:line="360" w:lineRule="auto"/>
        <w:jc w:val="both"/>
        <w:rPr>
          <w:rFonts w:cs="Times New Roman"/>
        </w:rPr>
      </w:pPr>
      <w:r w:rsidRPr="00590BB6">
        <w:rPr>
          <w:rFonts w:cs="Times New Roman"/>
        </w:rPr>
        <w:t>Being</w:t>
      </w:r>
      <w:r w:rsidR="00545806" w:rsidRPr="00590BB6">
        <w:rPr>
          <w:rFonts w:cs="Times New Roman"/>
        </w:rPr>
        <w:t xml:space="preserve"> MUSE</w:t>
      </w:r>
      <w:r w:rsidR="001B6483" w:rsidRPr="00590BB6">
        <w:rPr>
          <w:rFonts w:cs="Times New Roman"/>
        </w:rPr>
        <w:t xml:space="preserve"> </w:t>
      </w:r>
      <w:r w:rsidR="00A92C2B">
        <w:rPr>
          <w:rFonts w:cs="Times New Roman"/>
        </w:rPr>
        <w:t>a</w:t>
      </w:r>
      <w:r w:rsidR="00545806" w:rsidRPr="00590BB6">
        <w:rPr>
          <w:rFonts w:cs="Times New Roman"/>
        </w:rPr>
        <w:t xml:space="preserve"> bottom-up model, it </w:t>
      </w:r>
      <w:r w:rsidR="001B6483" w:rsidRPr="00590BB6">
        <w:rPr>
          <w:rFonts w:cs="Times New Roman"/>
        </w:rPr>
        <w:t xml:space="preserve">needs a characterisation of the </w:t>
      </w:r>
      <w:r w:rsidR="00545806" w:rsidRPr="00590BB6">
        <w:rPr>
          <w:rFonts w:cs="Times New Roman"/>
        </w:rPr>
        <w:t xml:space="preserve">truck </w:t>
      </w:r>
      <w:r w:rsidR="001B6483" w:rsidRPr="00590BB6">
        <w:rPr>
          <w:rFonts w:cs="Times New Roman"/>
        </w:rPr>
        <w:t xml:space="preserve">technologies </w:t>
      </w:r>
      <w:r w:rsidR="00545806" w:rsidRPr="00590BB6">
        <w:rPr>
          <w:rFonts w:cs="Times New Roman"/>
        </w:rPr>
        <w:t>in terms of costs, fuel usage (efficiencies), and emissions. In this section, the assumptions behind the selection and use of the data are presented</w:t>
      </w:r>
      <w:r w:rsidR="004314FE">
        <w:rPr>
          <w:rFonts w:cs="Times New Roman"/>
        </w:rPr>
        <w:t xml:space="preserve"> </w:t>
      </w:r>
      <w:r w:rsidR="00C95FD0">
        <w:rPr>
          <w:rFonts w:cs="Times New Roman"/>
        </w:rPr>
        <w:t xml:space="preserve">in terms of </w:t>
      </w:r>
      <w:r w:rsidR="004314FE">
        <w:rPr>
          <w:rFonts w:cs="Times New Roman"/>
        </w:rPr>
        <w:t>selection of HDV classes, technology costs, fuel prices, emissions, and carbon price</w:t>
      </w:r>
      <w:r w:rsidR="00545806" w:rsidRPr="00590BB6">
        <w:rPr>
          <w:rFonts w:cs="Times New Roman"/>
        </w:rPr>
        <w:t xml:space="preserve">. The term HDV will be exclusively used to refer to freight transport, although HDVs would comprise also buses and coaches for passenger transport </w:t>
      </w:r>
      <w:r w:rsidR="00545806" w:rsidRPr="00590BB6">
        <w:rPr>
          <w:rFonts w:cs="Times New Roman"/>
        </w:rPr>
        <w:fldChar w:fldCharType="begin" w:fldLock="1"/>
      </w:r>
      <w:r w:rsidR="00545806" w:rsidRPr="00590BB6">
        <w:rPr>
          <w:rFonts w:cs="Times New Roman"/>
        </w:rPr>
        <w:instrText>ADDIN CSL_CITATION {"citationItems":[{"id":"ITEM-1","itemData":{"author":[{"dropping-particle":"","family":"European Comission","given":"","non-dropping-particle":"","parse-names":false,"suffix":""}],"id":"ITEM-1","issue":"May","issued":{"date-parts":[["2014"]]},"page":"1-4","title":"Questions and Answers on the Commission strategy for reducing Heavy-Duty Vehicles' (HDVs) fuel consumption and CO2 emissions","type":"article"},"uris":["http://www.mendeley.com/documents/?uuid=075f6c0e-3e5c-49f3-933e-0886ba293c2f"]}],"mendeley":{"formattedCitation":"[37]","plainTextFormattedCitation":"[37]","previouslyFormattedCitation":"[36]"},"properties":{"noteIndex":0},"schema":"https://github.com/citation-style-language/schema/raw/master/csl-citation.json"}</w:instrText>
      </w:r>
      <w:r w:rsidR="00545806" w:rsidRPr="00590BB6">
        <w:rPr>
          <w:rFonts w:cs="Times New Roman"/>
        </w:rPr>
        <w:fldChar w:fldCharType="separate"/>
      </w:r>
      <w:r w:rsidR="00545806" w:rsidRPr="00590BB6">
        <w:rPr>
          <w:rFonts w:cs="Times New Roman"/>
          <w:noProof/>
        </w:rPr>
        <w:t>[37]</w:t>
      </w:r>
      <w:r w:rsidR="00545806" w:rsidRPr="00590BB6">
        <w:rPr>
          <w:rFonts w:cs="Times New Roman"/>
        </w:rPr>
        <w:fldChar w:fldCharType="end"/>
      </w:r>
      <w:r w:rsidR="00545806" w:rsidRPr="00590BB6">
        <w:rPr>
          <w:rFonts w:cs="Times New Roman"/>
        </w:rPr>
        <w:t>.</w:t>
      </w:r>
    </w:p>
    <w:p w14:paraId="125608A2" w14:textId="2337FB1A" w:rsidR="003A706E" w:rsidRPr="00590BB6" w:rsidRDefault="003A706E" w:rsidP="00A644B3">
      <w:pPr>
        <w:pStyle w:val="Heading3"/>
        <w:spacing w:after="240"/>
      </w:pPr>
      <w:r w:rsidRPr="00590BB6">
        <w:t>Heavy-duty vehicle classes</w:t>
      </w:r>
      <w:r w:rsidR="004314FE">
        <w:t>: decommissioning profile and efficiency</w:t>
      </w:r>
    </w:p>
    <w:p w14:paraId="1BB4B791" w14:textId="52E0B830" w:rsidR="00FA2424" w:rsidRPr="00590BB6" w:rsidRDefault="00545806" w:rsidP="009F2DF7">
      <w:pPr>
        <w:spacing w:line="360" w:lineRule="auto"/>
        <w:jc w:val="both"/>
        <w:rPr>
          <w:rFonts w:cs="Times New Roman"/>
        </w:rPr>
      </w:pPr>
      <w:r w:rsidRPr="00590BB6">
        <w:rPr>
          <w:rFonts w:cs="Times New Roman"/>
        </w:rPr>
        <w:t xml:space="preserve">Although the </w:t>
      </w:r>
      <w:r w:rsidR="00561EE4" w:rsidRPr="00590BB6">
        <w:rPr>
          <w:rFonts w:cs="Times New Roman"/>
        </w:rPr>
        <w:t xml:space="preserve">European Commission </w:t>
      </w:r>
      <w:r w:rsidR="00744ECE" w:rsidRPr="00590BB6">
        <w:rPr>
          <w:rFonts w:cs="Times New Roman"/>
        </w:rPr>
        <w:t>guidelines for reducing</w:t>
      </w:r>
      <w:r w:rsidR="00561EE4" w:rsidRPr="00590BB6">
        <w:rPr>
          <w:rFonts w:cs="Times New Roman"/>
        </w:rPr>
        <w:t xml:space="preserve"> CO</w:t>
      </w:r>
      <w:r w:rsidR="00561EE4" w:rsidRPr="00590BB6">
        <w:rPr>
          <w:rFonts w:cs="Times New Roman"/>
          <w:vertAlign w:val="subscript"/>
        </w:rPr>
        <w:t>2</w:t>
      </w:r>
      <w:r w:rsidR="00561EE4" w:rsidRPr="00590BB6">
        <w:rPr>
          <w:rFonts w:cs="Times New Roman"/>
        </w:rPr>
        <w:t xml:space="preserve"> emissions</w:t>
      </w:r>
      <w:r w:rsidR="00FA2424" w:rsidRPr="00590BB6">
        <w:rPr>
          <w:rFonts w:cs="Times New Roman"/>
        </w:rPr>
        <w:t xml:space="preserve"> use a</w:t>
      </w:r>
      <w:r w:rsidR="00744ECE" w:rsidRPr="00590BB6">
        <w:rPr>
          <w:rFonts w:cs="Times New Roman"/>
        </w:rPr>
        <w:t xml:space="preserve"> truck classification </w:t>
      </w:r>
      <w:r w:rsidR="00FA2424" w:rsidRPr="00590BB6">
        <w:rPr>
          <w:rFonts w:cs="Times New Roman"/>
        </w:rPr>
        <w:t xml:space="preserve">based on </w:t>
      </w:r>
      <w:r w:rsidR="00744ECE" w:rsidRPr="00590BB6">
        <w:rPr>
          <w:rFonts w:cs="Times New Roman"/>
        </w:rPr>
        <w:t>drive configurations and uses</w:t>
      </w:r>
      <w:r w:rsidR="00561EE4" w:rsidRPr="00590BB6">
        <w:rPr>
          <w:rFonts w:cs="Times New Roman"/>
        </w:rPr>
        <w:t xml:space="preserve"> </w:t>
      </w:r>
      <w:r w:rsidR="00561EE4" w:rsidRPr="00590BB6">
        <w:rPr>
          <w:rFonts w:cs="Times New Roman"/>
        </w:rPr>
        <w:fldChar w:fldCharType="begin" w:fldLock="1"/>
      </w:r>
      <w:r w:rsidR="006F44A7" w:rsidRPr="00590BB6">
        <w:rPr>
          <w:rFonts w:cs="Times New Roman"/>
        </w:rPr>
        <w:instrText>ADDIN CSL_CITATION {"citationItems":[{"id":"ITEM-1","itemData":{"abstract":"Directive 2003/71/EC of the European Parliament and of the Council of 4 November 2003 on the prospectus to be published when securities are offered to the public or admitted to trading and amending Directive 2001/34/EC, OJ L 345/64 31 December 2003.","author":[{"dropping-particle":"","family":"The European Parliament and the Council of the European Union","given":"","non-dropping-particle":"","parse-names":false,"suffix":""}],"container-title":"Official Journal of the European Union","id":"ITEM-1","issue":"582","issued":{"date-parts":[["2017"]]},"title":"Commission Regulation (EU) No 2017/2400","type":"article-journal","volume":"349"},"uris":["http://www.mendeley.com/documents/?uuid=67dd9d63-4f47-46a9-b324-491ab43e85e8"]}],"mendeley":{"formattedCitation":"[38]","plainTextFormattedCitation":"[38]","previouslyFormattedCitation":"[37]"},"properties":{"noteIndex":0},"schema":"https://github.com/citation-style-language/schema/raw/master/csl-citation.json"}</w:instrText>
      </w:r>
      <w:r w:rsidR="00561EE4" w:rsidRPr="00590BB6">
        <w:rPr>
          <w:rFonts w:cs="Times New Roman"/>
        </w:rPr>
        <w:fldChar w:fldCharType="separate"/>
      </w:r>
      <w:r w:rsidR="006F44A7" w:rsidRPr="00590BB6">
        <w:rPr>
          <w:rFonts w:cs="Times New Roman"/>
          <w:noProof/>
        </w:rPr>
        <w:t>[38]</w:t>
      </w:r>
      <w:r w:rsidR="00561EE4" w:rsidRPr="00590BB6">
        <w:rPr>
          <w:rFonts w:cs="Times New Roman"/>
        </w:rPr>
        <w:fldChar w:fldCharType="end"/>
      </w:r>
      <w:r w:rsidRPr="00590BB6">
        <w:rPr>
          <w:rFonts w:cs="Times New Roman"/>
        </w:rPr>
        <w:t>,</w:t>
      </w:r>
      <w:r w:rsidR="00D44E74" w:rsidRPr="00590BB6">
        <w:rPr>
          <w:rFonts w:cs="Times New Roman"/>
        </w:rPr>
        <w:t xml:space="preserve"> </w:t>
      </w:r>
      <w:r w:rsidR="00FA2424" w:rsidRPr="00590BB6">
        <w:rPr>
          <w:rFonts w:cs="Times New Roman"/>
        </w:rPr>
        <w:t>due to a lack of comprehensive databases</w:t>
      </w:r>
      <w:r w:rsidR="00520B26">
        <w:rPr>
          <w:rFonts w:cs="Times New Roman"/>
        </w:rPr>
        <w:t xml:space="preserve"> including the required technoeconomic information</w:t>
      </w:r>
      <w:r w:rsidR="00FA2424" w:rsidRPr="00590BB6">
        <w:rPr>
          <w:rFonts w:cs="Times New Roman"/>
        </w:rPr>
        <w:t xml:space="preserve">, this work </w:t>
      </w:r>
      <w:r w:rsidR="00C01704" w:rsidRPr="00590BB6">
        <w:rPr>
          <w:rFonts w:cs="Times New Roman"/>
        </w:rPr>
        <w:t>uses a reduced number of</w:t>
      </w:r>
      <w:r w:rsidR="00FA2424" w:rsidRPr="00590BB6">
        <w:rPr>
          <w:rFonts w:cs="Times New Roman"/>
        </w:rPr>
        <w:t xml:space="preserve"> vehicle class</w:t>
      </w:r>
      <w:r w:rsidR="00C01704" w:rsidRPr="00590BB6">
        <w:rPr>
          <w:rFonts w:cs="Times New Roman"/>
        </w:rPr>
        <w:t>e</w:t>
      </w:r>
      <w:r w:rsidR="00FA2424" w:rsidRPr="00590BB6">
        <w:rPr>
          <w:rFonts w:cs="Times New Roman"/>
        </w:rPr>
        <w:t>s</w:t>
      </w:r>
      <w:r w:rsidR="00520B26">
        <w:rPr>
          <w:rFonts w:cs="Times New Roman"/>
        </w:rPr>
        <w:t xml:space="preserve">. However, the approach </w:t>
      </w:r>
      <w:r w:rsidR="00FA2424" w:rsidRPr="00590BB6">
        <w:rPr>
          <w:rFonts w:cs="Times New Roman"/>
        </w:rPr>
        <w:t>still captur</w:t>
      </w:r>
      <w:r w:rsidR="00520B26">
        <w:rPr>
          <w:rFonts w:cs="Times New Roman"/>
        </w:rPr>
        <w:t>es</w:t>
      </w:r>
      <w:r w:rsidR="00FA2424" w:rsidRPr="00590BB6">
        <w:rPr>
          <w:rFonts w:cs="Times New Roman"/>
        </w:rPr>
        <w:t xml:space="preserve"> the main drivers of the demand growth and the levers on emission reduction</w:t>
      </w:r>
      <w:r w:rsidR="00C01704" w:rsidRPr="00590BB6">
        <w:rPr>
          <w:rFonts w:cs="Times New Roman"/>
        </w:rPr>
        <w:t xml:space="preserve"> </w:t>
      </w:r>
      <w:r w:rsidR="00520B26">
        <w:rPr>
          <w:rFonts w:cs="Times New Roman"/>
        </w:rPr>
        <w:t>using</w:t>
      </w:r>
      <w:r w:rsidR="00C01704" w:rsidRPr="00590BB6">
        <w:rPr>
          <w:rFonts w:cs="Times New Roman"/>
        </w:rPr>
        <w:t xml:space="preserve"> the following hypotheses.</w:t>
      </w:r>
    </w:p>
    <w:p w14:paraId="299178F1" w14:textId="58C1F04A" w:rsidR="00593A97" w:rsidRPr="00590BB6" w:rsidRDefault="00744ECE" w:rsidP="00FA2424">
      <w:pPr>
        <w:pStyle w:val="ListParagraph"/>
        <w:numPr>
          <w:ilvl w:val="0"/>
          <w:numId w:val="51"/>
        </w:numPr>
        <w:spacing w:line="360" w:lineRule="auto"/>
        <w:jc w:val="both"/>
        <w:rPr>
          <w:rFonts w:cs="Times New Roman"/>
        </w:rPr>
      </w:pPr>
      <w:r w:rsidRPr="00590BB6">
        <w:rPr>
          <w:rFonts w:cs="Times New Roman"/>
        </w:rPr>
        <w:t>As</w:t>
      </w:r>
      <w:r w:rsidR="00561EE4" w:rsidRPr="00590BB6">
        <w:rPr>
          <w:rFonts w:cs="Times New Roman"/>
        </w:rPr>
        <w:t xml:space="preserve"> </w:t>
      </w:r>
      <w:r w:rsidRPr="00590BB6">
        <w:rPr>
          <w:rFonts w:cs="Times New Roman"/>
        </w:rPr>
        <w:t xml:space="preserve"> </w:t>
      </w:r>
      <w:r w:rsidR="00561EE4" w:rsidRPr="00590BB6">
        <w:rPr>
          <w:rFonts w:cs="Times New Roman"/>
        </w:rPr>
        <w:t>c</w:t>
      </w:r>
      <w:r w:rsidR="009F2DF7" w:rsidRPr="00590BB6">
        <w:rPr>
          <w:rFonts w:cs="Times New Roman"/>
        </w:rPr>
        <w:t xml:space="preserve">ommercial </w:t>
      </w:r>
      <w:r w:rsidRPr="00590BB6">
        <w:rPr>
          <w:rFonts w:cs="Times New Roman"/>
        </w:rPr>
        <w:t xml:space="preserve">and industrial </w:t>
      </w:r>
      <w:r w:rsidR="009F2DF7" w:rsidRPr="00590BB6">
        <w:rPr>
          <w:rFonts w:cs="Times New Roman"/>
        </w:rPr>
        <w:t>vehicles are graded by the</w:t>
      </w:r>
      <w:r w:rsidR="00561EE4" w:rsidRPr="00590BB6">
        <w:rPr>
          <w:rFonts w:cs="Times New Roman"/>
        </w:rPr>
        <w:t>ir</w:t>
      </w:r>
      <w:r w:rsidR="009F2DF7" w:rsidRPr="00590BB6">
        <w:rPr>
          <w:rFonts w:cs="Times New Roman"/>
        </w:rPr>
        <w:t xml:space="preserve"> maximum loaded weight limit</w:t>
      </w:r>
      <w:r w:rsidR="00561EE4" w:rsidRPr="00590BB6">
        <w:rPr>
          <w:rFonts w:cs="Times New Roman"/>
        </w:rPr>
        <w:t>,</w:t>
      </w:r>
      <w:r w:rsidR="009F2DF7" w:rsidRPr="00590BB6">
        <w:rPr>
          <w:rFonts w:cs="Times New Roman"/>
        </w:rPr>
        <w:t xml:space="preserve"> </w:t>
      </w:r>
      <w:r w:rsidR="008C5670" w:rsidRPr="00590BB6">
        <w:rPr>
          <w:rFonts w:cs="Times New Roman"/>
        </w:rPr>
        <w:t>in this work, freight HDVs are modelled</w:t>
      </w:r>
      <w:r w:rsidR="00561EE4" w:rsidRPr="00590BB6">
        <w:rPr>
          <w:rFonts w:cs="Times New Roman"/>
        </w:rPr>
        <w:t xml:space="preserve"> into three categories, namely “light” for vehicles not exceeding 3.5 tonnes, “medium” for vehicles up to 12 tonnes, and “heavy” for heavier vehicles </w:t>
      </w:r>
      <w:r w:rsidR="00561EE4" w:rsidRPr="00590BB6">
        <w:rPr>
          <w:rFonts w:cs="Times New Roman"/>
        </w:rPr>
        <w:fldChar w:fldCharType="begin" w:fldLock="1"/>
      </w:r>
      <w:r w:rsidR="006F44A7" w:rsidRPr="00590BB6">
        <w:rPr>
          <w:rFonts w:cs="Times New Roman"/>
        </w:rPr>
        <w:instrText>ADDIN CSL_CITATION {"citationItems":[{"id":"ITEM-1","itemData":{"author":[{"dropping-particle":"","family":"ANFIA","given":"","non-dropping-particle":"","parse-names":false,"suffix":""},{"dropping-particle":"","family":"ACI","given":"","non-dropping-particle":"","parse-names":false,"suffix":""}],"id":"ITEM-1","issued":{"date-parts":[["2013"]]},"title":"Trasporto merci su strada. Analisi economico-statistica delle potenzialità e criticità di un settore strategico per lo sviluppo sostenibile","type":"article-journal"},"uris":["http://www.mendeley.com/documents/?uuid=78419feb-a058-4a0c-8ea3-473706b01229","http://www.mendeley.com/documents/?uuid=58fc671c-6f49-4c03-8640-cf9f7fe0c89f"]}],"mendeley":{"formattedCitation":"[39]","plainTextFormattedCitation":"[39]","previouslyFormattedCitation":"[38]"},"properties":{"noteIndex":0},"schema":"https://github.com/citation-style-language/schema/raw/master/csl-citation.json"}</w:instrText>
      </w:r>
      <w:r w:rsidR="00561EE4" w:rsidRPr="00590BB6">
        <w:rPr>
          <w:rFonts w:cs="Times New Roman"/>
        </w:rPr>
        <w:fldChar w:fldCharType="separate"/>
      </w:r>
      <w:r w:rsidR="006F44A7" w:rsidRPr="00590BB6">
        <w:rPr>
          <w:rFonts w:cs="Times New Roman"/>
          <w:noProof/>
        </w:rPr>
        <w:t>[39]</w:t>
      </w:r>
      <w:r w:rsidR="00561EE4" w:rsidRPr="00590BB6">
        <w:rPr>
          <w:rFonts w:cs="Times New Roman"/>
        </w:rPr>
        <w:fldChar w:fldCharType="end"/>
      </w:r>
      <w:r w:rsidR="008C5670" w:rsidRPr="00590BB6">
        <w:rPr>
          <w:rStyle w:val="FootnoteReference"/>
          <w:rFonts w:cs="Times New Roman"/>
        </w:rPr>
        <w:footnoteReference w:id="8"/>
      </w:r>
      <w:r w:rsidRPr="00590BB6">
        <w:rPr>
          <w:rFonts w:cs="Times New Roman"/>
        </w:rPr>
        <w:t>.</w:t>
      </w:r>
      <w:r w:rsidR="00FA2424" w:rsidRPr="00590BB6">
        <w:rPr>
          <w:rFonts w:cs="Times New Roman"/>
        </w:rPr>
        <w:t xml:space="preserve"> This aligns with vehicle registration statistics [10], national statistics [10], and integrated assessment modelling conventions [31].</w:t>
      </w:r>
    </w:p>
    <w:p w14:paraId="2F98FC2B" w14:textId="48B60240" w:rsidR="00561EE4" w:rsidRPr="00590BB6" w:rsidRDefault="008C5670" w:rsidP="00FA2424">
      <w:pPr>
        <w:pStyle w:val="ListParagraph"/>
        <w:numPr>
          <w:ilvl w:val="0"/>
          <w:numId w:val="51"/>
        </w:numPr>
        <w:spacing w:line="360" w:lineRule="auto"/>
        <w:jc w:val="both"/>
        <w:rPr>
          <w:rFonts w:cs="Times New Roman"/>
        </w:rPr>
      </w:pPr>
      <w:r w:rsidRPr="00590BB6">
        <w:rPr>
          <w:rFonts w:cs="Times New Roman"/>
        </w:rPr>
        <w:t xml:space="preserve">Although the purpose of the trips is </w:t>
      </w:r>
      <w:r w:rsidR="00DA7DCD" w:rsidRPr="00590BB6">
        <w:rPr>
          <w:rFonts w:cs="Times New Roman"/>
        </w:rPr>
        <w:t xml:space="preserve">not explicitly modelled, each </w:t>
      </w:r>
      <w:r w:rsidR="00FA2424" w:rsidRPr="00590BB6">
        <w:rPr>
          <w:rFonts w:cs="Times New Roman"/>
        </w:rPr>
        <w:t>truck</w:t>
      </w:r>
      <w:r w:rsidR="00DA7DCD" w:rsidRPr="00590BB6">
        <w:rPr>
          <w:rFonts w:cs="Times New Roman"/>
        </w:rPr>
        <w:t xml:space="preserve"> class is assigned a </w:t>
      </w:r>
      <w:r w:rsidR="00FA2424" w:rsidRPr="00590BB6">
        <w:rPr>
          <w:rFonts w:cs="Times New Roman"/>
        </w:rPr>
        <w:t>distance travelled. Accordingly</w:t>
      </w:r>
      <w:r w:rsidR="00561EE4" w:rsidRPr="00590BB6">
        <w:rPr>
          <w:rFonts w:cs="Times New Roman"/>
        </w:rPr>
        <w:t xml:space="preserve">, heavy trucks are assumed to travel 52,000 km/year, medium trucks 37,000 </w:t>
      </w:r>
      <w:r w:rsidR="00561EE4" w:rsidRPr="00590BB6">
        <w:rPr>
          <w:rFonts w:cs="Times New Roman"/>
        </w:rPr>
        <w:lastRenderedPageBreak/>
        <w:t xml:space="preserve">km/year, and light trucks 13,000 km/year [40]. Also, it was assumed that 15-25% of kilometres driven were empty (i.e., empty load) while non-empty kilometres were 36% underutilized [56], which results in an average payload equal to 0.77, 3.48, and 19.97 tonnes for light, medium, and heavy trucks, respectively. In other words, the following average freight capacities were considered: 1,038,336 t-km/year for heavy trucks, 128,819 t-km/year for medium trucks, and 9,984 t-km/year for light trucks. </w:t>
      </w:r>
    </w:p>
    <w:p w14:paraId="384AF511" w14:textId="1206E3A7" w:rsidR="00FA2424" w:rsidRPr="00590BB6" w:rsidRDefault="00FA2424" w:rsidP="00FA2424">
      <w:pPr>
        <w:spacing w:line="360" w:lineRule="auto"/>
        <w:ind w:left="360"/>
        <w:jc w:val="both"/>
        <w:rPr>
          <w:rFonts w:cs="Times New Roman"/>
        </w:rPr>
      </w:pPr>
      <w:r w:rsidRPr="00590BB6">
        <w:rPr>
          <w:rFonts w:cs="Times New Roman"/>
        </w:rPr>
        <w:t>CO</w:t>
      </w:r>
      <w:r w:rsidRPr="00590BB6">
        <w:rPr>
          <w:rFonts w:cs="Times New Roman"/>
          <w:vertAlign w:val="subscript"/>
        </w:rPr>
        <w:t>2</w:t>
      </w:r>
      <w:r w:rsidRPr="00590BB6">
        <w:rPr>
          <w:rFonts w:cs="Times New Roman"/>
        </w:rPr>
        <w:t xml:space="preserve"> emissions are modelled building a correlation with the </w:t>
      </w:r>
      <w:r w:rsidR="00EC04B5">
        <w:rPr>
          <w:rFonts w:cs="Times New Roman"/>
        </w:rPr>
        <w:t>fuel usage (</w:t>
      </w:r>
      <w:r w:rsidRPr="00590BB6">
        <w:rPr>
          <w:rFonts w:cs="Times New Roman"/>
        </w:rPr>
        <w:t>efficienc</w:t>
      </w:r>
      <w:r w:rsidR="00EC04B5">
        <w:rPr>
          <w:rFonts w:cs="Times New Roman"/>
        </w:rPr>
        <w:t>y)</w:t>
      </w:r>
      <w:r w:rsidRPr="00590BB6">
        <w:rPr>
          <w:rFonts w:cs="Times New Roman"/>
        </w:rPr>
        <w:t>.</w:t>
      </w:r>
    </w:p>
    <w:p w14:paraId="36D96A2C" w14:textId="24993F8A" w:rsidR="00FA2424" w:rsidRPr="00590BB6" w:rsidRDefault="00561EE4" w:rsidP="00FA2424">
      <w:pPr>
        <w:pStyle w:val="ListParagraph"/>
        <w:numPr>
          <w:ilvl w:val="0"/>
          <w:numId w:val="52"/>
        </w:numPr>
        <w:spacing w:line="360" w:lineRule="auto"/>
        <w:jc w:val="both"/>
        <w:rPr>
          <w:rFonts w:cs="Times New Roman"/>
        </w:rPr>
      </w:pPr>
      <w:r w:rsidRPr="00590BB6">
        <w:rPr>
          <w:rFonts w:cs="Times New Roman"/>
        </w:rPr>
        <w:t xml:space="preserve">Besides weight, HDV technologies </w:t>
      </w:r>
      <w:r w:rsidR="00F90E91" w:rsidRPr="00590BB6">
        <w:rPr>
          <w:rFonts w:cs="Times New Roman"/>
        </w:rPr>
        <w:t>were</w:t>
      </w:r>
      <w:r w:rsidRPr="00590BB6">
        <w:rPr>
          <w:rFonts w:cs="Times New Roman"/>
        </w:rPr>
        <w:t xml:space="preserve"> dependent on their fuel preferences, namely, d</w:t>
      </w:r>
      <w:r w:rsidR="009F2DF7" w:rsidRPr="00590BB6">
        <w:rPr>
          <w:rFonts w:cs="Times New Roman"/>
        </w:rPr>
        <w:t>iesel, gasoline and hybrid-gasoline, liquefied petroleum gas (LPG), electricity, hydrogen, and natural gas</w:t>
      </w:r>
      <w:r w:rsidR="00E55EBF" w:rsidRPr="00590BB6">
        <w:rPr>
          <w:rFonts w:cs="Times New Roman"/>
        </w:rPr>
        <w:t xml:space="preserve">. </w:t>
      </w:r>
      <w:r w:rsidR="00376657" w:rsidRPr="00590BB6">
        <w:rPr>
          <w:rFonts w:cs="Times New Roman"/>
        </w:rPr>
        <w:t xml:space="preserve">The category ‘natural gas’ represents </w:t>
      </w:r>
      <w:r w:rsidRPr="00590BB6">
        <w:rPr>
          <w:rFonts w:cs="Times New Roman"/>
        </w:rPr>
        <w:t>natural gas vehicles (</w:t>
      </w:r>
      <w:r w:rsidR="00376657" w:rsidRPr="00590BB6">
        <w:rPr>
          <w:rFonts w:cs="Times New Roman"/>
        </w:rPr>
        <w:t>NGVs</w:t>
      </w:r>
      <w:r w:rsidRPr="00590BB6">
        <w:rPr>
          <w:rFonts w:cs="Times New Roman"/>
        </w:rPr>
        <w:t>)</w:t>
      </w:r>
      <w:r w:rsidR="00376657" w:rsidRPr="00590BB6">
        <w:rPr>
          <w:rFonts w:cs="Times New Roman"/>
        </w:rPr>
        <w:t xml:space="preserve">, including </w:t>
      </w:r>
      <w:r w:rsidRPr="00590BB6">
        <w:rPr>
          <w:rFonts w:cs="Times New Roman"/>
        </w:rPr>
        <w:t>liquefied natural gas (</w:t>
      </w:r>
      <w:r w:rsidR="00376657" w:rsidRPr="00590BB6">
        <w:rPr>
          <w:rFonts w:cs="Times New Roman"/>
        </w:rPr>
        <w:t>LNG</w:t>
      </w:r>
      <w:r w:rsidRPr="00590BB6">
        <w:rPr>
          <w:rFonts w:cs="Times New Roman"/>
        </w:rPr>
        <w:t>)</w:t>
      </w:r>
      <w:r w:rsidR="00376657" w:rsidRPr="00590BB6">
        <w:rPr>
          <w:rFonts w:cs="Times New Roman"/>
        </w:rPr>
        <w:t xml:space="preserve"> and CNG-fuelled vehicles. </w:t>
      </w:r>
      <w:r w:rsidRPr="00590BB6">
        <w:rPr>
          <w:rFonts w:cs="Times New Roman"/>
        </w:rPr>
        <w:t xml:space="preserve">These fuel technologies were selected based on the current Italian road freight fleet </w:t>
      </w:r>
      <w:r w:rsidRPr="00590BB6">
        <w:rPr>
          <w:rFonts w:cs="Times New Roman"/>
        </w:rPr>
        <w:fldChar w:fldCharType="begin" w:fldLock="1"/>
      </w:r>
      <w:r w:rsidR="006F44A7" w:rsidRPr="00590BB6">
        <w:rPr>
          <w:rFonts w:cs="Times New Roman"/>
        </w:rPr>
        <w:instrText>ADDIN CSL_CITATION {"citationItems":[{"id":"ITEM-1","itemData":{"author":[{"dropping-particle":"","family":"ACI","given":"","non-dropping-particle":"","parse-names":false,"suffix":""}],"id":"ITEM-1","issued":{"date-parts":[["2022"]]},"title":"Open parco veicoli","type":"webpage"},"uris":["http://www.mendeley.com/documents/?uuid=0ee04b61-8879-45e4-a314-dcd8c3b76372","http://www.mendeley.com/documents/?uuid=33c668c6-cc3a-4fdb-a312-83717c9c59fd"]}],"mendeley":{"formattedCitation":"[10]","plainTextFormattedCitation":"[10]","previouslyFormattedCitation":"[9]"},"properties":{"noteIndex":0},"schema":"https://github.com/citation-style-language/schema/raw/master/csl-citation.json"}</w:instrText>
      </w:r>
      <w:r w:rsidRPr="00590BB6">
        <w:rPr>
          <w:rFonts w:cs="Times New Roman"/>
        </w:rPr>
        <w:fldChar w:fldCharType="separate"/>
      </w:r>
      <w:r w:rsidR="006F44A7" w:rsidRPr="00590BB6">
        <w:rPr>
          <w:rFonts w:cs="Times New Roman"/>
          <w:noProof/>
        </w:rPr>
        <w:t>[10]</w:t>
      </w:r>
      <w:r w:rsidRPr="00590BB6">
        <w:rPr>
          <w:rFonts w:cs="Times New Roman"/>
        </w:rPr>
        <w:fldChar w:fldCharType="end"/>
      </w:r>
      <w:r w:rsidRPr="00590BB6">
        <w:rPr>
          <w:rFonts w:cs="Times New Roman"/>
        </w:rPr>
        <w:t xml:space="preserve"> and the potential of alternative fuels to reduce emissions in the sector, as presented in the literature for natural gas </w:t>
      </w:r>
      <w:r w:rsidRPr="00590BB6">
        <w:rPr>
          <w:rFonts w:cs="Times New Roman"/>
        </w:rPr>
        <w:fldChar w:fldCharType="begin" w:fldLock="1"/>
      </w:r>
      <w:r w:rsidR="006F44A7" w:rsidRPr="00590BB6">
        <w:rPr>
          <w:rFonts w:cs="Times New Roman"/>
        </w:rPr>
        <w:instrText>ADDIN CSL_CITATION {"citationItems":[{"id":"ITEM-1","itemData":{"ISBN":"9781907555961","abstract":"This study looks at the prospects for NGVs – both road and marine - in Europe. Despite the potentially promising outlook for NGVs they are concentrated in a relatively small number of countries. Furthermore with the exception of Italy and Ukraine, Europe currently has a relatively small share (just over 10%4) of the global NGV population. To understand how the position of NGVs in Europe might evolve the study will focus on the following key outcomes: To identify the technical, commercial and environmental case for natural gas transportation (NGT) in Europe versus other fuel options To assess the extent and likelihood of the adoption of natural gas as a transportation fuel in the European market To project the long term impact on European gas demand of alternative growth scenarios reflecting increased NGT usage To assess the key policy drivers and structural aspects that could encourage or inhibit the development of the NGT sector in Europe The study is particularly focussed on Europe and the major gas consuming countries within the EU27. Developments in European countries with relatively smaller populations are also noted where they are of particular relevance to growth in the sector – for example Norway and Sweden with regard to shipping. Russia and Ukraine are also included where appropriate in view of these two countries’ importance as gas consumers and the relatively high share of NGVs in Ukraine.Natural gas as a fuel is not a new mode of transport. It is rather an alternative to existing fuels in existing transport modes. In other words if natural gas is to grow in the transportation sector it has to be market led and adapt to the needs of each segment of the market. Natural gas has potential in the following transport sectors: ? Light duty road transport - i.e. cars, taxis and small vans ? Public passenger road transport – primarily urban buses ? Freight transport – this sector can be subdivided into medium duty goods vehicles and heavy duty goods vehicles with the latter being split between urban uses such as ? refuse collection and inter-urban long distance transport Marine shipping and inland waterway transport (IWT) There is also potential in some parts of the world for natural gas in the rail sector. In Europe, which has a high level of railway electrification this is considered less prospective and so has been excluded. The potential for natural gas as a fuel in the aviation sector is also excluded, as it is presently considered to have a ve…","author":[{"dropping-particle":"Le","family":"Fevre","given":"Chris","non-dropping-particle":"","parse-names":false,"suffix":""}],"container-title":"The Oxford Institute for Energy Studies: NG","id":"ITEM-1","issue":"March","issued":{"date-parts":[["2014"]]},"number-of-pages":"109","title":"The Prospects for Natural Gas as a Transport Fuel in Europe","type":"book"},"uris":["http://www.mendeley.com/documents/?uuid=fbab58c2-b11e-4b77-8006-c1477b0b40bc","http://www.mendeley.com/documents/?uuid=ecbe196c-8e44-434f-bad4-164a6d9729cb"]}],"mendeley":{"formattedCitation":"[40]","plainTextFormattedCitation":"[40]","previouslyFormattedCitation":"[39]"},"properties":{"noteIndex":0},"schema":"https://github.com/citation-style-language/schema/raw/master/csl-citation.json"}</w:instrText>
      </w:r>
      <w:r w:rsidRPr="00590BB6">
        <w:rPr>
          <w:rFonts w:cs="Times New Roman"/>
        </w:rPr>
        <w:fldChar w:fldCharType="separate"/>
      </w:r>
      <w:r w:rsidR="006F44A7" w:rsidRPr="00590BB6">
        <w:rPr>
          <w:rFonts w:cs="Times New Roman"/>
          <w:noProof/>
        </w:rPr>
        <w:t>[40]</w:t>
      </w:r>
      <w:r w:rsidRPr="00590BB6">
        <w:rPr>
          <w:rFonts w:cs="Times New Roman"/>
        </w:rPr>
        <w:fldChar w:fldCharType="end"/>
      </w:r>
      <w:r w:rsidRPr="00590BB6">
        <w:rPr>
          <w:rFonts w:cs="Times New Roman"/>
        </w:rPr>
        <w:t xml:space="preserve">, hydrogen fuel-cell vehicles </w:t>
      </w:r>
      <w:r w:rsidRPr="00590BB6">
        <w:rPr>
          <w:rFonts w:cs="Times New Roman"/>
        </w:rPr>
        <w:fldChar w:fldCharType="begin" w:fldLock="1"/>
      </w:r>
      <w:r w:rsidR="006F44A7" w:rsidRPr="00590BB6">
        <w:rPr>
          <w:rFonts w:cs="Times New Roman"/>
        </w:rPr>
        <w:instrText>ADDIN CSL_CITATION {"citationItems":[{"id":"ITEM-1","itemData":{"author":[{"dropping-particle":"","family":"HYUNDAI","given":"","non-dropping-particle":"","parse-names":false,"suffix":""}],"id":"ITEM-1","issued":{"date-parts":[["2022"]]},"title":"Hyundai XCIENT fuel cell trucks","type":"webpage"},"uris":["http://www.mendeley.com/documents/?uuid=f8671be5-bd7a-498b-8a7b-b44744ee26b2","http://www.mendeley.com/documents/?uuid=c66f5b4a-5d64-44cb-911b-5a4799a0f934"]}],"mendeley":{"formattedCitation":"[41]","plainTextFormattedCitation":"[41]","previouslyFormattedCitation":"[40]"},"properties":{"noteIndex":0},"schema":"https://github.com/citation-style-language/schema/raw/master/csl-citation.json"}</w:instrText>
      </w:r>
      <w:r w:rsidRPr="00590BB6">
        <w:rPr>
          <w:rFonts w:cs="Times New Roman"/>
        </w:rPr>
        <w:fldChar w:fldCharType="separate"/>
      </w:r>
      <w:r w:rsidR="006F44A7" w:rsidRPr="00590BB6">
        <w:rPr>
          <w:rFonts w:cs="Times New Roman"/>
          <w:noProof/>
        </w:rPr>
        <w:t>[41]</w:t>
      </w:r>
      <w:r w:rsidRPr="00590BB6">
        <w:rPr>
          <w:rFonts w:cs="Times New Roman"/>
        </w:rPr>
        <w:fldChar w:fldCharType="end"/>
      </w:r>
      <w:r w:rsidRPr="00590BB6">
        <w:rPr>
          <w:rFonts w:cs="Times New Roman"/>
        </w:rPr>
        <w:t xml:space="preserve">, </w:t>
      </w:r>
      <w:r w:rsidR="00B35DBE" w:rsidRPr="00590BB6">
        <w:rPr>
          <w:rFonts w:cs="Times New Roman"/>
        </w:rPr>
        <w:t>BEVs</w:t>
      </w:r>
      <w:r w:rsidRPr="00590BB6">
        <w:rPr>
          <w:rFonts w:cs="Times New Roman"/>
        </w:rPr>
        <w:t xml:space="preserve"> and hybrid vehicles </w:t>
      </w:r>
      <w:r w:rsidRPr="00590BB6">
        <w:rPr>
          <w:rFonts w:cs="Times New Roman"/>
        </w:rPr>
        <w:fldChar w:fldCharType="begin" w:fldLock="1"/>
      </w:r>
      <w:r w:rsidR="006F44A7" w:rsidRPr="00590BB6">
        <w:rPr>
          <w:rFonts w:cs="Times New Roman"/>
        </w:rPr>
        <w:instrText>ADDIN CSL_CITATION {"citationItems":[{"id":"ITEM-1","itemData":{"DOI":"10.1016/j.apenergy.2018.01.058","ISSN":"03062619","abstract":"Road freight transportation is a key enabler of global economic activity while also a central consumer of fossil fuels, which presents a challenge in realising a low-carbon future. To identify feasible decarbonisation solutions, we first assess significant drivers of activity in the road freight sector. We then use these drivers to project road freight service demand, vehicle stock, mileage, sales, final energy demand, and well-to-wheel GHG emissions using the IEA's Mobility Model (MoMo) under two scenarios – the first incorporating the policy ambition of the Nationally Determined Contributions pledged at COP21, and the second extending ambitions to emission reductions that are in line with limiting global temperature rise to 1.75 degrees. In the former scenario, road freight well-to-wheel GHG emissions increase by 56% between 2015 and 2050, while in the latter, sectoral emissions are reduced by 60% over the same period, reflecting our assessment of the threshold of emission reductions potential. This reduction is catalysed by policy efforts including fuel economy regulations, carbon taxes on transport fuels, differentiated distance-based pricing, widespread data-sharing and collaboration across the supply chain as enabled by digital technologies, and sustained investment in ultra-low and zero-carbon infrastructure and research development and deployment.","author":[{"dropping-particle":"","family":"Mulholland","given":"Eamonn","non-dropping-particle":"","parse-names":false,"suffix":""},{"dropping-particle":"","family":"Teter","given":"Jacob","non-dropping-particle":"","parse-names":false,"suffix":""},{"dropping-particle":"","family":"Cazzola","given":"Pierpaolo","non-dropping-particle":"","parse-names":false,"suffix":""},{"dropping-particle":"","family":"McDonald","given":"Zane","non-dropping-particle":"","parse-names":false,"suffix":""},{"dropping-particle":"","family":"Ó Gallachóir","given":"Brian P.","non-dropping-particle":"","parse-names":false,"suffix":""}],"container-title":"Applied Energy","id":"ITEM-1","issue":"January","issued":{"date-parts":[["2018"]]},"page":"678-693","publisher":"Elsevier","title":"The long haul towards decarbonising road freight – A global assessment to 2050","type":"article-journal","volume":"216"},"uris":["http://www.mendeley.com/documents/?uuid=6d9bbeea-ef79-4ae2-a9f4-b8bcc60f21ad","http://www.mendeley.com/documents/?uuid=0e22425c-1a44-4284-ac56-6860a1e03150"]}],"mendeley":{"formattedCitation":"[42]","plainTextFormattedCitation":"[42]","previouslyFormattedCitation":"[41]"},"properties":{"noteIndex":0},"schema":"https://github.com/citation-style-language/schema/raw/master/csl-citation.json"}</w:instrText>
      </w:r>
      <w:r w:rsidRPr="00590BB6">
        <w:rPr>
          <w:rFonts w:cs="Times New Roman"/>
        </w:rPr>
        <w:fldChar w:fldCharType="separate"/>
      </w:r>
      <w:r w:rsidR="006F44A7" w:rsidRPr="00590BB6">
        <w:rPr>
          <w:rFonts w:cs="Times New Roman"/>
          <w:noProof/>
        </w:rPr>
        <w:t>[42]</w:t>
      </w:r>
      <w:r w:rsidRPr="00590BB6">
        <w:rPr>
          <w:rFonts w:cs="Times New Roman"/>
        </w:rPr>
        <w:fldChar w:fldCharType="end"/>
      </w:r>
      <w:r w:rsidRPr="00590BB6">
        <w:rPr>
          <w:rFonts w:cs="Times New Roman"/>
        </w:rPr>
        <w:t>, and LPG</w:t>
      </w:r>
      <w:r w:rsidR="00DA7DCD" w:rsidRPr="00590BB6">
        <w:rPr>
          <w:rFonts w:cs="Times New Roman"/>
        </w:rPr>
        <w:t xml:space="preserve"> [31]</w:t>
      </w:r>
      <w:r w:rsidRPr="00590BB6">
        <w:rPr>
          <w:rFonts w:cs="Times New Roman"/>
        </w:rPr>
        <w:t>. Nonetheless, as gasoline-fuelled vehicles are no longer part of medium and heavy fleets in Italy, except for a small amount of older vehicles</w:t>
      </w:r>
      <w:r w:rsidR="00D81A86" w:rsidRPr="00590BB6">
        <w:rPr>
          <w:rFonts w:cs="Times New Roman"/>
        </w:rPr>
        <w:t xml:space="preserve"> </w:t>
      </w:r>
      <w:r w:rsidR="00D81A86" w:rsidRPr="00590BB6">
        <w:rPr>
          <w:rFonts w:cs="Times New Roman"/>
        </w:rPr>
        <w:fldChar w:fldCharType="begin" w:fldLock="1"/>
      </w:r>
      <w:r w:rsidR="006F44A7" w:rsidRPr="00590BB6">
        <w:rPr>
          <w:rFonts w:cs="Times New Roman"/>
        </w:rPr>
        <w:instrText>ADDIN CSL_CITATION {"citationItems":[{"id":"ITEM-1","itemData":{"author":[{"dropping-particle":"","family":"ACI","given":"","non-dropping-particle":"","parse-names":false,"suffix":""}],"id":"ITEM-1","issued":{"date-parts":[["2022"]]},"title":"Open parco veicoli","type":"webpage"},"uris":["http://www.mendeley.com/documents/?uuid=33c668c6-cc3a-4fdb-a312-83717c9c59fd","http://www.mendeley.com/documents/?uuid=0ee04b61-8879-45e4-a314-dcd8c3b76372"]}],"mendeley":{"formattedCitation":"[10]","plainTextFormattedCitation":"[10]","previouslyFormattedCitation":"[9]"},"properties":{"noteIndex":0},"schema":"https://github.com/citation-style-language/schema/raw/master/csl-citation.json"}</w:instrText>
      </w:r>
      <w:r w:rsidR="00D81A86" w:rsidRPr="00590BB6">
        <w:rPr>
          <w:rFonts w:cs="Times New Roman"/>
        </w:rPr>
        <w:fldChar w:fldCharType="separate"/>
      </w:r>
      <w:r w:rsidR="006F44A7" w:rsidRPr="00590BB6">
        <w:rPr>
          <w:rFonts w:cs="Times New Roman"/>
          <w:noProof/>
        </w:rPr>
        <w:t>[10]</w:t>
      </w:r>
      <w:r w:rsidR="00D81A86" w:rsidRPr="00590BB6">
        <w:rPr>
          <w:rFonts w:cs="Times New Roman"/>
        </w:rPr>
        <w:fldChar w:fldCharType="end"/>
      </w:r>
      <w:r w:rsidRPr="00590BB6">
        <w:rPr>
          <w:rFonts w:cs="Times New Roman"/>
        </w:rPr>
        <w:t>, they were not computed for these weight categories, only for light commercial vehicles. The fuel consumption of these technologies were retrieved from</w:t>
      </w:r>
      <w:r w:rsidR="006916DE" w:rsidRPr="00590BB6">
        <w:rPr>
          <w:rFonts w:cs="Times New Roman"/>
        </w:rPr>
        <w:t xml:space="preserve"> </w:t>
      </w:r>
      <w:proofErr w:type="spellStart"/>
      <w:r w:rsidR="006916DE" w:rsidRPr="00590BB6">
        <w:rPr>
          <w:rFonts w:cs="Times New Roman"/>
        </w:rPr>
        <w:t>Hoekman</w:t>
      </w:r>
      <w:proofErr w:type="spellEnd"/>
      <w:r w:rsidRPr="00590BB6">
        <w:rPr>
          <w:rFonts w:cs="Times New Roman"/>
        </w:rPr>
        <w:t xml:space="preserve"> </w:t>
      </w:r>
      <w:r w:rsidR="006916DE" w:rsidRPr="00590BB6">
        <w:rPr>
          <w:rFonts w:cs="Times New Roman"/>
        </w:rPr>
        <w:fldChar w:fldCharType="begin" w:fldLock="1"/>
      </w:r>
      <w:r w:rsidR="006F44A7" w:rsidRPr="00590BB6">
        <w:rPr>
          <w:rFonts w:cs="Times New Roman"/>
        </w:rPr>
        <w:instrText>ADDIN CSL_CITATION {"citationItems":[{"id":"ITEM-1","itemData":{"DOI":"https://doi.org/10.4271/04-13-01-0005","ISSN":"1946-3952","abstract":"Nitrous oxide (N2O) is both an ozone depleting gas and a potent greenhouse gas (GHG), having a global warming potential (GWP) value nearly 300 times that of carbon dioxide (CO2). While long known to be a trace by-product of combustion, N2O was not considered a pollutant of concern until the introduction of the three-way catalyst (TWC) on light-duty gasoline vehicles in the 1980s. These precious metal-containing catalysts were found to increase N2O emissions substantially. Through extensive research efforts, the effects of catalyst type, temperature, air/fuel ratio, space velocity, and other factors upon N2O emissions became better understood. Although not well documented, N2O emissions from non-catalyst vehicles probably averaged 5-10 mg/mi (on the standard FTP test), while early generation TWC-equipped vehicles exceeded 100 mg/mi. As emissions control systems evolved to meet increasingly stringent criteria pollutant standards, N2O emissions also decreased. Today’s Tier 3 vehicles are required to meet a U.S. Environmental Protection Agency (EPA) N2O tailpipe standard of 10 mg/mi. N2O emissions from diesel engines and vehicles became of concern in the 2000s, when catalytic control devices such as diesel particulate filters (DPFs), lean oxides of nitrogen (NOx) traps (LNTs), and selective catalytic reduction (SCR) units were introduced to control PM and NOx. As with gasoline vehicles, N2O emissions from diesel applications are a balance between N2O formation and destruction within these catalytic devices. Modern U.S. light-duty diesel vehicles must comply with the same 10 mg/mi N2O standard that applies to gasoline vehicles; modern heavy-duty diesel (HDD) engines must comply with EPA’s recently established N2O standard of 100 mg/bhp-hr. The total GWP of motor vehicle exhaust is dominated by CO2 emissions, with N2O contributing only 1-2%. Furthermore, the total mass of N2O emissions from mobile sources is declining - largely due to turnover of the light-duty fleet. Consequently, N2O emissions from motor vehicles do not represent a significant contribution to global GHGs.","author":[{"dropping-particle":"","family":"Hoekman","given":"S Kent","non-dropping-particle":"","parse-names":false,"suffix":""}],"container-title":"SAE International Journal of Fuels and Lubricants","id":"ITEM-1","issue":"1","issued":{"date-parts":[["2020","2"]]},"page":"79-98","title":"Review of Nitrous Oxide (N2O) Emissions from Motor Vehicles","type":"article-journal","volume":"13"},"uris":["http://www.mendeley.com/documents/?uuid=535bd2a2-a355-408a-9da8-904735cc8285","http://www.mendeley.com/documents/?uuid=bd8fa02d-7420-40a7-b19d-012703a6c03d"]}],"mendeley":{"formattedCitation":"[43]","plainTextFormattedCitation":"[43]","previouslyFormattedCitation":"[42]"},"properties":{"noteIndex":0},"schema":"https://github.com/citation-style-language/schema/raw/master/csl-citation.json"}</w:instrText>
      </w:r>
      <w:r w:rsidR="006916DE" w:rsidRPr="00590BB6">
        <w:rPr>
          <w:rFonts w:cs="Times New Roman"/>
        </w:rPr>
        <w:fldChar w:fldCharType="separate"/>
      </w:r>
      <w:r w:rsidR="006F44A7" w:rsidRPr="00590BB6">
        <w:rPr>
          <w:rFonts w:cs="Times New Roman"/>
          <w:noProof/>
        </w:rPr>
        <w:t>[43]</w:t>
      </w:r>
      <w:r w:rsidR="006916DE" w:rsidRPr="00590BB6">
        <w:rPr>
          <w:rFonts w:cs="Times New Roman"/>
        </w:rPr>
        <w:fldChar w:fldCharType="end"/>
      </w:r>
      <w:r w:rsidR="006916DE" w:rsidRPr="00590BB6">
        <w:rPr>
          <w:rFonts w:cs="Times New Roman"/>
        </w:rPr>
        <w:t xml:space="preserve"> </w:t>
      </w:r>
      <w:r w:rsidRPr="00590BB6">
        <w:rPr>
          <w:rFonts w:cs="Times New Roman"/>
        </w:rPr>
        <w:t>and</w:t>
      </w:r>
      <w:r w:rsidR="006916DE" w:rsidRPr="00590BB6">
        <w:rPr>
          <w:rFonts w:cs="Times New Roman"/>
        </w:rPr>
        <w:t xml:space="preserve"> Giarola et al.</w:t>
      </w:r>
      <w:r w:rsidRPr="00590BB6">
        <w:rPr>
          <w:rFonts w:cs="Times New Roman"/>
        </w:rPr>
        <w:t xml:space="preserve"> </w:t>
      </w:r>
      <w:r w:rsidR="006916DE" w:rsidRPr="00590BB6">
        <w:rPr>
          <w:rFonts w:cs="Times New Roman"/>
          <w:color w:val="000000" w:themeColor="text1"/>
        </w:rPr>
        <w:fldChar w:fldCharType="begin" w:fldLock="1"/>
      </w:r>
      <w:r w:rsidR="006F44A7" w:rsidRPr="00590BB6">
        <w:rPr>
          <w:rFonts w:cs="Times New Roman"/>
          <w:color w:val="000000" w:themeColor="text1"/>
        </w:rPr>
        <w:instrText>ADDIN CSL_CITATION {"citationItems":[{"id":"ITEM-1","itemData":{"DOI":"10.1016/j.scitotenv.2021.146861","ISSN":"18791026","PMID":"33872899","abstract":"Harmonisation sets the ground to a solid inter-comparison of integrated assessment models. A clear and transparent harmonisation process promotes a consistent interpretation of the modelling outcomes divergences and, reducing the model variance, is instrumental to the use of integrated assessment models to support policy decision-making. Despite its crucial role for climate economic policies, the definition of a comprehensive harmonisation methodology for integrated assessment modelling remains an open challenge for the scientific community. This paper proposes a framework for a harmonisation methodology with the definition of indispensable steps and recommendations to overcome stumbling blocks in order to reduce the variance of the outcomes which depends on controllable modelling assumptions. The harmonisation approach of the PARIS REINFORCE project is presented here to layout such a framework. A decomposition analysis of the harmonisation process is shown through 6 integrated assessment models (GCAM, ICES-XPS, MUSE, E3ME, GEMINI-E3, and TIAM). Results prove the potentials of the proposed framework to reduce the model variance and present a powerful diagnostic tool to feedback on the quality of the harmonisation itself.","author":[{"dropping-particle":"","family":"Giarola","given":"Sara","non-dropping-particle":"","parse-names":false,"suffix":""},{"dropping-particle":"","family":"Mittal","given":"Shivika","non-dropping-particle":"","parse-names":false,"suffix":""},{"dropping-particle":"","family":"Vielle","given":"Marc","non-dropping-particle":"","parse-names":false,"suffix":""},{"dropping-particle":"","family":"Perdana","given":"Sigit","non-dropping-particle":"","parse-names":false,"suffix":""},{"dropping-particle":"","family":"Campagnolo","given":"Lorenza","non-dropping-particle":"","parse-names":false,"suffix":""},{"dropping-particle":"","family":"Delpiazzo","given":"Elisa","non-dropping-particle":"","parse-names":false,"suffix":""},{"dropping-particle":"","family":"Bui","given":"Ha","non-dropping-particle":"","parse-names":false,"suffix":""},{"dropping-particle":"","family":"Kraavi","given":"Annela Anger","non-dropping-particle":"","parse-names":false,"suffix":""},{"dropping-particle":"","family":"Kolpakov","given":"Andrey","non-dropping-particle":"","parse-names":false,"suffix":""},{"dropping-particle":"","family":"Sognnaes","given":"Ida","non-dropping-particle":"","parse-names":false,"suffix":""},{"dropping-particle":"","family":"Peters","given":"Glen","non-dropping-particle":"","parse-names":false,"suffix":""},{"dropping-particle":"","family":"Hawkes","given":"Adam","non-dropping-particle":"","parse-names":false,"suffix":""},{"dropping-particle":"","family":"Köberle","given":"Alexandre C.","non-dropping-particle":"","parse-names":false,"suffix":""},{"dropping-particle":"","family":"Grant","given":"Neil","non-dropping-particle":"","parse-names":false,"suffix":""},{"dropping-particle":"","family":"Gambhir","given":"Ajay","non-dropping-particle":"","parse-names":false,"suffix":""},{"dropping-particle":"","family":"Nikas","given":"Alexandros","non-dropping-particle":"","parse-names":false,"suffix":""},{"dropping-particle":"","family":"Doukas","given":"Haris","non-dropping-particle":"","parse-names":false,"suffix":""},{"dropping-particle":"","family":"Moreno","given":"Jorge","non-dropping-particle":"","parse-names":false,"suffix":""},{"dropping-particle":"","family":"Ven","given":"Dirk Jan","non-dropping-particle":"van de","parse-names":false,"suffix":""}],"container-title":"Science of the Total Environment","id":"ITEM-1","issued":{"date-parts":[["2021"]]},"title":"Challenges in the harmonisation of global integrated assessment models: A comprehensive methodology to reduce model response heterogeneity","type":"article-journal","volume":"783"},"uris":["http://www.mendeley.com/documents/?uuid=a6d39a07-5ebd-44f4-9816-f21cc9bfcc62"]}],"mendeley":{"formattedCitation":"[31]","plainTextFormattedCitation":"[31]","previouslyFormattedCitation":"[30]"},"properties":{"noteIndex":0},"schema":"https://github.com/citation-style-language/schema/raw/master/csl-citation.json"}</w:instrText>
      </w:r>
      <w:r w:rsidR="006916DE" w:rsidRPr="00590BB6">
        <w:rPr>
          <w:rFonts w:cs="Times New Roman"/>
          <w:color w:val="000000" w:themeColor="text1"/>
        </w:rPr>
        <w:fldChar w:fldCharType="separate"/>
      </w:r>
      <w:r w:rsidR="006F44A7" w:rsidRPr="00590BB6">
        <w:rPr>
          <w:rFonts w:cs="Times New Roman"/>
          <w:noProof/>
          <w:color w:val="000000" w:themeColor="text1"/>
        </w:rPr>
        <w:t>[31]</w:t>
      </w:r>
      <w:r w:rsidR="006916DE" w:rsidRPr="00590BB6">
        <w:rPr>
          <w:rFonts w:cs="Times New Roman"/>
          <w:color w:val="000000" w:themeColor="text1"/>
        </w:rPr>
        <w:fldChar w:fldCharType="end"/>
      </w:r>
      <w:r w:rsidR="00D81A86" w:rsidRPr="00590BB6">
        <w:rPr>
          <w:rFonts w:cs="Times New Roman"/>
          <w:color w:val="000000" w:themeColor="text1"/>
        </w:rPr>
        <w:t>, which</w:t>
      </w:r>
      <w:r w:rsidRPr="00590BB6">
        <w:rPr>
          <w:rFonts w:cs="Times New Roman"/>
        </w:rPr>
        <w:t xml:space="preserve"> are </w:t>
      </w:r>
      <w:r w:rsidR="00A92C2B">
        <w:rPr>
          <w:rFonts w:cs="Times New Roman"/>
        </w:rPr>
        <w:t>r</w:t>
      </w:r>
      <w:r w:rsidR="00D81A86" w:rsidRPr="00590BB6">
        <w:rPr>
          <w:rFonts w:cs="Times New Roman"/>
        </w:rPr>
        <w:t xml:space="preserve">eported in the </w:t>
      </w:r>
      <w:r w:rsidR="00D81A86" w:rsidRPr="00590BB6">
        <w:rPr>
          <w:rFonts w:cs="Times New Roman"/>
          <w:bCs/>
        </w:rPr>
        <w:t xml:space="preserve">Supplementary Material </w:t>
      </w:r>
      <w:r w:rsidR="001301FD" w:rsidRPr="00590BB6">
        <w:rPr>
          <w:rFonts w:cs="Times New Roman"/>
          <w:bCs/>
        </w:rPr>
        <w:t>(Tables S.1, S.2, and S.3</w:t>
      </w:r>
      <w:r w:rsidR="00D81A86" w:rsidRPr="00590BB6">
        <w:rPr>
          <w:rFonts w:cs="Times New Roman"/>
          <w:bCs/>
        </w:rPr>
        <w:t>)</w:t>
      </w:r>
      <w:r w:rsidRPr="00590BB6">
        <w:rPr>
          <w:rFonts w:cs="Times New Roman"/>
          <w:bCs/>
        </w:rPr>
        <w:t>.</w:t>
      </w:r>
      <w:r w:rsidRPr="00590BB6">
        <w:rPr>
          <w:rFonts w:cs="Times New Roman"/>
        </w:rPr>
        <w:t xml:space="preserve"> </w:t>
      </w:r>
    </w:p>
    <w:p w14:paraId="7FC9606F" w14:textId="5EC14360" w:rsidR="00170711" w:rsidRPr="00590BB6" w:rsidRDefault="00593A97" w:rsidP="00170711">
      <w:pPr>
        <w:pStyle w:val="ListParagraph"/>
        <w:numPr>
          <w:ilvl w:val="0"/>
          <w:numId w:val="52"/>
        </w:numPr>
        <w:spacing w:line="360" w:lineRule="auto"/>
        <w:jc w:val="both"/>
        <w:rPr>
          <w:rFonts w:cs="Times New Roman"/>
        </w:rPr>
      </w:pPr>
      <w:r w:rsidRPr="00590BB6">
        <w:rPr>
          <w:rFonts w:cs="Times New Roman"/>
        </w:rPr>
        <w:t>A</w:t>
      </w:r>
      <w:r w:rsidR="00561EE4" w:rsidRPr="00590BB6">
        <w:rPr>
          <w:rFonts w:cs="Times New Roman"/>
        </w:rPr>
        <w:t>dd</w:t>
      </w:r>
      <w:r w:rsidR="00B0247B" w:rsidRPr="00590BB6">
        <w:rPr>
          <w:rFonts w:cs="Times New Roman"/>
        </w:rPr>
        <w:t>i</w:t>
      </w:r>
      <w:r w:rsidR="00561EE4" w:rsidRPr="00590BB6">
        <w:rPr>
          <w:rFonts w:cs="Times New Roman"/>
        </w:rPr>
        <w:t xml:space="preserve">tionally, gasoline and diesel vehicles </w:t>
      </w:r>
      <w:r w:rsidR="00C07828" w:rsidRPr="00590BB6">
        <w:rPr>
          <w:rFonts w:cs="Times New Roman"/>
        </w:rPr>
        <w:t>were</w:t>
      </w:r>
      <w:r w:rsidR="00561EE4" w:rsidRPr="00590BB6">
        <w:rPr>
          <w:rFonts w:cs="Times New Roman"/>
        </w:rPr>
        <w:t xml:space="preserve"> also split into three different efficiency categories</w:t>
      </w:r>
      <w:r w:rsidRPr="00590BB6">
        <w:rPr>
          <w:rFonts w:cs="Times New Roman"/>
        </w:rPr>
        <w:t>:</w:t>
      </w:r>
      <w:r w:rsidR="00E55EBF" w:rsidRPr="00590BB6">
        <w:rPr>
          <w:rFonts w:cs="Times New Roman"/>
        </w:rPr>
        <w:t xml:space="preserve"> standard low</w:t>
      </w:r>
      <w:r w:rsidR="009F2DF7" w:rsidRPr="00590BB6">
        <w:rPr>
          <w:rFonts w:cs="Times New Roman"/>
        </w:rPr>
        <w:t xml:space="preserve"> (SE), medium (ME), and high (HE) efficiency. </w:t>
      </w:r>
    </w:p>
    <w:p w14:paraId="51220451" w14:textId="49E1B500" w:rsidR="00170711" w:rsidRPr="00590BB6" w:rsidRDefault="001B6483" w:rsidP="00170711">
      <w:pPr>
        <w:pStyle w:val="ListParagraph"/>
        <w:numPr>
          <w:ilvl w:val="0"/>
          <w:numId w:val="52"/>
        </w:numPr>
        <w:spacing w:line="360" w:lineRule="auto"/>
        <w:jc w:val="both"/>
        <w:rPr>
          <w:rFonts w:cs="Times New Roman"/>
        </w:rPr>
      </w:pPr>
      <w:r w:rsidRPr="00590BB6">
        <w:rPr>
          <w:rFonts w:cs="Times New Roman"/>
        </w:rPr>
        <w:t>The HDV fleet was assigned to efficiency classes</w:t>
      </w:r>
      <w:r w:rsidR="00586C21">
        <w:rPr>
          <w:rFonts w:cs="Times New Roman"/>
        </w:rPr>
        <w:t>. Efficiency refers to the fuel used by each technology class vehicle to serve a unit of service, measured as (t-km)/y. The e</w:t>
      </w:r>
      <w:r w:rsidR="00586C21" w:rsidRPr="00590BB6">
        <w:rPr>
          <w:rFonts w:cs="Times New Roman"/>
        </w:rPr>
        <w:t xml:space="preserve">fficiency </w:t>
      </w:r>
      <w:proofErr w:type="gramStart"/>
      <w:r w:rsidR="00586C21" w:rsidRPr="00590BB6">
        <w:rPr>
          <w:rFonts w:cs="Times New Roman"/>
        </w:rPr>
        <w:t>classes</w:t>
      </w:r>
      <w:r w:rsidR="00586C21" w:rsidRPr="00590BB6" w:rsidDel="00586C21">
        <w:rPr>
          <w:rFonts w:cs="Times New Roman"/>
        </w:rPr>
        <w:t xml:space="preserve"> </w:t>
      </w:r>
      <w:r w:rsidRPr="00590BB6">
        <w:rPr>
          <w:rFonts w:cs="Times New Roman"/>
        </w:rPr>
        <w:t xml:space="preserve"> </w:t>
      </w:r>
      <w:r w:rsidR="00586C21">
        <w:rPr>
          <w:rFonts w:cs="Times New Roman"/>
        </w:rPr>
        <w:t>of</w:t>
      </w:r>
      <w:proofErr w:type="gramEnd"/>
      <w:r w:rsidR="00586C21">
        <w:rPr>
          <w:rFonts w:cs="Times New Roman"/>
        </w:rPr>
        <w:t xml:space="preserve"> the initial fleet using the </w:t>
      </w:r>
      <w:r w:rsidRPr="00590BB6">
        <w:rPr>
          <w:rFonts w:cs="Times New Roman"/>
        </w:rPr>
        <w:t>date range of registration</w:t>
      </w:r>
      <w:r w:rsidR="00586C21">
        <w:rPr>
          <w:rFonts w:cs="Times New Roman"/>
        </w:rPr>
        <w:t xml:space="preserve"> were mapped</w:t>
      </w:r>
      <w:r w:rsidRPr="00590BB6">
        <w:rPr>
          <w:rFonts w:cs="Times New Roman"/>
        </w:rPr>
        <w:t xml:space="preserve"> to EURO standards</w:t>
      </w:r>
      <w:r w:rsidR="00561EE4" w:rsidRPr="00590BB6">
        <w:rPr>
          <w:rFonts w:cs="Times New Roman"/>
        </w:rPr>
        <w:t xml:space="preserve">. HDVs </w:t>
      </w:r>
      <w:r w:rsidR="009F2DF7" w:rsidRPr="00590BB6">
        <w:rPr>
          <w:rFonts w:cs="Times New Roman"/>
        </w:rPr>
        <w:t xml:space="preserve">classified as EURO </w:t>
      </w:r>
      <w:r w:rsidR="00BE066A" w:rsidRPr="00590BB6">
        <w:rPr>
          <w:rFonts w:cs="Times New Roman"/>
        </w:rPr>
        <w:t>I</w:t>
      </w:r>
      <w:r w:rsidR="009F2DF7" w:rsidRPr="00590BB6">
        <w:rPr>
          <w:rFonts w:cs="Times New Roman"/>
        </w:rPr>
        <w:t xml:space="preserve"> and </w:t>
      </w:r>
      <w:r w:rsidR="00BE066A" w:rsidRPr="00590BB6">
        <w:rPr>
          <w:rFonts w:cs="Times New Roman"/>
        </w:rPr>
        <w:t>II</w:t>
      </w:r>
      <w:r w:rsidR="009F2DF7" w:rsidRPr="00590BB6">
        <w:rPr>
          <w:rFonts w:cs="Times New Roman"/>
        </w:rPr>
        <w:t xml:space="preserve"> were graded as SE, EURO </w:t>
      </w:r>
      <w:r w:rsidR="00BE066A" w:rsidRPr="00590BB6">
        <w:rPr>
          <w:rFonts w:cs="Times New Roman"/>
        </w:rPr>
        <w:t>III</w:t>
      </w:r>
      <w:r w:rsidR="009F2DF7" w:rsidRPr="00590BB6">
        <w:rPr>
          <w:rFonts w:cs="Times New Roman"/>
        </w:rPr>
        <w:t xml:space="preserve"> and </w:t>
      </w:r>
      <w:r w:rsidR="00BE066A" w:rsidRPr="00590BB6">
        <w:rPr>
          <w:rFonts w:cs="Times New Roman"/>
        </w:rPr>
        <w:t>IV</w:t>
      </w:r>
      <w:r w:rsidR="009F2DF7" w:rsidRPr="00590BB6">
        <w:rPr>
          <w:rFonts w:cs="Times New Roman"/>
        </w:rPr>
        <w:t xml:space="preserve"> as ME, and EURO </w:t>
      </w:r>
      <w:r w:rsidR="00BE066A" w:rsidRPr="00590BB6">
        <w:rPr>
          <w:rFonts w:cs="Times New Roman"/>
        </w:rPr>
        <w:t>V</w:t>
      </w:r>
      <w:r w:rsidR="009F2DF7" w:rsidRPr="00590BB6">
        <w:rPr>
          <w:rFonts w:cs="Times New Roman"/>
        </w:rPr>
        <w:t xml:space="preserve"> and </w:t>
      </w:r>
      <w:r w:rsidR="00BE066A" w:rsidRPr="00590BB6">
        <w:rPr>
          <w:rFonts w:cs="Times New Roman"/>
        </w:rPr>
        <w:t>VI</w:t>
      </w:r>
      <w:r w:rsidR="00C07828" w:rsidRPr="00590BB6">
        <w:rPr>
          <w:rFonts w:cs="Times New Roman"/>
        </w:rPr>
        <w:t xml:space="preserve"> </w:t>
      </w:r>
      <w:r w:rsidR="009F2DF7" w:rsidRPr="00590BB6">
        <w:rPr>
          <w:rFonts w:cs="Times New Roman"/>
        </w:rPr>
        <w:t xml:space="preserve">as HE. </w:t>
      </w:r>
      <w:r w:rsidR="00170711" w:rsidRPr="00590BB6">
        <w:rPr>
          <w:rFonts w:cs="Times New Roman"/>
        </w:rPr>
        <w:t>T</w:t>
      </w:r>
      <w:r w:rsidR="00561EE4" w:rsidRPr="00590BB6">
        <w:rPr>
          <w:rFonts w:cs="Times New Roman"/>
        </w:rPr>
        <w:t xml:space="preserve">his </w:t>
      </w:r>
      <w:r w:rsidR="00170711" w:rsidRPr="00590BB6">
        <w:rPr>
          <w:rFonts w:cs="Times New Roman"/>
        </w:rPr>
        <w:t xml:space="preserve">assignment </w:t>
      </w:r>
      <w:r w:rsidR="00561EE4" w:rsidRPr="00590BB6">
        <w:rPr>
          <w:rFonts w:cs="Times New Roman"/>
        </w:rPr>
        <w:t xml:space="preserve">is a simplification, since older HDVs may have been equipped with exhaust after-treatment to reduce </w:t>
      </w:r>
      <w:r w:rsidR="00D81A86" w:rsidRPr="00590BB6">
        <w:rPr>
          <w:rFonts w:cs="Times New Roman"/>
        </w:rPr>
        <w:t>PM and selective catalytic reduction and exhaust gas recirculation to treat NO</w:t>
      </w:r>
      <w:r w:rsidR="00D81A86" w:rsidRPr="00590BB6">
        <w:rPr>
          <w:rFonts w:cs="Times New Roman"/>
          <w:vertAlign w:val="subscript"/>
        </w:rPr>
        <w:t>x</w:t>
      </w:r>
      <w:r w:rsidR="00D81A86" w:rsidRPr="00590BB6">
        <w:rPr>
          <w:rFonts w:cs="Times New Roman"/>
        </w:rPr>
        <w:t xml:space="preserve"> </w:t>
      </w:r>
      <w:r w:rsidR="00D81A86" w:rsidRPr="00590BB6">
        <w:rPr>
          <w:rFonts w:cs="Times New Roman"/>
        </w:rPr>
        <w:fldChar w:fldCharType="begin" w:fldLock="1"/>
      </w:r>
      <w:r w:rsidR="006F44A7" w:rsidRPr="00590BB6">
        <w:rPr>
          <w:rFonts w:cs="Times New Roman"/>
        </w:rPr>
        <w:instrText>ADDIN CSL_CITATION {"citationItems":[{"id":"ITEM-1","itemData":{"abstract":"Progress on reducing greenhouse gas emissions from transport has been relatively slow, with goods transportation and shipping emissions being particularly difficult to address. Local air pollutants arising from vehicles, such as nitrogen oxides, sulphur oxides and particulates, are also a significant concern for human health. Natural gas is an alternative transport fuel which may help reduce these emissions, particularly in shipping and long distance heavy goods transportation. However, there is some disagreement regarding the potential for natural gas to provide significant improvements relative to current transport systems. Global traffic of trucks and ships represents a significant proportion of transport emissions, with road freight representing 7% of global energy related CO2 emissions and shipping representing 2.6% of global emissions in 2015. These emissions are also expected to grow, with some estimates suggesting road freight emission growing by a third, and shipping emissions growing by between 50% and 250% by 2050, largely though increased demand for movement of goods. Decarbonising goods transportation has proved difficult relative to other forms of transport given the relatively long distances that ships and trucks travel. Trucks and ships also contribute significantly to air pollution, through emission of pollutants such as sulphur oxides (SOx), nitrogen oxides (NOx), hydrocarbons and particulate matter. For example, road freight contributes approximately 17% of global NOx emissions, and shipping contributes approximately 13% of global NOx emissions and 12% of global SOx emissions. These pollutants have a known impact on human health, including impacts on lung, heart and brain health. Natural gas has the potential to reduce these air pollution emissions, though as with CO2 there is debate as to the potential of that reduction. The aim of this white paper is to examine the evidence surrounding the use of natural gas as a transport fuel to address greenhouse gas and air pollution emissions in trucks and ships. This includes presenting the evidence on gas engine types, their emissions, technical considerations and costs. The report also discusses other options for emissions mitigation in transport including energy efficiency, after-treatment and other fuel-switching options such as hydrogen fuel cells or battery electric systems. ii","author":[{"dropping-particle":"","family":"Speirs","given":"Jamie","non-dropping-particle":"","parse-names":false,"suffix":""},{"dropping-particle":"","family":"Paul","given":"","non-dropping-particle":"","parse-names":false,"suffix":""},{"dropping-particle":"","family":"Blomerus","given":"Paul","non-dropping-particle":"","parse-names":false,"suffix":""},{"dropping-particle":"","family":"Stettler","given":"Marc","non-dropping-particle":"","parse-names":false,"suffix":""},{"dropping-particle":"","family":"Brandon","given":"Nigel","non-dropping-particle":"","parse-names":false,"suffix":""},{"dropping-particle":"","family":"Hawkes","given":"Adam","non-dropping-particle":"","parse-names":false,"suffix":""}],"id":"ITEM-1","issue":"January","issued":{"date-parts":[["2019"]]},"title":"Can natural gas reduce emissions from transport?: Heavy goods vehicles and shipping","type":"article-journal"},"uris":["http://www.mendeley.com/documents/?uuid=f026a6c0-b044-47e4-b98c-3cba6d02befc"]}],"mendeley":{"formattedCitation":"[21]","plainTextFormattedCitation":"[21]","previouslyFormattedCitation":"[20]"},"properties":{"noteIndex":0},"schema":"https://github.com/citation-style-language/schema/raw/master/csl-citation.json"}</w:instrText>
      </w:r>
      <w:r w:rsidR="00D81A86" w:rsidRPr="00590BB6">
        <w:rPr>
          <w:rFonts w:cs="Times New Roman"/>
        </w:rPr>
        <w:fldChar w:fldCharType="separate"/>
      </w:r>
      <w:r w:rsidR="006F44A7" w:rsidRPr="00590BB6">
        <w:rPr>
          <w:rFonts w:cs="Times New Roman"/>
          <w:noProof/>
        </w:rPr>
        <w:t>[21]</w:t>
      </w:r>
      <w:r w:rsidR="00D81A86" w:rsidRPr="00590BB6">
        <w:rPr>
          <w:rFonts w:cs="Times New Roman"/>
        </w:rPr>
        <w:fldChar w:fldCharType="end"/>
      </w:r>
      <w:r w:rsidR="00170711" w:rsidRPr="00590BB6">
        <w:rPr>
          <w:rFonts w:cs="Times New Roman"/>
        </w:rPr>
        <w:t>. Nevertheless</w:t>
      </w:r>
      <w:r w:rsidR="00E77E3A" w:rsidRPr="00590BB6">
        <w:rPr>
          <w:rFonts w:cs="Times New Roman"/>
        </w:rPr>
        <w:t>,</w:t>
      </w:r>
      <w:r w:rsidR="00561EE4" w:rsidRPr="00590BB6">
        <w:rPr>
          <w:rFonts w:cs="Times New Roman"/>
        </w:rPr>
        <w:t xml:space="preserve"> it </w:t>
      </w:r>
      <w:r w:rsidR="005E55D1" w:rsidRPr="00590BB6">
        <w:rPr>
          <w:rFonts w:cs="Times New Roman"/>
        </w:rPr>
        <w:t>sensibly</w:t>
      </w:r>
      <w:r w:rsidR="00561EE4" w:rsidRPr="00590BB6">
        <w:rPr>
          <w:rFonts w:cs="Times New Roman"/>
        </w:rPr>
        <w:t xml:space="preserve"> assign</w:t>
      </w:r>
      <w:r w:rsidR="005E55D1" w:rsidRPr="00590BB6">
        <w:rPr>
          <w:rFonts w:cs="Times New Roman"/>
        </w:rPr>
        <w:t>s</w:t>
      </w:r>
      <w:r w:rsidR="00561EE4" w:rsidRPr="00590BB6">
        <w:rPr>
          <w:rFonts w:cs="Times New Roman"/>
        </w:rPr>
        <w:t xml:space="preserve"> poorer emissions performance to older vehicles. </w:t>
      </w:r>
      <w:r w:rsidR="00170711" w:rsidRPr="00590BB6">
        <w:rPr>
          <w:rFonts w:cs="Times New Roman"/>
        </w:rPr>
        <w:t xml:space="preserve">In addition, the fleet age profile </w:t>
      </w:r>
      <w:r w:rsidR="005E55D1" w:rsidRPr="00590BB6">
        <w:rPr>
          <w:rFonts w:cs="Times New Roman"/>
        </w:rPr>
        <w:t>is used to characterise the scrappage curves, based on a</w:t>
      </w:r>
      <w:r w:rsidR="00170711" w:rsidRPr="00590BB6">
        <w:rPr>
          <w:rFonts w:cs="Times New Roman"/>
        </w:rPr>
        <w:t xml:space="preserve"> retirement profile </w:t>
      </w:r>
      <w:r w:rsidR="005E55D1" w:rsidRPr="00590BB6">
        <w:rPr>
          <w:rFonts w:cs="Times New Roman"/>
        </w:rPr>
        <w:t>after a fixed number of years.</w:t>
      </w:r>
      <w:r w:rsidR="00586C21">
        <w:rPr>
          <w:rFonts w:cs="Times New Roman"/>
        </w:rPr>
        <w:t xml:space="preserve"> The use of fuel is </w:t>
      </w:r>
      <w:r w:rsidR="00681114">
        <w:rPr>
          <w:rFonts w:cs="Times New Roman"/>
        </w:rPr>
        <w:t xml:space="preserve">modelled as being </w:t>
      </w:r>
      <w:r w:rsidR="00586C21">
        <w:rPr>
          <w:rFonts w:cs="Times New Roman"/>
        </w:rPr>
        <w:t>directly correlated with emissions and the technology improvements</w:t>
      </w:r>
      <w:r w:rsidR="00681114">
        <w:rPr>
          <w:rFonts w:cs="Times New Roman"/>
        </w:rPr>
        <w:t>.</w:t>
      </w:r>
      <w:r w:rsidR="00586C21">
        <w:rPr>
          <w:rFonts w:cs="Times New Roman"/>
        </w:rPr>
        <w:t xml:space="preserve"> </w:t>
      </w:r>
      <w:r w:rsidR="00586C21" w:rsidRPr="00590BB6">
        <w:rPr>
          <w:rFonts w:cs="Times New Roman"/>
        </w:rPr>
        <w:t xml:space="preserve"> </w:t>
      </w:r>
    </w:p>
    <w:p w14:paraId="70E02779" w14:textId="3EEFB502" w:rsidR="00A11D85" w:rsidRPr="00590BB6" w:rsidRDefault="009F2DF7" w:rsidP="00170711">
      <w:pPr>
        <w:spacing w:line="360" w:lineRule="auto"/>
        <w:ind w:left="360"/>
        <w:jc w:val="both"/>
        <w:rPr>
          <w:rFonts w:cs="Times New Roman"/>
        </w:rPr>
      </w:pPr>
      <w:r w:rsidRPr="00590BB6">
        <w:rPr>
          <w:rFonts w:cs="Times New Roman"/>
        </w:rPr>
        <w:t xml:space="preserve">As a result of </w:t>
      </w:r>
      <w:r w:rsidR="00561EE4" w:rsidRPr="00590BB6">
        <w:rPr>
          <w:rFonts w:cs="Times New Roman"/>
        </w:rPr>
        <w:t xml:space="preserve">the proposed technology and efficiency classifications, the </w:t>
      </w:r>
      <w:r w:rsidRPr="00590BB6">
        <w:rPr>
          <w:rFonts w:cs="Times New Roman"/>
        </w:rPr>
        <w:t xml:space="preserve">available </w:t>
      </w:r>
      <w:r w:rsidR="00561EE4" w:rsidRPr="00590BB6">
        <w:rPr>
          <w:rFonts w:cs="Times New Roman"/>
        </w:rPr>
        <w:t xml:space="preserve">ACI </w:t>
      </w:r>
      <w:r w:rsidRPr="00590BB6">
        <w:rPr>
          <w:rFonts w:cs="Times New Roman"/>
        </w:rPr>
        <w:t xml:space="preserve">data on fleet age and composition </w:t>
      </w:r>
      <w:r w:rsidRPr="00590BB6">
        <w:rPr>
          <w:rFonts w:cs="Times New Roman"/>
        </w:rPr>
        <w:fldChar w:fldCharType="begin" w:fldLock="1"/>
      </w:r>
      <w:r w:rsidR="006F44A7" w:rsidRPr="00590BB6">
        <w:rPr>
          <w:rFonts w:cs="Times New Roman"/>
        </w:rPr>
        <w:instrText>ADDIN CSL_CITATION {"citationItems":[{"id":"ITEM-1","itemData":{"author":[{"dropping-particle":"","family":"ACI","given":"","non-dropping-particle":"","parse-names":false,"suffix":""}],"id":"ITEM-1","issued":{"date-parts":[["2022"]]},"title":"Open parco veicoli","type":"webpage"},"uris":["http://www.mendeley.com/documents/?uuid=0ee04b61-8879-45e4-a314-dcd8c3b76372","http://www.mendeley.com/documents/?uuid=33c668c6-cc3a-4fdb-a312-83717c9c59fd"]}],"mendeley":{"formattedCitation":"[10]","plainTextFormattedCitation":"[10]","previouslyFormattedCitation":"[9]"},"properties":{"noteIndex":0},"schema":"https://github.com/citation-style-language/schema/raw/master/csl-citation.json"}</w:instrText>
      </w:r>
      <w:r w:rsidRPr="00590BB6">
        <w:rPr>
          <w:rFonts w:cs="Times New Roman"/>
        </w:rPr>
        <w:fldChar w:fldCharType="separate"/>
      </w:r>
      <w:r w:rsidR="006F44A7" w:rsidRPr="00590BB6">
        <w:rPr>
          <w:rFonts w:cs="Times New Roman"/>
          <w:noProof/>
        </w:rPr>
        <w:t>[10]</w:t>
      </w:r>
      <w:r w:rsidRPr="00590BB6">
        <w:rPr>
          <w:rFonts w:cs="Times New Roman"/>
        </w:rPr>
        <w:fldChar w:fldCharType="end"/>
      </w:r>
      <w:r w:rsidRPr="00590BB6">
        <w:rPr>
          <w:rFonts w:cs="Times New Roman"/>
        </w:rPr>
        <w:t xml:space="preserve"> </w:t>
      </w:r>
      <w:r w:rsidR="00561EE4" w:rsidRPr="00590BB6">
        <w:rPr>
          <w:rFonts w:cs="Times New Roman"/>
        </w:rPr>
        <w:t xml:space="preserve">for </w:t>
      </w:r>
      <w:r w:rsidRPr="00590BB6">
        <w:rPr>
          <w:rFonts w:cs="Times New Roman"/>
        </w:rPr>
        <w:t xml:space="preserve">2020 </w:t>
      </w:r>
      <w:r w:rsidR="00561EE4" w:rsidRPr="00590BB6">
        <w:rPr>
          <w:rFonts w:cs="Times New Roman"/>
        </w:rPr>
        <w:t xml:space="preserve">allowed the </w:t>
      </w:r>
      <w:r w:rsidRPr="00590BB6">
        <w:rPr>
          <w:rFonts w:cs="Times New Roman"/>
        </w:rPr>
        <w:t>Ital</w:t>
      </w:r>
      <w:r w:rsidR="00561EE4" w:rsidRPr="00590BB6">
        <w:rPr>
          <w:rFonts w:cs="Times New Roman"/>
        </w:rPr>
        <w:t>ian</w:t>
      </w:r>
      <w:r w:rsidRPr="00590BB6">
        <w:rPr>
          <w:rFonts w:cs="Times New Roman"/>
        </w:rPr>
        <w:t xml:space="preserve"> fleet </w:t>
      </w:r>
      <w:r w:rsidR="00561EE4" w:rsidRPr="00590BB6">
        <w:rPr>
          <w:rFonts w:cs="Times New Roman"/>
        </w:rPr>
        <w:t xml:space="preserve">to </w:t>
      </w:r>
      <w:r w:rsidRPr="00590BB6">
        <w:rPr>
          <w:rFonts w:cs="Times New Roman"/>
        </w:rPr>
        <w:t>be segmented as reported in</w:t>
      </w:r>
      <w:r w:rsidR="00A644B3" w:rsidRPr="00590BB6">
        <w:rPr>
          <w:rFonts w:cs="Times New Roman"/>
        </w:rPr>
        <w:t xml:space="preserve"> </w:t>
      </w:r>
      <w:r w:rsidR="00A644B3" w:rsidRPr="00590BB6">
        <w:rPr>
          <w:rFonts w:cs="Times New Roman"/>
        </w:rPr>
        <w:fldChar w:fldCharType="begin"/>
      </w:r>
      <w:r w:rsidR="00A644B3" w:rsidRPr="00590BB6">
        <w:rPr>
          <w:rFonts w:cs="Times New Roman"/>
        </w:rPr>
        <w:instrText xml:space="preserve"> REF _Ref143128319 \h </w:instrText>
      </w:r>
      <w:r w:rsidR="00590BB6">
        <w:rPr>
          <w:rFonts w:cs="Times New Roman"/>
        </w:rPr>
        <w:instrText xml:space="preserve"> \* MERGEFORMAT </w:instrText>
      </w:r>
      <w:r w:rsidR="00A644B3" w:rsidRPr="00590BB6">
        <w:rPr>
          <w:rFonts w:cs="Times New Roman"/>
        </w:rPr>
      </w:r>
      <w:r w:rsidR="00A644B3" w:rsidRPr="00590BB6">
        <w:rPr>
          <w:rFonts w:cs="Times New Roman"/>
        </w:rPr>
        <w:fldChar w:fldCharType="separate"/>
      </w:r>
      <w:r w:rsidR="00A644B3" w:rsidRPr="00590BB6">
        <w:t xml:space="preserve">Figure </w:t>
      </w:r>
      <w:r w:rsidR="00A644B3" w:rsidRPr="00590BB6">
        <w:rPr>
          <w:noProof/>
        </w:rPr>
        <w:t>5</w:t>
      </w:r>
      <w:r w:rsidR="00A644B3" w:rsidRPr="00590BB6">
        <w:rPr>
          <w:rFonts w:cs="Times New Roman"/>
        </w:rPr>
        <w:fldChar w:fldCharType="end"/>
      </w:r>
      <w:r w:rsidR="00561EE4" w:rsidRPr="00590BB6">
        <w:rPr>
          <w:rFonts w:cs="Times New Roman"/>
        </w:rPr>
        <w:t xml:space="preserve">. </w:t>
      </w:r>
    </w:p>
    <w:p w14:paraId="19FF6C68" w14:textId="3E3F5C7A" w:rsidR="009F2DF7" w:rsidRPr="00590BB6" w:rsidRDefault="005E1B5D" w:rsidP="009F2DF7">
      <w:pPr>
        <w:keepNext/>
        <w:spacing w:line="360" w:lineRule="auto"/>
        <w:jc w:val="both"/>
        <w:rPr>
          <w:rFonts w:cs="Times New Roman"/>
        </w:rPr>
      </w:pPr>
      <w:r w:rsidRPr="005E1B5D">
        <w:rPr>
          <w:rFonts w:asciiTheme="minorHAnsi" w:hAnsiTheme="minorHAnsi"/>
          <w:noProof/>
        </w:rPr>
        <w:object w:dxaOrig="15437" w:dyaOrig="11815" w14:anchorId="244A18D9">
          <v:shape id="_x0000_i1034" type="#_x0000_t75" alt="Project Path: C:\Users\carbmat91702\OneDrive - Università degli Studi di Padova\ONEDRIVE\DOTTORATO PADOVA\Muse\MUSE_SHARED\TRUCK\Graphs\variety.opju&#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PE Folder: /variety/Folder1/&#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Short Name: Light" style="width:227.35pt;height:174.75pt;mso-width-percent:0;mso-height-percent:0;mso-width-percent:0;mso-height-percent:0" o:ole="">
            <v:imagedata r:id="rId15" o:title=""/>
          </v:shape>
          <o:OLEObject Type="Embed" ProgID="Origin95.Graph" ShapeID="_x0000_i1034" DrawAspect="Content" ObjectID="_1759330202" r:id="rId16"/>
        </w:object>
      </w:r>
      <w:r w:rsidRPr="005E1B5D">
        <w:rPr>
          <w:rFonts w:asciiTheme="minorHAnsi" w:hAnsiTheme="minorHAnsi"/>
          <w:noProof/>
        </w:rPr>
        <w:object w:dxaOrig="15437" w:dyaOrig="11815" w14:anchorId="51A37DCD">
          <v:shape id="_x0000_i1033" type="#_x0000_t75" alt="Project Path: C:\Users\carbmat91702\OneDrive - Università degli Studi di Padova\ONEDRIVE\DOTTORATO PADOVA\Muse\MUSE_SHARED\TRUCK\Graphs\variety.opju&#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PE Folder: /variety/Folder1/&#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Short Name: lightage" style="width:233pt;height:177.15pt;mso-width-percent:0;mso-height-percent:0;mso-width-percent:0;mso-height-percent:0" o:ole="">
            <v:imagedata r:id="rId17" o:title=""/>
          </v:shape>
          <o:OLEObject Type="Embed" ProgID="Origin95.Graph" ShapeID="_x0000_i1033" DrawAspect="Content" ObjectID="_1759330203" r:id="rId18"/>
        </w:object>
      </w:r>
    </w:p>
    <w:bookmarkStart w:id="12" w:name="_Ref102485533"/>
    <w:p w14:paraId="76EE82B5" w14:textId="36A76834" w:rsidR="009F2DF7" w:rsidRPr="00590BB6" w:rsidRDefault="005E1B5D" w:rsidP="009F2DF7">
      <w:pPr>
        <w:spacing w:line="360" w:lineRule="auto"/>
        <w:jc w:val="both"/>
        <w:rPr>
          <w:rFonts w:cs="Times New Roman"/>
        </w:rPr>
      </w:pPr>
      <w:r w:rsidRPr="005E1B5D">
        <w:rPr>
          <w:rFonts w:asciiTheme="minorHAnsi" w:hAnsiTheme="minorHAnsi"/>
          <w:noProof/>
        </w:rPr>
        <w:object w:dxaOrig="15437" w:dyaOrig="11815" w14:anchorId="537F834A">
          <v:shape id="_x0000_i1032" type="#_x0000_t75" alt="Project Path: C:\Users\carbmat91702\OneDrive - Università degli Studi di Padova\ONEDRIVE\DOTTORATO PADOVA\Muse\MUSE_SHARED\TRUCK\Graphs\variety.opju&#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PE Folder: /variety/Folder1/&#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Short Name: Medium" style="width:227.35pt;height:174.75pt;mso-width-percent:0;mso-height-percent:0;mso-width-percent:0;mso-height-percent:0" o:ole="">
            <v:imagedata r:id="rId19" o:title=""/>
          </v:shape>
          <o:OLEObject Type="Embed" ProgID="Origin95.Graph" ShapeID="_x0000_i1032" DrawAspect="Content" ObjectID="_1759330204" r:id="rId20"/>
        </w:object>
      </w:r>
      <w:r w:rsidRPr="005E1B5D">
        <w:rPr>
          <w:rFonts w:asciiTheme="minorHAnsi" w:hAnsiTheme="minorHAnsi"/>
          <w:noProof/>
        </w:rPr>
        <w:object w:dxaOrig="15437" w:dyaOrig="11815" w14:anchorId="5A647578">
          <v:shape id="_x0000_i1031" type="#_x0000_t75" alt="Project Path: C:\Users\carbmat91702\OneDrive - Università degli Studi di Padova\ONEDRIVE\DOTTORATO PADOVA\Muse\MUSE_SHARED\TRUCK\Graphs\variety.opju&#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PE Folder: /variety/Folder1/&#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Short Name: mediumage" style="width:230.55pt;height:177.15pt;mso-width-percent:0;mso-height-percent:0;mso-width-percent:0;mso-height-percent:0" o:ole="">
            <v:imagedata r:id="rId21" o:title=""/>
          </v:shape>
          <o:OLEObject Type="Embed" ProgID="Origin95.Graph" ShapeID="_x0000_i1031" DrawAspect="Content" ObjectID="_1759330205" r:id="rId22"/>
        </w:object>
      </w:r>
    </w:p>
    <w:p w14:paraId="37194B0C" w14:textId="4920B32B" w:rsidR="009F2DF7" w:rsidRPr="00590BB6" w:rsidRDefault="005E1B5D" w:rsidP="0016321D">
      <w:pPr>
        <w:spacing w:after="0" w:line="360" w:lineRule="auto"/>
        <w:jc w:val="both"/>
        <w:rPr>
          <w:rFonts w:cs="Times New Roman"/>
        </w:rPr>
      </w:pPr>
      <w:r w:rsidRPr="005E1B5D">
        <w:rPr>
          <w:rFonts w:asciiTheme="minorHAnsi" w:hAnsiTheme="minorHAnsi"/>
          <w:noProof/>
        </w:rPr>
        <w:object w:dxaOrig="15437" w:dyaOrig="11815" w14:anchorId="1693A632">
          <v:shape id="_x0000_i1030" type="#_x0000_t75" alt="Project Path: C:\Users\carbmat91702\OneDrive - Università degli Studi di Padova\ONEDRIVE\DOTTORATO PADOVA\Muse\MUSE_SHARED\TRUCK\Graphs\variety.opju&#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PE Folder: /variety/Folder1/&#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Short Name: Heavy" style="width:227.35pt;height:174.75pt;mso-width-percent:0;mso-height-percent:0;mso-width-percent:0;mso-height-percent:0" o:ole="">
            <v:imagedata r:id="rId23" o:title=""/>
          </v:shape>
          <o:OLEObject Type="Embed" ProgID="Origin95.Graph" ShapeID="_x0000_i1030" DrawAspect="Content" ObjectID="_1759330206" r:id="rId24"/>
        </w:object>
      </w:r>
      <w:r w:rsidRPr="005E1B5D">
        <w:rPr>
          <w:rFonts w:asciiTheme="minorHAnsi" w:hAnsiTheme="minorHAnsi"/>
          <w:noProof/>
        </w:rPr>
        <w:object w:dxaOrig="15437" w:dyaOrig="11815" w14:anchorId="2156FE08">
          <v:shape id="_x0000_i1029" type="#_x0000_t75" alt="Project Path: C:\Users\carbmat91702\OneDrive - Università degli Studi di Padova\ONEDRIVE\DOTTORATO PADOVA\Muse\MUSE_SHARED\TRUCK\Graphs\variety.opju&#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PE Folder: /variety/Folder1/&#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Short Name: heavyage" style="width:232.2pt;height:177.15pt;mso-width-percent:0;mso-height-percent:0;mso-width-percent:0;mso-height-percent:0" o:ole="">
            <v:imagedata r:id="rId25" o:title=""/>
          </v:shape>
          <o:OLEObject Type="Embed" ProgID="Origin95.Graph" ShapeID="_x0000_i1029" DrawAspect="Content" ObjectID="_1759330207" r:id="rId26"/>
        </w:object>
      </w:r>
    </w:p>
    <w:p w14:paraId="7E34BEFE" w14:textId="224899AD" w:rsidR="009F2DF7" w:rsidRPr="00590BB6" w:rsidRDefault="004C610A" w:rsidP="004C610A">
      <w:pPr>
        <w:pStyle w:val="Caption"/>
      </w:pPr>
      <w:bookmarkStart w:id="13" w:name="_Ref143128319"/>
      <w:bookmarkEnd w:id="12"/>
      <w:r w:rsidRPr="00590BB6">
        <w:t xml:space="preserve">Figure </w:t>
      </w:r>
      <w:r w:rsidRPr="00590BB6">
        <w:fldChar w:fldCharType="begin"/>
      </w:r>
      <w:r w:rsidRPr="00590BB6">
        <w:instrText xml:space="preserve"> SEQ Figure \* ARABIC </w:instrText>
      </w:r>
      <w:r w:rsidRPr="00590BB6">
        <w:fldChar w:fldCharType="separate"/>
      </w:r>
      <w:r w:rsidR="00A644B3" w:rsidRPr="00590BB6">
        <w:rPr>
          <w:noProof/>
        </w:rPr>
        <w:t>5</w:t>
      </w:r>
      <w:r w:rsidRPr="00590BB6">
        <w:fldChar w:fldCharType="end"/>
      </w:r>
      <w:bookmarkEnd w:id="13"/>
      <w:r w:rsidR="009F2DF7" w:rsidRPr="00590BB6">
        <w:t xml:space="preserve">. Italy truck fleet composition and age in 2020. Figures (a) and (b) refer to light vehicles fleet composition and age, respectively, (c) and (d) to medium, while (e) and (f) to heavy trucks. Source: Adapted from ACI data </w:t>
      </w:r>
      <w:r w:rsidR="009F2DF7" w:rsidRPr="00590BB6">
        <w:fldChar w:fldCharType="begin" w:fldLock="1"/>
      </w:r>
      <w:r w:rsidR="006F44A7" w:rsidRPr="00590BB6">
        <w:instrText>ADDIN CSL_CITATION {"citationItems":[{"id":"ITEM-1","itemData":{"author":[{"dropping-particle":"","family":"ACI","given":"","non-dropping-particle":"","parse-names":false,"suffix":""}],"id":"ITEM-1","issued":{"date-parts":[["2022"]]},"title":"Open parco veicoli","type":"webpage"},"uris":["http://www.mendeley.com/documents/?uuid=0ee04b61-8879-45e4-a314-dcd8c3b76372","http://www.mendeley.com/documents/?uuid=33c668c6-cc3a-4fdb-a312-83717c9c59fd"]}],"mendeley":{"formattedCitation":"[10]","plainTextFormattedCitation":"[10]","previouslyFormattedCitation":"[9]"},"properties":{"noteIndex":0},"schema":"https://github.com/citation-style-language/schema/raw/master/csl-citation.json"}</w:instrText>
      </w:r>
      <w:r w:rsidR="009F2DF7" w:rsidRPr="00590BB6">
        <w:fldChar w:fldCharType="separate"/>
      </w:r>
      <w:r w:rsidR="006F44A7" w:rsidRPr="00590BB6">
        <w:rPr>
          <w:noProof/>
        </w:rPr>
        <w:t>[10]</w:t>
      </w:r>
      <w:r w:rsidR="009F2DF7" w:rsidRPr="00590BB6">
        <w:fldChar w:fldCharType="end"/>
      </w:r>
      <w:r w:rsidR="009F2DF7" w:rsidRPr="00590BB6">
        <w:t>.</w:t>
      </w:r>
    </w:p>
    <w:p w14:paraId="5D307D36" w14:textId="07E5D045" w:rsidR="00445680" w:rsidRPr="00590BB6" w:rsidRDefault="00445680" w:rsidP="00247E88">
      <w:pPr>
        <w:spacing w:line="360" w:lineRule="auto"/>
        <w:jc w:val="both"/>
      </w:pPr>
      <w:r w:rsidRPr="00590BB6">
        <w:t xml:space="preserve">Starting from the presented fleet composition and age </w:t>
      </w:r>
      <w:r w:rsidRPr="00590BB6">
        <w:rPr>
          <w:rFonts w:cs="Times New Roman"/>
        </w:rPr>
        <w:fldChar w:fldCharType="begin" w:fldLock="1"/>
      </w:r>
      <w:r w:rsidR="006F44A7" w:rsidRPr="00590BB6">
        <w:rPr>
          <w:rFonts w:cs="Times New Roman"/>
        </w:rPr>
        <w:instrText>ADDIN CSL_CITATION {"citationItems":[{"id":"ITEM-1","itemData":{"author":[{"dropping-particle":"","family":"ACI","given":"","non-dropping-particle":"","parse-names":false,"suffix":""}],"id":"ITEM-1","issued":{"date-parts":[["2022"]]},"title":"Open parco veicoli","type":"webpage"},"uris":["http://www.mendeley.com/documents/?uuid=0ee04b61-8879-45e4-a314-dcd8c3b76372","http://www.mendeley.com/documents/?uuid=33c668c6-cc3a-4fdb-a312-83717c9c59fd"]}],"mendeley":{"formattedCitation":"[10]","plainTextFormattedCitation":"[10]","previouslyFormattedCitation":"[9]"},"properties":{"noteIndex":0},"schema":"https://github.com/citation-style-language/schema/raw/master/csl-citation.json"}</w:instrText>
      </w:r>
      <w:r w:rsidRPr="00590BB6">
        <w:rPr>
          <w:rFonts w:cs="Times New Roman"/>
        </w:rPr>
        <w:fldChar w:fldCharType="separate"/>
      </w:r>
      <w:r w:rsidR="006F44A7" w:rsidRPr="00590BB6">
        <w:rPr>
          <w:rFonts w:cs="Times New Roman"/>
          <w:noProof/>
        </w:rPr>
        <w:t>[10]</w:t>
      </w:r>
      <w:r w:rsidRPr="00590BB6">
        <w:rPr>
          <w:rFonts w:cs="Times New Roman"/>
        </w:rPr>
        <w:fldChar w:fldCharType="end"/>
      </w:r>
      <w:r w:rsidR="00A644B3" w:rsidRPr="00590BB6">
        <w:rPr>
          <w:rFonts w:cs="Times New Roman"/>
        </w:rPr>
        <w:t xml:space="preserve">, </w:t>
      </w:r>
      <w:r w:rsidR="003B02D7" w:rsidRPr="00590BB6">
        <w:t xml:space="preserve">scrappage curves </w:t>
      </w:r>
      <w:r w:rsidR="00C07828" w:rsidRPr="00590BB6">
        <w:t>were</w:t>
      </w:r>
      <w:r w:rsidR="003B02D7" w:rsidRPr="00590BB6">
        <w:t xml:space="preserve"> developed over  15 years, </w:t>
      </w:r>
      <w:r w:rsidR="001B21BA" w:rsidRPr="00590BB6">
        <w:t xml:space="preserve">the assumed truck lifetime for all the technologies </w:t>
      </w:r>
      <w:r w:rsidR="00B26C41" w:rsidRPr="00590BB6">
        <w:t xml:space="preserve">modelled, as documented in the literature </w:t>
      </w:r>
      <w:r w:rsidR="001B21BA" w:rsidRPr="00590BB6">
        <w:t>[31]</w:t>
      </w:r>
      <w:r w:rsidR="00B26C41" w:rsidRPr="00590BB6">
        <w:t>. The curves</w:t>
      </w:r>
      <w:r w:rsidR="001B21BA" w:rsidRPr="00590BB6">
        <w:t xml:space="preserve"> </w:t>
      </w:r>
      <w:r w:rsidR="00C07828" w:rsidRPr="00590BB6">
        <w:t>were</w:t>
      </w:r>
      <w:r w:rsidR="001B21BA" w:rsidRPr="00590BB6">
        <w:t xml:space="preserve"> implemented retiring </w:t>
      </w:r>
      <w:r w:rsidR="00B26C41" w:rsidRPr="00590BB6">
        <w:t xml:space="preserve">portions of </w:t>
      </w:r>
      <w:r w:rsidR="001B21BA" w:rsidRPr="00590BB6">
        <w:t xml:space="preserve">the initial fleet proportional </w:t>
      </w:r>
      <w:r w:rsidR="00B26C41" w:rsidRPr="00590BB6">
        <w:t>to</w:t>
      </w:r>
      <w:r w:rsidR="001B21BA" w:rsidRPr="00590BB6">
        <w:t xml:space="preserve"> the number of active vehicle</w:t>
      </w:r>
      <w:r w:rsidR="00B26C41" w:rsidRPr="00590BB6">
        <w:t>s</w:t>
      </w:r>
      <w:r w:rsidR="001B21BA" w:rsidRPr="00590BB6">
        <w:t xml:space="preserve"> </w:t>
      </w:r>
      <w:r w:rsidR="00B26C41" w:rsidRPr="00590BB6">
        <w:t>which year by year reach</w:t>
      </w:r>
      <w:r w:rsidR="00F90E91" w:rsidRPr="00590BB6">
        <w:t>ed</w:t>
      </w:r>
      <w:r w:rsidR="00B26C41" w:rsidRPr="00590BB6">
        <w:t xml:space="preserve"> their last year of life; this </w:t>
      </w:r>
      <w:r w:rsidR="00BB3F2A" w:rsidRPr="00590BB6">
        <w:t>var</w:t>
      </w:r>
      <w:r w:rsidR="00B26C41" w:rsidRPr="00590BB6">
        <w:t>ies</w:t>
      </w:r>
      <w:r w:rsidR="00BB3F2A" w:rsidRPr="00590BB6">
        <w:t xml:space="preserve"> by age class and</w:t>
      </w:r>
      <w:r w:rsidR="001B21BA" w:rsidRPr="00590BB6">
        <w:t xml:space="preserve"> by weight category. </w:t>
      </w:r>
      <w:r w:rsidR="003B02D7" w:rsidRPr="00590BB6">
        <w:t>The</w:t>
      </w:r>
      <w:r w:rsidRPr="00590BB6">
        <w:t xml:space="preserve"> </w:t>
      </w:r>
      <w:r w:rsidR="001B21BA" w:rsidRPr="00590BB6">
        <w:t xml:space="preserve">resulting </w:t>
      </w:r>
      <w:r w:rsidRPr="00590BB6">
        <w:t xml:space="preserve">decommissioning profile </w:t>
      </w:r>
      <w:r w:rsidR="001B21BA" w:rsidRPr="00590BB6">
        <w:t>is</w:t>
      </w:r>
      <w:r w:rsidR="00572920" w:rsidRPr="00590BB6">
        <w:t xml:space="preserve"> shown in</w:t>
      </w:r>
      <w:r w:rsidR="00A644B3" w:rsidRPr="00590BB6">
        <w:t xml:space="preserve"> </w:t>
      </w:r>
      <w:r w:rsidR="00A644B3" w:rsidRPr="00590BB6">
        <w:fldChar w:fldCharType="begin"/>
      </w:r>
      <w:r w:rsidR="00A644B3" w:rsidRPr="00590BB6">
        <w:instrText xml:space="preserve"> REF _Ref143128466 \h </w:instrText>
      </w:r>
      <w:r w:rsidR="00590BB6">
        <w:instrText xml:space="preserve"> \* MERGEFORMAT </w:instrText>
      </w:r>
      <w:r w:rsidR="00A644B3" w:rsidRPr="00590BB6">
        <w:fldChar w:fldCharType="separate"/>
      </w:r>
      <w:r w:rsidR="00A644B3" w:rsidRPr="00590BB6">
        <w:t xml:space="preserve">Figure </w:t>
      </w:r>
      <w:r w:rsidR="00A644B3" w:rsidRPr="00590BB6">
        <w:rPr>
          <w:noProof/>
        </w:rPr>
        <w:t>6</w:t>
      </w:r>
      <w:r w:rsidR="00A644B3" w:rsidRPr="00590BB6">
        <w:fldChar w:fldCharType="end"/>
      </w:r>
      <w:r w:rsidR="003B02D7" w:rsidRPr="00590BB6">
        <w:t xml:space="preserve">, </w:t>
      </w:r>
      <w:r w:rsidR="00561EE4" w:rsidRPr="00590BB6">
        <w:t xml:space="preserve"> </w:t>
      </w:r>
      <w:r w:rsidR="00E77E3A" w:rsidRPr="00590BB6">
        <w:t>T</w:t>
      </w:r>
      <w:r w:rsidR="00561EE4" w:rsidRPr="00590BB6">
        <w:t>he proposed decommissioning profile</w:t>
      </w:r>
      <w:r w:rsidR="00BB3F2A" w:rsidRPr="00590BB6">
        <w:t xml:space="preserve"> assumed that</w:t>
      </w:r>
      <w:r w:rsidR="00561EE4" w:rsidRPr="00590BB6">
        <w:t xml:space="preserve"> new </w:t>
      </w:r>
      <w:r w:rsidR="00561EE4" w:rsidRPr="00590BB6">
        <w:lastRenderedPageBreak/>
        <w:t>vehicles added to the fleet after 2020 followed a decommissioning profile based on a lifetime of 15 years</w:t>
      </w:r>
      <w:r w:rsidR="00BB3F2A" w:rsidRPr="00590BB6">
        <w:t>, as well as trucks should have a homogeneous lifetime of 15 years</w:t>
      </w:r>
      <w:r w:rsidR="00561EE4" w:rsidRPr="00590BB6">
        <w:t xml:space="preserve">. </w:t>
      </w:r>
      <w:r w:rsidR="00337C51" w:rsidRPr="00590BB6">
        <w:t>T</w:t>
      </w:r>
      <w:r w:rsidR="00B26C41" w:rsidRPr="00590BB6">
        <w:t xml:space="preserve">his </w:t>
      </w:r>
      <w:r w:rsidR="00337C51" w:rsidRPr="00590BB6">
        <w:t>is</w:t>
      </w:r>
      <w:r w:rsidR="00B26C41" w:rsidRPr="00590BB6">
        <w:t xml:space="preserve"> a strong assumption, as old technologies may remain in the market for longer while new technologies may </w:t>
      </w:r>
      <w:r w:rsidR="00337C51" w:rsidRPr="00590BB6">
        <w:t>have different lifetimes</w:t>
      </w:r>
      <w:r w:rsidR="00B26C41" w:rsidRPr="00590BB6">
        <w:t xml:space="preserve"> </w:t>
      </w:r>
      <w:r w:rsidR="00F90E91" w:rsidRPr="00590BB6">
        <w:t>compared to</w:t>
      </w:r>
      <w:r w:rsidR="00B26C41" w:rsidRPr="00590BB6">
        <w:t xml:space="preserve"> </w:t>
      </w:r>
      <w:r w:rsidR="00337C51" w:rsidRPr="00590BB6">
        <w:t xml:space="preserve">incumbent technologies. </w:t>
      </w:r>
      <w:r w:rsidR="00FE65D4">
        <w:t>T</w:t>
      </w:r>
      <w:r w:rsidR="00B26C41" w:rsidRPr="00590BB6">
        <w:t xml:space="preserve">he assumption is a </w:t>
      </w:r>
      <w:r w:rsidR="00337C51" w:rsidRPr="00590BB6">
        <w:t>well</w:t>
      </w:r>
      <w:r w:rsidR="00C07828" w:rsidRPr="00590BB6">
        <w:t>-</w:t>
      </w:r>
      <w:r w:rsidR="00337C51" w:rsidRPr="00590BB6">
        <w:t xml:space="preserve">acknowledged </w:t>
      </w:r>
      <w:r w:rsidR="00B26C41" w:rsidRPr="00590BB6">
        <w:t>practice found in the</w:t>
      </w:r>
      <w:r w:rsidR="005E55D1" w:rsidRPr="00590BB6">
        <w:t xml:space="preserve"> harmonisation of integrated assessment models [31]</w:t>
      </w:r>
      <w:r w:rsidR="00561EE4" w:rsidRPr="00590BB6">
        <w:t xml:space="preserve"> </w:t>
      </w:r>
      <w:r w:rsidR="005E55D1" w:rsidRPr="00590BB6">
        <w:t>and energy system modelling [18</w:t>
      </w:r>
      <w:r w:rsidR="001B6483" w:rsidRPr="00590BB6">
        <w:t>].</w:t>
      </w:r>
    </w:p>
    <w:p w14:paraId="54BB02B8" w14:textId="77777777" w:rsidR="009554F2" w:rsidRPr="00590BB6" w:rsidRDefault="009554F2" w:rsidP="00445680">
      <w:pPr>
        <w:rPr>
          <w:rFonts w:asciiTheme="minorHAnsi" w:hAnsiTheme="minorHAnsi"/>
          <w:noProof/>
        </w:rPr>
      </w:pPr>
    </w:p>
    <w:p w14:paraId="1331C9BB" w14:textId="5128BA7D" w:rsidR="00445680" w:rsidRPr="00590BB6" w:rsidRDefault="005E1B5D" w:rsidP="009554F2">
      <w:pPr>
        <w:jc w:val="center"/>
      </w:pPr>
      <w:r w:rsidRPr="005E1B5D">
        <w:rPr>
          <w:rFonts w:asciiTheme="minorHAnsi" w:hAnsiTheme="minorHAnsi"/>
          <w:noProof/>
        </w:rPr>
        <w:object w:dxaOrig="4620" w:dyaOrig="3540" w14:anchorId="05016F54">
          <v:shape id="_x0000_i1028" type="#_x0000_t75" alt="Project Path: C:\Users\carbmat91702\OneDrive - Università degli Studi di Padova\ONEDRIVE\DOTTORATO PADOVA\Muse\MUSE_SHARED\TRUCK\Graphs\Decomissioning profile Light.opju&#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PE Folder: /Decomissioning profile Light/Folder1/&#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Short Name: Light_graph" style="width:313.1pt;height:237.85pt;mso-width-percent:0;mso-height-percent:0;mso-width-percent:0;mso-height-percent:0" o:ole="">
            <v:imagedata r:id="rId27" o:title=""/>
          </v:shape>
          <o:OLEObject Type="Embed" ProgID="Origin95.Graph" ShapeID="_x0000_i1028" DrawAspect="Content" ObjectID="_1759330208" r:id="rId28"/>
        </w:object>
      </w:r>
    </w:p>
    <w:p w14:paraId="7E05B37E" w14:textId="17FD374A" w:rsidR="004111F8" w:rsidRPr="00590BB6" w:rsidRDefault="004111F8" w:rsidP="004111F8">
      <w:pPr>
        <w:keepNext/>
      </w:pPr>
    </w:p>
    <w:p w14:paraId="09096530" w14:textId="621D36ED" w:rsidR="009554F2" w:rsidRPr="00590BB6" w:rsidRDefault="005E1B5D" w:rsidP="009554F2">
      <w:pPr>
        <w:pStyle w:val="Caption"/>
        <w:jc w:val="center"/>
      </w:pPr>
      <w:r w:rsidRPr="005E1B5D">
        <w:rPr>
          <w:rFonts w:asciiTheme="minorHAnsi" w:hAnsiTheme="minorHAnsi"/>
          <w:noProof/>
        </w:rPr>
        <w:object w:dxaOrig="4800" w:dyaOrig="3675" w14:anchorId="55061CD4">
          <v:shape id="_x0000_i1027" type="#_x0000_t75" alt="Project Path: C:\Users\carbmat91702\OneDrive - Università degli Studi di Padova\ONEDRIVE\DOTTORATO PADOVA\Muse\MUSE_SHARED\TRUCK\Graphs\Decomissioning profile Medium.opju&#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PE Folder: /Decomissioning profile Medium/Folder1/&#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Short Name: Medium_graph" style="width:312.25pt;height:242.7pt;mso-width-percent:0;mso-height-percent:0;mso-width-percent:0;mso-height-percent:0" o:ole="">
            <v:imagedata r:id="rId29" o:title=""/>
          </v:shape>
          <o:OLEObject Type="Embed" ProgID="Origin95.Graph" ShapeID="_x0000_i1027" DrawAspect="Content" ObjectID="_1759330209" r:id="rId30"/>
        </w:object>
      </w:r>
    </w:p>
    <w:p w14:paraId="207AFE4B" w14:textId="77777777" w:rsidR="009554F2" w:rsidRPr="00590BB6" w:rsidRDefault="009554F2" w:rsidP="004C610A">
      <w:pPr>
        <w:pStyle w:val="Caption"/>
      </w:pPr>
    </w:p>
    <w:p w14:paraId="36E8B3FA" w14:textId="35218C3B" w:rsidR="009554F2" w:rsidRPr="00590BB6" w:rsidRDefault="005E1B5D" w:rsidP="009554F2">
      <w:pPr>
        <w:pStyle w:val="Caption"/>
        <w:jc w:val="center"/>
      </w:pPr>
      <w:r w:rsidRPr="005E1B5D">
        <w:rPr>
          <w:rFonts w:asciiTheme="minorHAnsi" w:hAnsiTheme="minorHAnsi"/>
          <w:noProof/>
        </w:rPr>
        <w:object w:dxaOrig="4785" w:dyaOrig="3660" w14:anchorId="017CD430">
          <v:shape id="_x0000_i1026" type="#_x0000_t75" alt="Project Path: C:\Users\carbmat91702\OneDrive - Università degli Studi di Padova\ONEDRIVE\DOTTORATO PADOVA\Muse\MUSE_SHARED\TRUCK\Graphs\Decomissioning profile Heavy.opju&#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PE Folder: /Decomissioning profile Heavy/Folder1/&#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Short Name: Heavy_graph" style="width:312.25pt;height:244.3pt;mso-width-percent:0;mso-height-percent:0;mso-width-percent:0;mso-height-percent:0" o:ole="">
            <v:imagedata r:id="rId31" o:title=""/>
          </v:shape>
          <o:OLEObject Type="Embed" ProgID="Origin95.Graph" ShapeID="_x0000_i1026" DrawAspect="Content" ObjectID="_1759330210" r:id="rId32"/>
        </w:object>
      </w:r>
    </w:p>
    <w:p w14:paraId="4FD00A03" w14:textId="2A17D157" w:rsidR="00445680" w:rsidRPr="00590BB6" w:rsidRDefault="004C610A" w:rsidP="004C610A">
      <w:pPr>
        <w:pStyle w:val="Caption"/>
      </w:pPr>
      <w:bookmarkStart w:id="14" w:name="_Ref143128466"/>
      <w:r w:rsidRPr="00590BB6">
        <w:t xml:space="preserve">Figure </w:t>
      </w:r>
      <w:r w:rsidRPr="00590BB6">
        <w:fldChar w:fldCharType="begin"/>
      </w:r>
      <w:r w:rsidRPr="00590BB6">
        <w:instrText xml:space="preserve"> SEQ Figure \* ARABIC </w:instrText>
      </w:r>
      <w:r w:rsidRPr="00590BB6">
        <w:fldChar w:fldCharType="separate"/>
      </w:r>
      <w:r w:rsidR="00A644B3" w:rsidRPr="00590BB6">
        <w:rPr>
          <w:noProof/>
        </w:rPr>
        <w:t>6</w:t>
      </w:r>
      <w:r w:rsidRPr="00590BB6">
        <w:fldChar w:fldCharType="end"/>
      </w:r>
      <w:bookmarkEnd w:id="14"/>
      <w:r w:rsidR="00247E88" w:rsidRPr="00590BB6">
        <w:t>.</w:t>
      </w:r>
      <w:r w:rsidR="004111F8" w:rsidRPr="00590BB6">
        <w:t xml:space="preserve"> </w:t>
      </w:r>
      <w:r w:rsidR="00247E88" w:rsidRPr="00590BB6">
        <w:t>Active vehicles versus time as a percentage of</w:t>
      </w:r>
      <w:r w:rsidR="004111F8" w:rsidRPr="00590BB6">
        <w:t xml:space="preserve"> 2020 fleet. Figure</w:t>
      </w:r>
      <w:r w:rsidR="00247E88" w:rsidRPr="00590BB6">
        <w:t>s</w:t>
      </w:r>
      <w:r w:rsidR="004111F8" w:rsidRPr="00590BB6">
        <w:t xml:space="preserve"> (a), (b) a</w:t>
      </w:r>
      <w:r w:rsidR="00247E88" w:rsidRPr="00590BB6">
        <w:t>nd (c) refer</w:t>
      </w:r>
      <w:r w:rsidR="004111F8" w:rsidRPr="00590BB6">
        <w:t xml:space="preserve"> to light, medium</w:t>
      </w:r>
      <w:r w:rsidR="00D81A86" w:rsidRPr="00590BB6">
        <w:t>,</w:t>
      </w:r>
      <w:r w:rsidR="004111F8" w:rsidRPr="00590BB6">
        <w:t xml:space="preserve"> and heavy vehicles, respectively.</w:t>
      </w:r>
    </w:p>
    <w:p w14:paraId="2117699F" w14:textId="539D5691" w:rsidR="003461BC" w:rsidRPr="00590BB6" w:rsidRDefault="00212A11" w:rsidP="00C07828">
      <w:pPr>
        <w:pStyle w:val="Heading3"/>
        <w:spacing w:after="240"/>
      </w:pPr>
      <w:r w:rsidRPr="00590BB6">
        <w:t>Technolog</w:t>
      </w:r>
      <w:r w:rsidR="00861A19" w:rsidRPr="00590BB6">
        <w:t>y</w:t>
      </w:r>
      <w:r w:rsidRPr="00590BB6">
        <w:t xml:space="preserve"> costs</w:t>
      </w:r>
    </w:p>
    <w:p w14:paraId="3DEE7B3D" w14:textId="2D1C88B8" w:rsidR="0093582F" w:rsidRPr="00590BB6" w:rsidRDefault="000C3A4B" w:rsidP="0093582F">
      <w:pPr>
        <w:spacing w:after="0" w:line="360" w:lineRule="auto"/>
        <w:jc w:val="both"/>
      </w:pPr>
      <w:r w:rsidRPr="00590BB6">
        <w:t>After defining the vehicle classes, techno-economic inputs</w:t>
      </w:r>
      <w:r w:rsidR="0093582F" w:rsidRPr="00590BB6">
        <w:t xml:space="preserve"> were modelled</w:t>
      </w:r>
      <w:r w:rsidRPr="00590BB6">
        <w:t xml:space="preserve">. </w:t>
      </w:r>
      <w:r w:rsidR="00F90E91" w:rsidRPr="00590BB6">
        <w:t>These refer to:</w:t>
      </w:r>
    </w:p>
    <w:p w14:paraId="1AF95865" w14:textId="61CCD623" w:rsidR="0093582F" w:rsidRPr="00590BB6" w:rsidRDefault="0093582F" w:rsidP="0093582F">
      <w:pPr>
        <w:pStyle w:val="ListParagraph"/>
        <w:numPr>
          <w:ilvl w:val="0"/>
          <w:numId w:val="54"/>
        </w:numPr>
        <w:spacing w:line="360" w:lineRule="auto"/>
        <w:jc w:val="both"/>
      </w:pPr>
      <w:r w:rsidRPr="00590BB6">
        <w:t>Capital costs</w:t>
      </w:r>
      <w:r w:rsidR="00F90E91" w:rsidRPr="00590BB6">
        <w:t>, which</w:t>
      </w:r>
      <w:r w:rsidRPr="00590BB6">
        <w:t xml:space="preserve"> were modelled as vehicle p</w:t>
      </w:r>
      <w:r w:rsidR="00905896" w:rsidRPr="00590BB6">
        <w:t>urchase prices</w:t>
      </w:r>
      <w:r w:rsidRPr="00590BB6">
        <w:t>,</w:t>
      </w:r>
      <w:r w:rsidR="00905896" w:rsidRPr="00590BB6">
        <w:t xml:space="preserve"> </w:t>
      </w:r>
      <w:r w:rsidR="00F90E91" w:rsidRPr="00590BB6">
        <w:t>and included</w:t>
      </w:r>
      <w:r w:rsidR="00905896" w:rsidRPr="00590BB6">
        <w:t xml:space="preserve"> v</w:t>
      </w:r>
      <w:r w:rsidR="00905896" w:rsidRPr="00590BB6">
        <w:rPr>
          <w:color w:val="000000" w:themeColor="text1"/>
        </w:rPr>
        <w:t>ehicle and trailers costs</w:t>
      </w:r>
      <w:r w:rsidRPr="00590BB6">
        <w:rPr>
          <w:color w:val="000000" w:themeColor="text1"/>
        </w:rPr>
        <w:t>.</w:t>
      </w:r>
      <w:r w:rsidR="00905896" w:rsidRPr="00590BB6">
        <w:rPr>
          <w:color w:val="000000" w:themeColor="text1"/>
        </w:rPr>
        <w:t xml:space="preserve"> </w:t>
      </w:r>
    </w:p>
    <w:p w14:paraId="05F3FB39" w14:textId="0AFDC4EA" w:rsidR="0093582F" w:rsidRPr="00590BB6" w:rsidRDefault="0093582F" w:rsidP="0093582F">
      <w:pPr>
        <w:pStyle w:val="ListParagraph"/>
        <w:numPr>
          <w:ilvl w:val="0"/>
          <w:numId w:val="54"/>
        </w:numPr>
        <w:spacing w:line="360" w:lineRule="auto"/>
        <w:jc w:val="both"/>
      </w:pPr>
      <w:r w:rsidRPr="00590BB6">
        <w:rPr>
          <w:color w:val="000000" w:themeColor="text1"/>
        </w:rPr>
        <w:t>F</w:t>
      </w:r>
      <w:r w:rsidR="00905896" w:rsidRPr="00590BB6">
        <w:rPr>
          <w:color w:val="000000" w:themeColor="text1"/>
        </w:rPr>
        <w:t>ixed costs</w:t>
      </w:r>
      <w:r w:rsidR="00F90E91" w:rsidRPr="00590BB6">
        <w:rPr>
          <w:color w:val="000000" w:themeColor="text1"/>
        </w:rPr>
        <w:t>, which</w:t>
      </w:r>
      <w:r w:rsidR="00905896" w:rsidRPr="00590BB6">
        <w:rPr>
          <w:color w:val="000000" w:themeColor="text1"/>
        </w:rPr>
        <w:t xml:space="preserve"> </w:t>
      </w:r>
      <w:r w:rsidRPr="00590BB6">
        <w:rPr>
          <w:color w:val="000000" w:themeColor="text1"/>
        </w:rPr>
        <w:t xml:space="preserve">were modelled to </w:t>
      </w:r>
      <w:r w:rsidR="00905896" w:rsidRPr="00590BB6">
        <w:rPr>
          <w:color w:val="000000" w:themeColor="text1"/>
        </w:rPr>
        <w:t>include vehicle maintenance (dependent on the fuel system) trailer maintenance, vehicle tires, trailer tires, vehicle road tax, trailer tax, and insurance.</w:t>
      </w:r>
    </w:p>
    <w:p w14:paraId="3A580229" w14:textId="237BB36A" w:rsidR="001705D6" w:rsidRPr="00590BB6" w:rsidRDefault="00512318" w:rsidP="0093582F">
      <w:pPr>
        <w:spacing w:line="360" w:lineRule="auto"/>
        <w:jc w:val="both"/>
      </w:pPr>
      <w:r w:rsidRPr="00590BB6">
        <w:t xml:space="preserve">The details regarding the exogenous technological learning applied </w:t>
      </w:r>
      <w:r w:rsidR="00F90E91" w:rsidRPr="00590BB6">
        <w:t xml:space="preserve">to costs </w:t>
      </w:r>
      <w:r w:rsidRPr="00590BB6">
        <w:t>are</w:t>
      </w:r>
      <w:r w:rsidR="00572920" w:rsidRPr="00590BB6">
        <w:t xml:space="preserve"> reported</w:t>
      </w:r>
      <w:r w:rsidR="00F90E91" w:rsidRPr="00590BB6">
        <w:t xml:space="preserve"> in</w:t>
      </w:r>
      <w:r w:rsidR="00572920" w:rsidRPr="00590BB6">
        <w:t xml:space="preserve"> </w:t>
      </w:r>
      <w:r w:rsidRPr="00590BB6">
        <w:fldChar w:fldCharType="begin"/>
      </w:r>
      <w:r w:rsidRPr="00590BB6">
        <w:instrText xml:space="preserve"> REF _Ref103607449 \h </w:instrText>
      </w:r>
      <w:r w:rsidR="00B0247B" w:rsidRPr="00590BB6">
        <w:instrText xml:space="preserve"> \* MERGEFORMAT </w:instrText>
      </w:r>
      <w:r w:rsidRPr="00590BB6">
        <w:fldChar w:fldCharType="separate"/>
      </w:r>
      <w:r w:rsidRPr="00590BB6">
        <w:rPr>
          <w:color w:val="000000" w:themeColor="text1"/>
        </w:rPr>
        <w:t xml:space="preserve">Table </w:t>
      </w:r>
      <w:r w:rsidRPr="00590BB6">
        <w:rPr>
          <w:noProof/>
          <w:color w:val="000000" w:themeColor="text1"/>
        </w:rPr>
        <w:t>3</w:t>
      </w:r>
      <w:r w:rsidRPr="00590BB6">
        <w:fldChar w:fldCharType="end"/>
      </w:r>
      <w:r w:rsidR="0093582F" w:rsidRPr="00590BB6">
        <w:t xml:space="preserve">. </w:t>
      </w:r>
      <w:r w:rsidR="00F90E91" w:rsidRPr="00590BB6">
        <w:t>Capital and fixed costs</w:t>
      </w:r>
      <w:r w:rsidR="0093582F" w:rsidRPr="00590BB6">
        <w:t xml:space="preserve"> </w:t>
      </w:r>
      <w:r w:rsidR="00F90E91" w:rsidRPr="00590BB6">
        <w:t xml:space="preserve">used in the modelling </w:t>
      </w:r>
      <w:r w:rsidR="0093582F" w:rsidRPr="00590BB6">
        <w:t xml:space="preserve">are reported in the </w:t>
      </w:r>
      <w:r w:rsidR="0093582F" w:rsidRPr="00590BB6">
        <w:rPr>
          <w:bCs/>
        </w:rPr>
        <w:t>Supplementary Material</w:t>
      </w:r>
      <w:r w:rsidR="0093582F" w:rsidRPr="00590BB6">
        <w:rPr>
          <w:b/>
        </w:rPr>
        <w:t xml:space="preserve"> </w:t>
      </w:r>
      <w:r w:rsidR="0093582F" w:rsidRPr="00590BB6">
        <w:rPr>
          <w:bCs/>
        </w:rPr>
        <w:t>(</w:t>
      </w:r>
      <w:r w:rsidR="0093582F" w:rsidRPr="00590BB6">
        <w:rPr>
          <w:rFonts w:cs="Times New Roman"/>
          <w:bCs/>
        </w:rPr>
        <w:t>Tables S.1, S.2, and S.3</w:t>
      </w:r>
      <w:r w:rsidR="0093582F" w:rsidRPr="00590BB6">
        <w:rPr>
          <w:bCs/>
        </w:rPr>
        <w:t>)</w:t>
      </w:r>
      <w:r w:rsidR="005C3BBB" w:rsidRPr="00590BB6">
        <w:t>.</w:t>
      </w:r>
    </w:p>
    <w:p w14:paraId="6D8D93FC" w14:textId="1673AB07" w:rsidR="003461BC" w:rsidRPr="00590BB6" w:rsidRDefault="003461BC" w:rsidP="00B0247B">
      <w:pPr>
        <w:spacing w:line="360" w:lineRule="auto"/>
        <w:jc w:val="both"/>
      </w:pPr>
      <w:bookmarkStart w:id="15" w:name="_Ref103607449"/>
      <w:r w:rsidRPr="00590BB6">
        <w:rPr>
          <w:color w:val="000000" w:themeColor="text1"/>
        </w:rPr>
        <w:t xml:space="preserve">Table </w:t>
      </w:r>
      <w:r w:rsidRPr="00590BB6">
        <w:rPr>
          <w:color w:val="000000" w:themeColor="text1"/>
        </w:rPr>
        <w:fldChar w:fldCharType="begin"/>
      </w:r>
      <w:r w:rsidRPr="00590BB6">
        <w:rPr>
          <w:color w:val="000000" w:themeColor="text1"/>
        </w:rPr>
        <w:instrText xml:space="preserve"> SEQ Table \* ARABIC </w:instrText>
      </w:r>
      <w:r w:rsidRPr="00590BB6">
        <w:rPr>
          <w:color w:val="000000" w:themeColor="text1"/>
        </w:rPr>
        <w:fldChar w:fldCharType="separate"/>
      </w:r>
      <w:r w:rsidR="0037440B" w:rsidRPr="00590BB6">
        <w:rPr>
          <w:noProof/>
          <w:color w:val="000000" w:themeColor="text1"/>
        </w:rPr>
        <w:t>3</w:t>
      </w:r>
      <w:r w:rsidRPr="00590BB6">
        <w:rPr>
          <w:color w:val="000000" w:themeColor="text1"/>
        </w:rPr>
        <w:fldChar w:fldCharType="end"/>
      </w:r>
      <w:bookmarkEnd w:id="15"/>
      <w:r w:rsidRPr="00590BB6">
        <w:rPr>
          <w:color w:val="000000" w:themeColor="text1"/>
        </w:rPr>
        <w:t>. Assumptions related to t</w:t>
      </w:r>
      <w:r w:rsidR="00912BB5" w:rsidRPr="00590BB6">
        <w:rPr>
          <w:color w:val="000000" w:themeColor="text1"/>
        </w:rPr>
        <w:t>echnologies availability and costs</w:t>
      </w:r>
      <w:r w:rsidR="008C38B3" w:rsidRPr="00590BB6">
        <w:rPr>
          <w:color w:val="000000" w:themeColor="text1"/>
        </w:rPr>
        <w:t xml:space="preserve"> </w:t>
      </w:r>
      <w:r w:rsidR="008C38B3" w:rsidRPr="00590BB6">
        <w:rPr>
          <w:color w:val="000000" w:themeColor="text1"/>
        </w:rPr>
        <w:fldChar w:fldCharType="begin" w:fldLock="1"/>
      </w:r>
      <w:r w:rsidR="00BB1D63" w:rsidRPr="00590BB6">
        <w:rPr>
          <w:color w:val="000000" w:themeColor="text1"/>
        </w:rPr>
        <w:instrText>ADDIN CSL_CITATION {"citationItems":[{"id":"ITEM-1","itemData":{"DOI":"10.1016/j.scitotenv.2021.146861","ISSN":"18791026","PMID":"33872899","abstract":"Harmonisation sets the ground to a solid inter-comparison of integrated assessment models. A clear and transparent harmonisation process promotes a consistent interpretation of the modelling outcomes divergences and, reducing the model variance, is instrumental to the use of integrated assessment models to support policy decision-making. Despite its crucial role for climate economic policies, the definition of a comprehensive harmonisation methodology for integrated assessment modelling remains an open challenge for the scientific community. This paper proposes a framework for a harmonisation methodology with the definition of indispensable steps and recommendations to overcome stumbling blocks in order to reduce the variance of the outcomes which depends on controllable modelling assumptions. The harmonisation approach of the PARIS REINFORCE project is presented here to layout such a framework. A decomposition analysis of the harmonisation process is shown through 6 integrated assessment models (GCAM, ICES-XPS, MUSE, E3ME, GEMINI-E3, and TIAM). Results prove the potentials of the proposed framework to reduce the model variance and present a powerful diagnostic tool to feedback on the quality of the harmonisation itself.","author":[{"dropping-particle":"","family":"Giarola","given":"Sara","non-dropping-particle":"","parse-names":false,"suffix":""},{"dropping-particle":"","family":"Mittal","given":"Shivika","non-dropping-particle":"","parse-names":false,"suffix":""},{"dropping-particle":"","family":"Vielle","given":"Marc","non-dropping-particle":"","parse-names":false,"suffix":""},{"dropping-particle":"","family":"Perdana","given":"Sigit","non-dropping-particle":"","parse-names":false,"suffix":""},{"dropping-particle":"","family":"Campagnolo","given":"Lorenza","non-dropping-particle":"","parse-names":false,"suffix":""},{"dropping-particle":"","family":"Delpiazzo","given":"Elisa","non-dropping-particle":"","parse-names":false,"suffix":""},{"dropping-particle":"","family":"Bui","given":"Ha","non-dropping-particle":"","parse-names":false,"suffix":""},{"dropping-particle":"","family":"Kraavi","given":"Annela Anger","non-dropping-particle":"","parse-names":false,"suffix":""},{"dropping-particle":"","family":"Kolpakov","given":"Andrey","non-dropping-particle":"","parse-names":false,"suffix":""},{"dropping-particle":"","family":"Sognnaes","given":"Ida","non-dropping-particle":"","parse-names":false,"suffix":""},{"dropping-particle":"","family":"Peters","given":"Glen","non-dropping-particle":"","parse-names":false,"suffix":""},{"dropping-particle":"","family":"Hawkes","given":"Adam","non-dropping-particle":"","parse-names":false,"suffix":""},{"dropping-particle":"","family":"Köberle","given":"Alexandre C.","non-dropping-particle":"","parse-names":false,"suffix":""},{"dropping-particle":"","family":"Grant","given":"Neil","non-dropping-particle":"","parse-names":false,"suffix":""},{"dropping-particle":"","family":"Gambhir","given":"Ajay","non-dropping-particle":"","parse-names":false,"suffix":""},{"dropping-particle":"","family":"Nikas","given":"Alexandros","non-dropping-particle":"","parse-names":false,"suffix":""},{"dropping-particle":"","family":"Doukas","given":"Haris","non-dropping-particle":"","parse-names":false,"suffix":""},{"dropping-particle":"","family":"Moreno","given":"Jorge","non-dropping-particle":"","parse-names":false,"suffix":""},{"dropping-particle":"","family":"Ven","given":"Dirk Jan","non-dropping-particle":"van de","parse-names":false,"suffix":""}],"container-title":"Science of the Total Environment","id":"ITEM-1","issued":{"date-parts":[["2021"]]},"title":"Challenges in the harmonisation of global integrated assessment models: A comprehensive methodology to reduce model response heterogeneity","type":"article-journal","volume":"783"},"uris":["http://www.mendeley.com/documents/?uuid=a6d39a07-5ebd-44f4-9816-f21cc9bfcc62"]}],"mendeley":{"formattedCitation":"[32]","plainTextFormattedCitation":"[32]","previouslyFormattedCitation":"[31]"},"properties":{"noteIndex":0},"schema":"https://github.com/citation-style-language/schema/raw/master/csl-citation.json"}</w:instrText>
      </w:r>
      <w:r w:rsidR="008C38B3" w:rsidRPr="00590BB6">
        <w:rPr>
          <w:color w:val="000000" w:themeColor="text1"/>
        </w:rPr>
        <w:fldChar w:fldCharType="separate"/>
      </w:r>
      <w:r w:rsidR="00BB1D63" w:rsidRPr="00590BB6">
        <w:rPr>
          <w:noProof/>
          <w:color w:val="000000" w:themeColor="text1"/>
        </w:rPr>
        <w:t>[3</w:t>
      </w:r>
      <w:r w:rsidR="00520B26">
        <w:rPr>
          <w:noProof/>
          <w:color w:val="000000" w:themeColor="text1"/>
        </w:rPr>
        <w:t>1</w:t>
      </w:r>
      <w:r w:rsidR="00BB1D63" w:rsidRPr="00590BB6">
        <w:rPr>
          <w:noProof/>
          <w:color w:val="000000" w:themeColor="text1"/>
        </w:rPr>
        <w:t>]</w:t>
      </w:r>
      <w:r w:rsidR="008C38B3" w:rsidRPr="00590BB6">
        <w:rPr>
          <w:color w:val="000000" w:themeColor="text1"/>
        </w:rPr>
        <w:fldChar w:fldCharType="end"/>
      </w:r>
      <w:r w:rsidRPr="00590BB6">
        <w:rPr>
          <w:color w:val="000000" w:themeColor="text1"/>
        </w:rPr>
        <w:t>.</w:t>
      </w:r>
    </w:p>
    <w:tbl>
      <w:tblPr>
        <w:tblW w:w="9582" w:type="dxa"/>
        <w:tblLayout w:type="fixed"/>
        <w:tblLook w:val="04A0" w:firstRow="1" w:lastRow="0" w:firstColumn="1" w:lastColumn="0" w:noHBand="0" w:noVBand="1"/>
      </w:tblPr>
      <w:tblGrid>
        <w:gridCol w:w="1843"/>
        <w:gridCol w:w="7739"/>
      </w:tblGrid>
      <w:tr w:rsidR="003461BC" w:rsidRPr="00590BB6" w14:paraId="218FE3F7" w14:textId="3E9598EC" w:rsidTr="009F2DF7">
        <w:trPr>
          <w:trHeight w:val="27"/>
        </w:trPr>
        <w:tc>
          <w:tcPr>
            <w:tcW w:w="1843" w:type="dxa"/>
            <w:tcBorders>
              <w:top w:val="single" w:sz="4" w:space="0" w:color="auto"/>
              <w:bottom w:val="single" w:sz="6" w:space="0" w:color="auto"/>
            </w:tcBorders>
            <w:shd w:val="clear" w:color="auto" w:fill="auto"/>
            <w:vAlign w:val="center"/>
          </w:tcPr>
          <w:p w14:paraId="6B732967" w14:textId="4BFD3D80" w:rsidR="003461BC" w:rsidRPr="00590BB6" w:rsidRDefault="003461BC" w:rsidP="00B0247B">
            <w:pPr>
              <w:spacing w:line="360" w:lineRule="auto"/>
              <w:jc w:val="both"/>
              <w:rPr>
                <w:b/>
                <w:bCs/>
              </w:rPr>
            </w:pPr>
            <w:r w:rsidRPr="00590BB6">
              <w:rPr>
                <w:b/>
                <w:bCs/>
                <w:color w:val="000000" w:themeColor="text1"/>
              </w:rPr>
              <w:t>Category</w:t>
            </w:r>
          </w:p>
        </w:tc>
        <w:tc>
          <w:tcPr>
            <w:tcW w:w="7739" w:type="dxa"/>
            <w:tcBorders>
              <w:top w:val="single" w:sz="4" w:space="0" w:color="auto"/>
              <w:bottom w:val="single" w:sz="6" w:space="0" w:color="auto"/>
            </w:tcBorders>
            <w:shd w:val="clear" w:color="auto" w:fill="auto"/>
            <w:vAlign w:val="center"/>
          </w:tcPr>
          <w:p w14:paraId="3C0832C1" w14:textId="5BAAB2AE" w:rsidR="003461BC" w:rsidRPr="00590BB6" w:rsidRDefault="003461BC" w:rsidP="00B0247B">
            <w:pPr>
              <w:spacing w:line="360" w:lineRule="auto"/>
              <w:jc w:val="both"/>
              <w:rPr>
                <w:b/>
                <w:bCs/>
              </w:rPr>
            </w:pPr>
            <w:r w:rsidRPr="00590BB6">
              <w:rPr>
                <w:b/>
                <w:bCs/>
                <w:color w:val="000000" w:themeColor="text1"/>
              </w:rPr>
              <w:t>Assumptions</w:t>
            </w:r>
          </w:p>
        </w:tc>
      </w:tr>
      <w:tr w:rsidR="003461BC" w:rsidRPr="00590BB6" w14:paraId="17DD6AED" w14:textId="4A6BD390" w:rsidTr="009F2DF7">
        <w:trPr>
          <w:trHeight w:val="57"/>
        </w:trPr>
        <w:tc>
          <w:tcPr>
            <w:tcW w:w="1843" w:type="dxa"/>
            <w:tcBorders>
              <w:top w:val="single" w:sz="6" w:space="0" w:color="auto"/>
              <w:bottom w:val="single" w:sz="4" w:space="0" w:color="auto"/>
            </w:tcBorders>
            <w:shd w:val="clear" w:color="auto" w:fill="auto"/>
            <w:vAlign w:val="center"/>
          </w:tcPr>
          <w:p w14:paraId="28294A02" w14:textId="5B462BEC" w:rsidR="003461BC" w:rsidRPr="00590BB6" w:rsidRDefault="003461BC" w:rsidP="00B0247B">
            <w:pPr>
              <w:spacing w:line="360" w:lineRule="auto"/>
              <w:jc w:val="both"/>
            </w:pPr>
            <w:r w:rsidRPr="00590BB6">
              <w:rPr>
                <w:color w:val="000000" w:themeColor="text1"/>
              </w:rPr>
              <w:t xml:space="preserve">Fuel </w:t>
            </w:r>
            <w:r w:rsidR="00912BB5" w:rsidRPr="00590BB6">
              <w:rPr>
                <w:color w:val="000000" w:themeColor="text1"/>
              </w:rPr>
              <w:t>technologies</w:t>
            </w:r>
          </w:p>
        </w:tc>
        <w:tc>
          <w:tcPr>
            <w:tcW w:w="7739" w:type="dxa"/>
            <w:tcBorders>
              <w:top w:val="single" w:sz="6" w:space="0" w:color="auto"/>
              <w:bottom w:val="single" w:sz="4" w:space="0" w:color="auto"/>
            </w:tcBorders>
            <w:shd w:val="clear" w:color="auto" w:fill="auto"/>
            <w:vAlign w:val="center"/>
          </w:tcPr>
          <w:p w14:paraId="096EBF7D" w14:textId="22068201" w:rsidR="00912BB5" w:rsidRPr="00590BB6" w:rsidRDefault="003461BC" w:rsidP="00B0247B">
            <w:pPr>
              <w:spacing w:line="360" w:lineRule="auto"/>
              <w:jc w:val="both"/>
            </w:pPr>
            <w:r w:rsidRPr="00590BB6">
              <w:rPr>
                <w:color w:val="000000" w:themeColor="text1"/>
              </w:rPr>
              <w:t xml:space="preserve">SE and ME Gasoline and Diesel vehicles </w:t>
            </w:r>
            <w:r w:rsidR="00FE65D4">
              <w:rPr>
                <w:color w:val="000000" w:themeColor="text1"/>
              </w:rPr>
              <w:t>can be part of</w:t>
            </w:r>
            <w:r w:rsidRPr="00590BB6">
              <w:rPr>
                <w:color w:val="000000" w:themeColor="text1"/>
              </w:rPr>
              <w:t xml:space="preserve"> the initial fleet (2020) </w:t>
            </w:r>
            <w:proofErr w:type="gramStart"/>
            <w:r w:rsidR="00FE65D4">
              <w:rPr>
                <w:color w:val="000000" w:themeColor="text1"/>
              </w:rPr>
              <w:t>only</w:t>
            </w:r>
            <w:r w:rsidR="00FE65D4" w:rsidRPr="00590BB6">
              <w:rPr>
                <w:color w:val="000000" w:themeColor="text1"/>
              </w:rPr>
              <w:t xml:space="preserve"> </w:t>
            </w:r>
            <w:r w:rsidR="00FE65D4">
              <w:rPr>
                <w:color w:val="000000" w:themeColor="text1"/>
              </w:rPr>
              <w:t>.</w:t>
            </w:r>
            <w:proofErr w:type="gramEnd"/>
            <w:r w:rsidR="00FE65D4">
              <w:rPr>
                <w:color w:val="000000" w:themeColor="text1"/>
              </w:rPr>
              <w:t xml:space="preserve"> This means that no new SE or ME Gasoline and Diesel vehicles can come to market in the post-2025 period</w:t>
            </w:r>
            <w:r w:rsidR="004314FE">
              <w:rPr>
                <w:color w:val="000000" w:themeColor="text1"/>
              </w:rPr>
              <w:t xml:space="preserve">, </w:t>
            </w:r>
            <w:r w:rsidR="00FE65D4">
              <w:rPr>
                <w:color w:val="000000" w:themeColor="text1"/>
              </w:rPr>
              <w:t>align</w:t>
            </w:r>
            <w:r w:rsidR="004314FE">
              <w:rPr>
                <w:color w:val="000000" w:themeColor="text1"/>
              </w:rPr>
              <w:t>ing</w:t>
            </w:r>
            <w:r w:rsidR="00FE65D4">
              <w:rPr>
                <w:color w:val="000000" w:themeColor="text1"/>
              </w:rPr>
              <w:t xml:space="preserve"> with market trends</w:t>
            </w:r>
            <w:r w:rsidR="004314FE">
              <w:rPr>
                <w:color w:val="000000" w:themeColor="text1"/>
              </w:rPr>
              <w:t xml:space="preserve"> where new vehicles need to be more efficient to meet the EURO standards.</w:t>
            </w:r>
          </w:p>
          <w:p w14:paraId="5308E8F2" w14:textId="33A7E0E7" w:rsidR="003461BC" w:rsidRPr="00590BB6" w:rsidRDefault="00912BB5" w:rsidP="00B0247B">
            <w:pPr>
              <w:spacing w:line="360" w:lineRule="auto"/>
              <w:jc w:val="both"/>
            </w:pPr>
            <w:r w:rsidRPr="00590BB6">
              <w:rPr>
                <w:color w:val="000000" w:themeColor="text1"/>
              </w:rPr>
              <w:t xml:space="preserve">SE and ME Gasoline </w:t>
            </w:r>
            <w:r w:rsidR="00754B5B" w:rsidRPr="00590BB6">
              <w:rPr>
                <w:color w:val="000000" w:themeColor="text1"/>
              </w:rPr>
              <w:t>are</w:t>
            </w:r>
            <w:r w:rsidRPr="00590BB6">
              <w:rPr>
                <w:color w:val="000000" w:themeColor="text1"/>
              </w:rPr>
              <w:t xml:space="preserve"> considered for light trucks only due to their limited number in the initial fleet.</w:t>
            </w:r>
          </w:p>
        </w:tc>
      </w:tr>
      <w:tr w:rsidR="003461BC" w:rsidRPr="00590BB6" w14:paraId="39CDCD19" w14:textId="74A16D0D" w:rsidTr="009F2DF7">
        <w:trPr>
          <w:trHeight w:val="57"/>
        </w:trPr>
        <w:tc>
          <w:tcPr>
            <w:tcW w:w="1843" w:type="dxa"/>
            <w:tcBorders>
              <w:top w:val="single" w:sz="4" w:space="0" w:color="auto"/>
              <w:bottom w:val="single" w:sz="4" w:space="0" w:color="auto"/>
            </w:tcBorders>
            <w:shd w:val="clear" w:color="auto" w:fill="auto"/>
            <w:vAlign w:val="center"/>
          </w:tcPr>
          <w:p w14:paraId="245BC5DD" w14:textId="6EB63242" w:rsidR="003461BC" w:rsidRPr="00590BB6" w:rsidRDefault="003461BC" w:rsidP="00B0247B">
            <w:pPr>
              <w:spacing w:line="360" w:lineRule="auto"/>
              <w:jc w:val="both"/>
            </w:pPr>
            <w:r w:rsidRPr="00590BB6">
              <w:rPr>
                <w:color w:val="000000" w:themeColor="text1"/>
              </w:rPr>
              <w:t>Purchase and fixed annual costs</w:t>
            </w:r>
          </w:p>
        </w:tc>
        <w:tc>
          <w:tcPr>
            <w:tcW w:w="7739" w:type="dxa"/>
            <w:tcBorders>
              <w:top w:val="single" w:sz="4" w:space="0" w:color="auto"/>
              <w:bottom w:val="single" w:sz="4" w:space="0" w:color="auto"/>
            </w:tcBorders>
            <w:shd w:val="clear" w:color="auto" w:fill="auto"/>
            <w:vAlign w:val="center"/>
          </w:tcPr>
          <w:p w14:paraId="29FF14CD" w14:textId="1384CB4B" w:rsidR="00F05D46" w:rsidRPr="00590BB6" w:rsidRDefault="003461BC" w:rsidP="00B0247B">
            <w:pPr>
              <w:spacing w:line="360" w:lineRule="auto"/>
              <w:jc w:val="both"/>
            </w:pPr>
            <w:r w:rsidRPr="00590BB6">
              <w:rPr>
                <w:color w:val="000000" w:themeColor="text1"/>
              </w:rPr>
              <w:t>Purchase and fixed annual costs</w:t>
            </w:r>
            <w:r w:rsidR="00331E1A" w:rsidRPr="00590BB6">
              <w:rPr>
                <w:color w:val="000000" w:themeColor="text1"/>
              </w:rPr>
              <w:t xml:space="preserve"> </w:t>
            </w:r>
            <w:r w:rsidRPr="00590BB6">
              <w:rPr>
                <w:color w:val="000000" w:themeColor="text1"/>
              </w:rPr>
              <w:t>in 2010 US</w:t>
            </w:r>
            <w:r w:rsidR="00E74724" w:rsidRPr="00590BB6">
              <w:rPr>
                <w:color w:val="000000" w:themeColor="text1"/>
              </w:rPr>
              <w:t>D</w:t>
            </w:r>
            <w:r w:rsidRPr="00590BB6">
              <w:rPr>
                <w:color w:val="000000" w:themeColor="text1"/>
              </w:rPr>
              <w:t xml:space="preserve"> per vehicle </w:t>
            </w:r>
            <w:r w:rsidR="00754B5B" w:rsidRPr="00590BB6">
              <w:rPr>
                <w:color w:val="000000" w:themeColor="text1"/>
              </w:rPr>
              <w:t xml:space="preserve">are </w:t>
            </w:r>
            <w:r w:rsidRPr="00590BB6">
              <w:rPr>
                <w:color w:val="000000" w:themeColor="text1"/>
              </w:rPr>
              <w:t xml:space="preserve">retrieved from </w:t>
            </w:r>
            <w:r w:rsidR="00B20625" w:rsidRPr="00590BB6">
              <w:t xml:space="preserve">Ministry of Sustainable Infrastructure and Mobility (MSIM) </w:t>
            </w:r>
            <w:r w:rsidRPr="00590BB6">
              <w:rPr>
                <w:color w:val="000000" w:themeColor="text1"/>
              </w:rPr>
              <w:fldChar w:fldCharType="begin" w:fldLock="1"/>
            </w:r>
            <w:r w:rsidR="00BB1D63" w:rsidRPr="00590BB6">
              <w:rPr>
                <w:color w:val="000000" w:themeColor="text1"/>
              </w:rPr>
              <w:instrText>ADDIN CSL_CITATION {"citationItems":[{"id":"ITEM-1","itemData":{"author":[{"dropping-particle":"","family":"Ministero delle infrasttrutture e della mobilità sostenibili","given":"","non-dropping-particle":"","parse-names":false,"suffix":""}],"id":"ITEM-1","issued":{"date-parts":[["2022"]]},"title":"Tabelle recanti i valori orientativi dei costi di esercizio","type":"webpage"},"uris":["http://www.mendeley.com/documents/?uuid=c07b875f-1354-4c10-a956-37e61ed2eda2","http://www.mendeley.com/documents/?uuid=c78dbce6-0be1-4174-a5df-de9084b6c043"]}],"mendeley":{"formattedCitation":"[39]","plainTextFormattedCitation":"[39]","previouslyFormattedCitation":"[38]"},"properties":{"noteIndex":0},"schema":"https://github.com/citation-style-language/schema/raw/master/csl-citation.json"}</w:instrText>
            </w:r>
            <w:r w:rsidRPr="00590BB6">
              <w:rPr>
                <w:color w:val="000000" w:themeColor="text1"/>
              </w:rPr>
              <w:fldChar w:fldCharType="separate"/>
            </w:r>
            <w:r w:rsidR="00BB1D63" w:rsidRPr="00590BB6">
              <w:rPr>
                <w:noProof/>
                <w:color w:val="000000" w:themeColor="text1"/>
              </w:rPr>
              <w:t>[</w:t>
            </w:r>
            <w:r w:rsidR="000C3A4B" w:rsidRPr="00590BB6">
              <w:rPr>
                <w:noProof/>
                <w:color w:val="000000" w:themeColor="text1"/>
              </w:rPr>
              <w:t>34</w:t>
            </w:r>
            <w:r w:rsidR="00BB1D63" w:rsidRPr="00590BB6">
              <w:rPr>
                <w:noProof/>
                <w:color w:val="000000" w:themeColor="text1"/>
              </w:rPr>
              <w:t>]</w:t>
            </w:r>
            <w:r w:rsidRPr="00590BB6">
              <w:rPr>
                <w:color w:val="000000" w:themeColor="text1"/>
              </w:rPr>
              <w:fldChar w:fldCharType="end"/>
            </w:r>
            <w:r w:rsidR="00912BB5" w:rsidRPr="00590BB6">
              <w:rPr>
                <w:color w:val="000000" w:themeColor="text1"/>
              </w:rPr>
              <w:t xml:space="preserve"> for Diesel HE</w:t>
            </w:r>
            <w:r w:rsidR="00B20625" w:rsidRPr="00590BB6">
              <w:rPr>
                <w:color w:val="000000" w:themeColor="text1"/>
              </w:rPr>
              <w:t>.</w:t>
            </w:r>
            <w:r w:rsidR="00912BB5" w:rsidRPr="00590BB6">
              <w:rPr>
                <w:color w:val="000000" w:themeColor="text1"/>
              </w:rPr>
              <w:t xml:space="preserve"> </w:t>
            </w:r>
            <w:r w:rsidR="00B20625" w:rsidRPr="00590BB6">
              <w:rPr>
                <w:color w:val="000000" w:themeColor="text1"/>
              </w:rPr>
              <w:t>O</w:t>
            </w:r>
            <w:r w:rsidRPr="00590BB6">
              <w:rPr>
                <w:color w:val="000000" w:themeColor="text1"/>
              </w:rPr>
              <w:t xml:space="preserve">ther </w:t>
            </w:r>
            <w:r w:rsidRPr="00590BB6">
              <w:rPr>
                <w:color w:val="000000" w:themeColor="text1"/>
              </w:rPr>
              <w:lastRenderedPageBreak/>
              <w:t xml:space="preserve">technologies </w:t>
            </w:r>
            <w:r w:rsidR="00B20625" w:rsidRPr="00590BB6">
              <w:rPr>
                <w:color w:val="000000" w:themeColor="text1"/>
              </w:rPr>
              <w:t xml:space="preserve">were estimated proportionally </w:t>
            </w:r>
            <w:r w:rsidRPr="00590BB6">
              <w:rPr>
                <w:color w:val="000000" w:themeColor="text1"/>
              </w:rPr>
              <w:t xml:space="preserve">and </w:t>
            </w:r>
            <w:r w:rsidR="00912BB5" w:rsidRPr="00590BB6">
              <w:rPr>
                <w:color w:val="000000" w:themeColor="text1"/>
              </w:rPr>
              <w:t>subsequent</w:t>
            </w:r>
            <w:r w:rsidRPr="00590BB6">
              <w:rPr>
                <w:color w:val="000000" w:themeColor="text1"/>
              </w:rPr>
              <w:t xml:space="preserve"> years by applying trends </w:t>
            </w:r>
            <w:r w:rsidR="00B20625" w:rsidRPr="00590BB6">
              <w:rPr>
                <w:color w:val="000000" w:themeColor="text1"/>
              </w:rPr>
              <w:t xml:space="preserve">as </w:t>
            </w:r>
            <w:r w:rsidRPr="00590BB6">
              <w:rPr>
                <w:color w:val="000000" w:themeColor="text1"/>
              </w:rPr>
              <w:t xml:space="preserve">reported in </w:t>
            </w:r>
            <w:bookmarkStart w:id="16" w:name="_Hlk122683500"/>
            <w:r w:rsidR="00B20625" w:rsidRPr="00590BB6">
              <w:rPr>
                <w:color w:val="000000" w:themeColor="text1"/>
              </w:rPr>
              <w:t xml:space="preserve">Mulholland et al </w:t>
            </w:r>
            <w:r w:rsidRPr="00590BB6">
              <w:rPr>
                <w:color w:val="000000" w:themeColor="text1"/>
              </w:rPr>
              <w:fldChar w:fldCharType="begin" w:fldLock="1"/>
            </w:r>
            <w:r w:rsidR="00BB1D63" w:rsidRPr="00590BB6">
              <w:rPr>
                <w:color w:val="000000" w:themeColor="text1"/>
              </w:rPr>
              <w:instrText>ADDIN CSL_CITATION {"citationItems":[{"id":"ITEM-1","itemData":{"DOI":"10.1016/j.scitotenv.2021.146861","ISSN":"18791026","PMID":"33872899","abstract":"Harmonisation sets the ground to a solid inter-comparison of integrated assessment models. A clear and transparent harmonisation process promotes a consistent interpretation of the modelling outcomes divergences and, reducing the model variance, is instrumental to the use of integrated assessment models to support policy decision-making. Despite its crucial role for climate economic policies, the definition of a comprehensive harmonisation methodology for integrated assessment modelling remains an open challenge for the scientific community. This paper proposes a framework for a harmonisation methodology with the definition of indispensable steps and recommendations to overcome stumbling blocks in order to reduce the variance of the outcomes which depends on controllable modelling assumptions. The harmonisation approach of the PARIS REINFORCE project is presented here to layout such a framework. A decomposition analysis of the harmonisation process is shown through 6 integrated assessment models (GCAM, ICES-XPS, MUSE, E3ME, GEMINI-E3, and TIAM). Results prove the potentials of the proposed framework to reduce the model variance and present a powerful diagnostic tool to feedback on the quality of the harmonisation itself.","author":[{"dropping-particle":"","family":"Giarola","given":"Sara","non-dropping-particle":"","parse-names":false,"suffix":""},{"dropping-particle":"","family":"Mittal","given":"Shivika","non-dropping-particle":"","parse-names":false,"suffix":""},{"dropping-particle":"","family":"Vielle","given":"Marc","non-dropping-particle":"","parse-names":false,"suffix":""},{"dropping-particle":"","family":"Perdana","given":"Sigit","non-dropping-particle":"","parse-names":false,"suffix":""},{"dropping-particle":"","family":"Campagnolo","given":"Lorenza","non-dropping-particle":"","parse-names":false,"suffix":""},{"dropping-particle":"","family":"Delpiazzo","given":"Elisa","non-dropping-particle":"","parse-names":false,"suffix":""},{"dropping-particle":"","family":"Bui","given":"Ha","non-dropping-particle":"","parse-names":false,"suffix":""},{"dropping-particle":"","family":"Kraavi","given":"Annela Anger","non-dropping-particle":"","parse-names":false,"suffix":""},{"dropping-particle":"","family":"Kolpakov","given":"Andrey","non-dropping-particle":"","parse-names":false,"suffix":""},{"dropping-particle":"","family":"Sognnaes","given":"Ida","non-dropping-particle":"","parse-names":false,"suffix":""},{"dropping-particle":"","family":"Peters","given":"Glen","non-dropping-particle":"","parse-names":false,"suffix":""},{"dropping-particle":"","family":"Hawkes","given":"Adam","non-dropping-particle":"","parse-names":false,"suffix":""},{"dropping-particle":"","family":"Köberle","given":"Alexandre C.","non-dropping-particle":"","parse-names":false,"suffix":""},{"dropping-particle":"","family":"Grant","given":"Neil","non-dropping-particle":"","parse-names":false,"suffix":""},{"dropping-particle":"","family":"Gambhir","given":"Ajay","non-dropping-particle":"","parse-names":false,"suffix":""},{"dropping-particle":"","family":"Nikas","given":"Alexandros","non-dropping-particle":"","parse-names":false,"suffix":""},{"dropping-particle":"","family":"Doukas","given":"Haris","non-dropping-particle":"","parse-names":false,"suffix":""},{"dropping-particle":"","family":"Moreno","given":"Jorge","non-dropping-particle":"","parse-names":false,"suffix":""},{"dropping-particle":"","family":"Ven","given":"Dirk Jan","non-dropping-particle":"van de","parse-names":false,"suffix":""}],"container-title":"Science of the Total Environment","id":"ITEM-1","issued":{"date-parts":[["2021"]]},"title":"Challenges in the harmonisation of global integrated assessment models: A comprehensive methodology to reduce model response heterogeneity","type":"article-journal","volume":"783"},"uris":["http://www.mendeley.com/documents/?uuid=a6d39a07-5ebd-44f4-9816-f21cc9bfcc62"]}],"mendeley":{"formattedCitation":"[32]","plainTextFormattedCitation":"[32]","previouslyFormattedCitation":"[31]"},"properties":{"noteIndex":0},"schema":"https://github.com/citation-style-language/schema/raw/master/csl-citation.json"}</w:instrText>
            </w:r>
            <w:r w:rsidRPr="00590BB6">
              <w:rPr>
                <w:color w:val="000000" w:themeColor="text1"/>
              </w:rPr>
              <w:fldChar w:fldCharType="separate"/>
            </w:r>
            <w:r w:rsidR="00BB1D63" w:rsidRPr="00590BB6">
              <w:rPr>
                <w:noProof/>
                <w:color w:val="000000" w:themeColor="text1"/>
              </w:rPr>
              <w:t>[</w:t>
            </w:r>
            <w:r w:rsidR="000C3A4B" w:rsidRPr="00590BB6">
              <w:rPr>
                <w:noProof/>
                <w:color w:val="000000" w:themeColor="text1"/>
              </w:rPr>
              <w:t>42</w:t>
            </w:r>
            <w:r w:rsidR="00BB1D63" w:rsidRPr="00590BB6">
              <w:rPr>
                <w:noProof/>
                <w:color w:val="000000" w:themeColor="text1"/>
              </w:rPr>
              <w:t>]</w:t>
            </w:r>
            <w:r w:rsidRPr="00590BB6">
              <w:rPr>
                <w:color w:val="000000" w:themeColor="text1"/>
              </w:rPr>
              <w:fldChar w:fldCharType="end"/>
            </w:r>
            <w:bookmarkEnd w:id="16"/>
            <w:r w:rsidRPr="00590BB6">
              <w:rPr>
                <w:color w:val="000000" w:themeColor="text1"/>
              </w:rPr>
              <w:t>.</w:t>
            </w:r>
          </w:p>
        </w:tc>
      </w:tr>
    </w:tbl>
    <w:p w14:paraId="27B247E1" w14:textId="75DA5679" w:rsidR="00B20625" w:rsidRPr="00590BB6" w:rsidRDefault="00B20625" w:rsidP="0093582F">
      <w:pPr>
        <w:pStyle w:val="Heading3"/>
        <w:spacing w:after="240"/>
      </w:pPr>
      <w:r w:rsidRPr="00590BB6">
        <w:lastRenderedPageBreak/>
        <w:t>Fuel prices</w:t>
      </w:r>
    </w:p>
    <w:p w14:paraId="33021DEB" w14:textId="4321D073" w:rsidR="009F2DF7" w:rsidRPr="00590BB6" w:rsidRDefault="00666206" w:rsidP="009F2DF7">
      <w:pPr>
        <w:spacing w:line="360" w:lineRule="auto"/>
        <w:jc w:val="both"/>
        <w:rPr>
          <w:rFonts w:cs="Times New Roman"/>
        </w:rPr>
      </w:pPr>
      <w:r w:rsidRPr="00590BB6">
        <w:rPr>
          <w:rFonts w:cs="Times New Roman"/>
        </w:rPr>
        <w:t>H</w:t>
      </w:r>
      <w:r w:rsidR="009F2DF7" w:rsidRPr="00590BB6">
        <w:rPr>
          <w:rFonts w:cs="Times New Roman"/>
        </w:rPr>
        <w:t xml:space="preserve">istorical </w:t>
      </w:r>
      <w:r w:rsidR="00B20625" w:rsidRPr="00590BB6">
        <w:rPr>
          <w:rFonts w:cs="Times New Roman"/>
        </w:rPr>
        <w:t xml:space="preserve">prices </w:t>
      </w:r>
      <w:r w:rsidRPr="00590BB6">
        <w:rPr>
          <w:rFonts w:cs="Times New Roman"/>
        </w:rPr>
        <w:t xml:space="preserve">for diesel and gasoline </w:t>
      </w:r>
      <w:r w:rsidR="00F90E91" w:rsidRPr="00590BB6">
        <w:rPr>
          <w:rFonts w:cs="Times New Roman"/>
        </w:rPr>
        <w:t>were</w:t>
      </w:r>
      <w:r w:rsidRPr="00590BB6">
        <w:rPr>
          <w:rFonts w:cs="Times New Roman"/>
        </w:rPr>
        <w:t xml:space="preserve"> retrieved from </w:t>
      </w:r>
      <w:r w:rsidR="009F2DF7" w:rsidRPr="00590BB6">
        <w:rPr>
          <w:rFonts w:cs="Times New Roman"/>
        </w:rPr>
        <w:t xml:space="preserve">the Italian Ministry of Ecological Transition </w:t>
      </w:r>
      <w:r w:rsidR="009F2DF7" w:rsidRPr="00590BB6">
        <w:rPr>
          <w:rFonts w:cs="Times New Roman"/>
        </w:rPr>
        <w:fldChar w:fldCharType="begin" w:fldLock="1"/>
      </w:r>
      <w:r w:rsidR="006F44A7" w:rsidRPr="00590BB6">
        <w:rPr>
          <w:rFonts w:cs="Times New Roman"/>
        </w:rPr>
        <w:instrText>ADDIN CSL_CITATION {"citationItems":[{"id":"ITEM-1","itemData":{"author":[{"dropping-particle":"","family":"Ministero della Transizione Ecologica","given":"","non-dropping-particle":"","parse-names":false,"suffix":""}],"id":"ITEM-1","issued":{"date-parts":[["2022"]]},"title":"Analisi e statistiche energetiche e minerari","type":"webpage"},"uris":["http://www.mendeley.com/documents/?uuid=7be5c841-bd97-46ae-bafd-31381486b261","http://www.mendeley.com/documents/?uuid=79bb6930-dafb-4e34-b23c-ff2ae424b49f"]}],"mendeley":{"formattedCitation":"[46]","plainTextFormattedCitation":"[46]","previouslyFormattedCitation":"[45]"},"properties":{"noteIndex":0},"schema":"https://github.com/citation-style-language/schema/raw/master/csl-citation.json"}</w:instrText>
      </w:r>
      <w:r w:rsidR="009F2DF7" w:rsidRPr="00590BB6">
        <w:rPr>
          <w:rFonts w:cs="Times New Roman"/>
        </w:rPr>
        <w:fldChar w:fldCharType="separate"/>
      </w:r>
      <w:r w:rsidR="006F44A7" w:rsidRPr="00590BB6">
        <w:rPr>
          <w:rFonts w:cs="Times New Roman"/>
          <w:noProof/>
        </w:rPr>
        <w:t>[46]</w:t>
      </w:r>
      <w:r w:rsidR="009F2DF7" w:rsidRPr="00590BB6">
        <w:rPr>
          <w:rFonts w:cs="Times New Roman"/>
        </w:rPr>
        <w:fldChar w:fldCharType="end"/>
      </w:r>
      <w:r w:rsidRPr="00590BB6">
        <w:rPr>
          <w:rFonts w:cs="Times New Roman"/>
        </w:rPr>
        <w:t xml:space="preserve">, </w:t>
      </w:r>
      <w:r w:rsidR="009F2DF7" w:rsidRPr="00590BB6">
        <w:rPr>
          <w:rFonts w:cs="Times New Roman"/>
        </w:rPr>
        <w:t>natural gas</w:t>
      </w:r>
      <w:r w:rsidR="00905896" w:rsidRPr="00590BB6">
        <w:rPr>
          <w:rFonts w:cs="Times New Roman"/>
        </w:rPr>
        <w:t xml:space="preserve"> and LPG</w:t>
      </w:r>
      <w:r w:rsidR="009F2DF7" w:rsidRPr="00590BB6">
        <w:rPr>
          <w:rFonts w:cs="Times New Roman"/>
        </w:rPr>
        <w:t xml:space="preserve"> prices from a methane trade association </w:t>
      </w:r>
      <w:r w:rsidR="009F2DF7" w:rsidRPr="00590BB6">
        <w:rPr>
          <w:rFonts w:cs="Times New Roman"/>
        </w:rPr>
        <w:fldChar w:fldCharType="begin" w:fldLock="1"/>
      </w:r>
      <w:r w:rsidR="006F44A7" w:rsidRPr="00590BB6">
        <w:rPr>
          <w:rFonts w:cs="Times New Roman"/>
        </w:rPr>
        <w:instrText>ADDIN CSL_CITATION {"citationItems":[{"id":"ITEM-1","itemData":{"author":[{"dropping-particle":"","family":"Metanoauto","given":"","non-dropping-particle":"","parse-names":false,"suffix":""}],"id":"ITEM-1","issued":{"date-parts":[["2022"]]},"title":"Andamento storico prezzi e costi kmetrici","type":"webpage"},"uris":["http://www.mendeley.com/documents/?uuid=960c2c25-b855-4447-bd2d-07f906cc13a3","http://www.mendeley.com/documents/?uuid=5e63ceb5-990d-4f66-8d8c-ead5281d06ac"]}],"mendeley":{"formattedCitation":"[47]","plainTextFormattedCitation":"[47]","previouslyFormattedCitation":"[46]"},"properties":{"noteIndex":0},"schema":"https://github.com/citation-style-language/schema/raw/master/csl-citation.json"}</w:instrText>
      </w:r>
      <w:r w:rsidR="009F2DF7" w:rsidRPr="00590BB6">
        <w:rPr>
          <w:rFonts w:cs="Times New Roman"/>
        </w:rPr>
        <w:fldChar w:fldCharType="separate"/>
      </w:r>
      <w:r w:rsidR="006F44A7" w:rsidRPr="00590BB6">
        <w:rPr>
          <w:rFonts w:cs="Times New Roman"/>
          <w:noProof/>
        </w:rPr>
        <w:t>[47]</w:t>
      </w:r>
      <w:r w:rsidR="009F2DF7" w:rsidRPr="00590BB6">
        <w:rPr>
          <w:rFonts w:cs="Times New Roman"/>
        </w:rPr>
        <w:fldChar w:fldCharType="end"/>
      </w:r>
      <w:r w:rsidRPr="00590BB6">
        <w:rPr>
          <w:rFonts w:cs="Times New Roman"/>
        </w:rPr>
        <w:t xml:space="preserve">, </w:t>
      </w:r>
      <w:r w:rsidR="009F2DF7" w:rsidRPr="00590BB6">
        <w:rPr>
          <w:rFonts w:cs="Times New Roman"/>
        </w:rPr>
        <w:t>electricity</w:t>
      </w:r>
      <w:r w:rsidR="00905896" w:rsidRPr="00590BB6">
        <w:rPr>
          <w:rFonts w:cs="Times New Roman"/>
        </w:rPr>
        <w:t xml:space="preserve"> prices from</w:t>
      </w:r>
      <w:r w:rsidR="009F2DF7" w:rsidRPr="00590BB6">
        <w:rPr>
          <w:rFonts w:cs="Times New Roman"/>
        </w:rPr>
        <w:t xml:space="preserve"> the </w:t>
      </w:r>
      <w:proofErr w:type="spellStart"/>
      <w:r w:rsidR="009F2DF7" w:rsidRPr="00590BB6">
        <w:rPr>
          <w:rFonts w:cs="Times New Roman"/>
          <w:i/>
          <w:iCs/>
        </w:rPr>
        <w:t>Autorità</w:t>
      </w:r>
      <w:proofErr w:type="spellEnd"/>
      <w:r w:rsidR="009F2DF7" w:rsidRPr="00590BB6">
        <w:rPr>
          <w:rFonts w:cs="Times New Roman"/>
          <w:i/>
          <w:iCs/>
        </w:rPr>
        <w:t xml:space="preserve"> di </w:t>
      </w:r>
      <w:proofErr w:type="spellStart"/>
      <w:r w:rsidR="009F2DF7" w:rsidRPr="00590BB6">
        <w:rPr>
          <w:rFonts w:cs="Times New Roman"/>
          <w:i/>
          <w:iCs/>
        </w:rPr>
        <w:t>Regolazione</w:t>
      </w:r>
      <w:proofErr w:type="spellEnd"/>
      <w:r w:rsidR="009F2DF7" w:rsidRPr="00590BB6">
        <w:rPr>
          <w:rFonts w:cs="Times New Roman"/>
          <w:i/>
          <w:iCs/>
        </w:rPr>
        <w:t xml:space="preserve"> per </w:t>
      </w:r>
      <w:proofErr w:type="spellStart"/>
      <w:r w:rsidR="009F2DF7" w:rsidRPr="00590BB6">
        <w:rPr>
          <w:rFonts w:cs="Times New Roman"/>
          <w:i/>
          <w:iCs/>
        </w:rPr>
        <w:t>Energia</w:t>
      </w:r>
      <w:proofErr w:type="spellEnd"/>
      <w:r w:rsidR="009F2DF7" w:rsidRPr="00590BB6">
        <w:rPr>
          <w:rFonts w:cs="Times New Roman"/>
          <w:i/>
          <w:iCs/>
        </w:rPr>
        <w:t xml:space="preserve"> </w:t>
      </w:r>
      <w:proofErr w:type="spellStart"/>
      <w:r w:rsidR="009F2DF7" w:rsidRPr="00590BB6">
        <w:rPr>
          <w:rFonts w:cs="Times New Roman"/>
          <w:i/>
          <w:iCs/>
        </w:rPr>
        <w:t>Reti</w:t>
      </w:r>
      <w:proofErr w:type="spellEnd"/>
      <w:r w:rsidR="009F2DF7" w:rsidRPr="00590BB6">
        <w:rPr>
          <w:rFonts w:cs="Times New Roman"/>
          <w:i/>
          <w:iCs/>
        </w:rPr>
        <w:t xml:space="preserve"> e </w:t>
      </w:r>
      <w:proofErr w:type="spellStart"/>
      <w:r w:rsidR="009F2DF7" w:rsidRPr="00590BB6">
        <w:rPr>
          <w:rFonts w:cs="Times New Roman"/>
          <w:i/>
          <w:iCs/>
        </w:rPr>
        <w:t>Ambiente</w:t>
      </w:r>
      <w:proofErr w:type="spellEnd"/>
      <w:r w:rsidR="009F2DF7" w:rsidRPr="00590BB6">
        <w:rPr>
          <w:rFonts w:cs="Times New Roman"/>
        </w:rPr>
        <w:t xml:space="preserve"> (ARE</w:t>
      </w:r>
      <w:r w:rsidR="00905896" w:rsidRPr="00590BB6">
        <w:rPr>
          <w:rFonts w:cs="Times New Roman"/>
        </w:rPr>
        <w:t>R</w:t>
      </w:r>
      <w:r w:rsidR="009F2DF7" w:rsidRPr="00590BB6">
        <w:rPr>
          <w:rFonts w:cs="Times New Roman"/>
        </w:rPr>
        <w:t xml:space="preserve">A) </w:t>
      </w:r>
      <w:r w:rsidR="009F2DF7" w:rsidRPr="00590BB6">
        <w:rPr>
          <w:rFonts w:cs="Times New Roman"/>
        </w:rPr>
        <w:fldChar w:fldCharType="begin" w:fldLock="1"/>
      </w:r>
      <w:r w:rsidR="006F44A7" w:rsidRPr="00590BB6">
        <w:rPr>
          <w:rFonts w:cs="Times New Roman"/>
        </w:rPr>
        <w:instrText>ADDIN CSL_CITATION {"citationItems":[{"id":"ITEM-1","itemData":{"author":[{"dropping-particle":"","family":"ARERA","given":"","non-dropping-particle":"","parse-names":false,"suffix":""}],"id":"ITEM-1","issued":{"date-parts":[["2022"]]},"title":"Andamento del prezzo dell'energia elettrica per il consumatore domestico tipo in maggior tutela","type":"webpage"},"uris":["http://www.mendeley.com/documents/?uuid=14d72b8f-742a-43ba-baa3-0a65407b78a6","http://www.mendeley.com/documents/?uuid=2bf0bc06-1247-467d-892c-36cf4b5daae9"]}],"mendeley":{"formattedCitation":"[48]","plainTextFormattedCitation":"[48]","previouslyFormattedCitation":"[47]"},"properties":{"noteIndex":0},"schema":"https://github.com/citation-style-language/schema/raw/master/csl-citation.json"}</w:instrText>
      </w:r>
      <w:r w:rsidR="009F2DF7" w:rsidRPr="00590BB6">
        <w:rPr>
          <w:rFonts w:cs="Times New Roman"/>
        </w:rPr>
        <w:fldChar w:fldCharType="separate"/>
      </w:r>
      <w:r w:rsidR="006F44A7" w:rsidRPr="00590BB6">
        <w:rPr>
          <w:rFonts w:cs="Times New Roman"/>
          <w:noProof/>
        </w:rPr>
        <w:t>[48]</w:t>
      </w:r>
      <w:r w:rsidR="009F2DF7" w:rsidRPr="00590BB6">
        <w:rPr>
          <w:rFonts w:cs="Times New Roman"/>
        </w:rPr>
        <w:fldChar w:fldCharType="end"/>
      </w:r>
      <w:r w:rsidRPr="00590BB6">
        <w:rPr>
          <w:rStyle w:val="FootnoteReference"/>
          <w:rFonts w:cs="Times New Roman"/>
        </w:rPr>
        <w:footnoteReference w:id="9"/>
      </w:r>
      <w:r w:rsidR="009C6B84" w:rsidRPr="00590BB6">
        <w:rPr>
          <w:rFonts w:cs="Times New Roman"/>
        </w:rPr>
        <w:t xml:space="preserve">, </w:t>
      </w:r>
      <w:r w:rsidR="00905896" w:rsidRPr="00590BB6">
        <w:rPr>
          <w:rFonts w:cs="Times New Roman"/>
        </w:rPr>
        <w:t xml:space="preserve">and </w:t>
      </w:r>
      <w:r w:rsidR="009C6B84" w:rsidRPr="00590BB6">
        <w:rPr>
          <w:rFonts w:cs="Times New Roman"/>
        </w:rPr>
        <w:t>t</w:t>
      </w:r>
      <w:r w:rsidR="009F2DF7" w:rsidRPr="00590BB6">
        <w:rPr>
          <w:rFonts w:cs="Times New Roman"/>
        </w:rPr>
        <w:t>he price of hydrogen for vehicles</w:t>
      </w:r>
      <w:r w:rsidR="009C6B84" w:rsidRPr="00590BB6">
        <w:rPr>
          <w:rFonts w:cs="Times New Roman"/>
        </w:rPr>
        <w:t xml:space="preserve"> from</w:t>
      </w:r>
      <w:r w:rsidR="009F2DF7" w:rsidRPr="00590BB6">
        <w:rPr>
          <w:rFonts w:cs="Times New Roman"/>
        </w:rPr>
        <w:t xml:space="preserve"> the H2-South Tyrol Centro H2 </w:t>
      </w:r>
      <w:r w:rsidR="009F2DF7" w:rsidRPr="00590BB6">
        <w:rPr>
          <w:rFonts w:cs="Times New Roman"/>
        </w:rPr>
        <w:fldChar w:fldCharType="begin" w:fldLock="1"/>
      </w:r>
      <w:r w:rsidR="006F44A7" w:rsidRPr="00590BB6">
        <w:rPr>
          <w:rFonts w:cs="Times New Roman"/>
        </w:rPr>
        <w:instrText>ADDIN CSL_CITATION {"citationItems":[{"id":"ITEM-1","itemData":{"id":"ITEM-1","issued":{"date-parts":[["2022"]]},"title":"H2-South Tyrol Centro H2","type":"webpage"},"uris":["http://www.mendeley.com/documents/?uuid=d17b556c-b76d-44a7-b606-af4229efc5c5","http://www.mendeley.com/documents/?uuid=f17d4c5a-4855-47ff-ae21-8748918b4b7f"]}],"mendeley":{"formattedCitation":"[49]","plainTextFormattedCitation":"[49]","previouslyFormattedCitation":"[48]"},"properties":{"noteIndex":0},"schema":"https://github.com/citation-style-language/schema/raw/master/csl-citation.json"}</w:instrText>
      </w:r>
      <w:r w:rsidR="009F2DF7" w:rsidRPr="00590BB6">
        <w:rPr>
          <w:rFonts w:cs="Times New Roman"/>
        </w:rPr>
        <w:fldChar w:fldCharType="separate"/>
      </w:r>
      <w:r w:rsidR="006F44A7" w:rsidRPr="00590BB6">
        <w:rPr>
          <w:rFonts w:cs="Times New Roman"/>
          <w:noProof/>
        </w:rPr>
        <w:t>[49]</w:t>
      </w:r>
      <w:r w:rsidR="009F2DF7" w:rsidRPr="00590BB6">
        <w:rPr>
          <w:rFonts w:cs="Times New Roman"/>
        </w:rPr>
        <w:fldChar w:fldCharType="end"/>
      </w:r>
      <w:r w:rsidR="00905896" w:rsidRPr="00590BB6">
        <w:rPr>
          <w:rFonts w:cs="Times New Roman"/>
        </w:rPr>
        <w:t xml:space="preserve"> and </w:t>
      </w:r>
      <w:r w:rsidR="00D81A86" w:rsidRPr="00590BB6">
        <w:rPr>
          <w:rFonts w:cs="Times New Roman"/>
        </w:rPr>
        <w:t>the International Renewable Energy Agency (</w:t>
      </w:r>
      <w:r w:rsidR="00905896" w:rsidRPr="00590BB6">
        <w:rPr>
          <w:rFonts w:cs="Times New Roman"/>
        </w:rPr>
        <w:t>IRENA</w:t>
      </w:r>
      <w:r w:rsidR="00D81A86" w:rsidRPr="00590BB6">
        <w:rPr>
          <w:rFonts w:cs="Times New Roman"/>
        </w:rPr>
        <w:t>)</w:t>
      </w:r>
      <w:r w:rsidR="00905896" w:rsidRPr="00590BB6">
        <w:rPr>
          <w:rFonts w:cs="Times New Roman"/>
        </w:rPr>
        <w:t xml:space="preserve"> </w:t>
      </w:r>
      <w:r w:rsidR="00905896" w:rsidRPr="00590BB6">
        <w:rPr>
          <w:rFonts w:cs="Times New Roman"/>
        </w:rPr>
        <w:fldChar w:fldCharType="begin" w:fldLock="1"/>
      </w:r>
      <w:r w:rsidR="006F44A7" w:rsidRPr="00590BB6">
        <w:rPr>
          <w:rFonts w:cs="Times New Roman"/>
        </w:rPr>
        <w:instrText>ADDIN CSL_CITATION {"citationItems":[{"id":"ITEM-1","itemData":{"ISBN":"9789292602956","abstract":"This report benefited from input and review of the following experts: Katherine Ayers and Egil Rasten (NEL), Karan Bagga (ThyssenKrupp), Bart Biebuyck and Mirela Atanasiu (FCH JU), Luigi Crema and Martina Trini (Bruno Kessler Foundation), Tim Karlsson (IPHE), Ruud Kempener (European Commission), Francesco Massari (XBEC), Corky Mittelsteadt (Giner ELX), Samir Rachidi (IRESEN), Jan-Justus Schmidt (Enapter), Toshiyuki Shirai (METI/Japan), Andrew Smeltz (Denora), Denis Thomas (Cummins-Hydrogenics), Kasper Tipsmark (Green Hydrogen Systems), Eveline Weidner (EU JRC) and Frank Wouters (EU-GCC clean energy council). Emanuele Bianco, Paul Durrant, Barbara Jinks, Seungwoo Kang, Paul Komor and Stephanie Weckend (IRENA) also provided valuable inputs.","author":[{"dropping-particle":"","family":"IRENA","given":"","non-dropping-particle":"","parse-names":false,"suffix":""}],"container-title":"/publications/2020/Dec/Green-hydrogen-cost-reduction","id":"ITEM-1","issued":{"date-parts":[["2020"]]},"number-of-pages":"105","title":"Green Hydrogen Cost Reduction: Scaling up Electrolysers to Meet the 1.5⁰C Climate Goal","type":"book"},"uris":["http://www.mendeley.com/documents/?uuid=4d4fc3a5-200b-4e73-aff9-9ba33b7a8423","http://www.mendeley.com/documents/?uuid=9103e90f-5235-424f-abe0-3d4bffad1c9c"]}],"mendeley":{"formattedCitation":"[50]","plainTextFormattedCitation":"[50]","previouslyFormattedCitation":"[49]"},"properties":{"noteIndex":0},"schema":"https://github.com/citation-style-language/schema/raw/master/csl-citation.json"}</w:instrText>
      </w:r>
      <w:r w:rsidR="00905896" w:rsidRPr="00590BB6">
        <w:rPr>
          <w:rFonts w:cs="Times New Roman"/>
        </w:rPr>
        <w:fldChar w:fldCharType="separate"/>
      </w:r>
      <w:r w:rsidR="006F44A7" w:rsidRPr="00590BB6">
        <w:rPr>
          <w:rFonts w:cs="Times New Roman"/>
          <w:noProof/>
        </w:rPr>
        <w:t>[50]</w:t>
      </w:r>
      <w:r w:rsidR="00905896" w:rsidRPr="00590BB6">
        <w:rPr>
          <w:rFonts w:cs="Times New Roman"/>
        </w:rPr>
        <w:fldChar w:fldCharType="end"/>
      </w:r>
      <w:r w:rsidR="00314EDB" w:rsidRPr="00590BB6">
        <w:rPr>
          <w:rFonts w:cs="Times New Roman"/>
        </w:rPr>
        <w:t>.</w:t>
      </w:r>
      <w:r w:rsidR="00905896" w:rsidRPr="00590BB6">
        <w:rPr>
          <w:rFonts w:cs="Times New Roman"/>
        </w:rPr>
        <w:t xml:space="preserve"> </w:t>
      </w:r>
      <w:r w:rsidR="00F90E91" w:rsidRPr="00590BB6">
        <w:rPr>
          <w:rFonts w:cs="Times New Roman"/>
        </w:rPr>
        <w:t>The h</w:t>
      </w:r>
      <w:r w:rsidR="00905896" w:rsidRPr="00590BB6">
        <w:rPr>
          <w:rFonts w:cs="Times New Roman"/>
        </w:rPr>
        <w:t xml:space="preserve">istorical fuel prices from the aforementioned sources </w:t>
      </w:r>
      <w:r w:rsidR="00F90E91" w:rsidRPr="00590BB6">
        <w:rPr>
          <w:rFonts w:cs="Times New Roman"/>
        </w:rPr>
        <w:t xml:space="preserve">were used </w:t>
      </w:r>
      <w:r w:rsidR="00905896" w:rsidRPr="00590BB6">
        <w:rPr>
          <w:rFonts w:cs="Times New Roman"/>
        </w:rPr>
        <w:t>up to 2022</w:t>
      </w:r>
      <w:r w:rsidR="00F90E91" w:rsidRPr="00590BB6">
        <w:rPr>
          <w:rFonts w:cs="Times New Roman"/>
        </w:rPr>
        <w:t>;</w:t>
      </w:r>
      <w:r w:rsidR="00905896" w:rsidRPr="00590BB6">
        <w:rPr>
          <w:rFonts w:cs="Times New Roman"/>
        </w:rPr>
        <w:t xml:space="preserve"> possible projections up to 2050 </w:t>
      </w:r>
      <w:r w:rsidR="00F90E91" w:rsidRPr="00590BB6">
        <w:rPr>
          <w:rFonts w:cs="Times New Roman"/>
        </w:rPr>
        <w:t>were estimated as indicated by</w:t>
      </w:r>
      <w:r w:rsidR="00905896" w:rsidRPr="00590BB6">
        <w:rPr>
          <w:rFonts w:cs="Times New Roman"/>
        </w:rPr>
        <w:t xml:space="preserve"> </w:t>
      </w:r>
      <w:r w:rsidR="002B241F" w:rsidRPr="00590BB6">
        <w:rPr>
          <w:rFonts w:cs="Times New Roman"/>
        </w:rPr>
        <w:t xml:space="preserve">International </w:t>
      </w:r>
      <w:r w:rsidR="00905896" w:rsidRPr="00590BB6">
        <w:rPr>
          <w:rFonts w:cs="Times New Roman"/>
        </w:rPr>
        <w:t>Energy Agency (</w:t>
      </w:r>
      <w:r w:rsidR="002B241F" w:rsidRPr="00590BB6">
        <w:rPr>
          <w:rFonts w:cs="Times New Roman"/>
        </w:rPr>
        <w:t>IE</w:t>
      </w:r>
      <w:r w:rsidR="00905896" w:rsidRPr="00590BB6">
        <w:rPr>
          <w:rFonts w:cs="Times New Roman"/>
        </w:rPr>
        <w:t xml:space="preserve">A) </w:t>
      </w:r>
      <w:r w:rsidR="00905896" w:rsidRPr="00590BB6">
        <w:rPr>
          <w:rFonts w:cs="Times New Roman"/>
        </w:rPr>
        <w:fldChar w:fldCharType="begin" w:fldLock="1"/>
      </w:r>
      <w:r w:rsidR="006F44A7" w:rsidRPr="00590BB6">
        <w:rPr>
          <w:rFonts w:cs="Times New Roman"/>
        </w:rPr>
        <w:instrText>ADDIN CSL_CITATION {"citationItems":[{"id":"ITEM-1","itemData":{"author":[{"dropping-particle":"","family":"EIA","given":"U.S.","non-dropping-particle":"","parse-names":false,"suffix":""}],"id":"ITEM-1","issued":{"date-parts":[["2021"]]},"title":"Annual Energy Outlook 2021 Table: Table 3. Energy Prices by Sector and Source Case: High economic growth | Region: United States","type":"webpage"},"uris":["http://www.mendeley.com/documents/?uuid=f256161f-7615-4674-a601-c998cbee9da9","http://www.mendeley.com/documents/?uuid=4ec66a09-0636-4c53-9a8a-721c34569e4d"]}],"mendeley":{"formattedCitation":"[51]","plainTextFormattedCitation":"[51]","previouslyFormattedCitation":"[50]"},"properties":{"noteIndex":0},"schema":"https://github.com/citation-style-language/schema/raw/master/csl-citation.json"}</w:instrText>
      </w:r>
      <w:r w:rsidR="00905896" w:rsidRPr="00590BB6">
        <w:rPr>
          <w:rFonts w:cs="Times New Roman"/>
        </w:rPr>
        <w:fldChar w:fldCharType="separate"/>
      </w:r>
      <w:r w:rsidR="006F44A7" w:rsidRPr="00590BB6">
        <w:rPr>
          <w:rFonts w:cs="Times New Roman"/>
          <w:noProof/>
        </w:rPr>
        <w:t>[51]</w:t>
      </w:r>
      <w:r w:rsidR="00905896" w:rsidRPr="00590BB6">
        <w:rPr>
          <w:rFonts w:cs="Times New Roman"/>
        </w:rPr>
        <w:fldChar w:fldCharType="end"/>
      </w:r>
      <w:r w:rsidR="00905896" w:rsidRPr="00590BB6">
        <w:rPr>
          <w:rFonts w:cs="Times New Roman"/>
        </w:rPr>
        <w:t xml:space="preserve"> and </w:t>
      </w:r>
      <w:r w:rsidR="00D81A86" w:rsidRPr="00590BB6">
        <w:rPr>
          <w:rFonts w:cs="Times New Roman"/>
        </w:rPr>
        <w:t xml:space="preserve">IRENA </w:t>
      </w:r>
      <w:r w:rsidR="00905896" w:rsidRPr="00590BB6">
        <w:rPr>
          <w:rFonts w:cs="Times New Roman"/>
        </w:rPr>
        <w:fldChar w:fldCharType="begin" w:fldLock="1"/>
      </w:r>
      <w:r w:rsidR="006F44A7" w:rsidRPr="00590BB6">
        <w:rPr>
          <w:rFonts w:cs="Times New Roman"/>
        </w:rPr>
        <w:instrText>ADDIN CSL_CITATION {"citationItems":[{"id":"ITEM-1","itemData":{"ISBN":"9789292602956","abstract":"This report benefited from input and review of the following experts: Katherine Ayers and Egil Rasten (NEL), Karan Bagga (ThyssenKrupp), Bart Biebuyck and Mirela Atanasiu (FCH JU), Luigi Crema and Martina Trini (Bruno Kessler Foundation), Tim Karlsson (IPHE), Ruud Kempener (European Commission), Francesco Massari (XBEC), Corky Mittelsteadt (Giner ELX), Samir Rachidi (IRESEN), Jan-Justus Schmidt (Enapter), Toshiyuki Shirai (METI/Japan), Andrew Smeltz (Denora), Denis Thomas (Cummins-Hydrogenics), Kasper Tipsmark (Green Hydrogen Systems), Eveline Weidner (EU JRC) and Frank Wouters (EU-GCC clean energy council). Emanuele Bianco, Paul Durrant, Barbara Jinks, Seungwoo Kang, Paul Komor and Stephanie Weckend (IRENA) also provided valuable inputs.","author":[{"dropping-particle":"","family":"IRENA","given":"","non-dropping-particle":"","parse-names":false,"suffix":""}],"container-title":"/publications/2020/Dec/Green-hydrogen-cost-reduction","id":"ITEM-1","issued":{"date-parts":[["2020"]]},"number-of-pages":"105","title":"Green Hydrogen Cost Reduction: Scaling up Electrolysers to Meet the 1.5⁰C Climate Goal","type":"book"},"uris":["http://www.mendeley.com/documents/?uuid=9103e90f-5235-424f-abe0-3d4bffad1c9c","http://www.mendeley.com/documents/?uuid=4d4fc3a5-200b-4e73-aff9-9ba33b7a8423"]}],"mendeley":{"formattedCitation":"[50]","plainTextFormattedCitation":"[50]","previouslyFormattedCitation":"[49]"},"properties":{"noteIndex":0},"schema":"https://github.com/citation-style-language/schema/raw/master/csl-citation.json"}</w:instrText>
      </w:r>
      <w:r w:rsidR="00905896" w:rsidRPr="00590BB6">
        <w:rPr>
          <w:rFonts w:cs="Times New Roman"/>
        </w:rPr>
        <w:fldChar w:fldCharType="separate"/>
      </w:r>
      <w:r w:rsidR="006F44A7" w:rsidRPr="00590BB6">
        <w:rPr>
          <w:rFonts w:cs="Times New Roman"/>
          <w:noProof/>
        </w:rPr>
        <w:t>[50]</w:t>
      </w:r>
      <w:r w:rsidR="00905896" w:rsidRPr="00590BB6">
        <w:rPr>
          <w:rFonts w:cs="Times New Roman"/>
        </w:rPr>
        <w:fldChar w:fldCharType="end"/>
      </w:r>
      <w:r w:rsidR="00F90E91" w:rsidRPr="00590BB6">
        <w:rPr>
          <w:rFonts w:cs="Times New Roman"/>
        </w:rPr>
        <w:t>.</w:t>
      </w:r>
    </w:p>
    <w:p w14:paraId="734280F5" w14:textId="4F387A52" w:rsidR="009F2DF7" w:rsidRPr="00590BB6" w:rsidRDefault="005E1B5D" w:rsidP="003B0C1A">
      <w:pPr>
        <w:keepNext/>
        <w:spacing w:after="0" w:line="360" w:lineRule="auto"/>
        <w:jc w:val="center"/>
        <w:rPr>
          <w:rFonts w:cs="Times New Roman"/>
        </w:rPr>
      </w:pPr>
      <w:r w:rsidRPr="005E1B5D">
        <w:rPr>
          <w:rFonts w:asciiTheme="minorHAnsi" w:hAnsiTheme="minorHAnsi"/>
          <w:noProof/>
        </w:rPr>
        <w:object w:dxaOrig="8625" w:dyaOrig="6600" w14:anchorId="23CDCB2F">
          <v:shape id="_x0000_i1025" type="#_x0000_t75" alt="Project Path: C:\Users\carbmat91702\OneDrive - Università degli Studi di Padova\ONEDRIVE\DOTTORATO PADOVA\Muse\MUSE_SHARED\TRUCK\Graphs\fuel prices WAR effect AND INFLACTION and carbon price - Copia.opju&#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PE Folder: /fuel prices WAR effect AND INFLACTION and carbon price - Copia/Folder1/&#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13;&#13;&#13;&#13;&#13;&#13;&#13;&#13;&#13;&#13;&#13;&#13;&#13;&#13;&#13;&#13;&#10;Short Name: fuel" style="width:295.3pt;height:229.75pt;mso-width-percent:0;mso-height-percent:0;mso-width-percent:0;mso-height-percent:0" o:ole="">
            <v:imagedata r:id="rId33" o:title=""/>
          </v:shape>
          <o:OLEObject Type="Embed" ProgID="Origin95.Graph" ShapeID="_x0000_i1025" DrawAspect="Content" ObjectID="_1759330211" r:id="rId34"/>
        </w:object>
      </w:r>
    </w:p>
    <w:p w14:paraId="72921A31" w14:textId="045B65E7" w:rsidR="009F2DF7" w:rsidRPr="00590BB6" w:rsidRDefault="004C610A" w:rsidP="004C610A">
      <w:pPr>
        <w:pStyle w:val="Caption"/>
        <w:rPr>
          <w:rFonts w:cs="Times New Roman"/>
        </w:rPr>
      </w:pPr>
      <w:bookmarkStart w:id="17" w:name="_Ref143128529"/>
      <w:r w:rsidRPr="00590BB6">
        <w:t xml:space="preserve">Figure </w:t>
      </w:r>
      <w:r w:rsidRPr="00590BB6">
        <w:fldChar w:fldCharType="begin"/>
      </w:r>
      <w:r w:rsidRPr="00590BB6">
        <w:instrText xml:space="preserve"> SEQ Figure \* ARABIC </w:instrText>
      </w:r>
      <w:r w:rsidRPr="00590BB6">
        <w:fldChar w:fldCharType="separate"/>
      </w:r>
      <w:r w:rsidR="00A644B3" w:rsidRPr="00590BB6">
        <w:rPr>
          <w:noProof/>
        </w:rPr>
        <w:t>7</w:t>
      </w:r>
      <w:r w:rsidRPr="00590BB6">
        <w:fldChar w:fldCharType="end"/>
      </w:r>
      <w:bookmarkEnd w:id="17"/>
      <w:r w:rsidR="009F2DF7" w:rsidRPr="00590BB6">
        <w:rPr>
          <w:rFonts w:cs="Times New Roman"/>
        </w:rPr>
        <w:t xml:space="preserve">. Historical data and projections for the Italian transportation fuel prices. Sources: Adapted from </w:t>
      </w:r>
      <w:bookmarkStart w:id="18" w:name="_Hlk103607955"/>
      <w:r w:rsidR="00905896" w:rsidRPr="00590BB6">
        <w:rPr>
          <w:rFonts w:cs="Times New Roman"/>
        </w:rPr>
        <w:t xml:space="preserve">the Italian Ministry of Ecological Transition </w:t>
      </w:r>
      <w:r w:rsidR="009F2DF7" w:rsidRPr="00590BB6">
        <w:rPr>
          <w:rFonts w:cs="Times New Roman"/>
        </w:rPr>
        <w:fldChar w:fldCharType="begin" w:fldLock="1"/>
      </w:r>
      <w:r w:rsidR="006F44A7" w:rsidRPr="00590BB6">
        <w:rPr>
          <w:rFonts w:cs="Times New Roman"/>
        </w:rPr>
        <w:instrText>ADDIN CSL_CITATION {"citationItems":[{"id":"ITEM-1","itemData":{"author":[{"dropping-particle":"","family":"Ministero della Transizione Ecologica","given":"","non-dropping-particle":"","parse-names":false,"suffix":""}],"id":"ITEM-1","issued":{"date-parts":[["2022"]]},"title":"Analisi e statistiche energetiche e minerari","type":"webpage"},"uris":["http://www.mendeley.com/documents/?uuid=79bb6930-dafb-4e34-b23c-ff2ae424b49f","http://www.mendeley.com/documents/?uuid=7be5c841-bd97-46ae-bafd-31381486b261"]}],"mendeley":{"formattedCitation":"[46]","plainTextFormattedCitation":"[46]","previouslyFormattedCitation":"[45]"},"properties":{"noteIndex":0},"schema":"https://github.com/citation-style-language/schema/raw/master/csl-citation.json"}</w:instrText>
      </w:r>
      <w:r w:rsidR="009F2DF7" w:rsidRPr="00590BB6">
        <w:rPr>
          <w:rFonts w:cs="Times New Roman"/>
        </w:rPr>
        <w:fldChar w:fldCharType="separate"/>
      </w:r>
      <w:r w:rsidR="006F44A7" w:rsidRPr="00590BB6">
        <w:rPr>
          <w:rFonts w:cs="Times New Roman"/>
          <w:noProof/>
        </w:rPr>
        <w:t>[46]</w:t>
      </w:r>
      <w:r w:rsidR="009F2DF7" w:rsidRPr="00590BB6">
        <w:rPr>
          <w:rFonts w:cs="Times New Roman"/>
        </w:rPr>
        <w:fldChar w:fldCharType="end"/>
      </w:r>
      <w:r w:rsidR="00905896" w:rsidRPr="00590BB6">
        <w:rPr>
          <w:rFonts w:cs="Times New Roman"/>
        </w:rPr>
        <w:t xml:space="preserve">, methane trade association </w:t>
      </w:r>
      <w:r w:rsidR="009F2DF7" w:rsidRPr="00590BB6">
        <w:rPr>
          <w:rFonts w:cs="Times New Roman"/>
        </w:rPr>
        <w:fldChar w:fldCharType="begin" w:fldLock="1"/>
      </w:r>
      <w:r w:rsidR="006F44A7" w:rsidRPr="00590BB6">
        <w:rPr>
          <w:rFonts w:cs="Times New Roman"/>
        </w:rPr>
        <w:instrText>ADDIN CSL_CITATION {"citationItems":[{"id":"ITEM-1","itemData":{"author":[{"dropping-particle":"","family":"Metanoauto","given":"","non-dropping-particle":"","parse-names":false,"suffix":""}],"id":"ITEM-1","issued":{"date-parts":[["2022"]]},"title":"Andamento storico prezzi e costi kmetrici","type":"webpage"},"uris":["http://www.mendeley.com/documents/?uuid=5e63ceb5-990d-4f66-8d8c-ead5281d06ac","http://www.mendeley.com/documents/?uuid=960c2c25-b855-4447-bd2d-07f906cc13a3"]}],"mendeley":{"formattedCitation":"[47]","plainTextFormattedCitation":"[47]","previouslyFormattedCitation":"[</w:instrText>
      </w:r>
      <w:r w:rsidR="006F44A7" w:rsidRPr="00590BB6">
        <w:rPr>
          <w:rFonts w:cs="Times New Roman"/>
          <w:lang w:val="en-US"/>
        </w:rPr>
        <w:instrText>46]"},"properties":{"noteIndex":0},"schema":"https://github.com/citation-style-language/schema/raw/master/csl-citation.json"}</w:instrText>
      </w:r>
      <w:r w:rsidR="009F2DF7" w:rsidRPr="00590BB6">
        <w:rPr>
          <w:rFonts w:cs="Times New Roman"/>
        </w:rPr>
        <w:fldChar w:fldCharType="separate"/>
      </w:r>
      <w:r w:rsidR="006F44A7" w:rsidRPr="00590BB6">
        <w:rPr>
          <w:rFonts w:cs="Times New Roman"/>
          <w:noProof/>
          <w:lang w:val="en-US"/>
        </w:rPr>
        <w:t>[47]</w:t>
      </w:r>
      <w:r w:rsidR="009F2DF7" w:rsidRPr="00590BB6">
        <w:rPr>
          <w:rFonts w:cs="Times New Roman"/>
        </w:rPr>
        <w:fldChar w:fldCharType="end"/>
      </w:r>
      <w:r w:rsidR="00905896" w:rsidRPr="00590BB6">
        <w:rPr>
          <w:rFonts w:cs="Times New Roman"/>
          <w:lang w:val="en-US"/>
        </w:rPr>
        <w:t xml:space="preserve">, ARERA </w:t>
      </w:r>
      <w:r w:rsidR="009F2DF7" w:rsidRPr="00590BB6">
        <w:rPr>
          <w:rFonts w:cs="Times New Roman"/>
        </w:rPr>
        <w:fldChar w:fldCharType="begin" w:fldLock="1"/>
      </w:r>
      <w:r w:rsidR="006F44A7" w:rsidRPr="00590BB6">
        <w:rPr>
          <w:rFonts w:cs="Times New Roman"/>
          <w:lang w:val="en-US"/>
        </w:rPr>
        <w:instrText>ADDIN CSL_CITATION {"citationItems":[{"id":"ITEM-1","itemData":{"author":[{"dropping-particle":"","family":"ARERA","given":"","non-dropping-particle":"","parse-names":false,"suffix":""}],"id":"ITEM-1","issued":{"date-parts":[["2022"]]},"title":"Andamento del prezzo dell'energia elettrica per il consumatore domestico tipo in maggior tutela","type":"webpage"},"uris":["http://www.mendeley.com/documents/?uuid=2bf0bc06-1247-467d-892c-36cf4b5daae9","http://www.mendeley.com/documents/?uuid=14d72b8f-742a-43ba-baa3-0a65407b78a6"]}],"mendeley":{"formattedCitation":"[48]","plainTextFormattedCitation":"[48]","previouslyFormattedCitation":"[47]"},"properties":{"noteIndex":0},"schema":"https://github.com/citation-style-language/schema/raw/master/csl-citation.json"}</w:instrText>
      </w:r>
      <w:r w:rsidR="009F2DF7" w:rsidRPr="00590BB6">
        <w:rPr>
          <w:rFonts w:cs="Times New Roman"/>
        </w:rPr>
        <w:fldChar w:fldCharType="separate"/>
      </w:r>
      <w:r w:rsidR="006F44A7" w:rsidRPr="00590BB6">
        <w:rPr>
          <w:rFonts w:cs="Times New Roman"/>
          <w:noProof/>
          <w:lang w:val="en-US"/>
        </w:rPr>
        <w:t>[48]</w:t>
      </w:r>
      <w:r w:rsidR="009F2DF7" w:rsidRPr="00590BB6">
        <w:rPr>
          <w:rFonts w:cs="Times New Roman"/>
        </w:rPr>
        <w:fldChar w:fldCharType="end"/>
      </w:r>
      <w:r w:rsidR="00905896" w:rsidRPr="00590BB6">
        <w:rPr>
          <w:rFonts w:cs="Times New Roman"/>
          <w:lang w:val="en-US"/>
        </w:rPr>
        <w:t xml:space="preserve">, H2-South Tyrol Centro </w:t>
      </w:r>
      <w:r w:rsidR="00905896" w:rsidRPr="00590BB6">
        <w:rPr>
          <w:rFonts w:cs="Times New Roman"/>
        </w:rPr>
        <w:fldChar w:fldCharType="begin" w:fldLock="1"/>
      </w:r>
      <w:r w:rsidR="006F44A7" w:rsidRPr="00590BB6">
        <w:rPr>
          <w:rFonts w:cs="Times New Roman"/>
          <w:lang w:val="en-US"/>
        </w:rPr>
        <w:instrText>ADDIN CSL_CITATION {"citationItems":[{"id":"ITEM-1","itemData":{"id":"ITEM-1","issued":{"date-parts":[["2022"]]},"title":"H2-South Tyrol Centro H2","type":"webpage"},"uris":["http://www.mendeley.com/documents/?uuid=d17b556c-b76d-44a7-b606-af4229efc5c5","http://www.mendeley.com/documents/?uuid=f17d4c5a-4855-47ff-ae21-8748918b4b7f"]}],"mendeley":{"formattedCitation":"[49]","plainTextFormattedCitation":"[49]","previouslyFormattedCitation":"[48]"},"properties":{"noteIndex":0},"schema":"https://github.com/citation-style-la</w:instrText>
      </w:r>
      <w:r w:rsidR="006F44A7" w:rsidRPr="00590BB6">
        <w:rPr>
          <w:rFonts w:cs="Times New Roman"/>
          <w:lang w:val="pt-PT"/>
        </w:rPr>
        <w:instrText>nguage/schema/raw/master/csl-citation.json"}</w:instrText>
      </w:r>
      <w:r w:rsidR="00905896" w:rsidRPr="00590BB6">
        <w:rPr>
          <w:rFonts w:cs="Times New Roman"/>
        </w:rPr>
        <w:fldChar w:fldCharType="separate"/>
      </w:r>
      <w:r w:rsidR="006F44A7" w:rsidRPr="00590BB6">
        <w:rPr>
          <w:rFonts w:cs="Times New Roman"/>
          <w:noProof/>
          <w:lang w:val="pt-PT"/>
        </w:rPr>
        <w:t>[49]</w:t>
      </w:r>
      <w:r w:rsidR="00905896" w:rsidRPr="00590BB6">
        <w:rPr>
          <w:rFonts w:cs="Times New Roman"/>
        </w:rPr>
        <w:fldChar w:fldCharType="end"/>
      </w:r>
      <w:r w:rsidR="00905896" w:rsidRPr="00590BB6">
        <w:rPr>
          <w:rFonts w:cs="Times New Roman"/>
          <w:lang w:val="pt-PT"/>
        </w:rPr>
        <w:t xml:space="preserve">, </w:t>
      </w:r>
      <w:r w:rsidR="00905896" w:rsidRPr="00590BB6">
        <w:rPr>
          <w:rFonts w:cs="Times New Roman"/>
        </w:rPr>
        <w:t xml:space="preserve">IRENA </w:t>
      </w:r>
      <w:r w:rsidR="009F2DF7" w:rsidRPr="00590BB6">
        <w:rPr>
          <w:rFonts w:cs="Times New Roman"/>
        </w:rPr>
        <w:fldChar w:fldCharType="begin" w:fldLock="1"/>
      </w:r>
      <w:r w:rsidR="006F44A7" w:rsidRPr="00590BB6">
        <w:rPr>
          <w:rFonts w:cs="Times New Roman"/>
        </w:rPr>
        <w:instrText>ADDIN CSL_CITATION {"citationItems":[{"id":"ITEM-1","itemData":{"ISBN":"9789292602956","abstract":"This report benefited from input and review of the following experts: Katherine Ayers and Egil Rasten (NEL), Karan Bagga (ThyssenKrupp), Bart Biebuyck and Mirela Atanasiu (FCH JU), Luigi Crema and Martina Trini (Bruno Kessler Foundation), Tim Karlsson (IPHE), Ruud Kempener (European Commission), Francesco Massari (XBEC), Corky Mittelsteadt (Giner ELX), Samir Rachidi (IRESEN), Jan-Justus Schmidt (Enapter), Toshiyuki Shirai (METI/Japan), Andrew Smeltz (Denora), Denis Thomas (Cummins-Hydrogenics), Kasper Tipsmark (Green Hydrogen Systems), Eveline Weidner (EU JRC) and Frank Wouters (EU-GCC clean energy council). Emanuele Bianco, Paul Durrant, Barbara Jinks, Seungwoo Kang, Paul Komor and Stephanie Weckend (IRENA) also provided valuable inputs.","author":[{"dropping-particle":"","family":"IRENA","given":"","non-dropping-particle":"","parse-names":false,"suffix":""}],"container-title":"/publications/2020/Dec/Green-hydrogen-cost-reduction","id":"ITEM-1","issued":{"date-parts":[["2020"]]},"number-of-pages":"105","title":"Green Hydrogen Cost Reduction: Scaling up Electrolysers to Meet the 1.5⁰C Climate Goal","type":"book"},"uris":["http://www.mendeley.com/documents/?uuid=4d4fc3a5-200b-4e73-aff9-9ba33b7a8423","http://www.mendeley.com/documents/?uuid=9103e90f-5235-424f-abe0-3d4bffad1c9c"]}],"mendeley":{"formattedCitation":"[50]","plainTextFormattedCitation":"[50]","previouslyFormattedCitation":"[49]"},"properties":{"noteIndex":0},"schema":"https://github.com/citation-style-language/schema/raw/master/csl-citation.json"}</w:instrText>
      </w:r>
      <w:r w:rsidR="009F2DF7" w:rsidRPr="00590BB6">
        <w:rPr>
          <w:rFonts w:cs="Times New Roman"/>
        </w:rPr>
        <w:fldChar w:fldCharType="separate"/>
      </w:r>
      <w:r w:rsidR="006F44A7" w:rsidRPr="00590BB6">
        <w:rPr>
          <w:rFonts w:cs="Times New Roman"/>
          <w:noProof/>
        </w:rPr>
        <w:t>[50]</w:t>
      </w:r>
      <w:r w:rsidR="009F2DF7" w:rsidRPr="00590BB6">
        <w:rPr>
          <w:rFonts w:cs="Times New Roman"/>
        </w:rPr>
        <w:fldChar w:fldCharType="end"/>
      </w:r>
      <w:r w:rsidR="002B241F" w:rsidRPr="00590BB6">
        <w:rPr>
          <w:rFonts w:cs="Times New Roman"/>
        </w:rPr>
        <w:t xml:space="preserve">, </w:t>
      </w:r>
      <w:r w:rsidR="004314FE">
        <w:rPr>
          <w:rFonts w:cs="Times New Roman"/>
        </w:rPr>
        <w:t>and</w:t>
      </w:r>
      <w:r w:rsidR="002B241F" w:rsidRPr="00590BB6">
        <w:rPr>
          <w:rFonts w:cs="Times New Roman"/>
        </w:rPr>
        <w:t xml:space="preserve"> </w:t>
      </w:r>
      <w:r w:rsidR="004314FE" w:rsidRPr="00590BB6">
        <w:rPr>
          <w:rFonts w:cs="Times New Roman"/>
        </w:rPr>
        <w:t xml:space="preserve">Annual Energy Outlook 2021 </w:t>
      </w:r>
      <w:r w:rsidR="004314FE" w:rsidRPr="00590BB6">
        <w:rPr>
          <w:rFonts w:cs="Times New Roman"/>
        </w:rPr>
        <w:fldChar w:fldCharType="begin" w:fldLock="1"/>
      </w:r>
      <w:r w:rsidR="004314FE" w:rsidRPr="00590BB6">
        <w:rPr>
          <w:rFonts w:cs="Times New Roman"/>
        </w:rPr>
        <w:instrText>ADDIN CSL_CITATION {"citationItems":[{"id":"ITEM-1","itemData":{"author":[{"dropping-particle":"","family":"EIA","given":"U.S.","non-dropping-particle":"","parse-names":false,"suffix":""}],"id":"ITEM-1","issued":{"date-parts":[["2021"]]},"title":"Annual Energy Outlook 2021 Table: Table 3. Energy Prices by Sector and Source Case: High economic growth | Region: United States","type":"webpage"},"uris":["http://www.mendeley.com/documents/?uuid=f256161f-7615-4674-a601-c998cbee9da9","http://www.mendeley.com/documents/?uuid=4ec66a09-0636-4c53-9a8a-721c34569e4d"]}],"mendeley":{"formattedCitation":"[51]","plainTextFormattedCitation":"[51]","previouslyFormattedCitation":"[50]"},"properties":{"noteIndex":0},"schema":"https://github.com/citation-style-language/schema/raw/master/csl-citation.json"}</w:instrText>
      </w:r>
      <w:r w:rsidR="004314FE" w:rsidRPr="00590BB6">
        <w:rPr>
          <w:rFonts w:cs="Times New Roman"/>
        </w:rPr>
        <w:fldChar w:fldCharType="separate"/>
      </w:r>
      <w:r w:rsidR="004314FE" w:rsidRPr="00590BB6">
        <w:rPr>
          <w:rFonts w:cs="Times New Roman"/>
          <w:noProof/>
        </w:rPr>
        <w:t>[51]</w:t>
      </w:r>
      <w:r w:rsidR="004314FE" w:rsidRPr="00590BB6">
        <w:rPr>
          <w:rFonts w:cs="Times New Roman"/>
        </w:rPr>
        <w:fldChar w:fldCharType="end"/>
      </w:r>
      <w:r w:rsidR="009F2DF7" w:rsidRPr="00590BB6">
        <w:rPr>
          <w:rFonts w:cs="Times New Roman"/>
        </w:rPr>
        <w:t>.</w:t>
      </w:r>
      <w:bookmarkEnd w:id="18"/>
    </w:p>
    <w:p w14:paraId="2D7FD756" w14:textId="77777777" w:rsidR="00D079BD" w:rsidRPr="00590BB6" w:rsidRDefault="00D079BD" w:rsidP="009F2DF7">
      <w:pPr>
        <w:spacing w:line="360" w:lineRule="auto"/>
        <w:jc w:val="both"/>
        <w:rPr>
          <w:rFonts w:cs="Times New Roman"/>
        </w:rPr>
      </w:pPr>
    </w:p>
    <w:p w14:paraId="13D894C0" w14:textId="56A5BBB8" w:rsidR="00D079BD" w:rsidRPr="00590BB6" w:rsidRDefault="00A644B3" w:rsidP="009F2DF7">
      <w:pPr>
        <w:spacing w:line="360" w:lineRule="auto"/>
        <w:jc w:val="both"/>
        <w:rPr>
          <w:rFonts w:cs="Times New Roman"/>
        </w:rPr>
      </w:pPr>
      <w:r w:rsidRPr="00590BB6">
        <w:rPr>
          <w:rFonts w:cs="Times New Roman"/>
        </w:rPr>
        <w:fldChar w:fldCharType="begin"/>
      </w:r>
      <w:r w:rsidRPr="00590BB6">
        <w:rPr>
          <w:rFonts w:cs="Times New Roman"/>
        </w:rPr>
        <w:instrText xml:space="preserve"> REF _Ref143128529 \h </w:instrText>
      </w:r>
      <w:r w:rsidR="00590BB6">
        <w:rPr>
          <w:rFonts w:cs="Times New Roman"/>
        </w:rPr>
        <w:instrText xml:space="preserve"> \* MERGEFORMAT </w:instrText>
      </w:r>
      <w:r w:rsidRPr="00590BB6">
        <w:rPr>
          <w:rFonts w:cs="Times New Roman"/>
        </w:rPr>
      </w:r>
      <w:r w:rsidRPr="00590BB6">
        <w:rPr>
          <w:rFonts w:cs="Times New Roman"/>
        </w:rPr>
        <w:fldChar w:fldCharType="separate"/>
      </w:r>
      <w:r w:rsidRPr="00590BB6">
        <w:t xml:space="preserve">Figure </w:t>
      </w:r>
      <w:r w:rsidRPr="00590BB6">
        <w:rPr>
          <w:noProof/>
        </w:rPr>
        <w:t>7</w:t>
      </w:r>
      <w:r w:rsidRPr="00590BB6">
        <w:rPr>
          <w:rFonts w:cs="Times New Roman"/>
        </w:rPr>
        <w:fldChar w:fldCharType="end"/>
      </w:r>
      <w:r w:rsidR="004314FE">
        <w:rPr>
          <w:rFonts w:cs="Times New Roman"/>
        </w:rPr>
        <w:t xml:space="preserve"> shows a </w:t>
      </w:r>
      <w:r w:rsidR="009F2DF7" w:rsidRPr="00590BB6">
        <w:rPr>
          <w:rFonts w:cs="Times New Roman"/>
        </w:rPr>
        <w:t xml:space="preserve">price </w:t>
      </w:r>
      <w:r w:rsidR="00B20625" w:rsidRPr="00590BB6">
        <w:rPr>
          <w:rFonts w:cs="Times New Roman"/>
        </w:rPr>
        <w:t xml:space="preserve">shock </w:t>
      </w:r>
      <w:r w:rsidR="009F2DF7" w:rsidRPr="00590BB6">
        <w:rPr>
          <w:rFonts w:cs="Times New Roman"/>
        </w:rPr>
        <w:t>in 2022, derived from a series of geopolitical issues including the Ukraine-Russia war</w:t>
      </w:r>
      <w:r w:rsidR="00B20625" w:rsidRPr="00590BB6">
        <w:rPr>
          <w:rFonts w:cs="Times New Roman"/>
        </w:rPr>
        <w:t xml:space="preserve">. To simulate medium-term effects on investments due to </w:t>
      </w:r>
      <w:r w:rsidR="00D079BD" w:rsidRPr="00590BB6">
        <w:rPr>
          <w:rFonts w:cs="Times New Roman"/>
        </w:rPr>
        <w:t>geopolitics</w:t>
      </w:r>
      <w:r w:rsidR="00B20625" w:rsidRPr="00590BB6">
        <w:rPr>
          <w:rFonts w:cs="Times New Roman"/>
        </w:rPr>
        <w:t>, price</w:t>
      </w:r>
      <w:r w:rsidR="00D079BD" w:rsidRPr="00590BB6">
        <w:rPr>
          <w:rFonts w:cs="Times New Roman"/>
        </w:rPr>
        <w:t>s</w:t>
      </w:r>
      <w:r w:rsidR="00B20625" w:rsidRPr="00590BB6">
        <w:rPr>
          <w:rFonts w:cs="Times New Roman"/>
        </w:rPr>
        <w:t xml:space="preserve"> w</w:t>
      </w:r>
      <w:r w:rsidR="00D079BD" w:rsidRPr="00590BB6">
        <w:rPr>
          <w:rFonts w:cs="Times New Roman"/>
        </w:rPr>
        <w:t>ere</w:t>
      </w:r>
      <w:r w:rsidR="009F2DF7" w:rsidRPr="00590BB6">
        <w:rPr>
          <w:rFonts w:cs="Times New Roman"/>
        </w:rPr>
        <w:t xml:space="preserve"> </w:t>
      </w:r>
      <w:r w:rsidR="00B20625" w:rsidRPr="00590BB6">
        <w:rPr>
          <w:rFonts w:cs="Times New Roman"/>
        </w:rPr>
        <w:t>maintained</w:t>
      </w:r>
      <w:r w:rsidR="009F2DF7" w:rsidRPr="00590BB6">
        <w:rPr>
          <w:rFonts w:cs="Times New Roman"/>
        </w:rPr>
        <w:t xml:space="preserve"> </w:t>
      </w:r>
      <w:r w:rsidR="00D079BD" w:rsidRPr="00590BB6">
        <w:rPr>
          <w:rFonts w:cs="Times New Roman"/>
        </w:rPr>
        <w:t xml:space="preserve">equal to the 2022 values </w:t>
      </w:r>
      <w:r w:rsidR="009F2DF7" w:rsidRPr="00590BB6">
        <w:rPr>
          <w:rFonts w:cs="Times New Roman"/>
        </w:rPr>
        <w:t>until 2025</w:t>
      </w:r>
      <w:r w:rsidR="00912BB5" w:rsidRPr="00590BB6">
        <w:rPr>
          <w:rFonts w:cs="Times New Roman"/>
        </w:rPr>
        <w:t xml:space="preserve">. After 2025, </w:t>
      </w:r>
      <w:r w:rsidR="00666206" w:rsidRPr="00590BB6">
        <w:rPr>
          <w:rFonts w:cs="Times New Roman"/>
        </w:rPr>
        <w:t xml:space="preserve">the </w:t>
      </w:r>
      <w:r w:rsidR="009F2DF7" w:rsidRPr="00590BB6">
        <w:rPr>
          <w:rFonts w:cs="Times New Roman"/>
        </w:rPr>
        <w:t xml:space="preserve">growth rates reported by the Annual Energy Outlook 2021 </w:t>
      </w:r>
      <w:r w:rsidR="009F2DF7" w:rsidRPr="00590BB6">
        <w:rPr>
          <w:rFonts w:cs="Times New Roman"/>
        </w:rPr>
        <w:fldChar w:fldCharType="begin" w:fldLock="1"/>
      </w:r>
      <w:r w:rsidR="006F44A7" w:rsidRPr="00590BB6">
        <w:rPr>
          <w:rFonts w:cs="Times New Roman"/>
        </w:rPr>
        <w:instrText>ADDIN CSL_CITATION {"citationItems":[{"id":"ITEM-1","itemData":{"author":[{"dropping-particle":"","family":"EIA","given":"U.S.","non-dropping-particle":"","parse-names":false,"suffix":""}],"id":"ITEM-1","issued":{"date-parts":[["2021"]]},"title":"Annual Energy Outlook 2021 Table: Table 3. Energy Prices by Sector and Source Case: High economic growth | Region: United States","type":"webpage"},"uris":["http://www.mendeley.com/documents/?uuid=f256161f-7615-4674-a601-c998cbee9da9","http://www.mendeley.com/documents/?uuid=4ec66a09-0636-4c53-9a8a-721c34569e4d"]}],"mendeley":{"formattedCitation":"[51]","plainTextFormattedCitation":"[51]","previouslyFormattedCitation":"[50]"},"properties":{"noteIndex":0},"schema":"https://github.com/citation-style-language/schema/raw/master/csl-citation.json"}</w:instrText>
      </w:r>
      <w:r w:rsidR="009F2DF7" w:rsidRPr="00590BB6">
        <w:rPr>
          <w:rFonts w:cs="Times New Roman"/>
        </w:rPr>
        <w:fldChar w:fldCharType="separate"/>
      </w:r>
      <w:r w:rsidR="006F44A7" w:rsidRPr="00590BB6">
        <w:rPr>
          <w:rFonts w:cs="Times New Roman"/>
          <w:noProof/>
        </w:rPr>
        <w:t>[51]</w:t>
      </w:r>
      <w:r w:rsidR="009F2DF7" w:rsidRPr="00590BB6">
        <w:rPr>
          <w:rFonts w:cs="Times New Roman"/>
        </w:rPr>
        <w:fldChar w:fldCharType="end"/>
      </w:r>
      <w:r w:rsidR="009F2DF7" w:rsidRPr="00590BB6">
        <w:rPr>
          <w:rFonts w:cs="Times New Roman"/>
        </w:rPr>
        <w:t xml:space="preserve">, except for green hydrogen </w:t>
      </w:r>
      <w:r w:rsidR="009F2DF7" w:rsidRPr="00590BB6">
        <w:rPr>
          <w:rFonts w:cs="Times New Roman"/>
        </w:rPr>
        <w:fldChar w:fldCharType="begin" w:fldLock="1"/>
      </w:r>
      <w:r w:rsidR="006F44A7" w:rsidRPr="00590BB6">
        <w:rPr>
          <w:rFonts w:cs="Times New Roman"/>
        </w:rPr>
        <w:instrText>ADDIN CSL_CITATION {"citationItems":[{"id":"ITEM-1","itemData":{"ISBN":"9789292602956","abstract":"This report benefited from input and review of the following experts: Katherine Ayers and Egil Rasten (NEL), Karan Bagga (ThyssenKrupp), Bart Biebuyck and Mirela Atanasiu (FCH JU), Luigi Crema and Martina Trini (Bruno Kessler Foundation), Tim Karlsson (IPHE), Ruud Kempener (European Commission), Francesco Massari (XBEC), Corky Mittelsteadt (Giner ELX), Samir Rachidi (IRESEN), Jan-Justus Schmidt (Enapter), Toshiyuki Shirai (METI/Japan), Andrew Smeltz (Denora), Denis Thomas (Cummins-Hydrogenics), Kasper Tipsmark (Green Hydrogen Systems), Eveline Weidner (EU JRC) and Frank Wouters (EU-GCC clean energy council). Emanuele Bianco, Paul Durrant, Barbara Jinks, Seungwoo Kang, Paul Komor and Stephanie Weckend (IRENA) also provided valuable inputs.","author":[{"dropping-particle":"","family":"IRENA","given":"","non-dropping-particle":"","parse-names":false,"suffix":""}],"container-title":"/publications/2020/Dec/Green-hydrogen-cost-reduction","id":"ITEM-1","issued":{"date-parts":[["2020"]]},"number-of-pages":"105","title":"Green Hydrogen Cost Reduction: Scaling up Electrolysers to Meet the 1.5⁰C Climate Goal","type":"book"},"uris":["http://www.mendeley.com/documents/?uuid=9103e90f-5235-424f-abe0-3d4bffad1c9c","http://www.mendeley.com/documents/?uuid=4d4fc3a5-200b-4e73-aff9-9ba33b7a8423"]}],"mendeley":{"formattedCitation":"[50]","plainTextFormattedCitation":"[50]","previouslyFormattedCitation":"[49]"},"properties":{"noteIndex":0},"schema":"https://github.com/citation-style-language/schema/raw/master/csl-citation.json"}</w:instrText>
      </w:r>
      <w:r w:rsidR="009F2DF7" w:rsidRPr="00590BB6">
        <w:rPr>
          <w:rFonts w:cs="Times New Roman"/>
        </w:rPr>
        <w:fldChar w:fldCharType="separate"/>
      </w:r>
      <w:r w:rsidR="006F44A7" w:rsidRPr="00590BB6">
        <w:rPr>
          <w:rFonts w:cs="Times New Roman"/>
          <w:noProof/>
        </w:rPr>
        <w:t>[50]</w:t>
      </w:r>
      <w:r w:rsidR="009F2DF7" w:rsidRPr="00590BB6">
        <w:rPr>
          <w:rFonts w:cs="Times New Roman"/>
        </w:rPr>
        <w:fldChar w:fldCharType="end"/>
      </w:r>
      <w:r w:rsidR="009F2DF7" w:rsidRPr="00590BB6">
        <w:rPr>
          <w:rFonts w:cs="Times New Roman"/>
        </w:rPr>
        <w:t xml:space="preserve">, </w:t>
      </w:r>
      <w:r w:rsidR="00666206" w:rsidRPr="00590BB6">
        <w:rPr>
          <w:rFonts w:cs="Times New Roman"/>
        </w:rPr>
        <w:t xml:space="preserve">are </w:t>
      </w:r>
      <w:r w:rsidR="009F2DF7" w:rsidRPr="00590BB6">
        <w:rPr>
          <w:rFonts w:cs="Times New Roman"/>
        </w:rPr>
        <w:t xml:space="preserve">applied to pre-2022 </w:t>
      </w:r>
      <w:r w:rsidR="00666206" w:rsidRPr="00590BB6">
        <w:rPr>
          <w:rFonts w:cs="Times New Roman"/>
        </w:rPr>
        <w:t>prices</w:t>
      </w:r>
      <w:r w:rsidR="009F2DF7" w:rsidRPr="00590BB6">
        <w:rPr>
          <w:rFonts w:cs="Times New Roman"/>
        </w:rPr>
        <w:t xml:space="preserve">. A general increase in </w:t>
      </w:r>
      <w:r w:rsidR="00F23758" w:rsidRPr="00590BB6">
        <w:rPr>
          <w:rFonts w:cs="Times New Roman"/>
        </w:rPr>
        <w:t>g</w:t>
      </w:r>
      <w:r w:rsidR="009F2DF7" w:rsidRPr="00590BB6">
        <w:rPr>
          <w:rFonts w:cs="Times New Roman"/>
        </w:rPr>
        <w:t xml:space="preserve">asoline, </w:t>
      </w:r>
      <w:r w:rsidR="00F23758" w:rsidRPr="00590BB6">
        <w:rPr>
          <w:rFonts w:cs="Times New Roman"/>
        </w:rPr>
        <w:t>d</w:t>
      </w:r>
      <w:r w:rsidR="009F2DF7" w:rsidRPr="00590BB6">
        <w:rPr>
          <w:rFonts w:cs="Times New Roman"/>
        </w:rPr>
        <w:t xml:space="preserve">iesel, and LPG prices was expected, while electricity and natural gas were projected to remain almost constant up to 2050. Furthermore, a </w:t>
      </w:r>
      <w:r w:rsidR="00912BB5" w:rsidRPr="00590BB6">
        <w:rPr>
          <w:rFonts w:cs="Times New Roman"/>
        </w:rPr>
        <w:t xml:space="preserve">large </w:t>
      </w:r>
      <w:r w:rsidR="009F2DF7" w:rsidRPr="00590BB6">
        <w:rPr>
          <w:rFonts w:cs="Times New Roman"/>
        </w:rPr>
        <w:t>decrease in the cost of green hydrogen was foreseen</w:t>
      </w:r>
      <w:r w:rsidR="00FE6ADF" w:rsidRPr="00590BB6">
        <w:rPr>
          <w:rFonts w:cs="Times New Roman"/>
        </w:rPr>
        <w:t>, in line with the European strategy on green hydrogen development</w:t>
      </w:r>
      <w:r w:rsidR="00F90E91" w:rsidRPr="00590BB6">
        <w:rPr>
          <w:rStyle w:val="FootnoteReference"/>
          <w:rFonts w:cs="Times New Roman"/>
        </w:rPr>
        <w:footnoteReference w:id="10"/>
      </w:r>
      <w:r w:rsidR="009F2DF7" w:rsidRPr="00590BB6">
        <w:rPr>
          <w:rFonts w:cs="Times New Roman"/>
        </w:rPr>
        <w:t>.</w:t>
      </w:r>
    </w:p>
    <w:p w14:paraId="40954A39" w14:textId="5E0E37C8" w:rsidR="00733FFE" w:rsidRPr="00590BB6" w:rsidRDefault="00733FFE" w:rsidP="0093582F">
      <w:pPr>
        <w:pStyle w:val="Heading3"/>
        <w:spacing w:after="240"/>
      </w:pPr>
      <w:bookmarkStart w:id="19" w:name="_Ref116466683"/>
      <w:bookmarkStart w:id="20" w:name="_Ref116657416"/>
      <w:r w:rsidRPr="00590BB6">
        <w:lastRenderedPageBreak/>
        <w:t>Emission</w:t>
      </w:r>
      <w:r w:rsidR="001B0FD8" w:rsidRPr="00590BB6">
        <w:t>s</w:t>
      </w:r>
      <w:bookmarkEnd w:id="19"/>
      <w:bookmarkEnd w:id="20"/>
    </w:p>
    <w:p w14:paraId="4D3CB455" w14:textId="6B92D726" w:rsidR="00625CB7" w:rsidRPr="00590BB6" w:rsidRDefault="00D079BD" w:rsidP="00733FFE">
      <w:pPr>
        <w:spacing w:line="360" w:lineRule="auto"/>
        <w:jc w:val="both"/>
        <w:rPr>
          <w:rFonts w:cs="Times New Roman"/>
        </w:rPr>
      </w:pPr>
      <w:r w:rsidRPr="00590BB6">
        <w:rPr>
          <w:rFonts w:cs="Times New Roman"/>
        </w:rPr>
        <w:t>Truck</w:t>
      </w:r>
      <w:r w:rsidR="00254AE6" w:rsidRPr="00590BB6">
        <w:rPr>
          <w:rFonts w:cs="Times New Roman"/>
        </w:rPr>
        <w:t xml:space="preserve"> emissions</w:t>
      </w:r>
      <w:r w:rsidRPr="00590BB6">
        <w:rPr>
          <w:rFonts w:cs="Times New Roman"/>
        </w:rPr>
        <w:t xml:space="preserve"> </w:t>
      </w:r>
      <w:r w:rsidR="00F90E91" w:rsidRPr="00590BB6">
        <w:rPr>
          <w:rFonts w:cs="Times New Roman"/>
        </w:rPr>
        <w:t xml:space="preserve">were modelled </w:t>
      </w:r>
      <w:r w:rsidR="00254AE6" w:rsidRPr="00590BB6">
        <w:rPr>
          <w:rFonts w:cs="Times New Roman"/>
        </w:rPr>
        <w:t xml:space="preserve">including </w:t>
      </w:r>
      <w:r w:rsidR="00733FFE" w:rsidRPr="00590BB6">
        <w:rPr>
          <w:rFonts w:cs="Times New Roman"/>
        </w:rPr>
        <w:t>tailpipe CO</w:t>
      </w:r>
      <w:r w:rsidR="00733FFE" w:rsidRPr="00590BB6">
        <w:rPr>
          <w:rFonts w:cs="Times New Roman"/>
          <w:vertAlign w:val="subscript"/>
        </w:rPr>
        <w:t xml:space="preserve">2 </w:t>
      </w:r>
      <w:r w:rsidR="00733FFE" w:rsidRPr="00590BB6">
        <w:rPr>
          <w:rFonts w:cs="Times New Roman"/>
        </w:rPr>
        <w:fldChar w:fldCharType="begin" w:fldLock="1"/>
      </w:r>
      <w:r w:rsidR="006F44A7" w:rsidRPr="00590BB6">
        <w:rPr>
          <w:rFonts w:cs="Times New Roman"/>
        </w:rPr>
        <w:instrText>ADDIN CSL_CITATION {"citationItems":[{"id":"ITEM-1","itemData":{"ISBN":"9789292602956","abstract":"This report benefited from input and review of the following experts: Katherine Ayers and Egil Rasten (NEL), Karan Bagga (ThyssenKrupp), Bart Biebuyck and Mirela Atanasiu (FCH JU), Luigi Crema and Martina Trini (Bruno Kessler Foundation), Tim Karlsson (IPHE), Ruud Kempener (European Commission), Francesco Massari (XBEC), Corky Mittelsteadt (Giner ELX), Samir Rachidi (IRESEN), Jan-Justus Schmidt (Enapter), Toshiyuki Shirai (METI/Japan), Andrew Smeltz (Denora), Denis Thomas (Cummins-Hydrogenics), Kasper Tipsmark (Green Hydrogen Systems), Eveline Weidner (EU JRC) and Frank Wouters (EU-GCC clean energy council). Emanuele Bianco, Paul Durrant, Barbara Jinks, Seungwoo Kang, Paul Komor and Stephanie Weckend (IRENA) also provided valuable inputs.","author":[{"dropping-particle":"","family":"IRENA","given":"","non-dropping-particle":"","parse-names":false,"suffix":""}],"container-title":"/publications/2020/Dec/Green-hydrogen-cost-reduction","id":"ITEM-1","issued":{"date-parts":[["2020"]]},"number-of-pages":"105","title":"Green Hydrogen Cost Reduction: Scaling up Electrolysers to Meet the 1.5⁰C Climate Goal","type":"book"},"uris":["http://www.mendeley.com/documents/?uuid=9103e90f-5235-424f-abe0-3d4bffad1c9c","http://www.mendeley.com/documents/?uuid=4d4fc3a5-200b-4e73-aff9-9ba33b7a8423"]}],"mendeley":{"formattedCitation":"[50]","plainTextFormattedCitation":"[50]","previouslyFormattedCitation":"[49]"},"properties":{"noteIndex":0},"schema":"https://github.com/citation-style-language/schema/raw/master/csl-citation.json"}</w:instrText>
      </w:r>
      <w:r w:rsidR="00733FFE" w:rsidRPr="00590BB6">
        <w:rPr>
          <w:rFonts w:cs="Times New Roman"/>
        </w:rPr>
        <w:fldChar w:fldCharType="separate"/>
      </w:r>
      <w:r w:rsidR="006F44A7" w:rsidRPr="00590BB6">
        <w:rPr>
          <w:rFonts w:cs="Times New Roman"/>
          <w:noProof/>
        </w:rPr>
        <w:t>[50]</w:t>
      </w:r>
      <w:r w:rsidR="00733FFE" w:rsidRPr="00590BB6">
        <w:rPr>
          <w:rFonts w:cs="Times New Roman"/>
        </w:rPr>
        <w:fldChar w:fldCharType="end"/>
      </w:r>
      <w:r w:rsidR="00733FFE" w:rsidRPr="00590BB6">
        <w:rPr>
          <w:rFonts w:cs="Times New Roman"/>
        </w:rPr>
        <w:t>, N</w:t>
      </w:r>
      <w:r w:rsidR="009A4853" w:rsidRPr="00590BB6">
        <w:rPr>
          <w:rFonts w:cs="Times New Roman"/>
          <w:vertAlign w:val="subscript"/>
        </w:rPr>
        <w:t>2</w:t>
      </w:r>
      <w:r w:rsidR="00733FFE" w:rsidRPr="00590BB6">
        <w:rPr>
          <w:rFonts w:cs="Times New Roman"/>
        </w:rPr>
        <w:t>O</w:t>
      </w:r>
      <w:r w:rsidR="004314FE">
        <w:rPr>
          <w:rFonts w:cs="Times New Roman"/>
        </w:rPr>
        <w:t>,</w:t>
      </w:r>
      <w:r w:rsidR="00733FFE" w:rsidRPr="00590BB6">
        <w:rPr>
          <w:rFonts w:cs="Times New Roman"/>
        </w:rPr>
        <w:t xml:space="preserve"> and CH</w:t>
      </w:r>
      <w:r w:rsidR="00733FFE" w:rsidRPr="00590BB6">
        <w:rPr>
          <w:rFonts w:cs="Times New Roman"/>
          <w:vertAlign w:val="subscript"/>
        </w:rPr>
        <w:t>4</w:t>
      </w:r>
      <w:r w:rsidR="00733FFE" w:rsidRPr="00590BB6">
        <w:rPr>
          <w:rFonts w:cs="Times New Roman"/>
        </w:rPr>
        <w:t xml:space="preserve"> emissions </w:t>
      </w:r>
      <w:r w:rsidR="00733FFE" w:rsidRPr="00590BB6">
        <w:rPr>
          <w:rFonts w:cs="Times New Roman"/>
        </w:rPr>
        <w:fldChar w:fldCharType="begin" w:fldLock="1"/>
      </w:r>
      <w:r w:rsidR="006F44A7" w:rsidRPr="00590BB6">
        <w:rPr>
          <w:rFonts w:cs="Times New Roman"/>
        </w:rPr>
        <w:instrText>ADDIN CSL_CITATION {"citationItems":[{"id":"ITEM-1","itemData":{"author":[{"dropping-particle":"","family":"Environmental Protection Agency","given":"","non-dropping-particle":"","parse-names":false,"suffix":""}],"id":"ITEM-1","issued":{"date-parts":[["0"]]},"title":"Inventory of U.S. Greenhouse Gas Emissions and Sinks: 1990-2019 (Annexes)","type":"report"},"uris":["http://www.mendeley.com/documents/?uuid=0d7e293f-f754-4ce0-9db9-d5202bc3f9d1","http://www.mendeley.com/documents/?uuid=d95c83f8-059f-4a90-9ea5-33b5231dce81"]}],"mendeley":{"formattedCitation":"[52]","plainTextFormattedCitation":"[52]","previouslyFormattedCitation":"[51]"},"properties":{"noteIndex":0},"schema":"https://github.com/citation-style-language/schema/raw/master/csl-citation.json"}</w:instrText>
      </w:r>
      <w:r w:rsidR="00733FFE" w:rsidRPr="00590BB6">
        <w:rPr>
          <w:rFonts w:cs="Times New Roman"/>
        </w:rPr>
        <w:fldChar w:fldCharType="separate"/>
      </w:r>
      <w:r w:rsidR="006F44A7" w:rsidRPr="00590BB6">
        <w:rPr>
          <w:rFonts w:cs="Times New Roman"/>
          <w:noProof/>
        </w:rPr>
        <w:t>[52]</w:t>
      </w:r>
      <w:r w:rsidR="00733FFE" w:rsidRPr="00590BB6">
        <w:rPr>
          <w:rFonts w:cs="Times New Roman"/>
        </w:rPr>
        <w:fldChar w:fldCharType="end"/>
      </w:r>
      <w:r w:rsidR="002C1EDC" w:rsidRPr="00590BB6">
        <w:rPr>
          <w:rFonts w:cs="Times New Roman"/>
        </w:rPr>
        <w:t>, which</w:t>
      </w:r>
      <w:r w:rsidRPr="00590BB6">
        <w:rPr>
          <w:rFonts w:cs="Times New Roman"/>
        </w:rPr>
        <w:t xml:space="preserve"> </w:t>
      </w:r>
      <w:r w:rsidR="00254AE6" w:rsidRPr="00590BB6">
        <w:rPr>
          <w:rFonts w:cs="Times New Roman"/>
        </w:rPr>
        <w:t xml:space="preserve">were </w:t>
      </w:r>
      <w:r w:rsidRPr="00590BB6">
        <w:rPr>
          <w:rFonts w:cs="Times New Roman"/>
        </w:rPr>
        <w:t xml:space="preserve">calculated multiplying the fuel usage by the emission factor of each </w:t>
      </w:r>
      <w:r w:rsidR="0093582F" w:rsidRPr="00590BB6">
        <w:rPr>
          <w:rFonts w:cs="Times New Roman"/>
        </w:rPr>
        <w:t>fuel</w:t>
      </w:r>
      <w:r w:rsidR="00733FFE" w:rsidRPr="00590BB6">
        <w:rPr>
          <w:rFonts w:cs="Times New Roman"/>
        </w:rPr>
        <w:t xml:space="preserve">. </w:t>
      </w:r>
      <w:r w:rsidR="00B90C9D" w:rsidRPr="00590BB6">
        <w:rPr>
          <w:rFonts w:cs="Times New Roman"/>
        </w:rPr>
        <w:t xml:space="preserve">Emission factors were retrieved from the Environmental Protection Agency (EPA) </w:t>
      </w:r>
      <w:r w:rsidR="00B90C9D" w:rsidRPr="00590BB6">
        <w:rPr>
          <w:rFonts w:cs="Times New Roman"/>
        </w:rPr>
        <w:fldChar w:fldCharType="begin" w:fldLock="1"/>
      </w:r>
      <w:r w:rsidR="006F44A7" w:rsidRPr="00590BB6">
        <w:rPr>
          <w:rFonts w:cs="Times New Roman"/>
        </w:rPr>
        <w:instrText>ADDIN CSL_CITATION {"citationItems":[{"id":"ITEM-1","itemData":{"ISBN":"5640956410","abstract":"Emission Factors for Greenhouse Gas Inventories","author":[{"dropping-particle":"","family":"US EPA Center for Corporate Climate Leadership","given":"","non-dropping-particle":"","parse-names":false,"suffix":""}],"id":"ITEM-1","issue":"April","issued":{"date-parts":[["2022"]]},"page":"1-7","title":"Emission Factors for Greenhouse Gas Inventories","type":"article"},"uris":["http://www.mendeley.com/documents/?uuid=a3b30832-ab03-46f4-8a1e-db93dbf37952","http://www.mendeley.com/documents/?uuid=8f564a69-545e-4297-a930-c81b0d23acee"]}],"mendeley":{"formattedCitation":"[53]","plainTextFormattedCitation":"[53]","previouslyFormattedCitation":"[52]"},"properties":{"noteIndex":0},"schema":"https://github.com/citation-style-language/schema/raw/master/csl-citation.json"}</w:instrText>
      </w:r>
      <w:r w:rsidR="00B90C9D" w:rsidRPr="00590BB6">
        <w:rPr>
          <w:rFonts w:cs="Times New Roman"/>
        </w:rPr>
        <w:fldChar w:fldCharType="separate"/>
      </w:r>
      <w:r w:rsidR="006F44A7" w:rsidRPr="00590BB6">
        <w:rPr>
          <w:rFonts w:cs="Times New Roman"/>
          <w:noProof/>
        </w:rPr>
        <w:t>[53]</w:t>
      </w:r>
      <w:r w:rsidR="00B90C9D" w:rsidRPr="00590BB6">
        <w:rPr>
          <w:rFonts w:cs="Times New Roman"/>
        </w:rPr>
        <w:fldChar w:fldCharType="end"/>
      </w:r>
      <w:r w:rsidR="00B90C9D" w:rsidRPr="00590BB6">
        <w:rPr>
          <w:rFonts w:cs="Times New Roman"/>
        </w:rPr>
        <w:t xml:space="preserve"> for diesel, gasoline, and gas-fuelled trucks. </w:t>
      </w:r>
      <w:r w:rsidR="0093582F" w:rsidRPr="00590BB6">
        <w:rPr>
          <w:rFonts w:cs="Times New Roman"/>
        </w:rPr>
        <w:t>Characteri</w:t>
      </w:r>
      <w:r w:rsidR="001377C5" w:rsidRPr="00590BB6">
        <w:rPr>
          <w:rFonts w:cs="Times New Roman"/>
        </w:rPr>
        <w:t>s</w:t>
      </w:r>
      <w:r w:rsidR="0093582F" w:rsidRPr="00590BB6">
        <w:rPr>
          <w:rFonts w:cs="Times New Roman"/>
        </w:rPr>
        <w:t>ation factors for</w:t>
      </w:r>
      <w:r w:rsidR="008B30C0" w:rsidRPr="00590BB6">
        <w:rPr>
          <w:rFonts w:cs="Times New Roman"/>
        </w:rPr>
        <w:t xml:space="preserve"> CH</w:t>
      </w:r>
      <w:r w:rsidR="008B30C0" w:rsidRPr="00590BB6">
        <w:rPr>
          <w:rFonts w:cs="Times New Roman"/>
          <w:vertAlign w:val="subscript"/>
        </w:rPr>
        <w:t xml:space="preserve">4 </w:t>
      </w:r>
      <w:r w:rsidR="00B90C9D" w:rsidRPr="00590BB6">
        <w:rPr>
          <w:rFonts w:cs="Times New Roman"/>
        </w:rPr>
        <w:t>and</w:t>
      </w:r>
      <w:r w:rsidR="000F4C64" w:rsidRPr="00590BB6">
        <w:rPr>
          <w:rFonts w:cs="Times New Roman"/>
        </w:rPr>
        <w:t xml:space="preserve"> N</w:t>
      </w:r>
      <w:r w:rsidR="000F4C64" w:rsidRPr="00590BB6">
        <w:rPr>
          <w:rFonts w:cs="Times New Roman"/>
          <w:vertAlign w:val="subscript"/>
        </w:rPr>
        <w:t>2</w:t>
      </w:r>
      <w:r w:rsidR="000F4C64" w:rsidRPr="00590BB6">
        <w:rPr>
          <w:rFonts w:cs="Times New Roman"/>
        </w:rPr>
        <w:t xml:space="preserve">O </w:t>
      </w:r>
      <w:r w:rsidR="00B90C9D" w:rsidRPr="00590BB6">
        <w:rPr>
          <w:rFonts w:cs="Times New Roman"/>
        </w:rPr>
        <w:t>were assumed to be 25 and</w:t>
      </w:r>
      <w:r w:rsidR="000F4C64" w:rsidRPr="00590BB6">
        <w:rPr>
          <w:rFonts w:cs="Times New Roman"/>
        </w:rPr>
        <w:t xml:space="preserve"> 298</w:t>
      </w:r>
      <w:r w:rsidR="002C1EDC" w:rsidRPr="00590BB6">
        <w:rPr>
          <w:rFonts w:cs="Times New Roman"/>
        </w:rPr>
        <w:t xml:space="preserve"> to convert emissions in CO</w:t>
      </w:r>
      <w:r w:rsidR="002C1EDC" w:rsidRPr="00590BB6">
        <w:rPr>
          <w:rFonts w:cs="Times New Roman"/>
          <w:vertAlign w:val="subscript"/>
        </w:rPr>
        <w:t>2</w:t>
      </w:r>
      <w:r w:rsidR="002C1EDC" w:rsidRPr="00590BB6">
        <w:rPr>
          <w:rFonts w:cs="Times New Roman"/>
        </w:rPr>
        <w:t xml:space="preserve">-equivalent, based on a Global Warming Potential estimated </w:t>
      </w:r>
      <w:r w:rsidR="00B90C9D" w:rsidRPr="00590BB6">
        <w:rPr>
          <w:rFonts w:cs="Times New Roman"/>
        </w:rPr>
        <w:t>within a 100-year timeframe</w:t>
      </w:r>
      <w:r w:rsidR="006E67DB" w:rsidRPr="00590BB6">
        <w:rPr>
          <w:rFonts w:cs="Times New Roman"/>
        </w:rPr>
        <w:t xml:space="preserve"> </w:t>
      </w:r>
      <w:r w:rsidR="006E67DB" w:rsidRPr="00590BB6">
        <w:rPr>
          <w:rFonts w:cs="Times New Roman"/>
        </w:rPr>
        <w:fldChar w:fldCharType="begin" w:fldLock="1"/>
      </w:r>
      <w:r w:rsidR="006F44A7" w:rsidRPr="00590BB6">
        <w:rPr>
          <w:rFonts w:cs="Times New Roman"/>
        </w:rPr>
        <w:instrText>ADDIN CSL_CITATION {"citationItems":[{"id":"ITEM-1","itemData":{"ISBN":"5640956410","abstract":"Emission Factors for Greenhouse Gas Inventories","author":[{"dropping-particle":"","family":"US EPA Center for Corporate Climate Leadership","given":"","non-dropping-particle":"","parse-names":false,"suffix":""}],"id":"ITEM-1","issue":"April","issued":{"date-parts":[["2022"]]},"page":"1-7","title":"Emission Factors for Greenhouse Gas Inventories","type":"article"},"uris":["http://www.mendeley.com/documents/?uuid=8f564a69-545e-4297-a930-c81b0d23acee","http://www.mendeley.com/documents/?uuid=a3b30832-ab03-46f4-8a1e-db93dbf37952"]}],"mendeley":{"formattedCitation":"[53]","plainTextFormattedCitation":"[53]","previouslyFormattedCitation":"[52]"},"properties":{"noteIndex":0},"schema":"https://github.com/citation-style-language/schema/raw/master/csl-citation.json"}</w:instrText>
      </w:r>
      <w:r w:rsidR="006E67DB" w:rsidRPr="00590BB6">
        <w:rPr>
          <w:rFonts w:cs="Times New Roman"/>
        </w:rPr>
        <w:fldChar w:fldCharType="separate"/>
      </w:r>
      <w:r w:rsidR="006F44A7" w:rsidRPr="00590BB6">
        <w:rPr>
          <w:rFonts w:cs="Times New Roman"/>
          <w:noProof/>
        </w:rPr>
        <w:t>[53]</w:t>
      </w:r>
      <w:r w:rsidR="006E67DB" w:rsidRPr="00590BB6">
        <w:rPr>
          <w:rFonts w:cs="Times New Roman"/>
        </w:rPr>
        <w:fldChar w:fldCharType="end"/>
      </w:r>
      <w:r w:rsidR="000F4C64" w:rsidRPr="00590BB6">
        <w:rPr>
          <w:rFonts w:cs="Times New Roman"/>
        </w:rPr>
        <w:t xml:space="preserve">. </w:t>
      </w:r>
    </w:p>
    <w:p w14:paraId="3116EBD3" w14:textId="31AAE04C" w:rsidR="002F2128" w:rsidRPr="00590BB6" w:rsidRDefault="002C1EDC" w:rsidP="001537B6">
      <w:pPr>
        <w:spacing w:line="360" w:lineRule="auto"/>
        <w:jc w:val="both"/>
        <w:rPr>
          <w:rFonts w:cs="Times New Roman"/>
        </w:rPr>
      </w:pPr>
      <w:bookmarkStart w:id="21" w:name="_Hlk122683056"/>
      <w:r w:rsidRPr="00590BB6">
        <w:t xml:space="preserve">In </w:t>
      </w:r>
      <w:r w:rsidR="003E20D3" w:rsidRPr="00590BB6">
        <w:t>addition</w:t>
      </w:r>
      <w:r w:rsidR="003E20D3">
        <w:t xml:space="preserve">, </w:t>
      </w:r>
      <w:r w:rsidR="003E20D3" w:rsidRPr="00590BB6">
        <w:t>an</w:t>
      </w:r>
      <w:r w:rsidR="00254AE6" w:rsidRPr="00590BB6">
        <w:t xml:space="preserve"> estimation </w:t>
      </w:r>
      <w:r w:rsidR="00C95FD0">
        <w:t xml:space="preserve">is provided </w:t>
      </w:r>
      <w:r w:rsidR="00254AE6" w:rsidRPr="00590BB6">
        <w:t xml:space="preserve">of </w:t>
      </w:r>
      <w:r w:rsidRPr="00590BB6">
        <w:t>i</w:t>
      </w:r>
      <w:r w:rsidR="002F2128" w:rsidRPr="00590BB6">
        <w:t xml:space="preserve">ndirect emissions </w:t>
      </w:r>
      <w:r w:rsidR="00254AE6" w:rsidRPr="00590BB6">
        <w:t>due to</w:t>
      </w:r>
      <w:r w:rsidR="002F2128" w:rsidRPr="00590BB6">
        <w:t xml:space="preserve"> electricity production </w:t>
      </w:r>
      <w:r w:rsidR="00254AE6" w:rsidRPr="00590BB6">
        <w:t xml:space="preserve">in the projected uptake of BEVs and FCEVs. Indirect emission factors </w:t>
      </w:r>
      <w:r w:rsidR="00254AE6" w:rsidRPr="00590BB6">
        <w:rPr>
          <w:rFonts w:cs="Times New Roman"/>
        </w:rPr>
        <w:t>were based on electricity generation shown</w:t>
      </w:r>
      <w:r w:rsidR="0012078E" w:rsidRPr="00590BB6">
        <w:rPr>
          <w:rFonts w:cs="Times New Roman"/>
        </w:rPr>
        <w:t xml:space="preserve"> in</w:t>
      </w:r>
      <w:r w:rsidR="00A644B3" w:rsidRPr="00590BB6">
        <w:rPr>
          <w:rFonts w:cs="Times New Roman"/>
        </w:rPr>
        <w:t xml:space="preserve"> </w:t>
      </w:r>
      <w:r w:rsidR="00A644B3" w:rsidRPr="00590BB6">
        <w:rPr>
          <w:rFonts w:cs="Times New Roman"/>
        </w:rPr>
        <w:fldChar w:fldCharType="begin"/>
      </w:r>
      <w:r w:rsidR="00A644B3" w:rsidRPr="00590BB6">
        <w:rPr>
          <w:rFonts w:cs="Times New Roman"/>
        </w:rPr>
        <w:instrText xml:space="preserve"> REF _Ref143128648 \h </w:instrText>
      </w:r>
      <w:r w:rsidR="00590BB6">
        <w:rPr>
          <w:rFonts w:cs="Times New Roman"/>
        </w:rPr>
        <w:instrText xml:space="preserve"> \* MERGEFORMAT </w:instrText>
      </w:r>
      <w:r w:rsidR="00A644B3" w:rsidRPr="00590BB6">
        <w:rPr>
          <w:rFonts w:cs="Times New Roman"/>
        </w:rPr>
      </w:r>
      <w:r w:rsidR="00A644B3" w:rsidRPr="00590BB6">
        <w:rPr>
          <w:rFonts w:cs="Times New Roman"/>
        </w:rPr>
        <w:fldChar w:fldCharType="separate"/>
      </w:r>
      <w:r w:rsidR="00A644B3" w:rsidRPr="00590BB6">
        <w:t xml:space="preserve">Figure </w:t>
      </w:r>
      <w:r w:rsidR="00A644B3" w:rsidRPr="00590BB6">
        <w:rPr>
          <w:noProof/>
        </w:rPr>
        <w:t>8</w:t>
      </w:r>
      <w:r w:rsidR="00A644B3" w:rsidRPr="00590BB6">
        <w:rPr>
          <w:rFonts w:cs="Times New Roman"/>
        </w:rPr>
        <w:fldChar w:fldCharType="end"/>
      </w:r>
      <w:r w:rsidR="0012078E" w:rsidRPr="00590BB6">
        <w:rPr>
          <w:rFonts w:cs="Times New Roman"/>
        </w:rPr>
        <w:t>.</w:t>
      </w:r>
      <w:r w:rsidR="00902082" w:rsidRPr="00590BB6">
        <w:rPr>
          <w:rFonts w:cs="Times New Roman"/>
        </w:rPr>
        <w:t xml:space="preserve"> </w:t>
      </w:r>
      <w:r w:rsidR="008C1D63">
        <w:rPr>
          <w:rFonts w:cs="Times New Roman"/>
        </w:rPr>
        <w:t xml:space="preserve">Combining </w:t>
      </w:r>
      <w:r w:rsidR="00C95FD0">
        <w:rPr>
          <w:rFonts w:cs="Times New Roman"/>
        </w:rPr>
        <w:t xml:space="preserve">the </w:t>
      </w:r>
      <w:r w:rsidR="00254AE6" w:rsidRPr="00590BB6">
        <w:rPr>
          <w:rFonts w:cs="Times New Roman"/>
        </w:rPr>
        <w:t>electricity mix forecasts for Italy in 2030 and 2040</w:t>
      </w:r>
      <w:r w:rsidR="00C95FD0">
        <w:rPr>
          <w:rFonts w:cs="Times New Roman"/>
        </w:rPr>
        <w:t xml:space="preserve"> </w:t>
      </w:r>
      <w:r w:rsidR="00254AE6" w:rsidRPr="00590BB6">
        <w:rPr>
          <w:rFonts w:cs="Times New Roman"/>
        </w:rPr>
        <w:fldChar w:fldCharType="begin" w:fldLock="1"/>
      </w:r>
      <w:r w:rsidR="00254AE6" w:rsidRPr="00590BB6">
        <w:rPr>
          <w:rFonts w:cs="Times New Roman"/>
        </w:rPr>
        <w:instrText>ADDIN CSL_CITATION {"citationItems":[{"id":"ITEM-1","itemData":{"URL":"https://2022.entsos-tyndp-scenarios.eu/visualisation-platform/#electricity-data","accessed":{"date-parts":[["2022","8","30"]]},"container-title":"ENTSOG /ENTSO-E","id":"ITEM-1","issued":{"date-parts":[["2021"]]},"title":"Visualisation platform","type":"webpage"},"uris":["http://www.mendeley.com/documents/?uuid=44e51a5f-52e8-4402-b42a-8926f8b043d9"]}],"mendeley":{"formattedCitation":"[56]","plainTextFormattedCitation":"[56]","previouslyFormattedCitation":"[55]"},"properties":{"noteIndex":0},"schema":"https://github.com/citation-style-language/schema/raw/master/csl-citation.json"}</w:instrText>
      </w:r>
      <w:r w:rsidR="00254AE6" w:rsidRPr="00590BB6">
        <w:rPr>
          <w:rFonts w:cs="Times New Roman"/>
        </w:rPr>
        <w:fldChar w:fldCharType="separate"/>
      </w:r>
      <w:r w:rsidR="00254AE6" w:rsidRPr="00590BB6">
        <w:rPr>
          <w:rFonts w:cs="Times New Roman"/>
          <w:noProof/>
        </w:rPr>
        <w:t>[56]</w:t>
      </w:r>
      <w:r w:rsidR="00254AE6" w:rsidRPr="00590BB6">
        <w:rPr>
          <w:rFonts w:cs="Times New Roman"/>
        </w:rPr>
        <w:fldChar w:fldCharType="end"/>
      </w:r>
      <w:r w:rsidR="008C1D63">
        <w:rPr>
          <w:rStyle w:val="FootnoteReference"/>
          <w:rFonts w:cs="Times New Roman"/>
        </w:rPr>
        <w:footnoteReference w:id="11"/>
      </w:r>
      <w:r w:rsidR="008C1D63">
        <w:rPr>
          <w:rFonts w:cs="Times New Roman"/>
        </w:rPr>
        <w:t xml:space="preserve"> with </w:t>
      </w:r>
      <w:r w:rsidR="00254AE6" w:rsidRPr="00590BB6">
        <w:rPr>
          <w:rFonts w:cs="Times New Roman"/>
        </w:rPr>
        <w:t xml:space="preserve">historical electricity production and emissions data </w:t>
      </w:r>
      <w:r w:rsidR="00254AE6" w:rsidRPr="00590BB6">
        <w:rPr>
          <w:rFonts w:cs="Times New Roman"/>
        </w:rPr>
        <w:fldChar w:fldCharType="begin" w:fldLock="1"/>
      </w:r>
      <w:r w:rsidR="00254AE6" w:rsidRPr="00590BB6">
        <w:rPr>
          <w:rFonts w:cs="Times New Roman"/>
        </w:rPr>
        <w:instrText>ADDIN CSL_CITATION {"citationItems":[{"id":"ITEM-1","itemData":{"URL":"https://www.iea.org/data-and-statistics/data-product/electricity-information","accessed":{"date-parts":[["2022","8","30"]]},"container-title":"IEA","id":"ITEM-1","issued":{"date-parts":[["2021"]]},"title":"Electricity Information: Italy","type":"webpage"},"uris":["http://www.mendeley.com/documents/?uuid=43b4b894-ffdd-4ee2-88d4-f90cb538801f"]}],"mendeley":{"formattedCitation":"[55]","plainTextFormattedCitation":"[55]","previouslyFormattedCitation":"[54]"},"properties":{"noteIndex":0},"schema":"https://github.com/citation-style-language/schema/raw/master/csl-citation.json"}</w:instrText>
      </w:r>
      <w:r w:rsidR="00254AE6" w:rsidRPr="00590BB6">
        <w:rPr>
          <w:rFonts w:cs="Times New Roman"/>
        </w:rPr>
        <w:fldChar w:fldCharType="separate"/>
      </w:r>
      <w:r w:rsidR="00254AE6" w:rsidRPr="00590BB6">
        <w:rPr>
          <w:rFonts w:cs="Times New Roman"/>
          <w:noProof/>
        </w:rPr>
        <w:t>[55]</w:t>
      </w:r>
      <w:r w:rsidR="00254AE6" w:rsidRPr="00590BB6">
        <w:rPr>
          <w:rFonts w:cs="Times New Roman"/>
        </w:rPr>
        <w:fldChar w:fldCharType="end"/>
      </w:r>
      <w:r w:rsidR="00254AE6" w:rsidRPr="00590BB6">
        <w:rPr>
          <w:rFonts w:cs="Times New Roman"/>
        </w:rPr>
        <w:t>, it was possible to determine average carbon intensities for 2030 and 2040 based on renewable and non-renewable power sources generation and emissions</w:t>
      </w:r>
      <w:r w:rsidR="00254AE6" w:rsidRPr="00590BB6">
        <w:rPr>
          <w:rStyle w:val="FootnoteReference"/>
          <w:rFonts w:cs="Times New Roman"/>
        </w:rPr>
        <w:footnoteReference w:id="12"/>
      </w:r>
      <w:r w:rsidR="00254AE6" w:rsidRPr="00590BB6">
        <w:rPr>
          <w:rFonts w:cs="Times New Roman"/>
        </w:rPr>
        <w:t xml:space="preserve">. </w:t>
      </w:r>
      <w:r w:rsidR="000D6A33" w:rsidRPr="00590BB6">
        <w:rPr>
          <w:rFonts w:cs="Times New Roman"/>
        </w:rPr>
        <w:t>The</w:t>
      </w:r>
      <w:r w:rsidR="00254AE6" w:rsidRPr="00590BB6">
        <w:rPr>
          <w:rFonts w:cs="Times New Roman"/>
        </w:rPr>
        <w:t>se</w:t>
      </w:r>
      <w:r w:rsidR="000D6A33" w:rsidRPr="00590BB6">
        <w:rPr>
          <w:rFonts w:cs="Times New Roman"/>
        </w:rPr>
        <w:t xml:space="preserve"> estimates </w:t>
      </w:r>
      <w:r w:rsidR="008C1D63">
        <w:rPr>
          <w:rFonts w:cs="Times New Roman"/>
        </w:rPr>
        <w:t>assume</w:t>
      </w:r>
      <w:r w:rsidR="000D6A33" w:rsidRPr="00590BB6">
        <w:rPr>
          <w:rFonts w:cs="Times New Roman"/>
        </w:rPr>
        <w:t xml:space="preserve"> </w:t>
      </w:r>
      <w:r w:rsidR="008C1D63">
        <w:rPr>
          <w:rFonts w:cs="Times New Roman"/>
        </w:rPr>
        <w:t xml:space="preserve">that </w:t>
      </w:r>
      <w:r w:rsidR="000D6A33" w:rsidRPr="00590BB6">
        <w:rPr>
          <w:rFonts w:cs="Times New Roman"/>
        </w:rPr>
        <w:t xml:space="preserve">the 2050 </w:t>
      </w:r>
      <w:r w:rsidR="00254AE6" w:rsidRPr="00590BB6">
        <w:rPr>
          <w:rFonts w:cs="Times New Roman"/>
        </w:rPr>
        <w:t xml:space="preserve">national </w:t>
      </w:r>
      <w:r w:rsidR="000D6A33" w:rsidRPr="00590BB6">
        <w:rPr>
          <w:rFonts w:cs="Times New Roman"/>
        </w:rPr>
        <w:t xml:space="preserve">net-zero target </w:t>
      </w:r>
      <w:r w:rsidR="008C1D63">
        <w:rPr>
          <w:rFonts w:cs="Times New Roman"/>
        </w:rPr>
        <w:t>would produce</w:t>
      </w:r>
      <w:r w:rsidR="008C1D63" w:rsidRPr="00590BB6">
        <w:rPr>
          <w:rFonts w:cs="Times New Roman"/>
        </w:rPr>
        <w:t xml:space="preserve"> </w:t>
      </w:r>
      <w:r w:rsidR="00254AE6" w:rsidRPr="00590BB6">
        <w:rPr>
          <w:rFonts w:cs="Times New Roman"/>
        </w:rPr>
        <w:t>a</w:t>
      </w:r>
      <w:r w:rsidR="00902082" w:rsidRPr="00590BB6">
        <w:rPr>
          <w:rFonts w:cs="Times New Roman"/>
        </w:rPr>
        <w:t xml:space="preserve"> phase out of most fossil fuels from its power mix.</w:t>
      </w:r>
      <w:r w:rsidR="008C1D63">
        <w:rPr>
          <w:rFonts w:cs="Times New Roman"/>
        </w:rPr>
        <w:t xml:space="preserve"> A</w:t>
      </w:r>
      <w:r w:rsidR="00254AE6" w:rsidRPr="00590BB6">
        <w:rPr>
          <w:rFonts w:cs="Times New Roman"/>
        </w:rPr>
        <w:t xml:space="preserve">t the time of the writing, </w:t>
      </w:r>
      <w:r w:rsidR="000D6A33" w:rsidRPr="00590BB6">
        <w:rPr>
          <w:rFonts w:cs="Times New Roman"/>
        </w:rPr>
        <w:t>t</w:t>
      </w:r>
      <w:r w:rsidR="00902082" w:rsidRPr="00590BB6">
        <w:rPr>
          <w:rFonts w:cs="Times New Roman"/>
        </w:rPr>
        <w:t>he country ha</w:t>
      </w:r>
      <w:r w:rsidR="00254AE6" w:rsidRPr="00590BB6">
        <w:rPr>
          <w:rFonts w:cs="Times New Roman"/>
        </w:rPr>
        <w:t>d</w:t>
      </w:r>
      <w:r w:rsidR="00902082" w:rsidRPr="00590BB6">
        <w:rPr>
          <w:rFonts w:cs="Times New Roman"/>
        </w:rPr>
        <w:t xml:space="preserve"> already committed to phase out coal by 2025, responsible for 5-10% of its electricity production and announced a 70% target share of renewable generation by 2030 </w:t>
      </w:r>
      <w:r w:rsidR="00902082" w:rsidRPr="00590BB6">
        <w:rPr>
          <w:rFonts w:cs="Times New Roman"/>
        </w:rPr>
        <w:fldChar w:fldCharType="begin" w:fldLock="1"/>
      </w:r>
      <w:r w:rsidR="00902082" w:rsidRPr="00590BB6">
        <w:rPr>
          <w:rFonts w:cs="Times New Roman"/>
        </w:rPr>
        <w:instrText>ADDIN CSL_CITATION {"citationItems":[{"id":"ITEM-1","itemData":{"author":[{"dropping-particle":"","family":"European Commission","given":"","non-dropping-particle":"","parse-names":false,"suffix":""}],"id":"ITEM-1","issued":{"date-parts":[["2019"]]},"title":"National Energy and Climate Plan 2021-2030 - Italy","type":"article"},"uris":["http://www.mendeley.com/documents/?uuid=4226e3fd-3fa7-425c-8dc3-9b21dabd49bf","http://www.mendeley.com/documents/?uuid=ccd1266a-6d61-4c56-afd8-fbb2223e5da4"]}],"mendeley":{"formattedCitation":"[12]","plainTextFormattedCitation":"[12]","previouslyFormattedCitation":"[11]"},"properties":{"noteIndex":0},"schema":"https://github.com/citation-style-language/schema/raw/master/csl-citation.json"}</w:instrText>
      </w:r>
      <w:r w:rsidR="00902082" w:rsidRPr="00590BB6">
        <w:rPr>
          <w:rFonts w:cs="Times New Roman"/>
        </w:rPr>
        <w:fldChar w:fldCharType="separate"/>
      </w:r>
      <w:r w:rsidR="00902082" w:rsidRPr="00590BB6">
        <w:rPr>
          <w:rFonts w:cs="Times New Roman"/>
          <w:noProof/>
        </w:rPr>
        <w:t>[12]</w:t>
      </w:r>
      <w:r w:rsidR="00902082" w:rsidRPr="00590BB6">
        <w:rPr>
          <w:rFonts w:cs="Times New Roman"/>
        </w:rPr>
        <w:fldChar w:fldCharType="end"/>
      </w:r>
      <w:r w:rsidR="00902082" w:rsidRPr="00590BB6">
        <w:rPr>
          <w:rFonts w:cs="Times New Roman"/>
        </w:rPr>
        <w:t xml:space="preserve">. </w:t>
      </w:r>
    </w:p>
    <w:p w14:paraId="6736FDC5" w14:textId="77777777" w:rsidR="0012078E" w:rsidRPr="00590BB6" w:rsidRDefault="0012078E" w:rsidP="00E07EFA">
      <w:pPr>
        <w:keepNext/>
        <w:spacing w:after="0" w:line="360" w:lineRule="auto"/>
        <w:jc w:val="center"/>
      </w:pPr>
      <w:r w:rsidRPr="00590BB6">
        <w:rPr>
          <w:noProof/>
          <w:lang w:val="en-US"/>
        </w:rPr>
        <w:drawing>
          <wp:inline distT="0" distB="0" distL="0" distR="0" wp14:anchorId="153DA0A5" wp14:editId="69D89145">
            <wp:extent cx="4005618" cy="2415654"/>
            <wp:effectExtent l="0" t="0" r="0" b="381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4278DED" w14:textId="2E0F125D" w:rsidR="0012078E" w:rsidRPr="00590BB6" w:rsidRDefault="004C610A" w:rsidP="004C610A">
      <w:pPr>
        <w:pStyle w:val="Caption"/>
        <w:rPr>
          <w:rFonts w:cs="Times New Roman"/>
        </w:rPr>
      </w:pPr>
      <w:bookmarkStart w:id="22" w:name="_Ref143128648"/>
      <w:r w:rsidRPr="00590BB6">
        <w:t xml:space="preserve">Figure </w:t>
      </w:r>
      <w:r w:rsidRPr="00590BB6">
        <w:fldChar w:fldCharType="begin"/>
      </w:r>
      <w:r w:rsidRPr="00590BB6">
        <w:instrText xml:space="preserve"> SEQ Figure \* ARABIC </w:instrText>
      </w:r>
      <w:r w:rsidRPr="00590BB6">
        <w:fldChar w:fldCharType="separate"/>
      </w:r>
      <w:r w:rsidR="00A644B3" w:rsidRPr="00590BB6">
        <w:rPr>
          <w:noProof/>
        </w:rPr>
        <w:t>8</w:t>
      </w:r>
      <w:r w:rsidRPr="00590BB6">
        <w:fldChar w:fldCharType="end"/>
      </w:r>
      <w:bookmarkEnd w:id="22"/>
      <w:r w:rsidR="0012078E" w:rsidRPr="00590BB6">
        <w:t xml:space="preserve">. Italy’s electricity generation per source: </w:t>
      </w:r>
      <w:r w:rsidR="005F2389" w:rsidRPr="00590BB6">
        <w:t>I</w:t>
      </w:r>
      <w:r w:rsidR="002B241F" w:rsidRPr="00590BB6">
        <w:t>E</w:t>
      </w:r>
      <w:r w:rsidR="005F2389" w:rsidRPr="00590BB6">
        <w:t xml:space="preserve">A 2020 data </w:t>
      </w:r>
      <w:r w:rsidR="005F2389" w:rsidRPr="00590BB6">
        <w:rPr>
          <w:rFonts w:cs="Times New Roman"/>
        </w:rPr>
        <w:fldChar w:fldCharType="begin" w:fldLock="1"/>
      </w:r>
      <w:r w:rsidR="006F44A7" w:rsidRPr="00590BB6">
        <w:rPr>
          <w:rFonts w:cs="Times New Roman"/>
        </w:rPr>
        <w:instrText>ADDIN CSL_CITATION {"citationItems":[{"id":"ITEM-1","itemData":{"URL":"https://www.iea.org/data-and-statistics/data-product/electricity-information","accessed":{"date-parts":[["2022","8","30"]]},"container-title":"IEA","id":"ITEM-1","issued":{"date-parts":[["2021"]]},"title":"Electricity Information: Italy","type":"webpage"},"uris":["http://www.mendeley.com/documents/?uuid=43b4b894-ffdd-4ee2-88d4-f90cb538801f"]}],"mendeley":{"formattedCitation":"[55]","plainTextFormattedCitation":"[55]","previouslyFormattedCitation":"[54]"},"properties":{"noteIndex":0},"schema":"https://github.com/citation-style-language/schema/raw/master/csl-citation.json"}</w:instrText>
      </w:r>
      <w:r w:rsidR="005F2389" w:rsidRPr="00590BB6">
        <w:rPr>
          <w:rFonts w:cs="Times New Roman"/>
        </w:rPr>
        <w:fldChar w:fldCharType="separate"/>
      </w:r>
      <w:r w:rsidR="006F44A7" w:rsidRPr="00590BB6">
        <w:rPr>
          <w:rFonts w:cs="Times New Roman"/>
          <w:noProof/>
        </w:rPr>
        <w:t>[55]</w:t>
      </w:r>
      <w:r w:rsidR="005F2389" w:rsidRPr="00590BB6">
        <w:rPr>
          <w:rFonts w:cs="Times New Roman"/>
        </w:rPr>
        <w:fldChar w:fldCharType="end"/>
      </w:r>
      <w:r w:rsidR="005F2389" w:rsidRPr="00590BB6">
        <w:rPr>
          <w:rFonts w:cs="Times New Roman"/>
        </w:rPr>
        <w:t xml:space="preserve"> </w:t>
      </w:r>
      <w:r w:rsidR="005F2389" w:rsidRPr="00590BB6">
        <w:t xml:space="preserve">and </w:t>
      </w:r>
      <w:r w:rsidR="0012078E" w:rsidRPr="00590BB6">
        <w:t xml:space="preserve">ENTSO-E 2030 and 2040 forecasts </w:t>
      </w:r>
      <w:r w:rsidR="0012078E" w:rsidRPr="00590BB6">
        <w:rPr>
          <w:rFonts w:cs="Times New Roman"/>
        </w:rPr>
        <w:fldChar w:fldCharType="begin" w:fldLock="1"/>
      </w:r>
      <w:r w:rsidR="006F44A7" w:rsidRPr="00590BB6">
        <w:rPr>
          <w:rFonts w:cs="Times New Roman"/>
        </w:rPr>
        <w:instrText>ADDIN CSL_CITATION {"citationItems":[{"id":"ITEM-1","itemData":{"URL":"https://2022.entsos-tyndp-scenarios.eu/visualisation-platform/#electricity-data","accessed":{"date-parts":[["2022","8","30"]]},"container-title":"ENTSOG /ENTSO-E","id":"ITEM-1","issued":{"date-parts":[["2021"]]},"title":"Visualisation platform","type":"webpage"},"uris":["http://www.mendeley.com/documents/?uuid=44e51a5f-52e8-4402-b42a-8926f8b043d9"]}],"mendeley":{"formattedCitation":"[56]","plainTextFormattedCitation":"[56]","previouslyFormattedCitation":"[55]"},"properties":{"noteIndex":0},"schema":"https://github.com/citation-style-language/schema/raw/master/csl-citation.json"}</w:instrText>
      </w:r>
      <w:r w:rsidR="0012078E" w:rsidRPr="00590BB6">
        <w:rPr>
          <w:rFonts w:cs="Times New Roman"/>
        </w:rPr>
        <w:fldChar w:fldCharType="separate"/>
      </w:r>
      <w:r w:rsidR="006F44A7" w:rsidRPr="00590BB6">
        <w:rPr>
          <w:rFonts w:cs="Times New Roman"/>
          <w:noProof/>
        </w:rPr>
        <w:t>[56]</w:t>
      </w:r>
      <w:r w:rsidR="0012078E" w:rsidRPr="00590BB6">
        <w:rPr>
          <w:rFonts w:cs="Times New Roman"/>
        </w:rPr>
        <w:fldChar w:fldCharType="end"/>
      </w:r>
      <w:r w:rsidR="0012078E" w:rsidRPr="00590BB6">
        <w:rPr>
          <w:rFonts w:cs="Times New Roman"/>
        </w:rPr>
        <w:t xml:space="preserve">. </w:t>
      </w:r>
      <w:r w:rsidR="008816F6" w:rsidRPr="00590BB6">
        <w:rPr>
          <w:rFonts w:cs="Times New Roman"/>
        </w:rPr>
        <w:t xml:space="preserve">RES: Renewable Energy Sources. </w:t>
      </w:r>
      <w:r w:rsidR="0012078E" w:rsidRPr="00590BB6">
        <w:rPr>
          <w:rFonts w:cs="Times New Roman"/>
        </w:rPr>
        <w:t>Other non-RES include coal, oil, and “other sources”</w:t>
      </w:r>
      <w:r w:rsidR="005F2389" w:rsidRPr="00590BB6">
        <w:rPr>
          <w:rFonts w:cs="Times New Roman"/>
        </w:rPr>
        <w:t>, and</w:t>
      </w:r>
      <w:r w:rsidR="0012078E" w:rsidRPr="00590BB6">
        <w:rPr>
          <w:rFonts w:cs="Times New Roman"/>
        </w:rPr>
        <w:t xml:space="preserve"> Other RES comprise biofuels, waste, and geothermal.</w:t>
      </w:r>
      <w:r w:rsidR="005F2389" w:rsidRPr="00590BB6">
        <w:rPr>
          <w:rFonts w:cs="Times New Roman"/>
        </w:rPr>
        <w:t xml:space="preserve"> (1 </w:t>
      </w:r>
      <w:proofErr w:type="spellStart"/>
      <w:r w:rsidR="005F2389" w:rsidRPr="00590BB6">
        <w:rPr>
          <w:rFonts w:cs="Times New Roman"/>
        </w:rPr>
        <w:t>TWh</w:t>
      </w:r>
      <w:proofErr w:type="spellEnd"/>
      <w:r w:rsidR="005F2389" w:rsidRPr="00590BB6">
        <w:rPr>
          <w:rFonts w:cs="Times New Roman"/>
        </w:rPr>
        <w:t xml:space="preserve"> = 3.6 PJ).</w:t>
      </w:r>
    </w:p>
    <w:p w14:paraId="773B3A55" w14:textId="77777777" w:rsidR="005F2389" w:rsidRPr="00590BB6" w:rsidRDefault="005F2389" w:rsidP="005F2389"/>
    <w:p w14:paraId="79BE5FBA" w14:textId="77777777" w:rsidR="00400024" w:rsidRPr="00590BB6" w:rsidRDefault="00400024" w:rsidP="002C1EDC">
      <w:pPr>
        <w:pStyle w:val="Heading3"/>
        <w:spacing w:after="240"/>
      </w:pPr>
      <w:r w:rsidRPr="00590BB6">
        <w:t>Carbon price</w:t>
      </w:r>
    </w:p>
    <w:p w14:paraId="640548DB" w14:textId="218C44D7" w:rsidR="00400024" w:rsidRPr="00590BB6" w:rsidRDefault="00400024" w:rsidP="002C1EDC">
      <w:pPr>
        <w:spacing w:line="360" w:lineRule="auto"/>
        <w:jc w:val="both"/>
      </w:pPr>
      <w:r w:rsidRPr="00590BB6">
        <w:rPr>
          <w:rFonts w:cs="Times New Roman"/>
        </w:rPr>
        <w:t>Carbon price was modelled as a tax on the emitted CO</w:t>
      </w:r>
      <w:r w:rsidRPr="00590BB6">
        <w:rPr>
          <w:rFonts w:cs="Times New Roman"/>
          <w:vertAlign w:val="subscript"/>
        </w:rPr>
        <w:t>2</w:t>
      </w:r>
      <w:r w:rsidRPr="00590BB6">
        <w:rPr>
          <w:rFonts w:cs="Times New Roman"/>
        </w:rPr>
        <w:t xml:space="preserve">. The carbon price was assumed to start in 2025 and ranged between 150 and 400 USD/t </w:t>
      </w:r>
      <w:r w:rsidRPr="00590BB6">
        <w:rPr>
          <w:rFonts w:cs="Times New Roman"/>
        </w:rPr>
        <w:fldChar w:fldCharType="begin" w:fldLock="1"/>
      </w:r>
      <w:r w:rsidRPr="00590BB6">
        <w:rPr>
          <w:rFonts w:cs="Times New Roman"/>
        </w:rPr>
        <w:instrText>ADDIN CSL_CITATION {"citationItems":[{"id":"ITEM-1","itemData":{"DOI":"10.1007/BF00914340","ISSN":"15738620","author":[{"dropping-particle":"","family":"Gómez","given":"Dario R.","non-dropping-particle":"","parse-names":false,"suffix":""},{"dropping-particle":"","family":"Watterson","given":"D.","non-dropping-particle":"","parse-names":false,"suffix":""},{"dropping-particle":"","family":"Branca","given":"B.","non-dropping-particle":"","parse-names":false,"suffix":""},{"dropping-particle":"","family":"Chia","given":"Ha","non-dropping-particle":"","parse-names":false,"suffix":""},{"dropping-particle":"","family":"Marland","given":"Gregg","non-dropping-particle":"","parse-names":false,"suffix":""},{"dropping-particle":"","family":"Mastika","given":"Emmanuek","non-dropping-particle":"","parse-names":false,"suffix":""},{"dropping-particle":"","family":"Namayanga","given":"Lemmy Nenge","non-dropping-particle":"","parse-names":false,"suffix":""},{"dropping-particle":"","family":"Osman-Elasha","given":"Balgis","non-dropping-particle":"","parse-names":false,"suffix":""},{"dropping-particle":"","family":"Saka","given":"John D. Kalenga","non-dropping-particle":"","parse-names":false,"suffix":""},{"dropping-particle":"","family":"Karen","given":"Treanton","non-dropping-particle":"","parse-names":false,"suffix":""},{"dropping-particle":"","family":"Quadrelli","given":"Roberta","non-dropping-particle":"","parse-names":false,"suffix":""}],"container-title":"2006 IPCC Guidelines for National Greenhouse Gas Inventories","id":"ITEM-1","issued":{"date-parts":[["2006"]]},"title":"Chpater 2: Stationary combustion","type":"chapter","volume":"2"},"uris":["http://www.mendeley.com/documents/?uuid=59dc7eb6-c2e2-458a-bad6-41b56d7ca2d2","http://www.mendeley.com/documents/?uuid=6f29120a-ad1d-4e30-9e62-62d4b0383431"]}],"mendeley":{"formattedCitation":"[54]","plainTextFormattedCitation":"[54]","previouslyFormattedCitation":"[53]"},"properties":{"noteIndex":0},"schema":"https://github.com/citation-style-language/schema/raw/master/csl-citation.json"}</w:instrText>
      </w:r>
      <w:r w:rsidRPr="00590BB6">
        <w:rPr>
          <w:rFonts w:cs="Times New Roman"/>
        </w:rPr>
        <w:fldChar w:fldCharType="separate"/>
      </w:r>
      <w:r w:rsidRPr="00590BB6">
        <w:rPr>
          <w:rFonts w:cs="Times New Roman"/>
          <w:noProof/>
        </w:rPr>
        <w:t>[54]</w:t>
      </w:r>
      <w:r w:rsidRPr="00590BB6">
        <w:rPr>
          <w:rFonts w:cs="Times New Roman"/>
        </w:rPr>
        <w:fldChar w:fldCharType="end"/>
      </w:r>
      <w:r w:rsidRPr="00590BB6">
        <w:rPr>
          <w:rFonts w:cs="Times New Roman"/>
        </w:rPr>
        <w:t xml:space="preserve">, as reported in </w:t>
      </w:r>
      <w:r w:rsidRPr="00590BB6">
        <w:rPr>
          <w:bCs/>
        </w:rPr>
        <w:t>Supplementary Material (Figure S.1)</w:t>
      </w:r>
      <w:r w:rsidRPr="00590BB6">
        <w:t>. Th</w:t>
      </w:r>
      <w:r w:rsidR="002C1EDC" w:rsidRPr="00590BB6">
        <w:t>is</w:t>
      </w:r>
      <w:r w:rsidRPr="00590BB6">
        <w:t xml:space="preserve"> price </w:t>
      </w:r>
      <w:r w:rsidR="002C1EDC" w:rsidRPr="00590BB6">
        <w:t>was determined as a price equivalent to</w:t>
      </w:r>
      <w:r w:rsidRPr="00590BB6">
        <w:t xml:space="preserve"> current decarbonisation policies </w:t>
      </w:r>
      <w:r w:rsidR="002C1EDC" w:rsidRPr="00590BB6">
        <w:t xml:space="preserve">implemented </w:t>
      </w:r>
      <w:r w:rsidRPr="00590BB6">
        <w:t xml:space="preserve">in </w:t>
      </w:r>
      <w:r w:rsidR="002C1EDC" w:rsidRPr="00590BB6">
        <w:t>Europe, as estimated in [54]</w:t>
      </w:r>
      <w:r w:rsidRPr="00590BB6">
        <w:t xml:space="preserve">. </w:t>
      </w:r>
    </w:p>
    <w:bookmarkEnd w:id="21"/>
    <w:p w14:paraId="42A42B7E" w14:textId="2E56E080" w:rsidR="00733FFE" w:rsidRPr="00590BB6" w:rsidRDefault="00733FFE" w:rsidP="00D479B4">
      <w:pPr>
        <w:pStyle w:val="Heading2"/>
        <w:spacing w:after="240" w:line="360" w:lineRule="auto"/>
        <w:rPr>
          <w:rFonts w:cs="Times New Roman"/>
          <w:sz w:val="22"/>
          <w:szCs w:val="22"/>
        </w:rPr>
      </w:pPr>
      <w:r w:rsidRPr="00590BB6">
        <w:rPr>
          <w:rFonts w:cs="Times New Roman"/>
          <w:sz w:val="22"/>
          <w:szCs w:val="22"/>
        </w:rPr>
        <w:lastRenderedPageBreak/>
        <w:t>Scenario</w:t>
      </w:r>
      <w:r w:rsidR="003F48B6" w:rsidRPr="00590BB6">
        <w:rPr>
          <w:rFonts w:cs="Times New Roman"/>
          <w:sz w:val="22"/>
          <w:szCs w:val="22"/>
        </w:rPr>
        <w:t>s</w:t>
      </w:r>
      <w:r w:rsidRPr="00590BB6">
        <w:rPr>
          <w:rFonts w:cs="Times New Roman"/>
          <w:sz w:val="22"/>
          <w:szCs w:val="22"/>
        </w:rPr>
        <w:t xml:space="preserve"> description</w:t>
      </w:r>
    </w:p>
    <w:p w14:paraId="5A023970" w14:textId="6286381E" w:rsidR="00583A51" w:rsidRPr="00590BB6" w:rsidRDefault="005114AA" w:rsidP="00733FFE">
      <w:pPr>
        <w:spacing w:line="360" w:lineRule="auto"/>
        <w:jc w:val="both"/>
        <w:rPr>
          <w:rFonts w:cs="Times New Roman"/>
        </w:rPr>
      </w:pPr>
      <w:r w:rsidRPr="00590BB6">
        <w:rPr>
          <w:rFonts w:cs="Times New Roman"/>
        </w:rPr>
        <w:t>To</w:t>
      </w:r>
      <w:r w:rsidR="00733FFE" w:rsidRPr="00590BB6">
        <w:rPr>
          <w:rFonts w:cs="Times New Roman"/>
        </w:rPr>
        <w:t xml:space="preserve"> evaluate the</w:t>
      </w:r>
      <w:r w:rsidR="00E92C54" w:rsidRPr="00590BB6">
        <w:rPr>
          <w:rFonts w:cs="Times New Roman"/>
        </w:rPr>
        <w:t xml:space="preserve"> long-term</w:t>
      </w:r>
      <w:r w:rsidR="00733FFE" w:rsidRPr="00590BB6">
        <w:rPr>
          <w:rFonts w:cs="Times New Roman"/>
        </w:rPr>
        <w:t xml:space="preserve"> </w:t>
      </w:r>
      <w:r w:rsidR="00B74CE9" w:rsidRPr="00590BB6">
        <w:rPr>
          <w:rFonts w:cs="Times New Roman"/>
        </w:rPr>
        <w:t>development of the HDVs market</w:t>
      </w:r>
      <w:r w:rsidR="00314EDB" w:rsidRPr="00590BB6">
        <w:rPr>
          <w:rFonts w:cs="Times New Roman"/>
        </w:rPr>
        <w:t xml:space="preserve"> fleet</w:t>
      </w:r>
      <w:r w:rsidR="00733FFE" w:rsidRPr="00590BB6">
        <w:rPr>
          <w:rFonts w:cs="Times New Roman"/>
        </w:rPr>
        <w:t xml:space="preserve"> </w:t>
      </w:r>
      <w:r w:rsidR="00E92C54" w:rsidRPr="00590BB6">
        <w:rPr>
          <w:rFonts w:cs="Times New Roman"/>
        </w:rPr>
        <w:t>in Italy</w:t>
      </w:r>
      <w:r w:rsidR="00733FFE" w:rsidRPr="00590BB6">
        <w:rPr>
          <w:rFonts w:cs="Times New Roman"/>
        </w:rPr>
        <w:t xml:space="preserve">, </w:t>
      </w:r>
      <w:r w:rsidR="00C901B8" w:rsidRPr="00590BB6">
        <w:rPr>
          <w:rFonts w:cs="Times New Roman"/>
        </w:rPr>
        <w:t>seven</w:t>
      </w:r>
      <w:r w:rsidR="000F4C64" w:rsidRPr="00590BB6">
        <w:rPr>
          <w:rFonts w:cs="Times New Roman"/>
        </w:rPr>
        <w:t xml:space="preserve"> </w:t>
      </w:r>
      <w:r w:rsidR="00733FFE" w:rsidRPr="00590BB6">
        <w:rPr>
          <w:rFonts w:cs="Times New Roman"/>
        </w:rPr>
        <w:t>scenarios were m</w:t>
      </w:r>
      <w:r w:rsidR="000F4C64" w:rsidRPr="00590BB6">
        <w:rPr>
          <w:rFonts w:cs="Times New Roman"/>
        </w:rPr>
        <w:t>odelled</w:t>
      </w:r>
      <w:r w:rsidR="0032522B" w:rsidRPr="00590BB6">
        <w:rPr>
          <w:rFonts w:cs="Times New Roman"/>
        </w:rPr>
        <w:t xml:space="preserve">. </w:t>
      </w:r>
      <w:r w:rsidR="00F5514C" w:rsidRPr="00590BB6">
        <w:rPr>
          <w:rFonts w:cs="Times New Roman"/>
        </w:rPr>
        <w:t xml:space="preserve">The available decarbonisation options addressed in the study are </w:t>
      </w:r>
      <w:r w:rsidR="00CF5635" w:rsidRPr="00590BB6">
        <w:rPr>
          <w:rFonts w:cs="Times New Roman"/>
        </w:rPr>
        <w:t xml:space="preserve">efficiency (reducing fuel consumption per unit of goods transported, </w:t>
      </w:r>
      <w:r w:rsidR="00F5514C" w:rsidRPr="00590BB6">
        <w:rPr>
          <w:rFonts w:cs="Times New Roman"/>
        </w:rPr>
        <w:t xml:space="preserve">fuel switching (typically diesel/gasoline to </w:t>
      </w:r>
      <w:r w:rsidR="00CF5635" w:rsidRPr="00590BB6">
        <w:rPr>
          <w:rFonts w:cs="Times New Roman"/>
        </w:rPr>
        <w:t>LPG</w:t>
      </w:r>
      <w:r w:rsidR="00F5514C" w:rsidRPr="00590BB6">
        <w:rPr>
          <w:rFonts w:cs="Times New Roman"/>
        </w:rPr>
        <w:t xml:space="preserve"> or to </w:t>
      </w:r>
      <w:r w:rsidR="00CF5635" w:rsidRPr="00590BB6">
        <w:rPr>
          <w:rFonts w:cs="Times New Roman"/>
        </w:rPr>
        <w:t xml:space="preserve">natural gas, </w:t>
      </w:r>
      <w:r w:rsidR="00F5514C" w:rsidRPr="00590BB6">
        <w:rPr>
          <w:rFonts w:cs="Times New Roman"/>
        </w:rPr>
        <w:t xml:space="preserve">either as CNG or LNG), </w:t>
      </w:r>
      <w:r w:rsidR="008C1D63">
        <w:rPr>
          <w:rFonts w:cs="Times New Roman"/>
        </w:rPr>
        <w:t xml:space="preserve">and </w:t>
      </w:r>
      <w:r w:rsidR="00CF5635" w:rsidRPr="00590BB6">
        <w:rPr>
          <w:rFonts w:cs="Times New Roman"/>
        </w:rPr>
        <w:t>non-combustion energy generation (</w:t>
      </w:r>
      <w:r w:rsidR="00F5514C" w:rsidRPr="00590BB6">
        <w:rPr>
          <w:rFonts w:cs="Times New Roman"/>
        </w:rPr>
        <w:t>battery electric and hydrogen fuel-cell vehicles</w:t>
      </w:r>
      <w:r w:rsidR="00CF5635" w:rsidRPr="00590BB6">
        <w:rPr>
          <w:rFonts w:cs="Times New Roman"/>
        </w:rPr>
        <w:t>)</w:t>
      </w:r>
      <w:r w:rsidR="00487024" w:rsidRPr="00590BB6">
        <w:rPr>
          <w:rFonts w:cs="Times New Roman"/>
        </w:rPr>
        <w:t xml:space="preserve">. </w:t>
      </w:r>
      <w:r w:rsidR="0032522B" w:rsidRPr="00590BB6">
        <w:rPr>
          <w:rFonts w:cs="Times New Roman"/>
        </w:rPr>
        <w:t>Scenarios are conceived to draw the effects of</w:t>
      </w:r>
      <w:r w:rsidR="006D5369" w:rsidRPr="00590BB6">
        <w:rPr>
          <w:rFonts w:cs="Times New Roman"/>
        </w:rPr>
        <w:t xml:space="preserve"> technology-improvement only (first on efficiency and then on both efficiency and technology costs), the effects of fuel prices, and the effects of policies (with the inclusion of carbon price, the implementation of ICE vehicle bans</w:t>
      </w:r>
      <w:r w:rsidR="00255107">
        <w:rPr>
          <w:rFonts w:cs="Times New Roman"/>
        </w:rPr>
        <w:t>, either</w:t>
      </w:r>
      <w:r w:rsidR="006D5369" w:rsidRPr="00590BB6">
        <w:rPr>
          <w:rFonts w:cs="Times New Roman"/>
        </w:rPr>
        <w:t xml:space="preserve"> from 2040 </w:t>
      </w:r>
      <w:r w:rsidR="00255107">
        <w:rPr>
          <w:rFonts w:cs="Times New Roman"/>
        </w:rPr>
        <w:t>or</w:t>
      </w:r>
      <w:r w:rsidR="006D5369" w:rsidRPr="00590BB6">
        <w:rPr>
          <w:rFonts w:cs="Times New Roman"/>
        </w:rPr>
        <w:t xml:space="preserve"> from 2030). These represent altogether the </w:t>
      </w:r>
      <w:r w:rsidR="004565A9" w:rsidRPr="00590BB6">
        <w:rPr>
          <w:rFonts w:cs="Times New Roman"/>
        </w:rPr>
        <w:t xml:space="preserve">critical </w:t>
      </w:r>
      <w:r w:rsidR="006D5369" w:rsidRPr="00590BB6">
        <w:rPr>
          <w:rFonts w:cs="Times New Roman"/>
        </w:rPr>
        <w:t>multi-faceted dimensions of the energy transition</w:t>
      </w:r>
      <w:r w:rsidR="00733FFE" w:rsidRPr="00590BB6">
        <w:rPr>
          <w:rFonts w:cs="Times New Roman"/>
        </w:rPr>
        <w:t>.</w:t>
      </w:r>
      <w:r w:rsidR="00B74CE9" w:rsidRPr="00590BB6">
        <w:rPr>
          <w:rFonts w:cs="Times New Roman"/>
        </w:rPr>
        <w:t xml:space="preserve"> </w:t>
      </w:r>
      <w:r w:rsidR="00FE6180" w:rsidRPr="00590BB6">
        <w:rPr>
          <w:rFonts w:cs="Times New Roman"/>
        </w:rPr>
        <w:t>S</w:t>
      </w:r>
      <w:r w:rsidR="00B74CE9" w:rsidRPr="00590BB6">
        <w:rPr>
          <w:rFonts w:cs="Times New Roman"/>
        </w:rPr>
        <w:t xml:space="preserve">cenarios were built </w:t>
      </w:r>
      <w:r w:rsidR="00FE6180" w:rsidRPr="00590BB6">
        <w:rPr>
          <w:rFonts w:cs="Times New Roman"/>
        </w:rPr>
        <w:t>in a</w:t>
      </w:r>
      <w:r w:rsidR="0032522B" w:rsidRPr="00590BB6">
        <w:rPr>
          <w:rFonts w:cs="Times New Roman"/>
        </w:rPr>
        <w:t>n</w:t>
      </w:r>
      <w:r w:rsidR="00FE6180" w:rsidRPr="00590BB6">
        <w:rPr>
          <w:rFonts w:cs="Times New Roman"/>
        </w:rPr>
        <w:t xml:space="preserve"> </w:t>
      </w:r>
      <w:r w:rsidR="0032522B" w:rsidRPr="00590BB6">
        <w:rPr>
          <w:rFonts w:cs="Times New Roman"/>
        </w:rPr>
        <w:t xml:space="preserve">incremental </w:t>
      </w:r>
      <w:r w:rsidR="00E923B3" w:rsidRPr="00590BB6">
        <w:rPr>
          <w:rFonts w:cs="Times New Roman"/>
        </w:rPr>
        <w:t xml:space="preserve">manner from a </w:t>
      </w:r>
      <w:r w:rsidR="002C1EDC" w:rsidRPr="00590BB6">
        <w:rPr>
          <w:rFonts w:cs="Times New Roman"/>
        </w:rPr>
        <w:t xml:space="preserve">counterfactual </w:t>
      </w:r>
      <w:r w:rsidR="00E923B3" w:rsidRPr="00590BB6">
        <w:rPr>
          <w:rFonts w:cs="Times New Roman"/>
          <w:i/>
          <w:iCs/>
        </w:rPr>
        <w:t>R</w:t>
      </w:r>
      <w:r w:rsidR="00FE6180" w:rsidRPr="00590BB6">
        <w:rPr>
          <w:rFonts w:cs="Times New Roman"/>
          <w:i/>
          <w:iCs/>
        </w:rPr>
        <w:t>eference</w:t>
      </w:r>
      <w:r w:rsidR="00FE6180" w:rsidRPr="00590BB6">
        <w:rPr>
          <w:rFonts w:cs="Times New Roman"/>
        </w:rPr>
        <w:t xml:space="preserve"> </w:t>
      </w:r>
      <w:r w:rsidR="00E923B3" w:rsidRPr="00590BB6">
        <w:rPr>
          <w:rFonts w:cs="Times New Roman"/>
        </w:rPr>
        <w:t>scenario</w:t>
      </w:r>
      <w:r w:rsidR="004565A9" w:rsidRPr="00590BB6">
        <w:rPr>
          <w:rFonts w:cs="Times New Roman"/>
        </w:rPr>
        <w:t>, which considers an extension of 2020 market and techno-economic solutions</w:t>
      </w:r>
      <w:r w:rsidR="00FE6180" w:rsidRPr="00590BB6">
        <w:rPr>
          <w:rFonts w:cs="Times New Roman"/>
        </w:rPr>
        <w:t>,</w:t>
      </w:r>
      <w:r w:rsidR="004565A9" w:rsidRPr="00590BB6">
        <w:rPr>
          <w:rFonts w:cs="Times New Roman"/>
        </w:rPr>
        <w:t xml:space="preserve"> as</w:t>
      </w:r>
      <w:r w:rsidR="00FE6180" w:rsidRPr="00590BB6">
        <w:rPr>
          <w:rFonts w:cs="Times New Roman"/>
        </w:rPr>
        <w:t xml:space="preserve"> shown in </w:t>
      </w:r>
      <w:r w:rsidR="00762011" w:rsidRPr="00590BB6">
        <w:rPr>
          <w:rFonts w:cs="Times New Roman"/>
        </w:rPr>
        <w:fldChar w:fldCharType="begin"/>
      </w:r>
      <w:r w:rsidR="00762011" w:rsidRPr="00590BB6">
        <w:rPr>
          <w:rFonts w:cs="Times New Roman"/>
        </w:rPr>
        <w:instrText xml:space="preserve"> REF _Ref110593844 \h </w:instrText>
      </w:r>
      <w:r w:rsidR="007F4F7B" w:rsidRPr="00590BB6">
        <w:rPr>
          <w:rFonts w:cs="Times New Roman"/>
        </w:rPr>
        <w:instrText xml:space="preserve"> \* MERGEFORMAT </w:instrText>
      </w:r>
      <w:r w:rsidR="00762011" w:rsidRPr="00590BB6">
        <w:rPr>
          <w:rFonts w:cs="Times New Roman"/>
        </w:rPr>
      </w:r>
      <w:r w:rsidR="00762011" w:rsidRPr="00590BB6">
        <w:rPr>
          <w:rFonts w:cs="Times New Roman"/>
        </w:rPr>
        <w:fldChar w:fldCharType="separate"/>
      </w:r>
      <w:r w:rsidR="00762011" w:rsidRPr="00590BB6">
        <w:t>Table 2</w:t>
      </w:r>
      <w:r w:rsidR="00762011" w:rsidRPr="00590BB6">
        <w:rPr>
          <w:rFonts w:cs="Times New Roman"/>
        </w:rPr>
        <w:fldChar w:fldCharType="end"/>
      </w:r>
      <w:r w:rsidR="004565A9" w:rsidRPr="00590BB6">
        <w:rPr>
          <w:rFonts w:cs="Times New Roman"/>
        </w:rPr>
        <w:t>.</w:t>
      </w:r>
      <w:r w:rsidR="00FE6180" w:rsidRPr="00590BB6">
        <w:rPr>
          <w:rFonts w:cs="Times New Roman"/>
        </w:rPr>
        <w:t xml:space="preserve"> </w:t>
      </w:r>
    </w:p>
    <w:p w14:paraId="640B34C2" w14:textId="4F47C219" w:rsidR="00067BD2" w:rsidRPr="00590BB6" w:rsidRDefault="00067BD2" w:rsidP="00067BD2">
      <w:pPr>
        <w:spacing w:line="360" w:lineRule="auto"/>
        <w:jc w:val="both"/>
        <w:rPr>
          <w:rFonts w:cs="Times New Roman"/>
        </w:rPr>
      </w:pPr>
      <w:r w:rsidRPr="00590BB6">
        <w:rPr>
          <w:rFonts w:cs="Times New Roman"/>
        </w:rPr>
        <w:t xml:space="preserve">The </w:t>
      </w:r>
      <w:r w:rsidRPr="00590BB6">
        <w:rPr>
          <w:rFonts w:cs="Times New Roman"/>
          <w:i/>
        </w:rPr>
        <w:t xml:space="preserve">Efficiency </w:t>
      </w:r>
      <w:r w:rsidRPr="00590BB6">
        <w:rPr>
          <w:rFonts w:cs="Times New Roman"/>
        </w:rPr>
        <w:t>scenario represents</w:t>
      </w:r>
      <w:r w:rsidRPr="00590BB6">
        <w:rPr>
          <w:rFonts w:cs="Times New Roman"/>
          <w:i/>
        </w:rPr>
        <w:t xml:space="preserve"> </w:t>
      </w:r>
      <w:r w:rsidRPr="00590BB6">
        <w:rPr>
          <w:rFonts w:cs="Times New Roman"/>
        </w:rPr>
        <w:t xml:space="preserve">improvements in overall vehicle efficiency over time, which reduce fuel consumption per unit of goods transported </w:t>
      </w:r>
      <w:r w:rsidRPr="00590BB6">
        <w:rPr>
          <w:rFonts w:cs="Times New Roman"/>
        </w:rPr>
        <w:fldChar w:fldCharType="begin" w:fldLock="1"/>
      </w:r>
      <w:r w:rsidR="006F44A7" w:rsidRPr="00590BB6">
        <w:rPr>
          <w:rFonts w:cs="Times New Roman"/>
        </w:rPr>
        <w:instrText>ADDIN CSL_CITATION {"citationItems":[{"id":"ITEM-1","itemData":{"abstract":"Progress on reducing greenhouse gas emissions from transport has been relatively slow, with goods transportation and shipping emissions being particularly difficult to address. Local air pollutants arising from vehicles, such as nitrogen oxides, sulphur oxides and particulates, are also a significant concern for human health. Natural gas is an alternative transport fuel which may help reduce these emissions, particularly in shipping and long distance heavy goods transportation. However, there is some disagreement regarding the potential for natural gas to provide significant improvements relative to current transport systems. Global traffic of trucks and ships represents a significant proportion of transport emissions, with road freight representing 7% of global energy related CO2 emissions and shipping representing 2.6% of global emissions in 2015. These emissions are also expected to grow, with some estimates suggesting road freight emission growing by a third, and shipping emissions growing by between 50% and 250% by 2050, largely though increased demand for movement of goods. Decarbonising goods transportation has proved difficult relative to other forms of transport given the relatively long distances that ships and trucks travel. Trucks and ships also contribute significantly to air pollution, through emission of pollutants such as sulphur oxides (SOx), nitrogen oxides (NOx), hydrocarbons and particulate matter. For example, road freight contributes approximately 17% of global NOx emissions, and shipping contributes approximately 13% of global NOx emissions and 12% of global SOx emissions. These pollutants have a known impact on human health, including impacts on lung, heart and brain health. Natural gas has the potential to reduce these air pollution emissions, though as with CO2 there is debate as to the potential of that reduction. The aim of this white paper is to examine the evidence surrounding the use of natural gas as a transport fuel to address greenhouse gas and air pollution emissions in trucks and ships. This includes presenting the evidence on gas engine types, their emissions, technical considerations and costs. The report also discusses other options for emissions mitigation in transport including energy efficiency, after-treatment and other fuel-switching options such as hydrogen fuel cells or battery electric systems. ii","author":[{"dropping-particle":"","family":"Speirs","given":"Jamie","non-dropping-particle":"","parse-names":false,"suffix":""},{"dropping-particle":"","family":"Paul","given":"","non-dropping-particle":"","parse-names":false,"suffix":""},{"dropping-particle":"","family":"Blomerus","given":"Paul","non-dropping-particle":"","parse-names":false,"suffix":""},{"dropping-particle":"","family":"Stettler","given":"Marc","non-dropping-particle":"","parse-names":false,"suffix":""},{"dropping-particle":"","family":"Brandon","given":"Nigel","non-dropping-particle":"","parse-names":false,"suffix":""},{"dropping-particle":"","family":"Hawkes","given":"Adam","non-dropping-particle":"","parse-names":false,"suffix":""}],"id":"ITEM-1","issue":"January","issued":{"date-parts":[["2019"]]},"title":"Can natural gas reduce emissions from transport?: Heavy goods vehicles and shipping","type":"article-journal"},"uris":["http://www.mendeley.com/documents/?uuid=f026a6c0-b044-47e4-b98c-3cba6d02befc","http://www.mendeley.com/documents/?uuid=5ad080e0-4722-439c-aeeb-37f529017238"]}],"mendeley":{"formattedCitation":"[21]","plainTextFormattedCitation":"[21]","previouslyFormattedCitation":"[20]"},"properties":{"noteIndex":0},"schema":"https://github.com/citation-style-language/schema/raw/master/csl-citation.json"}</w:instrText>
      </w:r>
      <w:r w:rsidRPr="00590BB6">
        <w:rPr>
          <w:rFonts w:cs="Times New Roman"/>
        </w:rPr>
        <w:fldChar w:fldCharType="separate"/>
      </w:r>
      <w:r w:rsidR="006F44A7" w:rsidRPr="00590BB6">
        <w:rPr>
          <w:rFonts w:cs="Times New Roman"/>
          <w:noProof/>
        </w:rPr>
        <w:t>[21]</w:t>
      </w:r>
      <w:r w:rsidRPr="00590BB6">
        <w:rPr>
          <w:rFonts w:cs="Times New Roman"/>
        </w:rPr>
        <w:fldChar w:fldCharType="end"/>
      </w:r>
      <w:r w:rsidRPr="00590BB6">
        <w:rPr>
          <w:rFonts w:cs="Times New Roman"/>
        </w:rPr>
        <w:t xml:space="preserve">. </w:t>
      </w:r>
      <w:r w:rsidR="00255107">
        <w:rPr>
          <w:rFonts w:cs="Times New Roman"/>
        </w:rPr>
        <w:t xml:space="preserve">In this analysis, yearly technology improvements, defining a reduction in the fuel used, </w:t>
      </w:r>
      <w:r w:rsidR="004A2B8B">
        <w:rPr>
          <w:rFonts w:cs="Times New Roman"/>
        </w:rPr>
        <w:t>range</w:t>
      </w:r>
      <w:r w:rsidR="00255107">
        <w:rPr>
          <w:rFonts w:cs="Times New Roman"/>
        </w:rPr>
        <w:t xml:space="preserve"> between 0.7 and 3 % </w:t>
      </w:r>
      <w:r w:rsidR="004A2B8B">
        <w:rPr>
          <w:rFonts w:cs="Times New Roman"/>
        </w:rPr>
        <w:t>in the 2020 –</w:t>
      </w:r>
      <w:r w:rsidR="00255107">
        <w:rPr>
          <w:rFonts w:cs="Times New Roman"/>
        </w:rPr>
        <w:t xml:space="preserve"> 2030 </w:t>
      </w:r>
      <w:r w:rsidR="004A2B8B">
        <w:rPr>
          <w:rFonts w:cs="Times New Roman"/>
        </w:rPr>
        <w:t xml:space="preserve">decade </w:t>
      </w:r>
      <w:r w:rsidR="00255107">
        <w:rPr>
          <w:rFonts w:cs="Times New Roman"/>
        </w:rPr>
        <w:t xml:space="preserve">and between 0.3 and 1.6 % </w:t>
      </w:r>
      <w:r w:rsidR="004A2B8B">
        <w:rPr>
          <w:rFonts w:cs="Times New Roman"/>
        </w:rPr>
        <w:t>in the 2020 –</w:t>
      </w:r>
      <w:r w:rsidR="00255107">
        <w:rPr>
          <w:rFonts w:cs="Times New Roman"/>
        </w:rPr>
        <w:t xml:space="preserve"> 2050</w:t>
      </w:r>
      <w:r w:rsidR="004A2B8B">
        <w:rPr>
          <w:rFonts w:cs="Times New Roman"/>
        </w:rPr>
        <w:t xml:space="preserve"> period</w:t>
      </w:r>
      <w:r w:rsidR="00255107">
        <w:rPr>
          <w:rFonts w:cs="Times New Roman"/>
        </w:rPr>
        <w:t xml:space="preserve">, where the highest efficiency gains correspond to hydrogen-based technologies. These assumptions are in line with </w:t>
      </w:r>
      <w:r w:rsidR="004A2B8B">
        <w:rPr>
          <w:rFonts w:cs="Times New Roman"/>
        </w:rPr>
        <w:t>the trends proposed in</w:t>
      </w:r>
      <w:r w:rsidR="00255107">
        <w:rPr>
          <w:rFonts w:cs="Times New Roman"/>
        </w:rPr>
        <w:t xml:space="preserve"> [31]</w:t>
      </w:r>
      <w:r w:rsidR="004A2B8B">
        <w:rPr>
          <w:rFonts w:cs="Times New Roman"/>
        </w:rPr>
        <w:t>, although different ranges can be found in the literature due to the high dependence on the technologies considered and the type of improvement</w:t>
      </w:r>
      <w:r w:rsidR="00255107">
        <w:rPr>
          <w:rFonts w:cs="Times New Roman"/>
        </w:rPr>
        <w:t xml:space="preserve">. </w:t>
      </w:r>
      <w:r w:rsidRPr="00590BB6">
        <w:rPr>
          <w:rFonts w:cs="Times New Roman"/>
        </w:rPr>
        <w:t xml:space="preserve">Examples of efficiency improvement technologies are adaptive cruise control, air dam, automatic transmission, chassis skirts, common rail, low rolling resistance tires, turbo compounding, etc., most of which are already implemented in new fleet vehicles </w:t>
      </w:r>
      <w:r w:rsidRPr="00590BB6">
        <w:rPr>
          <w:rFonts w:cs="Times New Roman"/>
        </w:rPr>
        <w:fldChar w:fldCharType="begin" w:fldLock="1"/>
      </w:r>
      <w:r w:rsidR="006F44A7" w:rsidRPr="00590BB6">
        <w:rPr>
          <w:rFonts w:cs="Times New Roman"/>
        </w:rPr>
        <w:instrText>ADDIN CSL_CITATION {"citationItems":[{"id":"ITEM-1","itemData":{"abstract":"Within a span of 25 years, the Union Carbide Corp has reduced in their mines and disabling injury frequency rate from 125 down to 3. Paper discusses some of the important factors that have contributed to that achievement to wit: management commitment; supervisory acceptance of responsibility; work of an outstanding mine safety engineer; personal contacts; safe job procedures; training; safety awards; and management safety audits.","author":[{"dropping-particle":"","family":"Piersall","given":"E. A.","non-dropping-particle":"","parse-names":false,"suffix":""}],"container-title":"Min Congr J","id":"ITEM-1","issue":"11","issued":{"date-parts":[["1974"]]},"page":"18-21","title":"Road To Zero.","type":"article-journal","volume":"60"},"uris":["http://www.mendeley.com/documents/?uuid=fa8a46a1-074d-4336-b31d-d6a955d5a5ec","http://www.mendeley.com/documents/?uuid=98ec8c21-ce2e-4b12-a72c-239a19ff2919"]}],"mendeley":{"formattedCitation":"[57]","plainTextFormattedCitation":"[57]","previouslyFormattedCitation":"[56]"},"properties":{"noteIndex":0},"schema":"https://github.com/citation-style-language/schema/raw/master/csl-citation.json"}</w:instrText>
      </w:r>
      <w:r w:rsidRPr="00590BB6">
        <w:rPr>
          <w:rFonts w:cs="Times New Roman"/>
        </w:rPr>
        <w:fldChar w:fldCharType="separate"/>
      </w:r>
      <w:r w:rsidR="006F44A7" w:rsidRPr="00590BB6">
        <w:rPr>
          <w:rFonts w:cs="Times New Roman"/>
          <w:noProof/>
        </w:rPr>
        <w:t>[57]</w:t>
      </w:r>
      <w:r w:rsidRPr="00590BB6">
        <w:rPr>
          <w:rFonts w:cs="Times New Roman"/>
        </w:rPr>
        <w:fldChar w:fldCharType="end"/>
      </w:r>
      <w:r w:rsidRPr="00590BB6">
        <w:rPr>
          <w:rFonts w:cs="Times New Roman"/>
        </w:rPr>
        <w:t xml:space="preserve">. The estimated benefit of applying available efficiency measures to long-haul HDVs refers to a potential fuel consumption reduction between 8% and 10%, compared to a 2019 baseline vehicle operating in a conservative drive cycle </w:t>
      </w:r>
      <w:r w:rsidRPr="00590BB6">
        <w:rPr>
          <w:rFonts w:cs="Times New Roman"/>
        </w:rPr>
        <w:fldChar w:fldCharType="begin" w:fldLock="1"/>
      </w:r>
      <w:r w:rsidR="006F44A7" w:rsidRPr="00590BB6">
        <w:rPr>
          <w:rFonts w:cs="Times New Roman"/>
        </w:rPr>
        <w:instrText>ADDIN CSL_CITATION {"citationItems":[{"id":"ITEM-1","itemData":{"DOI":"10.4271/2015-01-2775","ISSN":"19463928","abstract":"This paper presents the fuel consumption results of engine and vehicle simulation modeling for a wide variety of individual technologies and technology packages applied to a long haul heavy duty vehicle. Based on the simulation modeling, up to 11% in fuel savings is possible using commercially available and emerging technologies applied to a 15L DD15 engine alone. The predicted fuel savings are up to 17% in a Kenworth T700 tractor-trailer unit equipped with a range of vehicle technologies, but using the baseline DD15 diesel engine. A combination of the most aggressive engine and vehicle technologies can provide savings of up to 29%, averaged over a range of drive cycles. Over 30% fuel savings were found with the most aggressive combination on a simulated long haul duty cycle. Note that not all of these technologies may prove to be cost-effective. The fuel savings benefits for individual technologies vary widely depending on the drive cycles and payload.","author":[{"dropping-particle":"","family":"Badain","given":"Nicholas","non-dropping-particle":"","parse-names":false,"suffix":""},{"dropping-particle":"","family":"Reinhart","given":"Thomas","non-dropping-particle":"","parse-names":false,"suffix":""},{"dropping-particle":"","family":"Cooper","given":"Coralie","non-dropping-particle":"","parse-names":false,"suffix":""},{"dropping-particle":"","family":"MacIsaac","given":"James","non-dropping-particle":"","parse-names":false,"suffix":""},{"dropping-particle":"","family":"Whitefoot","given":"John","non-dropping-particle":"","parse-names":false,"suffix":""}],"container-title":"SAE International Journal of Commercial Vehicles","id":"ITEM-1","issue":"2","issued":{"date-parts":[["2015"]]},"page":"419-432","title":"Heavy-Duty Vehicle Fuel Saving Technology Analysis to Support Phase 2 Regulations","type":"article-journal","volume":"8"},"uris":["http://www.mendeley.com/documents/?uuid=e94f19af-a2f7-4d1c-bfa8-fcc6b8ed99f0","http://www.mendeley.com/documents/?uuid=297afb95-e9d8-4681-89cc-074213099c28"]}],"mendeley":{"formattedCitation":"[58]","plainTextFormattedCitation":"[58]","previouslyFormattedCitation":"[57]"},"properties":{"noteIndex":0},"schema":"https://github.com/citation-style-language/schema/raw/master/csl-citation.json"}</w:instrText>
      </w:r>
      <w:r w:rsidRPr="00590BB6">
        <w:rPr>
          <w:rFonts w:cs="Times New Roman"/>
        </w:rPr>
        <w:fldChar w:fldCharType="separate"/>
      </w:r>
      <w:r w:rsidR="006F44A7" w:rsidRPr="00590BB6">
        <w:rPr>
          <w:rFonts w:cs="Times New Roman"/>
          <w:noProof/>
        </w:rPr>
        <w:t>[58]</w:t>
      </w:r>
      <w:r w:rsidRPr="00590BB6">
        <w:rPr>
          <w:rFonts w:cs="Times New Roman"/>
        </w:rPr>
        <w:fldChar w:fldCharType="end"/>
      </w:r>
      <w:r w:rsidRPr="00590BB6">
        <w:rPr>
          <w:rFonts w:cs="Times New Roman"/>
        </w:rPr>
        <w:t xml:space="preserve">. Depending on the technological assumptions made, such as drive cycles, selected technologies, and reference baseline, fuel consumption reduction vary significantly and span from 41% to 52% </w:t>
      </w:r>
      <w:r w:rsidRPr="00590BB6">
        <w:rPr>
          <w:rFonts w:cs="Times New Roman"/>
        </w:rPr>
        <w:fldChar w:fldCharType="begin" w:fldLock="1"/>
      </w:r>
      <w:r w:rsidR="006F44A7" w:rsidRPr="00590BB6">
        <w:rPr>
          <w:rFonts w:cs="Times New Roman"/>
        </w:rPr>
        <w:instrText>ADDIN CSL_CITATION {"citationItems":[{"id":"ITEM-1","itemData":{"ISBN":"408.517.1550","author":[{"dropping-particle":"","family":"Law","given":"Karen","non-dropping-particle":"","parse-names":false,"suffix":""},{"dropping-particle":"","family":"Jackson","given":"Michael D","non-dropping-particle":"","parse-names":false,"suffix":""},{"dropping-particle":"","family":"Chan","given":"Michael","non-dropping-particle":"","parse-names":false,"suffix":""}],"id":"ITEM-1","issued":{"date-parts":[["2011"]]},"title":"European Union Greenhouse Gas Reduction Potential for Heavy-Duty Vehicles Prepared for: The International Council on Clean Transportation","type":"article-journal"},"uris":["http://www.mendeley.com/documents/?uuid=ac88f0f8-4e91-4f77-abbf-827fd6feb55e","http://www.mendeley.com/documents/?uuid=0e479d85-7e0b-4b9b-96e3-86aa08b17308"]}],"mendeley":{"formattedCitation":"[59]","plainTextFormattedCitation":"[59]","previouslyFormattedCitation":"[58]"},"properties":{"noteIndex":0},"schema":"https://github.com/citation-style-language/schema/raw/master/csl-citation.json"}</w:instrText>
      </w:r>
      <w:r w:rsidRPr="00590BB6">
        <w:rPr>
          <w:rFonts w:cs="Times New Roman"/>
        </w:rPr>
        <w:fldChar w:fldCharType="separate"/>
      </w:r>
      <w:r w:rsidR="006F44A7" w:rsidRPr="00590BB6">
        <w:rPr>
          <w:rFonts w:cs="Times New Roman"/>
          <w:noProof/>
        </w:rPr>
        <w:t>[59]</w:t>
      </w:r>
      <w:r w:rsidRPr="00590BB6">
        <w:rPr>
          <w:rFonts w:cs="Times New Roman"/>
        </w:rPr>
        <w:fldChar w:fldCharType="end"/>
      </w:r>
      <w:r w:rsidRPr="00590BB6">
        <w:rPr>
          <w:rFonts w:cs="Times New Roman"/>
        </w:rPr>
        <w:t xml:space="preserve"> or 23% to 43% </w:t>
      </w:r>
      <w:r w:rsidRPr="00590BB6">
        <w:rPr>
          <w:rFonts w:cs="Times New Roman"/>
        </w:rPr>
        <w:fldChar w:fldCharType="begin" w:fldLock="1"/>
      </w:r>
      <w:r w:rsidR="006F44A7" w:rsidRPr="00590BB6">
        <w:rPr>
          <w:rFonts w:cs="Times New Roman"/>
        </w:rPr>
        <w:instrText>ADDIN CSL_CITATION {"citationItems":[{"id":"ITEM-1","itemData":{"author":[{"dropping-particle":"","family":"Hill","given":"Nikolas","non-dropping-particle":"","parse-names":false,"suffix":""},{"dropping-particle":"","family":"Varma","given":"Adarsh;","non-dropping-particle":"","parse-names":false,"suffix":""},{"dropping-particle":"","family":"James","given":"Harries;","non-dropping-particle":"","parse-names":false,"suffix":""},{"dropping-particle":"","family":"Norris","given":"John;","non-dropping-particle":"","parse-names":false,"suffix":""},{"dropping-particle":"","family":"Kay","given":"Duncan","non-dropping-particle":"","parse-names":false,"suffix":""}],"container-title":"AEA Technology plc","id":"ITEM-1","issue":"1","issued":{"date-parts":[["2012"]]},"page":"1-145","title":"A review of the efficiency and cost assumptions for road transport vehicles to 2050","type":"article-journal"},"uris":["http://www.mendeley.com/documents/?uuid=674321c3-c1e5-422d-a777-84a18dcd40c8","http://www.mendeley.com/documents/?uuid=e63c1611-c7cc-473b-845e-03c6df8a20a3"]}],"mendeley":{"formattedCitation":"[60]","plainTextFormattedCitation":"[60]","previouslyFormattedCitation":"[59]"},"properties":{"noteIndex":0},"schema":"https://github.com/citation-style-language/schema/raw/master/csl-citation.json"}</w:instrText>
      </w:r>
      <w:r w:rsidRPr="00590BB6">
        <w:rPr>
          <w:rFonts w:cs="Times New Roman"/>
        </w:rPr>
        <w:fldChar w:fldCharType="separate"/>
      </w:r>
      <w:r w:rsidR="006F44A7" w:rsidRPr="00590BB6">
        <w:rPr>
          <w:rFonts w:cs="Times New Roman"/>
          <w:noProof/>
        </w:rPr>
        <w:t>[60]</w:t>
      </w:r>
      <w:r w:rsidRPr="00590BB6">
        <w:rPr>
          <w:rFonts w:cs="Times New Roman"/>
        </w:rPr>
        <w:fldChar w:fldCharType="end"/>
      </w:r>
      <w:r w:rsidRPr="00590BB6">
        <w:rPr>
          <w:rFonts w:cs="Times New Roman"/>
        </w:rPr>
        <w:t xml:space="preserve">.  More efficient vehicles also have the advantage of reducing fuel costs, from which truck operators may benefit </w:t>
      </w:r>
      <w:r w:rsidRPr="00590BB6">
        <w:rPr>
          <w:rFonts w:cs="Times New Roman"/>
        </w:rPr>
        <w:fldChar w:fldCharType="begin" w:fldLock="1"/>
      </w:r>
      <w:r w:rsidR="006F44A7" w:rsidRPr="00590BB6">
        <w:rPr>
          <w:rFonts w:cs="Times New Roman"/>
        </w:rPr>
        <w:instrText>ADDIN CSL_CITATION {"citationItems":[{"id":"ITEM-1","itemData":{"DOI":"10.1080/13675567.2016.1203395","ISSN":"1469848X","abstract":"UK logistics fleets face increasing competitive pressures due to volatile fuel prices and the small profit margins in the industry. By reducing fuel consumption, operational costs and carbon emissions can be reduced. While there are a number of technologies that can reduce fuel consumption, it is often difficult for logistics companies to identify which would be the most beneficial to adopt over the medium and long terms. With a myriad of possible technology combinations, optimising the vehicle specification for specific duty cycles requires a robust decision-making framework. This paper combines simulated truck and delivery routes with a metaheuristic evolutionary algorithm to select the optimal combination of low-carbon technologies that minimise the greenhouse gas emissions of long-haul heavy goods vehicles during their lifetime cost. The framework presented is applicable to other vehicles, including road haulage, waste collection fleets and buses by using tailored parameters in the heuristics model.","author":[{"dropping-particle":"","family":"Velazquez Abad","given":"Anthony","non-dropping-particle":"","parse-names":false,"suffix":""},{"dropping-particle":"","family":"Cherrett","given":"Tom","non-dropping-particle":"","parse-names":false,"suffix":""},{"dropping-particle":"","family":"Waterson","given":"Ben","non-dropping-particle":"","parse-names":false,"suffix":""}],"container-title":"International Journal of Logistics Research and Applications","id":"ITEM-1","issue":"1","issued":{"date-parts":[["2017"]]},"page":"3-19","publisher":"Taylor &amp; Francis","title":"Sim-heuristics low-carbon technologies’ selection framework for reducing costs and carbon emissions of heavy goods vehicles","type":"article-journal","volume":"20"},"uris":["http://www.mendeley.com/documents/?uuid=5168eb9a-93b8-489d-9373-83fc00be6a5e","http://www.mendeley.com/documents/?uuid=6ca7d20f-a6c0-440e-8cdc-6d93d9be1f6b"]}],"mendeley":{"formattedCitation":"[61]","plainTextFormattedCitation":"[61]","previouslyFormattedCitation":"[60]"},"properties":{"noteIndex":0},"schema":"https://github.com/citation-style-language/schema/raw/master/csl-citation.json"}</w:instrText>
      </w:r>
      <w:r w:rsidRPr="00590BB6">
        <w:rPr>
          <w:rFonts w:cs="Times New Roman"/>
        </w:rPr>
        <w:fldChar w:fldCharType="separate"/>
      </w:r>
      <w:r w:rsidR="006F44A7" w:rsidRPr="00590BB6">
        <w:rPr>
          <w:rFonts w:cs="Times New Roman"/>
          <w:noProof/>
        </w:rPr>
        <w:t>[61]</w:t>
      </w:r>
      <w:r w:rsidRPr="00590BB6">
        <w:rPr>
          <w:rFonts w:cs="Times New Roman"/>
        </w:rPr>
        <w:fldChar w:fldCharType="end"/>
      </w:r>
      <w:r w:rsidRPr="00590BB6">
        <w:rPr>
          <w:rFonts w:cs="Times New Roman"/>
        </w:rPr>
        <w:t>.</w:t>
      </w:r>
      <w:r w:rsidR="00255107">
        <w:rPr>
          <w:rFonts w:cs="Times New Roman"/>
        </w:rPr>
        <w:t xml:space="preserve"> </w:t>
      </w:r>
    </w:p>
    <w:p w14:paraId="6DE4B601" w14:textId="5D4E4D6A" w:rsidR="00FE66C8" w:rsidRPr="00590BB6" w:rsidRDefault="00067BD2" w:rsidP="00067BD2">
      <w:pPr>
        <w:spacing w:line="360" w:lineRule="auto"/>
        <w:jc w:val="both"/>
        <w:rPr>
          <w:rFonts w:cs="Times New Roman"/>
        </w:rPr>
      </w:pPr>
      <w:r w:rsidRPr="00590BB6">
        <w:rPr>
          <w:rFonts w:cs="Times New Roman"/>
        </w:rPr>
        <w:t xml:space="preserve">The </w:t>
      </w:r>
      <w:r w:rsidRPr="00590BB6">
        <w:rPr>
          <w:rFonts w:cs="Times New Roman"/>
          <w:i/>
        </w:rPr>
        <w:t>Tech Costs</w:t>
      </w:r>
      <w:r w:rsidRPr="00590BB6">
        <w:rPr>
          <w:rFonts w:cs="Times New Roman"/>
        </w:rPr>
        <w:t xml:space="preserve"> </w:t>
      </w:r>
      <w:r w:rsidR="00E07EFA" w:rsidRPr="00590BB6">
        <w:rPr>
          <w:rFonts w:cs="Times New Roman"/>
        </w:rPr>
        <w:t xml:space="preserve">scenario </w:t>
      </w:r>
      <w:r w:rsidRPr="00590BB6">
        <w:rPr>
          <w:rFonts w:cs="Times New Roman"/>
        </w:rPr>
        <w:t xml:space="preserve">considers time-varying purchase and fixed annual costs, as shown in </w:t>
      </w:r>
      <w:r w:rsidR="00762011" w:rsidRPr="00590BB6">
        <w:rPr>
          <w:rFonts w:cs="Times New Roman"/>
        </w:rPr>
        <w:t xml:space="preserve">the </w:t>
      </w:r>
      <w:r w:rsidR="00762011" w:rsidRPr="00590BB6">
        <w:rPr>
          <w:rFonts w:cs="Times New Roman"/>
          <w:bCs/>
        </w:rPr>
        <w:t>Supplementary Material (</w:t>
      </w:r>
      <w:r w:rsidR="001301FD" w:rsidRPr="00590BB6">
        <w:rPr>
          <w:rFonts w:cs="Times New Roman"/>
          <w:bCs/>
        </w:rPr>
        <w:t>Tables S.1, S.2, and S.3</w:t>
      </w:r>
      <w:r w:rsidR="00762011" w:rsidRPr="00590BB6">
        <w:rPr>
          <w:rFonts w:cs="Times New Roman"/>
          <w:bCs/>
        </w:rPr>
        <w:t>)</w:t>
      </w:r>
      <w:r w:rsidR="00E07EFA" w:rsidRPr="00590BB6">
        <w:rPr>
          <w:rFonts w:cs="Times New Roman"/>
          <w:bCs/>
        </w:rPr>
        <w:t>.</w:t>
      </w:r>
      <w:r w:rsidR="00E07EFA" w:rsidRPr="00590BB6">
        <w:rPr>
          <w:rFonts w:cs="Times New Roman"/>
        </w:rPr>
        <w:t xml:space="preserve"> </w:t>
      </w:r>
      <w:r w:rsidR="005F440C" w:rsidRPr="00590BB6">
        <w:rPr>
          <w:rFonts w:cs="Times New Roman"/>
        </w:rPr>
        <w:t xml:space="preserve">Costs for novel technologies </w:t>
      </w:r>
      <w:r w:rsidR="00B70C56" w:rsidRPr="00590BB6">
        <w:rPr>
          <w:rFonts w:cs="Times New Roman"/>
        </w:rPr>
        <w:t xml:space="preserve">are expected to </w:t>
      </w:r>
      <w:r w:rsidR="00FE66C8" w:rsidRPr="00590BB6">
        <w:rPr>
          <w:rFonts w:cs="Times New Roman"/>
        </w:rPr>
        <w:t>decrease due to technological learning</w:t>
      </w:r>
      <w:r w:rsidR="005F440C" w:rsidRPr="00590BB6">
        <w:rPr>
          <w:rFonts w:cs="Times New Roman"/>
        </w:rPr>
        <w:t>, whereas ICE costs show a flat trend. This is line with</w:t>
      </w:r>
      <w:r w:rsidRPr="00590BB6">
        <w:rPr>
          <w:rFonts w:cs="Times New Roman"/>
        </w:rPr>
        <w:t xml:space="preserve"> data presented in</w:t>
      </w:r>
      <w:r w:rsidR="00762011" w:rsidRPr="00590BB6">
        <w:rPr>
          <w:rFonts w:cs="Times New Roman"/>
        </w:rPr>
        <w:t xml:space="preserve"> the INECP </w:t>
      </w:r>
      <w:r w:rsidR="00762011" w:rsidRPr="00590BB6">
        <w:rPr>
          <w:rFonts w:cs="Times New Roman"/>
          <w:lang w:val="en-US"/>
        </w:rPr>
        <w:fldChar w:fldCharType="begin" w:fldLock="1"/>
      </w:r>
      <w:r w:rsidR="006F44A7" w:rsidRPr="00590BB6">
        <w:rPr>
          <w:rFonts w:cs="Times New Roman"/>
          <w:lang w:val="en-US"/>
        </w:rPr>
        <w:instrText>ADDIN CSL_CITATION {"citationItems":[{"id":"ITEM-1","itemData":{"author":[{"dropping-particle":"","family":"Ministry of Economic Development","given":"Ministry of the Environment and Protection of Natural Resources and the Sea and Ministry of Infrastructure and Transport","non-dropping-particle":"","parse-names":false,"suffix":""}],"id":"ITEM-1","issue":"December","issued":{"date-parts":[["2019"]]},"title":"INTEGRATED NATIONAL ENERGY AND CLIMATE PLAN","type":"article-journal"},"uris":["http://www.mendeley.com/documents/?uuid=d54a07a1-e890-4466-887f-f5a283ccae32","http://www.mendeley.com/documents/?uuid=d7a97139-9386-4d6c-98f2-f217b6b2b372"]}],"mendeley":{"formattedCitation":"[34]","plainTextFormattedCitation":"[34]","previouslyFormattedCitation":"[33]"},"properties":{"noteIndex":0},"schema":"https://github.com/citation-style-language/schema/raw/master/csl-citation.json"}</w:instrText>
      </w:r>
      <w:r w:rsidR="00762011" w:rsidRPr="00590BB6">
        <w:rPr>
          <w:rFonts w:cs="Times New Roman"/>
          <w:lang w:val="en-US"/>
        </w:rPr>
        <w:fldChar w:fldCharType="separate"/>
      </w:r>
      <w:r w:rsidR="006F44A7" w:rsidRPr="00590BB6">
        <w:rPr>
          <w:rFonts w:cs="Times New Roman"/>
          <w:noProof/>
          <w:lang w:val="en-US"/>
        </w:rPr>
        <w:t>[34]</w:t>
      </w:r>
      <w:r w:rsidR="00762011" w:rsidRPr="00590BB6">
        <w:rPr>
          <w:rFonts w:cs="Times New Roman"/>
          <w:lang w:val="en-US"/>
        </w:rPr>
        <w:fldChar w:fldCharType="end"/>
      </w:r>
      <w:r w:rsidR="00762011" w:rsidRPr="00590BB6">
        <w:rPr>
          <w:rFonts w:cs="Times New Roman"/>
        </w:rPr>
        <w:t xml:space="preserve">, Giarola et al. </w:t>
      </w:r>
      <w:r w:rsidR="00762011" w:rsidRPr="00590BB6">
        <w:rPr>
          <w:rFonts w:cs="Times New Roman"/>
          <w:lang w:val="en-US"/>
        </w:rPr>
        <w:fldChar w:fldCharType="begin" w:fldLock="1"/>
      </w:r>
      <w:r w:rsidR="006F44A7" w:rsidRPr="00590BB6">
        <w:rPr>
          <w:rFonts w:cs="Times New Roman"/>
          <w:lang w:val="en-US"/>
        </w:rPr>
        <w:instrText>ADDIN CSL_CITATION {"citationItems":[{"id":"ITEM-1","itemData":{"DOI":"10.1016/j.scitotenv.2021.146861","ISSN":"18791026","PMID":"33872899","abstract":"Harmonisation sets the ground to a solid inter-comparison of integrated assessment models. A clear and transparent harmonisation process promotes a consistent interpretation of the modelling outcomes divergences and, reducing the model variance, is instrumental to the use of integrated assessment models to support policy decision-making. Despite its crucial role for climate economic policies, the definition of a comprehensive harmonisation methodology for integrated assessment modelling remains an open challenge for the scientific community. This paper proposes a framework for a harmonisation methodology with the definition of indispensable steps and recommendations to overcome stumbling blocks in order to reduce the variance of the outcomes which depends on controllable modelling assumptions. The harmonisation approach of the PARIS REINFORCE project is presented here to layout such a framework. A decomposition analysis of the harmonisation process is shown through 6 integrated assessment models (GCAM, ICES-XPS, MUSE, E3ME, GEMINI-E3, and TIAM). Results prove the potentials of the proposed framework to reduce the model variance and present a powerful diagnostic tool to feedback on the quality of the harmonisation itself.","author":[{"dropping-particle":"","family":"Giarola","given":"Sara","non-dropping-particle":"","parse-names":false,"suffix":""},{"dropping-particle":"","family":"Mittal","given":"Shivika","non-dropping-particle":"","parse-names":false,"suffix":""},{"dropping-particle":"","family":"Vielle","given":"Marc","non-dropping-particle":"","parse-names":false,"suffix":""},{"dropping-particle":"","family":"Perdana","given":"Sigit","non-dropping-particle":"","parse-names":false,"suffix":""},{"dropping-particle":"","family":"Campagnolo","given":"Lorenza","non-dropping-particle":"","parse-names":false,"suffix":""},{"dropping-particle":"","family":"Delpiazzo","given":"Elisa","non-dropping-particle":"","parse-names":false,"suffix":""},{"dropping-particle":"","family":"Bui","given":"Ha","non-dropping-particle":"","parse-names":false,"suffix":""},{"dropping-particle":"","family":"Kraavi","given":"Annela Anger","non-dropping-particle":"","parse-names":false,"suffix":""},{"dropping-particle":"","family":"Kolpakov","given":"Andrey","non-dropping-particle":"","parse-names":false,"suffix":""},{"dropping-particle":"","family":"Sognnaes","given":"Ida","non-dropping-particle":"","parse-names":false,"suffix":""},{"dropping-particle":"","family":"Peters","given":"Glen","non-dropping-particle":"","parse-names":false,"suffix":""},{"dropping-particle":"","family":"Hawkes","given":"Adam","non-dropping-particle":"","parse-names":false,"suffix":""},{"dropping-particle":"","family":"Köberle","given":"Alexandre C.","non-dropping-particle":"","parse-names":false,"suffix":""},{"dropping-particle":"","family":"Grant","given":"Neil","non-dropping-particle":"","parse-names":false,"suffix":""},{"dropping-particle":"","family":"Gambhir","given":"Ajay","non-dropping-particle":"","parse-names":false,"suffix":""},{"dropping-particle":"","family":"Nikas","given":"Alexandros","non-dropping-particle":"","parse-names":false,"suffix":""},{"dropping-particle":"","family":"Doukas","given":"Haris","non-dropping-particle":"","parse-names":false,"suffix":""},{"dropping-particle":"","family":"Moreno","given":"Jorge","non-dropping-particle":"","parse-names":false,"suffix":""},{"dropping-particle":"","family":"Ven","given":"Dirk Jan","non-dropping-particle":"van de","parse-names":false,"suffix":""}],"container-title":"Science of the Total Environment","id":"ITEM-1","issued":{"date-parts":[["2021"]]},"title":"Challenges in the harmonisation of global integrated assessment models: A comprehensive methodology to reduce model response heterogeneity","type":"article-journal","volume":"783"},"uris":["http://www.mendeley.com/documents/?uuid=a6d39a07-5ebd-44f4-9816-f21cc9bfcc62"]}],"mendeley":{"formattedCitation":"[31]","plainTextFormattedCitation":"[31]","previouslyFormattedCitation":"[30]"},"properties":{"noteIndex":0},"schema":"https://github.com/citation-style-language/schema/raw/master/csl-citation.json"}</w:instrText>
      </w:r>
      <w:r w:rsidR="00762011" w:rsidRPr="00590BB6">
        <w:rPr>
          <w:rFonts w:cs="Times New Roman"/>
          <w:lang w:val="en-US"/>
        </w:rPr>
        <w:fldChar w:fldCharType="separate"/>
      </w:r>
      <w:r w:rsidR="006F44A7" w:rsidRPr="00590BB6">
        <w:rPr>
          <w:rFonts w:cs="Times New Roman"/>
          <w:noProof/>
          <w:lang w:val="en-US"/>
        </w:rPr>
        <w:t>[31]</w:t>
      </w:r>
      <w:r w:rsidR="00762011" w:rsidRPr="00590BB6">
        <w:rPr>
          <w:rFonts w:cs="Times New Roman"/>
          <w:lang w:val="en-US"/>
        </w:rPr>
        <w:fldChar w:fldCharType="end"/>
      </w:r>
      <w:r w:rsidR="00762011" w:rsidRPr="00590BB6">
        <w:rPr>
          <w:rFonts w:cs="Times New Roman"/>
        </w:rPr>
        <w:t xml:space="preserve">, and the MSIM </w:t>
      </w:r>
      <w:r w:rsidR="00762011" w:rsidRPr="00590BB6">
        <w:rPr>
          <w:rFonts w:cs="Times New Roman"/>
          <w:lang w:val="en-US"/>
        </w:rPr>
        <w:fldChar w:fldCharType="begin" w:fldLock="1"/>
      </w:r>
      <w:r w:rsidR="006F44A7" w:rsidRPr="00590BB6">
        <w:rPr>
          <w:rFonts w:cs="Times New Roman"/>
          <w:lang w:val="en-US"/>
        </w:rPr>
        <w:instrText>ADDIN CSL_CITATION {"citationItems":[{"id":"ITEM-1","itemData":{"author":[{"dropping-particle":"","family":"Ministero delle infrasttrutture e della mobilità sostenibili","given":"","non-dropping-particle":"","parse-names":false,"suffix":""}],"id":"ITEM-1","issued":{"date-parts":[["2022"]]},"title":"Tabelle recanti i valori orientativi dei costi di esercizio","type":"webpage"},"uris":["http://www.mendeley.com/documents/?uuid=c78dbce6-0be1-4174-a5df-de9084b6c043","http://www.mendeley.com/documents/?uuid=c07b875f-1354-4c10-a956-37e61ed2eda2"]}],"mendeley":{"formattedCitation":"[45]","plainTextFormattedCitation":"[45]","previouslyFormattedCitation":"[44]"},"properties":{"noteIndex":0},"schema":"https://github.com/citation-style-language/schema/raw/master/csl-citation.json"}</w:instrText>
      </w:r>
      <w:r w:rsidR="00762011" w:rsidRPr="00590BB6">
        <w:rPr>
          <w:rFonts w:cs="Times New Roman"/>
          <w:lang w:val="en-US"/>
        </w:rPr>
        <w:fldChar w:fldCharType="separate"/>
      </w:r>
      <w:r w:rsidR="006F44A7" w:rsidRPr="00590BB6">
        <w:rPr>
          <w:rFonts w:cs="Times New Roman"/>
          <w:noProof/>
          <w:lang w:val="en-US"/>
        </w:rPr>
        <w:t>[45]</w:t>
      </w:r>
      <w:r w:rsidR="00762011" w:rsidRPr="00590BB6">
        <w:rPr>
          <w:rFonts w:cs="Times New Roman"/>
          <w:lang w:val="en-US"/>
        </w:rPr>
        <w:fldChar w:fldCharType="end"/>
      </w:r>
      <w:r w:rsidR="005F440C" w:rsidRPr="00590BB6">
        <w:rPr>
          <w:rFonts w:cs="Times New Roman"/>
        </w:rPr>
        <w:t xml:space="preserve"> and excludes cost additions due to the implementation of energy saving measures</w:t>
      </w:r>
      <w:r w:rsidR="004565A9" w:rsidRPr="00590BB6">
        <w:rPr>
          <w:rFonts w:cs="Times New Roman"/>
        </w:rPr>
        <w:t xml:space="preserve">, </w:t>
      </w:r>
      <w:r w:rsidR="005F440C" w:rsidRPr="00590BB6">
        <w:rPr>
          <w:rFonts w:cs="Times New Roman"/>
        </w:rPr>
        <w:t xml:space="preserve">as shown by </w:t>
      </w:r>
      <w:proofErr w:type="spellStart"/>
      <w:r w:rsidR="004565A9" w:rsidRPr="00590BB6">
        <w:rPr>
          <w:rFonts w:cs="Times New Roman"/>
        </w:rPr>
        <w:t>Stenning</w:t>
      </w:r>
      <w:proofErr w:type="spellEnd"/>
      <w:r w:rsidR="004565A9" w:rsidRPr="00590BB6">
        <w:rPr>
          <w:rFonts w:cs="Times New Roman"/>
        </w:rPr>
        <w:t xml:space="preserve"> et al. </w:t>
      </w:r>
      <w:r w:rsidR="004565A9" w:rsidRPr="00590BB6">
        <w:rPr>
          <w:rFonts w:cs="Times New Roman"/>
        </w:rPr>
        <w:fldChar w:fldCharType="begin" w:fldLock="1"/>
      </w:r>
      <w:r w:rsidR="004565A9" w:rsidRPr="00590BB6">
        <w:rPr>
          <w:rFonts w:cs="Times New Roman"/>
        </w:rPr>
        <w:instrText>ADDIN CSL_CITATION {"citationItems":[{"id":"ITEM-1","itemData":{"author":[{"dropping-particle":"","family":"Stenning","given":"Jon","non-dropping-particle":"","parse-names":false,"suffix":""},{"dropping-particle":"","family":"Caspani","given":"Matteo","non-dropping-particle":"","parse-names":false,"suffix":""},{"dropping-particle":"","family":"Hartvig","given":"Áron","non-dropping-particle":"","parse-names":false,"suffix":""}],"id":"ITEM-1","issue":"September","issued":{"date-parts":[["2021"]]},"publisher-place":"Cambridge, UK","title":"Potential options and technology pathways for delivering zero-carbon freight in Italy","type":"report"},"uris":["http://www.mendeley.com/documents/?uuid=e5266a38-0395-4abb-9dde-7b44774f9c3b","http://www.mendeley.com/documents/?uuid=85bbf112-d2ea-4846-b03b-00dd8d2c7d56"]}],"mendeley":{"formattedCitation":"[18]","plainTextFormattedCitation":"[18]","previouslyFormattedCitation":"[17]"},"properties":{"noteIndex":0},"schema":"https://github.com/citation-style-language/schema/raw/master/csl-citation.json"}</w:instrText>
      </w:r>
      <w:r w:rsidR="004565A9" w:rsidRPr="00590BB6">
        <w:rPr>
          <w:rFonts w:cs="Times New Roman"/>
        </w:rPr>
        <w:fldChar w:fldCharType="separate"/>
      </w:r>
      <w:r w:rsidR="004565A9" w:rsidRPr="00590BB6">
        <w:rPr>
          <w:rFonts w:cs="Times New Roman"/>
          <w:noProof/>
        </w:rPr>
        <w:t>[18]</w:t>
      </w:r>
      <w:r w:rsidR="004565A9" w:rsidRPr="00590BB6">
        <w:rPr>
          <w:rFonts w:cs="Times New Roman"/>
        </w:rPr>
        <w:fldChar w:fldCharType="end"/>
      </w:r>
      <w:r w:rsidR="005F440C" w:rsidRPr="00590BB6">
        <w:rPr>
          <w:rFonts w:cs="Times New Roman"/>
        </w:rPr>
        <w:t>.</w:t>
      </w:r>
    </w:p>
    <w:p w14:paraId="7DDD1830" w14:textId="71BD9CAA" w:rsidR="00C52CC0" w:rsidRPr="00590BB6" w:rsidRDefault="00347A56" w:rsidP="00067BD2">
      <w:pPr>
        <w:spacing w:line="360" w:lineRule="auto"/>
        <w:jc w:val="both"/>
        <w:rPr>
          <w:rFonts w:cs="Times New Roman"/>
        </w:rPr>
      </w:pPr>
      <w:r w:rsidRPr="00590BB6">
        <w:rPr>
          <w:rFonts w:cs="Times New Roman"/>
        </w:rPr>
        <w:t>The</w:t>
      </w:r>
      <w:r w:rsidR="00067BD2" w:rsidRPr="00590BB6">
        <w:rPr>
          <w:rFonts w:cs="Times New Roman"/>
        </w:rPr>
        <w:t xml:space="preserve"> </w:t>
      </w:r>
      <w:r w:rsidR="00067BD2" w:rsidRPr="00590BB6">
        <w:rPr>
          <w:rFonts w:cs="Times New Roman"/>
          <w:i/>
        </w:rPr>
        <w:t>Fuel Projections</w:t>
      </w:r>
      <w:r w:rsidR="00067BD2" w:rsidRPr="00590BB6">
        <w:rPr>
          <w:rFonts w:cs="Times New Roman"/>
        </w:rPr>
        <w:t xml:space="preserve"> incorporate forecasts for the price of commodities (i.e., fuels)</w:t>
      </w:r>
      <w:r w:rsidR="00E07EFA" w:rsidRPr="00590BB6">
        <w:rPr>
          <w:rFonts w:cs="Times New Roman"/>
        </w:rPr>
        <w:t xml:space="preserve"> which</w:t>
      </w:r>
      <w:r w:rsidR="00067BD2" w:rsidRPr="00590BB6">
        <w:rPr>
          <w:rFonts w:cs="Times New Roman"/>
        </w:rPr>
        <w:t xml:space="preserve"> </w:t>
      </w:r>
      <w:r w:rsidR="00E07EFA" w:rsidRPr="00590BB6">
        <w:rPr>
          <w:rFonts w:cs="Times New Roman"/>
        </w:rPr>
        <w:t xml:space="preserve">include medium-term of price shocks due to the uncertain geopolitical context, and </w:t>
      </w:r>
      <w:r w:rsidR="00FE66C8" w:rsidRPr="00590BB6">
        <w:rPr>
          <w:rFonts w:cs="Times New Roman"/>
        </w:rPr>
        <w:t>effects on currently implemented policies on fuel prices.</w:t>
      </w:r>
    </w:p>
    <w:p w14:paraId="77698694" w14:textId="06C7C78B" w:rsidR="00FE66C8" w:rsidRPr="00590BB6" w:rsidRDefault="00067BD2" w:rsidP="00E07EFA">
      <w:pPr>
        <w:spacing w:line="360" w:lineRule="auto"/>
        <w:jc w:val="both"/>
        <w:rPr>
          <w:rFonts w:cs="Times New Roman"/>
        </w:rPr>
      </w:pPr>
      <w:r w:rsidRPr="00590BB6">
        <w:rPr>
          <w:rFonts w:cs="Times New Roman"/>
        </w:rPr>
        <w:t xml:space="preserve">The </w:t>
      </w:r>
      <w:r w:rsidRPr="00590BB6">
        <w:rPr>
          <w:rFonts w:cs="Times New Roman"/>
          <w:i/>
        </w:rPr>
        <w:t>Carbon Price</w:t>
      </w:r>
      <w:r w:rsidRPr="00590BB6">
        <w:rPr>
          <w:rFonts w:cs="Times New Roman"/>
        </w:rPr>
        <w:t xml:space="preserve"> scenario </w:t>
      </w:r>
      <w:r w:rsidR="00FE66C8" w:rsidRPr="00590BB6">
        <w:rPr>
          <w:rFonts w:cs="Times New Roman"/>
        </w:rPr>
        <w:t>implements</w:t>
      </w:r>
      <w:r w:rsidRPr="00590BB6">
        <w:rPr>
          <w:rFonts w:cs="Times New Roman"/>
        </w:rPr>
        <w:t xml:space="preserve"> a carbon price </w:t>
      </w:r>
      <w:r w:rsidR="003B7B10" w:rsidRPr="00590BB6">
        <w:rPr>
          <w:rFonts w:cs="Times New Roman"/>
        </w:rPr>
        <w:t>from 2025 onwards</w:t>
      </w:r>
      <w:r w:rsidR="00995A93" w:rsidRPr="00590BB6">
        <w:rPr>
          <w:rFonts w:cs="Times New Roman"/>
        </w:rPr>
        <w:t xml:space="preserve">. </w:t>
      </w:r>
      <w:r w:rsidR="00B70C56" w:rsidRPr="00590BB6">
        <w:rPr>
          <w:rFonts w:cs="Times New Roman"/>
        </w:rPr>
        <w:t xml:space="preserve">This scenario can be seen as representative of the </w:t>
      </w:r>
      <w:r w:rsidR="00995A93" w:rsidRPr="00590BB6">
        <w:rPr>
          <w:rFonts w:cs="Times New Roman"/>
        </w:rPr>
        <w:t xml:space="preserve">EU ETS extension to transport, </w:t>
      </w:r>
      <w:r w:rsidR="00B70C56" w:rsidRPr="00590BB6">
        <w:rPr>
          <w:rFonts w:cs="Times New Roman"/>
        </w:rPr>
        <w:t xml:space="preserve">which, </w:t>
      </w:r>
      <w:r w:rsidR="00995A93" w:rsidRPr="00590BB6">
        <w:rPr>
          <w:rFonts w:cs="Times New Roman"/>
        </w:rPr>
        <w:t xml:space="preserve">although being still under discussion, could be an </w:t>
      </w:r>
      <w:r w:rsidR="00995A93" w:rsidRPr="00590BB6">
        <w:rPr>
          <w:rFonts w:cs="Times New Roman"/>
        </w:rPr>
        <w:lastRenderedPageBreak/>
        <w:t xml:space="preserve">important push to the transport sector fleet renewal. The </w:t>
      </w:r>
      <w:r w:rsidR="005F440C" w:rsidRPr="00590BB6">
        <w:rPr>
          <w:rFonts w:cs="Times New Roman"/>
        </w:rPr>
        <w:t xml:space="preserve">EU ETS for transport (EU ETS II) </w:t>
      </w:r>
      <w:r w:rsidR="00995A93" w:rsidRPr="00590BB6">
        <w:rPr>
          <w:rFonts w:cs="Times New Roman"/>
        </w:rPr>
        <w:t xml:space="preserve">scheme was originally set to start in 2026 by the European Commission, </w:t>
      </w:r>
      <w:r w:rsidR="00860ABA" w:rsidRPr="00590BB6">
        <w:rPr>
          <w:rFonts w:cs="Times New Roman"/>
        </w:rPr>
        <w:t xml:space="preserve">although </w:t>
      </w:r>
      <w:r w:rsidR="004A2B8B">
        <w:rPr>
          <w:rFonts w:cs="Times New Roman"/>
        </w:rPr>
        <w:t>it</w:t>
      </w:r>
      <w:r w:rsidR="003E20D3">
        <w:rPr>
          <w:rFonts w:cs="Times New Roman"/>
        </w:rPr>
        <w:t>s</w:t>
      </w:r>
      <w:r w:rsidR="004A2B8B">
        <w:rPr>
          <w:rFonts w:cs="Times New Roman"/>
        </w:rPr>
        <w:t xml:space="preserve"> start may be postponed</w:t>
      </w:r>
      <w:r w:rsidR="00995A93" w:rsidRPr="00590BB6">
        <w:rPr>
          <w:rFonts w:cs="Times New Roman"/>
        </w:rPr>
        <w:t xml:space="preserve">. In the </w:t>
      </w:r>
      <w:r w:rsidR="00B70C56" w:rsidRPr="00590BB6">
        <w:rPr>
          <w:rFonts w:cs="Times New Roman"/>
        </w:rPr>
        <w:t xml:space="preserve">MUSE </w:t>
      </w:r>
      <w:r w:rsidR="00995A93" w:rsidRPr="00590BB6">
        <w:rPr>
          <w:rFonts w:cs="Times New Roman"/>
        </w:rPr>
        <w:t xml:space="preserve">model, </w:t>
      </w:r>
      <w:r w:rsidR="002A52CA" w:rsidRPr="00590BB6">
        <w:rPr>
          <w:rFonts w:cs="Times New Roman"/>
        </w:rPr>
        <w:t xml:space="preserve">a proxy for the </w:t>
      </w:r>
      <w:r w:rsidR="00995A93" w:rsidRPr="00590BB6">
        <w:rPr>
          <w:rFonts w:cs="Times New Roman"/>
        </w:rPr>
        <w:t xml:space="preserve">EU ETS can be </w:t>
      </w:r>
      <w:r w:rsidR="002A52CA" w:rsidRPr="00590BB6">
        <w:rPr>
          <w:rFonts w:cs="Times New Roman"/>
        </w:rPr>
        <w:t>implemented applying</w:t>
      </w:r>
      <w:r w:rsidR="00995A93" w:rsidRPr="00590BB6">
        <w:rPr>
          <w:rFonts w:cs="Times New Roman"/>
        </w:rPr>
        <w:t xml:space="preserve"> an equivalent carbon price equal to emission allowance</w:t>
      </w:r>
      <w:r w:rsidR="005F440C" w:rsidRPr="00590BB6">
        <w:rPr>
          <w:rFonts w:cs="Times New Roman"/>
        </w:rPr>
        <w:t>s</w:t>
      </w:r>
      <w:r w:rsidR="00995A93" w:rsidRPr="00590BB6">
        <w:rPr>
          <w:rFonts w:cs="Times New Roman"/>
        </w:rPr>
        <w:t xml:space="preserve">. The carbon price </w:t>
      </w:r>
      <w:r w:rsidR="003B6AC3" w:rsidRPr="00590BB6">
        <w:rPr>
          <w:rFonts w:cs="Times New Roman"/>
        </w:rPr>
        <w:t xml:space="preserve">projections used in the </w:t>
      </w:r>
      <w:r w:rsidR="00995A93" w:rsidRPr="00590BB6">
        <w:rPr>
          <w:rFonts w:cs="Times New Roman"/>
        </w:rPr>
        <w:t>scenario proposes a starting price of</w:t>
      </w:r>
      <w:r w:rsidR="00B70C56" w:rsidRPr="00590BB6">
        <w:rPr>
          <w:rFonts w:cs="Times New Roman"/>
        </w:rPr>
        <w:t xml:space="preserve"> </w:t>
      </w:r>
      <w:r w:rsidR="00995A93" w:rsidRPr="00590BB6">
        <w:rPr>
          <w:rFonts w:cs="Times New Roman"/>
        </w:rPr>
        <w:t xml:space="preserve">150 </w:t>
      </w:r>
      <w:r w:rsidR="00B70C56" w:rsidRPr="00590BB6">
        <w:rPr>
          <w:rFonts w:cs="Times New Roman"/>
        </w:rPr>
        <w:t>euro/ton of CO</w:t>
      </w:r>
      <w:r w:rsidR="00B70C56" w:rsidRPr="00590BB6">
        <w:rPr>
          <w:rFonts w:cs="Times New Roman"/>
          <w:vertAlign w:val="subscript"/>
        </w:rPr>
        <w:t>2</w:t>
      </w:r>
      <w:r w:rsidR="00B70C56" w:rsidRPr="00590BB6">
        <w:rPr>
          <w:rFonts w:cs="Times New Roman"/>
        </w:rPr>
        <w:t xml:space="preserve"> </w:t>
      </w:r>
      <w:r w:rsidR="00995A93" w:rsidRPr="00590BB6">
        <w:rPr>
          <w:rFonts w:cs="Times New Roman"/>
        </w:rPr>
        <w:t>from 2025</w:t>
      </w:r>
      <w:r w:rsidR="00B70C56" w:rsidRPr="00590BB6">
        <w:rPr>
          <w:rFonts w:cs="Times New Roman"/>
        </w:rPr>
        <w:t xml:space="preserve">, </w:t>
      </w:r>
      <w:r w:rsidR="00860ABA" w:rsidRPr="00590BB6">
        <w:rPr>
          <w:rFonts w:cs="Times New Roman"/>
        </w:rPr>
        <w:t>higher than the current emission allowance price, but</w:t>
      </w:r>
      <w:r w:rsidR="002A52CA" w:rsidRPr="00590BB6">
        <w:rPr>
          <w:rFonts w:cs="Times New Roman"/>
        </w:rPr>
        <w:t xml:space="preserve"> in line with expected </w:t>
      </w:r>
      <w:r w:rsidR="004A2B8B">
        <w:rPr>
          <w:rFonts w:cs="Times New Roman"/>
        </w:rPr>
        <w:t xml:space="preserve">future </w:t>
      </w:r>
      <w:r w:rsidR="002A52CA" w:rsidRPr="00590BB6">
        <w:rPr>
          <w:rFonts w:cs="Times New Roman"/>
        </w:rPr>
        <w:t>prices beyond 100 euro/ton of CO</w:t>
      </w:r>
      <w:r w:rsidR="002A52CA" w:rsidRPr="00590BB6">
        <w:rPr>
          <w:rFonts w:cs="Times New Roman"/>
          <w:vertAlign w:val="subscript"/>
        </w:rPr>
        <w:t>2</w:t>
      </w:r>
      <w:r w:rsidR="002A52CA" w:rsidRPr="00590BB6">
        <w:rPr>
          <w:rStyle w:val="FootnoteReference"/>
          <w:rFonts w:cs="Times New Roman"/>
        </w:rPr>
        <w:footnoteReference w:id="13"/>
      </w:r>
      <w:r w:rsidR="002A52CA" w:rsidRPr="00590BB6">
        <w:rPr>
          <w:rFonts w:cs="Times New Roman"/>
        </w:rPr>
        <w:t>.</w:t>
      </w:r>
    </w:p>
    <w:p w14:paraId="39D1479C" w14:textId="3E76B1E0" w:rsidR="007F4F7B" w:rsidRPr="00590BB6" w:rsidRDefault="00FE66C8" w:rsidP="00E07EFA">
      <w:pPr>
        <w:spacing w:line="360" w:lineRule="auto"/>
        <w:jc w:val="both"/>
        <w:rPr>
          <w:rFonts w:cs="Times New Roman"/>
        </w:rPr>
      </w:pPr>
      <w:r w:rsidRPr="00590BB6">
        <w:rPr>
          <w:rFonts w:cs="Times New Roman"/>
        </w:rPr>
        <w:t>Finally</w:t>
      </w:r>
      <w:r w:rsidR="003B7B10" w:rsidRPr="00590BB6">
        <w:rPr>
          <w:rFonts w:cs="Times New Roman"/>
        </w:rPr>
        <w:t xml:space="preserve">, the </w:t>
      </w:r>
      <w:r w:rsidR="003B7B10" w:rsidRPr="00590BB6">
        <w:rPr>
          <w:rFonts w:cs="Times New Roman"/>
          <w:i/>
        </w:rPr>
        <w:t xml:space="preserve">2040 </w:t>
      </w:r>
      <w:r w:rsidR="003B7B10" w:rsidRPr="00590BB6">
        <w:rPr>
          <w:rFonts w:cs="Times New Roman"/>
        </w:rPr>
        <w:t>and</w:t>
      </w:r>
      <w:r w:rsidR="003B7B10" w:rsidRPr="00590BB6">
        <w:rPr>
          <w:rFonts w:cs="Times New Roman"/>
          <w:i/>
        </w:rPr>
        <w:t xml:space="preserve"> 2030 ICE Ban</w:t>
      </w:r>
      <w:r w:rsidR="003B7B10" w:rsidRPr="00590BB6">
        <w:rPr>
          <w:rFonts w:cs="Times New Roman"/>
        </w:rPr>
        <w:t xml:space="preserve"> analyse the </w:t>
      </w:r>
      <w:r w:rsidRPr="00590BB6">
        <w:rPr>
          <w:rFonts w:cs="Times New Roman"/>
        </w:rPr>
        <w:t>incremental effect</w:t>
      </w:r>
      <w:r w:rsidR="003B7B10" w:rsidRPr="00590BB6">
        <w:rPr>
          <w:rFonts w:cs="Times New Roman"/>
        </w:rPr>
        <w:t xml:space="preserve"> a ban on </w:t>
      </w:r>
      <w:r w:rsidR="003B7B10" w:rsidRPr="00590BB6">
        <w:rPr>
          <w:rFonts w:cs="Times New Roman"/>
          <w:color w:val="000000"/>
        </w:rPr>
        <w:t xml:space="preserve">the sale of new gasoline, diesel, and natural gas-fuelled trucks from 2040 and 2030 onwards, respectively. </w:t>
      </w:r>
      <w:r w:rsidR="00B70C56" w:rsidRPr="00590BB6">
        <w:rPr>
          <w:rFonts w:cs="Times New Roman"/>
        </w:rPr>
        <w:t xml:space="preserve">Total or partial bans of certain vehicles and powertrains have been established in some countries, such as the UK </w:t>
      </w:r>
      <w:r w:rsidR="00B70C56" w:rsidRPr="00590BB6">
        <w:rPr>
          <w:rFonts w:cs="Times New Roman"/>
        </w:rPr>
        <w:fldChar w:fldCharType="begin" w:fldLock="1"/>
      </w:r>
      <w:r w:rsidR="00B70C56" w:rsidRPr="00590BB6">
        <w:rPr>
          <w:rFonts w:cs="Times New Roman"/>
        </w:rPr>
        <w:instrText>ADDIN CSL_CITATION {"citationItems":[{"id":"ITEM-1","itemData":{"ISBN":"9781528629386","ISSN":"978-1-5286-2938-6","author":[{"dropping-particle":"","family":"HM Government","given":"","non-dropping-particle":"","parse-names":false,"suffix":""}],"container-title":"Gov.Uk","id":"ITEM-1","issued":{"date-parts":[["2021"]]},"number-of-pages":"368","title":"Net Zero Strategy: Build Back Greener","type":"report"},"uris":["http://www.mendeley.com/documents/?uuid=b1c44526-bd19-4d20-ab9c-f3a397a0b78f","http://www.mendeley.com/documents/?uuid=b510c522-16b6-4c44-83de-b7cf6bee988f"]}],"mendeley":{"formattedCitation":"[62]","plainTextFormattedCitation":"[62]","previouslyFormattedCitation":"[61]"},"properties":{"noteIndex":0},"schema":"https://github.com/citation-style-language/schema/raw/master/csl-citation.json"}</w:instrText>
      </w:r>
      <w:r w:rsidR="00B70C56" w:rsidRPr="00590BB6">
        <w:rPr>
          <w:rFonts w:cs="Times New Roman"/>
        </w:rPr>
        <w:fldChar w:fldCharType="separate"/>
      </w:r>
      <w:r w:rsidR="00B70C56" w:rsidRPr="00590BB6">
        <w:rPr>
          <w:rFonts w:cs="Times New Roman"/>
          <w:noProof/>
        </w:rPr>
        <w:t>[62]</w:t>
      </w:r>
      <w:r w:rsidR="00B70C56" w:rsidRPr="00590BB6">
        <w:rPr>
          <w:rFonts w:cs="Times New Roman"/>
        </w:rPr>
        <w:fldChar w:fldCharType="end"/>
      </w:r>
      <w:r w:rsidR="00B70C56" w:rsidRPr="00590BB6">
        <w:rPr>
          <w:rFonts w:cs="Times New Roman"/>
        </w:rPr>
        <w:t xml:space="preserve">, and are also commonly evaluated in </w:t>
      </w:r>
      <w:r w:rsidR="005F440C" w:rsidRPr="00590BB6">
        <w:rPr>
          <w:rFonts w:cs="Times New Roman"/>
        </w:rPr>
        <w:t xml:space="preserve">energy </w:t>
      </w:r>
      <w:r w:rsidR="00B70C56" w:rsidRPr="00590BB6">
        <w:rPr>
          <w:rFonts w:cs="Times New Roman"/>
        </w:rPr>
        <w:t xml:space="preserve">models (e.g., </w:t>
      </w:r>
      <w:r w:rsidR="00B70C56" w:rsidRPr="00590BB6">
        <w:rPr>
          <w:rFonts w:cs="Times New Roman"/>
        </w:rPr>
        <w:fldChar w:fldCharType="begin" w:fldLock="1"/>
      </w:r>
      <w:r w:rsidR="00B70C56" w:rsidRPr="00590BB6">
        <w:rPr>
          <w:rFonts w:cs="Times New Roman"/>
        </w:rPr>
        <w:instrText>ADDIN CSL_CITATION {"citationItems":[{"id":"ITEM-1","itemData":{"abstract":"Reducing greenhouse gas emissions in the transport sector is known to be an important contribution to climate change mitigation. Some parts of the transport sector are particularly difficult to decarbonize; this includes the heavy-duty vehicle sector, which is considered one of the “hard- to-abate” sectors of the economy. Transitioning from diesel trucks to hydrogen fuel cell trucks has been identified as a potential way to decarbonize the sector. However, the current and future costs and efficiencies of the enabling technologies remain unclear. In light of these uncertainties, this paper investigates the investments required to decarbonize New Zealand’s heavy-duty vehicle sector with green hydrogen. By combining system dynamics modelling literature and hydrogen transition modelling literature a customized methodology is developed for modelling hydrogen transitions with system dynamics modelling. Results are presented in terms of the investments required to purchase the hydrogen production capacity and the investments required to supply electricity to the hydrogen production systems. Production capacity investments are found to range between 1.59 and 2.58 billion New Zealand Dollars, and marginal electricity investments are found to range between 4.14 and 7.65 billion New Zealand Dollars. These investments represent scenarios in which 71% to 90% of the heavy-duty vehicle fleet are replaced with fuel cell trucks by 2050. The wide range of these findings reflects the large uncertainties in estimates of how hydrogen technologies will develop over the course of the next thirty years. Policy recommendations are drawn from these results, and a clear opportunity for future work is outlined. Most notably, the results from this study should be compared with research investigating the investments required to decarbonize the heavy-duty vehicle sectors with alternative technologies such as battery-electric trucks, biodiesel, and catenary systems. Such a comparison would ensure that the most cost effective decarbonization strategy is employed.","author":[{"dropping-particle":"","family":"Kotze","given":"Rick","non-dropping-particle":"","parse-names":false,"suffix":""},{"dropping-particle":"","family":"Brent","given":"Alan C","non-dropping-particle":"","parse-names":false,"suffix":""},{"dropping-particle":"","family":"Musango","given":"Josephine","non-dropping-particle":"","parse-names":false,"suffix":""},{"dropping-particle":"De","family":"Kock","given":"Imke","non-dropping-particle":"","parse-names":false,"suffix":""},{"dropping-particle":"","family":"Malczynski","given":"Leonard A","non-dropping-particle":"","parse-names":false,"suffix":""}],"container-title":"Energies","id":"ITEM-1","issued":{"date-parts":[["2021"]]},"title":"Investigating the Investments Required to Transition New Zealand’s Heavy-Duty Vehicles to Hydrogen","type":"article-journal"},"uris":["http://www.mendeley.com/documents/?uuid=3d844d99-9f6f-4272-8744-93e517058f74","http://www.mendeley.com/documents/?uuid=a886450b-33fe-40ec-8823-5f23eef909d9"]}],"mendeley":{"formattedCitation":"[63]","plainTextFormattedCitation":"[63]","previouslyFormattedCitation":"[62]"},"properties":{"noteIndex":0},"schema":"https://github.com/citation-style-language/schema/raw/master/csl-citation.json"}</w:instrText>
      </w:r>
      <w:r w:rsidR="00B70C56" w:rsidRPr="00590BB6">
        <w:rPr>
          <w:rFonts w:cs="Times New Roman"/>
        </w:rPr>
        <w:fldChar w:fldCharType="separate"/>
      </w:r>
      <w:r w:rsidR="00B70C56" w:rsidRPr="00590BB6">
        <w:rPr>
          <w:rFonts w:cs="Times New Roman"/>
          <w:noProof/>
        </w:rPr>
        <w:t>[63]</w:t>
      </w:r>
      <w:r w:rsidR="00B70C56" w:rsidRPr="00590BB6">
        <w:rPr>
          <w:rFonts w:cs="Times New Roman"/>
        </w:rPr>
        <w:fldChar w:fldCharType="end"/>
      </w:r>
      <w:r w:rsidR="00B70C56" w:rsidRPr="00590BB6">
        <w:rPr>
          <w:rFonts w:cs="Times New Roman"/>
        </w:rPr>
        <w:t xml:space="preserve">). </w:t>
      </w:r>
      <w:r w:rsidR="00EF4C10" w:rsidRPr="00590BB6">
        <w:rPr>
          <w:rFonts w:cs="Times New Roman"/>
          <w:color w:val="000000"/>
        </w:rPr>
        <w:t>Th</w:t>
      </w:r>
      <w:r w:rsidR="005F440C" w:rsidRPr="00590BB6">
        <w:rPr>
          <w:rFonts w:cs="Times New Roman"/>
          <w:color w:val="000000"/>
        </w:rPr>
        <w:t xml:space="preserve">e </w:t>
      </w:r>
      <w:r w:rsidR="005F440C" w:rsidRPr="00590BB6">
        <w:rPr>
          <w:rFonts w:cs="Times New Roman"/>
          <w:i/>
          <w:iCs/>
          <w:color w:val="000000"/>
        </w:rPr>
        <w:t>2030 ICE Ban</w:t>
      </w:r>
      <w:r w:rsidR="00EF4C10" w:rsidRPr="00590BB6">
        <w:rPr>
          <w:rFonts w:cs="Times New Roman"/>
          <w:color w:val="000000"/>
        </w:rPr>
        <w:t xml:space="preserve"> scenario was conceived extending to HDV the 2030 UK ban on light-duty vehicles</w:t>
      </w:r>
      <w:r w:rsidR="00B70C56" w:rsidRPr="00590BB6">
        <w:rPr>
          <w:rFonts w:cs="Times New Roman"/>
          <w:color w:val="000000"/>
        </w:rPr>
        <w:t xml:space="preserve"> to freight HDVs</w:t>
      </w:r>
      <w:r w:rsidR="005F440C" w:rsidRPr="00590BB6">
        <w:rPr>
          <w:rFonts w:cs="Times New Roman"/>
          <w:color w:val="000000"/>
        </w:rPr>
        <w:t xml:space="preserve"> and </w:t>
      </w:r>
      <w:r w:rsidR="00EF4C10" w:rsidRPr="00590BB6">
        <w:rPr>
          <w:rFonts w:cs="Times New Roman"/>
          <w:color w:val="000000"/>
        </w:rPr>
        <w:t xml:space="preserve">aimed to draw attention on </w:t>
      </w:r>
      <w:r w:rsidR="00B70C56" w:rsidRPr="00590BB6">
        <w:rPr>
          <w:rFonts w:cs="Times New Roman"/>
          <w:color w:val="000000"/>
        </w:rPr>
        <w:t xml:space="preserve">stricter </w:t>
      </w:r>
      <w:r w:rsidR="00EF4C10" w:rsidRPr="00590BB6">
        <w:rPr>
          <w:rFonts w:cs="Times New Roman"/>
          <w:color w:val="000000"/>
        </w:rPr>
        <w:t>truck decarbonisation legislation</w:t>
      </w:r>
      <w:r w:rsidR="00B70C56" w:rsidRPr="00590BB6">
        <w:rPr>
          <w:rFonts w:cs="Times New Roman"/>
          <w:color w:val="000000"/>
        </w:rPr>
        <w:t>s</w:t>
      </w:r>
      <w:r w:rsidR="00EF4C10" w:rsidRPr="00590BB6">
        <w:rPr>
          <w:rFonts w:cs="Times New Roman"/>
          <w:color w:val="000000"/>
        </w:rPr>
        <w:t xml:space="preserve">. </w:t>
      </w:r>
      <w:r w:rsidR="003B7B10" w:rsidRPr="00590BB6">
        <w:rPr>
          <w:rFonts w:cs="Times New Roman"/>
        </w:rPr>
        <w:t xml:space="preserve">While the </w:t>
      </w:r>
      <w:r w:rsidR="003B7B10" w:rsidRPr="00590BB6">
        <w:rPr>
          <w:rFonts w:cs="Times New Roman"/>
          <w:i/>
        </w:rPr>
        <w:t>2030 ICE Ban</w:t>
      </w:r>
      <w:r w:rsidR="003B7B10" w:rsidRPr="00590BB6">
        <w:rPr>
          <w:rFonts w:cs="Times New Roman"/>
        </w:rPr>
        <w:t xml:space="preserve"> scenario may be </w:t>
      </w:r>
      <w:r w:rsidR="00EF4C10" w:rsidRPr="00590BB6">
        <w:rPr>
          <w:rFonts w:cs="Times New Roman"/>
        </w:rPr>
        <w:t>extreme</w:t>
      </w:r>
      <w:r w:rsidR="003B7B10" w:rsidRPr="00590BB6">
        <w:rPr>
          <w:rFonts w:cs="Times New Roman"/>
        </w:rPr>
        <w:t xml:space="preserve">, as a recent EU proposal foresaw </w:t>
      </w:r>
      <w:r w:rsidR="005F440C" w:rsidRPr="00590BB6">
        <w:rPr>
          <w:rFonts w:cs="Times New Roman"/>
        </w:rPr>
        <w:t>even</w:t>
      </w:r>
      <w:r w:rsidR="003B7B10" w:rsidRPr="00590BB6">
        <w:rPr>
          <w:rFonts w:cs="Times New Roman"/>
        </w:rPr>
        <w:t xml:space="preserve"> a 90% reduction by 2040</w:t>
      </w:r>
      <w:r w:rsidR="00D479B4" w:rsidRPr="00590BB6">
        <w:rPr>
          <w:rFonts w:cs="Times New Roman"/>
        </w:rPr>
        <w:t xml:space="preserve"> </w:t>
      </w:r>
      <w:r w:rsidR="00D479B4" w:rsidRPr="00590BB6">
        <w:rPr>
          <w:rFonts w:cs="Times New Roman"/>
        </w:rPr>
        <w:fldChar w:fldCharType="begin" w:fldLock="1"/>
      </w:r>
      <w:r w:rsidR="006F44A7" w:rsidRPr="00590BB6">
        <w:rPr>
          <w:rFonts w:cs="Times New Roman"/>
        </w:rPr>
        <w:instrText>ADDIN CSL_CITATION {"citationItems":[{"id":"ITEM-1","itemData":{"URL":"https://climate.ec.europa.eu/eu-action/transport-emissions/road-transport-reducing-co2-emissions-vehicles/reducing-co2-emissions-heavy-duty-vehicles_en","accessed":{"date-parts":[["2023","6","30"]]},"author":[{"dropping-particle":"","family":"European Comission","given":"","non-dropping-particle":"","parse-names":false,"suffix":""}],"container-title":"European Commission","id":"ITEM-1","issued":{"date-parts":[["2023"]]},"title":"Reducing CO₂ emissions from heavy-duty vehicles","type":"webpage"},"uris":["http://www.mendeley.com/documents/?uuid=f9983f17-d424-48f4-b50d-a223bfc655a3"]}],"mendeley":{"formattedCitation":"[13]","plainTextFormattedCitation":"[13]","previouslyFormattedCitation":"[12]"},"properties":{"noteIndex":0},"schema":"https://github.com/citation-style-language/schema/raw/master/csl-citation.json"}</w:instrText>
      </w:r>
      <w:r w:rsidR="00D479B4" w:rsidRPr="00590BB6">
        <w:rPr>
          <w:rFonts w:cs="Times New Roman"/>
        </w:rPr>
        <w:fldChar w:fldCharType="separate"/>
      </w:r>
      <w:r w:rsidR="006F44A7" w:rsidRPr="00590BB6">
        <w:rPr>
          <w:rFonts w:cs="Times New Roman"/>
          <w:noProof/>
        </w:rPr>
        <w:t>[13]</w:t>
      </w:r>
      <w:r w:rsidR="00D479B4" w:rsidRPr="00590BB6">
        <w:rPr>
          <w:rFonts w:cs="Times New Roman"/>
        </w:rPr>
        <w:fldChar w:fldCharType="end"/>
      </w:r>
      <w:r w:rsidR="003B7B10" w:rsidRPr="00590BB6">
        <w:rPr>
          <w:rFonts w:cs="Times New Roman"/>
        </w:rPr>
        <w:t xml:space="preserve">, it tests the impacts of a more ambitious agenda </w:t>
      </w:r>
      <w:r w:rsidR="004A2B8B">
        <w:rPr>
          <w:rFonts w:cs="Times New Roman"/>
        </w:rPr>
        <w:t>then the one by</w:t>
      </w:r>
      <w:r w:rsidR="003B7B10" w:rsidRPr="00590BB6">
        <w:rPr>
          <w:rFonts w:cs="Times New Roman"/>
        </w:rPr>
        <w:t xml:space="preserve"> the Italian government.</w:t>
      </w:r>
      <w:r w:rsidR="004A2B8B">
        <w:rPr>
          <w:rFonts w:cs="Times New Roman"/>
        </w:rPr>
        <w:t xml:space="preserve"> </w:t>
      </w:r>
      <w:r w:rsidR="00F34968">
        <w:rPr>
          <w:rFonts w:cs="Times New Roman"/>
        </w:rPr>
        <w:t>This is furthermore justified by</w:t>
      </w:r>
      <w:r w:rsidR="004A2B8B">
        <w:rPr>
          <w:rFonts w:cs="Times New Roman"/>
        </w:rPr>
        <w:t xml:space="preserve"> a recent impact assessment </w:t>
      </w:r>
      <w:r w:rsidR="00F34968">
        <w:rPr>
          <w:rFonts w:cs="Times New Roman"/>
        </w:rPr>
        <w:t>requested</w:t>
      </w:r>
      <w:r w:rsidR="004A2B8B">
        <w:rPr>
          <w:rFonts w:cs="Times New Roman"/>
        </w:rPr>
        <w:t xml:space="preserve"> by the European Commission </w:t>
      </w:r>
      <w:r w:rsidR="00F34968">
        <w:rPr>
          <w:rFonts w:cs="Times New Roman"/>
        </w:rPr>
        <w:t xml:space="preserve">which </w:t>
      </w:r>
      <w:r w:rsidR="004A2B8B">
        <w:rPr>
          <w:rFonts w:cs="Times New Roman"/>
        </w:rPr>
        <w:t xml:space="preserve">found </w:t>
      </w:r>
      <w:r w:rsidR="00F34968">
        <w:rPr>
          <w:rFonts w:cs="Times New Roman"/>
        </w:rPr>
        <w:t xml:space="preserve">that current emission standards on trucks would be insufficient to meet the </w:t>
      </w:r>
      <w:proofErr w:type="spellStart"/>
      <w:r w:rsidR="00F34968">
        <w:rPr>
          <w:rFonts w:cs="Times New Roman"/>
        </w:rPr>
        <w:t>REPowerEU</w:t>
      </w:r>
      <w:proofErr w:type="spellEnd"/>
      <w:r w:rsidR="00F34968">
        <w:rPr>
          <w:rFonts w:cs="Times New Roman"/>
        </w:rPr>
        <w:t xml:space="preserve"> plan proposal</w:t>
      </w:r>
      <w:r w:rsidR="00F34968">
        <w:rPr>
          <w:rStyle w:val="FootnoteReference"/>
          <w:rFonts w:cs="Times New Roman"/>
        </w:rPr>
        <w:footnoteReference w:id="14"/>
      </w:r>
      <w:r w:rsidR="00F34968">
        <w:rPr>
          <w:rFonts w:cs="Times New Roman"/>
        </w:rPr>
        <w:t>.</w:t>
      </w:r>
      <w:r w:rsidR="004A2B8B">
        <w:rPr>
          <w:rFonts w:cs="Times New Roman"/>
        </w:rPr>
        <w:t xml:space="preserve"> </w:t>
      </w:r>
    </w:p>
    <w:p w14:paraId="39380A58" w14:textId="510BD2F5" w:rsidR="004B7B42" w:rsidRPr="00590BB6" w:rsidRDefault="004B7B42" w:rsidP="00EE41C3">
      <w:pPr>
        <w:pStyle w:val="Caption"/>
      </w:pPr>
      <w:bookmarkStart w:id="23" w:name="_Ref110593844"/>
      <w:r w:rsidRPr="00590BB6">
        <w:t xml:space="preserve">Table </w:t>
      </w:r>
      <w:bookmarkEnd w:id="23"/>
      <w:r w:rsidR="00762011" w:rsidRPr="00590BB6">
        <w:t>2</w:t>
      </w:r>
      <w:r w:rsidR="0037440B" w:rsidRPr="00590BB6">
        <w:t xml:space="preserve">. </w:t>
      </w:r>
      <w:r w:rsidR="00314EDB" w:rsidRPr="00590BB6">
        <w:t>D</w:t>
      </w:r>
      <w:r w:rsidRPr="00590BB6">
        <w:t>escription</w:t>
      </w:r>
      <w:r w:rsidR="00314EDB" w:rsidRPr="00590BB6">
        <w:t xml:space="preserve"> of scenarios</w:t>
      </w:r>
      <w:r w:rsidRPr="00590BB6">
        <w:t>.</w:t>
      </w:r>
      <w:r w:rsidR="00F22532" w:rsidRPr="00590BB6">
        <w:t xml:space="preserve"> Technolog</w:t>
      </w:r>
      <w:r w:rsidR="00396242" w:rsidRPr="00590BB6">
        <w:t xml:space="preserve">ies’ consumption, purchase price, and fixed annual </w:t>
      </w:r>
      <w:r w:rsidR="00F22532" w:rsidRPr="00590BB6">
        <w:t>costs are</w:t>
      </w:r>
      <w:r w:rsidR="00396242" w:rsidRPr="00590BB6">
        <w:t xml:space="preserve"> presented</w:t>
      </w:r>
      <w:r w:rsidR="00F22532" w:rsidRPr="00590BB6">
        <w:t xml:space="preserve"> in the </w:t>
      </w:r>
      <w:r w:rsidR="00F22532" w:rsidRPr="00590BB6">
        <w:rPr>
          <w:bCs/>
        </w:rPr>
        <w:t>Supplementary Material</w:t>
      </w:r>
      <w:r w:rsidR="00396242" w:rsidRPr="00590BB6">
        <w:rPr>
          <w:bCs/>
        </w:rPr>
        <w:t xml:space="preserve"> (</w:t>
      </w:r>
      <w:r w:rsidR="001301FD" w:rsidRPr="00590BB6">
        <w:rPr>
          <w:rFonts w:cs="Times New Roman"/>
          <w:bCs/>
        </w:rPr>
        <w:t>Tables S.1, S.2, and S.3</w:t>
      </w:r>
      <w:r w:rsidR="00396242" w:rsidRPr="00590BB6">
        <w:rPr>
          <w:bCs/>
        </w:rPr>
        <w:t>)</w:t>
      </w:r>
      <w:r w:rsidR="00F22532" w:rsidRPr="00590BB6">
        <w:rPr>
          <w:bCs/>
        </w:rPr>
        <w:t>,</w:t>
      </w:r>
      <w:r w:rsidR="00F22532" w:rsidRPr="00590BB6">
        <w:t xml:space="preserve"> unless differently specified.</w:t>
      </w:r>
    </w:p>
    <w:tbl>
      <w:tblPr>
        <w:tblW w:w="9540" w:type="dxa"/>
        <w:tblLayout w:type="fixed"/>
        <w:tblLook w:val="04A0" w:firstRow="1" w:lastRow="0" w:firstColumn="1" w:lastColumn="0" w:noHBand="0" w:noVBand="1"/>
      </w:tblPr>
      <w:tblGrid>
        <w:gridCol w:w="1620"/>
        <w:gridCol w:w="7920"/>
      </w:tblGrid>
      <w:tr w:rsidR="00B74CE9" w:rsidRPr="00590BB6" w14:paraId="7646CD1C" w14:textId="77777777" w:rsidTr="00BE06C4">
        <w:trPr>
          <w:trHeight w:val="61"/>
        </w:trPr>
        <w:tc>
          <w:tcPr>
            <w:tcW w:w="1620" w:type="dxa"/>
            <w:tcBorders>
              <w:top w:val="single" w:sz="4" w:space="0" w:color="auto"/>
              <w:bottom w:val="single" w:sz="6" w:space="0" w:color="auto"/>
            </w:tcBorders>
            <w:shd w:val="clear" w:color="auto" w:fill="auto"/>
            <w:vAlign w:val="center"/>
          </w:tcPr>
          <w:p w14:paraId="5F310F84" w14:textId="7B0A377B" w:rsidR="00B74CE9" w:rsidRPr="00590BB6" w:rsidRDefault="00B74CE9" w:rsidP="001C016E">
            <w:pPr>
              <w:pStyle w:val="PreformattedText"/>
              <w:spacing w:line="360" w:lineRule="auto"/>
              <w:contextualSpacing/>
              <w:jc w:val="center"/>
              <w:rPr>
                <w:rFonts w:ascii="Times New Roman" w:hAnsi="Times New Roman" w:cs="Times New Roman"/>
                <w:b/>
                <w:bCs/>
                <w:color w:val="000000"/>
                <w:lang w:val="en-GB"/>
              </w:rPr>
            </w:pPr>
            <w:r w:rsidRPr="00590BB6">
              <w:rPr>
                <w:rFonts w:ascii="Times New Roman" w:hAnsi="Times New Roman" w:cs="Times New Roman"/>
                <w:b/>
                <w:bCs/>
                <w:color w:val="000000" w:themeColor="text1"/>
                <w:lang w:val="en-GB"/>
              </w:rPr>
              <w:t>Scenario</w:t>
            </w:r>
          </w:p>
        </w:tc>
        <w:tc>
          <w:tcPr>
            <w:tcW w:w="7920" w:type="dxa"/>
            <w:tcBorders>
              <w:top w:val="single" w:sz="4" w:space="0" w:color="auto"/>
              <w:bottom w:val="single" w:sz="6" w:space="0" w:color="auto"/>
            </w:tcBorders>
            <w:shd w:val="clear" w:color="auto" w:fill="auto"/>
            <w:vAlign w:val="center"/>
          </w:tcPr>
          <w:p w14:paraId="782D208E" w14:textId="253721BF" w:rsidR="00B74CE9" w:rsidRPr="00590BB6" w:rsidRDefault="00B74CE9" w:rsidP="001C016E">
            <w:pPr>
              <w:pStyle w:val="PreformattedText"/>
              <w:spacing w:line="360" w:lineRule="auto"/>
              <w:contextualSpacing/>
              <w:jc w:val="center"/>
              <w:rPr>
                <w:rFonts w:ascii="Times New Roman" w:hAnsi="Times New Roman" w:cs="Times New Roman"/>
                <w:b/>
                <w:bCs/>
                <w:color w:val="000000"/>
                <w:lang w:val="en-GB"/>
              </w:rPr>
            </w:pPr>
            <w:r w:rsidRPr="00590BB6">
              <w:rPr>
                <w:rFonts w:ascii="Times New Roman" w:hAnsi="Times New Roman" w:cs="Times New Roman"/>
                <w:b/>
                <w:bCs/>
                <w:color w:val="000000" w:themeColor="text1"/>
                <w:lang w:val="en-GB"/>
              </w:rPr>
              <w:t>Description</w:t>
            </w:r>
          </w:p>
        </w:tc>
      </w:tr>
      <w:tr w:rsidR="00B74CE9" w:rsidRPr="00590BB6" w14:paraId="664D541F" w14:textId="77777777" w:rsidTr="0044327C">
        <w:trPr>
          <w:trHeight w:val="130"/>
        </w:trPr>
        <w:tc>
          <w:tcPr>
            <w:tcW w:w="1620" w:type="dxa"/>
            <w:tcBorders>
              <w:top w:val="single" w:sz="6" w:space="0" w:color="auto"/>
            </w:tcBorders>
            <w:shd w:val="clear" w:color="auto" w:fill="auto"/>
          </w:tcPr>
          <w:p w14:paraId="1537B02C" w14:textId="447D1F9E" w:rsidR="00B74CE9" w:rsidRPr="00590BB6" w:rsidRDefault="00B74CE9" w:rsidP="0044327C">
            <w:pPr>
              <w:pStyle w:val="PreformattedText"/>
              <w:spacing w:line="360" w:lineRule="auto"/>
              <w:contextualSpacing/>
              <w:jc w:val="center"/>
              <w:rPr>
                <w:rFonts w:ascii="Times New Roman" w:hAnsi="Times New Roman" w:cs="Times New Roman"/>
                <w:b/>
                <w:i/>
                <w:color w:val="000000"/>
                <w:lang w:val="en-GB"/>
              </w:rPr>
            </w:pPr>
            <w:r w:rsidRPr="00590BB6">
              <w:rPr>
                <w:rFonts w:ascii="Times New Roman" w:hAnsi="Times New Roman" w:cs="Times New Roman"/>
                <w:b/>
                <w:i/>
                <w:color w:val="000000" w:themeColor="text1"/>
                <w:lang w:val="en-GB"/>
              </w:rPr>
              <w:t>Reference</w:t>
            </w:r>
          </w:p>
        </w:tc>
        <w:tc>
          <w:tcPr>
            <w:tcW w:w="7920" w:type="dxa"/>
            <w:tcBorders>
              <w:top w:val="single" w:sz="6" w:space="0" w:color="auto"/>
            </w:tcBorders>
            <w:shd w:val="clear" w:color="auto" w:fill="auto"/>
            <w:vAlign w:val="center"/>
          </w:tcPr>
          <w:p w14:paraId="146E4B59" w14:textId="494265D0" w:rsidR="00B74CE9" w:rsidRPr="00590BB6" w:rsidRDefault="00B74CE9" w:rsidP="0044327C">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color w:val="000000" w:themeColor="text1"/>
                <w:lang w:val="en-GB"/>
              </w:rPr>
              <w:t xml:space="preserve">Technologies performance, purchasing price, fixed annual costs, and fuel prices </w:t>
            </w:r>
            <w:r w:rsidR="005114AA" w:rsidRPr="00590BB6">
              <w:rPr>
                <w:rFonts w:ascii="Times New Roman" w:hAnsi="Times New Roman" w:cs="Times New Roman"/>
                <w:color w:val="000000" w:themeColor="text1"/>
                <w:lang w:val="en-GB"/>
              </w:rPr>
              <w:t xml:space="preserve">set equal to 2020 values. </w:t>
            </w:r>
            <w:r w:rsidRPr="00590BB6">
              <w:rPr>
                <w:rFonts w:ascii="Times New Roman" w:hAnsi="Times New Roman" w:cs="Times New Roman"/>
                <w:color w:val="000000" w:themeColor="text1"/>
                <w:lang w:val="en-GB"/>
              </w:rPr>
              <w:t>Technolog</w:t>
            </w:r>
            <w:r w:rsidR="005114AA" w:rsidRPr="00590BB6">
              <w:rPr>
                <w:rFonts w:ascii="Times New Roman" w:hAnsi="Times New Roman" w:cs="Times New Roman"/>
                <w:color w:val="000000" w:themeColor="text1"/>
                <w:lang w:val="en-GB"/>
              </w:rPr>
              <w:t>y</w:t>
            </w:r>
            <w:r w:rsidRPr="00590BB6">
              <w:rPr>
                <w:rFonts w:ascii="Times New Roman" w:hAnsi="Times New Roman" w:cs="Times New Roman"/>
                <w:color w:val="000000" w:themeColor="text1"/>
                <w:lang w:val="en-GB"/>
              </w:rPr>
              <w:t xml:space="preserve"> </w:t>
            </w:r>
            <w:r w:rsidR="005114AA" w:rsidRPr="00590BB6">
              <w:rPr>
                <w:rFonts w:ascii="Times New Roman" w:hAnsi="Times New Roman" w:cs="Times New Roman"/>
                <w:color w:val="000000" w:themeColor="text1"/>
                <w:lang w:val="en-GB"/>
              </w:rPr>
              <w:t>investments limited for the older vehicle categories</w:t>
            </w:r>
            <w:r w:rsidR="00067BD2" w:rsidRPr="00590BB6">
              <w:rPr>
                <w:rFonts w:ascii="Times New Roman" w:hAnsi="Times New Roman" w:cs="Times New Roman"/>
                <w:color w:val="000000" w:themeColor="text1"/>
                <w:lang w:val="en-GB"/>
              </w:rPr>
              <w:t xml:space="preserve">: </w:t>
            </w:r>
            <w:r w:rsidR="00C901B8" w:rsidRPr="00590BB6">
              <w:rPr>
                <w:rFonts w:ascii="Times New Roman" w:hAnsi="Times New Roman" w:cs="Times New Roman"/>
                <w:color w:val="000000" w:themeColor="text1"/>
                <w:lang w:val="en-GB"/>
              </w:rPr>
              <w:t xml:space="preserve">no new </w:t>
            </w:r>
            <w:r w:rsidRPr="00590BB6">
              <w:rPr>
                <w:rFonts w:ascii="Times New Roman" w:hAnsi="Times New Roman" w:cs="Times New Roman"/>
                <w:color w:val="000000" w:themeColor="text1"/>
                <w:lang w:val="en-GB"/>
              </w:rPr>
              <w:t>SE and ME diesel and gasoline trucks</w:t>
            </w:r>
            <w:r w:rsidR="005114AA" w:rsidRPr="00590BB6">
              <w:rPr>
                <w:rFonts w:ascii="Times New Roman" w:hAnsi="Times New Roman" w:cs="Times New Roman"/>
                <w:color w:val="000000" w:themeColor="text1"/>
                <w:lang w:val="en-GB"/>
              </w:rPr>
              <w:t xml:space="preserve"> </w:t>
            </w:r>
            <w:r w:rsidRPr="00590BB6">
              <w:rPr>
                <w:rFonts w:ascii="Times New Roman" w:hAnsi="Times New Roman" w:cs="Times New Roman"/>
                <w:color w:val="000000" w:themeColor="text1"/>
                <w:lang w:val="en-GB"/>
              </w:rPr>
              <w:t xml:space="preserve">(i.e., EURO </w:t>
            </w:r>
            <w:r w:rsidR="00BE066A" w:rsidRPr="00590BB6">
              <w:rPr>
                <w:rFonts w:ascii="Times New Roman" w:hAnsi="Times New Roman" w:cs="Times New Roman"/>
                <w:color w:val="000000" w:themeColor="text1"/>
                <w:lang w:val="en-GB"/>
              </w:rPr>
              <w:t>I-IV</w:t>
            </w:r>
            <w:r w:rsidRPr="00590BB6">
              <w:rPr>
                <w:rFonts w:ascii="Times New Roman" w:hAnsi="Times New Roman" w:cs="Times New Roman"/>
                <w:color w:val="000000" w:themeColor="text1"/>
                <w:lang w:val="en-GB"/>
              </w:rPr>
              <w:t>)</w:t>
            </w:r>
            <w:r w:rsidR="00067BD2" w:rsidRPr="00590BB6">
              <w:rPr>
                <w:rFonts w:ascii="Times New Roman" w:hAnsi="Times New Roman" w:cs="Times New Roman"/>
                <w:color w:val="000000" w:themeColor="text1"/>
                <w:lang w:val="en-GB"/>
              </w:rPr>
              <w:t xml:space="preserve"> </w:t>
            </w:r>
            <w:r w:rsidR="00C901B8" w:rsidRPr="00590BB6">
              <w:rPr>
                <w:rFonts w:ascii="Times New Roman" w:hAnsi="Times New Roman" w:cs="Times New Roman"/>
                <w:color w:val="000000" w:themeColor="text1"/>
                <w:lang w:val="en-GB"/>
              </w:rPr>
              <w:t>from 2025</w:t>
            </w:r>
            <w:r w:rsidR="00762011" w:rsidRPr="00590BB6">
              <w:rPr>
                <w:rFonts w:ascii="Times New Roman" w:hAnsi="Times New Roman" w:cs="Times New Roman"/>
                <w:color w:val="000000" w:themeColor="text1"/>
                <w:lang w:val="en-GB"/>
              </w:rPr>
              <w:t>.</w:t>
            </w:r>
          </w:p>
        </w:tc>
      </w:tr>
      <w:tr w:rsidR="00B74CE9" w:rsidRPr="00590BB6" w14:paraId="5F31AE42" w14:textId="77777777" w:rsidTr="0044327C">
        <w:trPr>
          <w:trHeight w:val="130"/>
        </w:trPr>
        <w:tc>
          <w:tcPr>
            <w:tcW w:w="1620" w:type="dxa"/>
            <w:shd w:val="clear" w:color="auto" w:fill="auto"/>
          </w:tcPr>
          <w:p w14:paraId="3FA10B58" w14:textId="48E58D78" w:rsidR="00B74CE9" w:rsidRPr="00590BB6" w:rsidRDefault="00B74CE9" w:rsidP="0044327C">
            <w:pPr>
              <w:pStyle w:val="PreformattedText"/>
              <w:spacing w:line="360" w:lineRule="auto"/>
              <w:contextualSpacing/>
              <w:jc w:val="center"/>
              <w:rPr>
                <w:rFonts w:ascii="Times New Roman" w:hAnsi="Times New Roman" w:cs="Times New Roman"/>
                <w:b/>
                <w:i/>
                <w:color w:val="000000"/>
                <w:lang w:val="en-GB"/>
              </w:rPr>
            </w:pPr>
            <w:r w:rsidRPr="00590BB6">
              <w:rPr>
                <w:rFonts w:ascii="Times New Roman" w:hAnsi="Times New Roman" w:cs="Times New Roman"/>
                <w:b/>
                <w:i/>
                <w:color w:val="000000" w:themeColor="text1"/>
                <w:lang w:val="en-GB"/>
              </w:rPr>
              <w:t>Efficiency</w:t>
            </w:r>
          </w:p>
        </w:tc>
        <w:tc>
          <w:tcPr>
            <w:tcW w:w="7920" w:type="dxa"/>
            <w:shd w:val="clear" w:color="auto" w:fill="auto"/>
            <w:vAlign w:val="center"/>
          </w:tcPr>
          <w:p w14:paraId="203CFFE5" w14:textId="51E4B999" w:rsidR="00B74CE9" w:rsidRPr="00590BB6" w:rsidRDefault="00B74CE9" w:rsidP="0044327C">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i/>
                <w:color w:val="000000" w:themeColor="text1"/>
                <w:lang w:val="en-GB"/>
              </w:rPr>
              <w:t>R</w:t>
            </w:r>
            <w:r w:rsidR="001C016E" w:rsidRPr="00590BB6">
              <w:rPr>
                <w:rFonts w:ascii="Times New Roman" w:hAnsi="Times New Roman" w:cs="Times New Roman"/>
                <w:i/>
                <w:color w:val="000000" w:themeColor="text1"/>
                <w:lang w:val="en-GB"/>
              </w:rPr>
              <w:t>eference</w:t>
            </w:r>
            <w:r w:rsidRPr="00590BB6">
              <w:rPr>
                <w:rFonts w:ascii="Times New Roman" w:hAnsi="Times New Roman" w:cs="Times New Roman"/>
                <w:color w:val="000000" w:themeColor="text1"/>
                <w:lang w:val="en-GB"/>
              </w:rPr>
              <w:t xml:space="preserve"> plus possible technolog</w:t>
            </w:r>
            <w:r w:rsidR="005114AA" w:rsidRPr="00590BB6">
              <w:rPr>
                <w:rFonts w:ascii="Times New Roman" w:hAnsi="Times New Roman" w:cs="Times New Roman"/>
                <w:color w:val="000000" w:themeColor="text1"/>
                <w:lang w:val="en-GB"/>
              </w:rPr>
              <w:t>y</w:t>
            </w:r>
            <w:r w:rsidRPr="00590BB6">
              <w:rPr>
                <w:rFonts w:ascii="Times New Roman" w:hAnsi="Times New Roman" w:cs="Times New Roman"/>
                <w:color w:val="000000" w:themeColor="text1"/>
                <w:lang w:val="en-GB"/>
              </w:rPr>
              <w:t xml:space="preserve"> performance improvements.</w:t>
            </w:r>
          </w:p>
        </w:tc>
      </w:tr>
      <w:tr w:rsidR="00B74CE9" w:rsidRPr="00590BB6" w14:paraId="554FABC8" w14:textId="77777777" w:rsidTr="0044327C">
        <w:trPr>
          <w:trHeight w:val="130"/>
        </w:trPr>
        <w:tc>
          <w:tcPr>
            <w:tcW w:w="1620" w:type="dxa"/>
            <w:shd w:val="clear" w:color="auto" w:fill="auto"/>
          </w:tcPr>
          <w:p w14:paraId="0FF7116A" w14:textId="1C217738" w:rsidR="00B74CE9" w:rsidRPr="00590BB6" w:rsidRDefault="00B74CE9" w:rsidP="0044327C">
            <w:pPr>
              <w:pStyle w:val="PreformattedText"/>
              <w:spacing w:line="360" w:lineRule="auto"/>
              <w:contextualSpacing/>
              <w:jc w:val="center"/>
              <w:rPr>
                <w:rFonts w:ascii="Times New Roman" w:hAnsi="Times New Roman" w:cs="Times New Roman"/>
                <w:b/>
                <w:i/>
                <w:color w:val="000000"/>
                <w:lang w:val="en-GB"/>
              </w:rPr>
            </w:pPr>
            <w:r w:rsidRPr="00590BB6">
              <w:rPr>
                <w:rFonts w:ascii="Times New Roman" w:hAnsi="Times New Roman" w:cs="Times New Roman"/>
                <w:b/>
                <w:i/>
                <w:color w:val="000000" w:themeColor="text1"/>
                <w:lang w:val="en-GB"/>
              </w:rPr>
              <w:t>Tech Costs</w:t>
            </w:r>
          </w:p>
        </w:tc>
        <w:tc>
          <w:tcPr>
            <w:tcW w:w="7920" w:type="dxa"/>
            <w:shd w:val="clear" w:color="auto" w:fill="auto"/>
            <w:vAlign w:val="center"/>
          </w:tcPr>
          <w:p w14:paraId="1463D784" w14:textId="29EC78FE" w:rsidR="00B74CE9" w:rsidRPr="00590BB6" w:rsidRDefault="0044327C" w:rsidP="0044327C">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i/>
                <w:color w:val="000000" w:themeColor="text1"/>
                <w:lang w:val="en-GB"/>
              </w:rPr>
              <w:t>Efficiency</w:t>
            </w:r>
            <w:r w:rsidR="00B74CE9" w:rsidRPr="00590BB6">
              <w:rPr>
                <w:rFonts w:ascii="Times New Roman" w:hAnsi="Times New Roman" w:cs="Times New Roman"/>
                <w:color w:val="000000" w:themeColor="text1"/>
                <w:lang w:val="en-GB"/>
              </w:rPr>
              <w:t xml:space="preserve"> </w:t>
            </w:r>
            <w:r w:rsidRPr="00590BB6">
              <w:rPr>
                <w:rFonts w:ascii="Times New Roman" w:hAnsi="Times New Roman" w:cs="Times New Roman"/>
                <w:color w:val="000000" w:themeColor="text1"/>
                <w:lang w:val="en-GB"/>
              </w:rPr>
              <w:t>plus technolog</w:t>
            </w:r>
            <w:r w:rsidR="00347A56" w:rsidRPr="00590BB6">
              <w:rPr>
                <w:rFonts w:ascii="Times New Roman" w:hAnsi="Times New Roman" w:cs="Times New Roman"/>
                <w:color w:val="000000" w:themeColor="text1"/>
                <w:lang w:val="en-GB"/>
              </w:rPr>
              <w:t>y</w:t>
            </w:r>
            <w:r w:rsidRPr="00590BB6">
              <w:rPr>
                <w:rFonts w:ascii="Times New Roman" w:hAnsi="Times New Roman" w:cs="Times New Roman"/>
                <w:color w:val="000000" w:themeColor="text1"/>
                <w:lang w:val="en-GB"/>
              </w:rPr>
              <w:t xml:space="preserve"> </w:t>
            </w:r>
            <w:r w:rsidR="00B74CE9" w:rsidRPr="00590BB6">
              <w:rPr>
                <w:rFonts w:ascii="Times New Roman" w:hAnsi="Times New Roman" w:cs="Times New Roman"/>
                <w:color w:val="000000" w:themeColor="text1"/>
                <w:lang w:val="en-GB"/>
              </w:rPr>
              <w:t>purchasing price and fixed annual costs</w:t>
            </w:r>
            <w:r w:rsidRPr="00590BB6">
              <w:rPr>
                <w:rFonts w:ascii="Times New Roman" w:hAnsi="Times New Roman" w:cs="Times New Roman"/>
                <w:color w:val="000000" w:themeColor="text1"/>
                <w:lang w:val="en-GB"/>
              </w:rPr>
              <w:t xml:space="preserve"> Supplementary Material (</w:t>
            </w:r>
            <w:r w:rsidR="001301FD" w:rsidRPr="00590BB6">
              <w:rPr>
                <w:rFonts w:ascii="Times New Roman" w:hAnsi="Times New Roman" w:cs="Times New Roman"/>
                <w:color w:val="000000" w:themeColor="text1"/>
                <w:lang w:val="en-GB"/>
              </w:rPr>
              <w:t>Tables S.1, S.2, and S.3</w:t>
            </w:r>
            <w:r w:rsidRPr="00590BB6">
              <w:rPr>
                <w:rFonts w:ascii="Times New Roman" w:hAnsi="Times New Roman" w:cs="Times New Roman"/>
                <w:color w:val="000000" w:themeColor="text1"/>
                <w:lang w:val="en-GB"/>
              </w:rPr>
              <w:t>)</w:t>
            </w:r>
            <w:r w:rsidR="00F22532" w:rsidRPr="00590BB6">
              <w:rPr>
                <w:rFonts w:ascii="Times New Roman" w:hAnsi="Times New Roman" w:cs="Times New Roman"/>
                <w:color w:val="000000" w:themeColor="text1"/>
                <w:lang w:val="en-GB"/>
              </w:rPr>
              <w:t xml:space="preserve">. </w:t>
            </w:r>
            <w:r w:rsidR="005114AA" w:rsidRPr="00590BB6">
              <w:rPr>
                <w:rFonts w:ascii="Times New Roman" w:hAnsi="Times New Roman" w:cs="Times New Roman"/>
                <w:color w:val="000000" w:themeColor="text1"/>
                <w:lang w:val="en-GB"/>
              </w:rPr>
              <w:t xml:space="preserve">Technology investments limited for older vehicle categories, SE and ME diesel and gasoline trucks (i.e., </w:t>
            </w:r>
            <w:r w:rsidR="00BE066A" w:rsidRPr="00590BB6">
              <w:rPr>
                <w:rFonts w:ascii="Times New Roman" w:hAnsi="Times New Roman" w:cs="Times New Roman"/>
                <w:color w:val="000000" w:themeColor="text1"/>
                <w:lang w:val="en-GB"/>
              </w:rPr>
              <w:t>EURO I-IV)</w:t>
            </w:r>
            <w:r w:rsidR="00762011" w:rsidRPr="00590BB6">
              <w:rPr>
                <w:rFonts w:ascii="Times New Roman" w:hAnsi="Times New Roman" w:cs="Times New Roman"/>
                <w:color w:val="000000" w:themeColor="text1"/>
                <w:lang w:val="en-GB"/>
              </w:rPr>
              <w:t>.</w:t>
            </w:r>
          </w:p>
        </w:tc>
      </w:tr>
      <w:tr w:rsidR="00B74CE9" w:rsidRPr="00590BB6" w14:paraId="7EE065AF" w14:textId="77777777" w:rsidTr="0044327C">
        <w:trPr>
          <w:trHeight w:val="130"/>
        </w:trPr>
        <w:tc>
          <w:tcPr>
            <w:tcW w:w="1620" w:type="dxa"/>
            <w:shd w:val="clear" w:color="auto" w:fill="auto"/>
          </w:tcPr>
          <w:p w14:paraId="6C7E06C6" w14:textId="2A91DB14" w:rsidR="00B74CE9" w:rsidRPr="00590BB6" w:rsidRDefault="00BE06C4" w:rsidP="0044327C">
            <w:pPr>
              <w:pStyle w:val="PreformattedText"/>
              <w:spacing w:line="360" w:lineRule="auto"/>
              <w:contextualSpacing/>
              <w:jc w:val="center"/>
              <w:rPr>
                <w:rFonts w:ascii="Times New Roman" w:hAnsi="Times New Roman" w:cs="Times New Roman"/>
                <w:b/>
                <w:i/>
                <w:color w:val="000000"/>
                <w:lang w:val="en-GB"/>
              </w:rPr>
            </w:pPr>
            <w:r w:rsidRPr="00590BB6">
              <w:rPr>
                <w:rFonts w:ascii="Times New Roman" w:hAnsi="Times New Roman" w:cs="Times New Roman"/>
                <w:b/>
                <w:i/>
                <w:color w:val="000000" w:themeColor="text1"/>
                <w:lang w:val="en-GB"/>
              </w:rPr>
              <w:t>Fuel Projections</w:t>
            </w:r>
          </w:p>
        </w:tc>
        <w:tc>
          <w:tcPr>
            <w:tcW w:w="7920" w:type="dxa"/>
            <w:shd w:val="clear" w:color="auto" w:fill="auto"/>
            <w:vAlign w:val="center"/>
          </w:tcPr>
          <w:p w14:paraId="39D6C215" w14:textId="3300B4D6" w:rsidR="00B74CE9" w:rsidRPr="00590BB6" w:rsidRDefault="001C016E" w:rsidP="0044327C">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i/>
                <w:color w:val="000000" w:themeColor="text1"/>
                <w:lang w:val="en-GB"/>
              </w:rPr>
              <w:t>Tech Costs</w:t>
            </w:r>
            <w:r w:rsidRPr="00590BB6">
              <w:rPr>
                <w:rFonts w:ascii="Times New Roman" w:hAnsi="Times New Roman" w:cs="Times New Roman"/>
                <w:color w:val="000000" w:themeColor="text1"/>
                <w:lang w:val="en-GB"/>
              </w:rPr>
              <w:t xml:space="preserve"> </w:t>
            </w:r>
            <w:r w:rsidR="00B74CE9" w:rsidRPr="00590BB6">
              <w:rPr>
                <w:rFonts w:ascii="Times New Roman" w:hAnsi="Times New Roman" w:cs="Times New Roman"/>
                <w:color w:val="000000" w:themeColor="text1"/>
                <w:lang w:val="en-GB"/>
              </w:rPr>
              <w:t xml:space="preserve">plus </w:t>
            </w:r>
            <w:r w:rsidR="0044327C" w:rsidRPr="00590BB6">
              <w:rPr>
                <w:rFonts w:ascii="Times New Roman" w:hAnsi="Times New Roman" w:cs="Times New Roman"/>
                <w:color w:val="000000" w:themeColor="text1"/>
                <w:lang w:val="en-GB"/>
              </w:rPr>
              <w:t xml:space="preserve">fuel </w:t>
            </w:r>
            <w:r w:rsidR="00B74CE9" w:rsidRPr="00590BB6">
              <w:rPr>
                <w:rFonts w:ascii="Times New Roman" w:hAnsi="Times New Roman" w:cs="Times New Roman"/>
                <w:color w:val="000000" w:themeColor="text1"/>
                <w:lang w:val="en-GB"/>
              </w:rPr>
              <w:t>prices projections (</w:t>
            </w:r>
            <w:r w:rsidR="00A644B3" w:rsidRPr="00590BB6">
              <w:rPr>
                <w:rFonts w:ascii="Times New Roman" w:hAnsi="Times New Roman" w:cs="Times New Roman"/>
                <w:color w:val="000000" w:themeColor="text1"/>
                <w:lang w:val="en-GB"/>
              </w:rPr>
              <w:fldChar w:fldCharType="begin"/>
            </w:r>
            <w:r w:rsidR="00A644B3" w:rsidRPr="00590BB6">
              <w:rPr>
                <w:rFonts w:ascii="Times New Roman" w:hAnsi="Times New Roman" w:cs="Times New Roman"/>
                <w:color w:val="000000" w:themeColor="text1"/>
                <w:lang w:val="en-GB"/>
              </w:rPr>
              <w:instrText xml:space="preserve"> REF _Ref143128529 \h  \* MERGEFORMAT </w:instrText>
            </w:r>
            <w:r w:rsidR="00A644B3" w:rsidRPr="00590BB6">
              <w:rPr>
                <w:rFonts w:ascii="Times New Roman" w:hAnsi="Times New Roman" w:cs="Times New Roman"/>
                <w:color w:val="000000" w:themeColor="text1"/>
                <w:lang w:val="en-GB"/>
              </w:rPr>
            </w:r>
            <w:r w:rsidR="00A644B3" w:rsidRPr="00590BB6">
              <w:rPr>
                <w:rFonts w:ascii="Times New Roman" w:hAnsi="Times New Roman" w:cs="Times New Roman"/>
                <w:color w:val="000000" w:themeColor="text1"/>
                <w:lang w:val="en-GB"/>
              </w:rPr>
              <w:fldChar w:fldCharType="separate"/>
            </w:r>
            <w:r w:rsidR="00A644B3" w:rsidRPr="00590BB6">
              <w:rPr>
                <w:rFonts w:ascii="Times New Roman" w:hAnsi="Times New Roman" w:cs="Times New Roman"/>
                <w:color w:val="000000" w:themeColor="text1"/>
                <w:lang w:val="en-GB"/>
              </w:rPr>
              <w:t>Figure 7</w:t>
            </w:r>
            <w:r w:rsidR="00A644B3" w:rsidRPr="00590BB6">
              <w:rPr>
                <w:rFonts w:ascii="Times New Roman" w:hAnsi="Times New Roman" w:cs="Times New Roman"/>
                <w:color w:val="000000" w:themeColor="text1"/>
                <w:lang w:val="en-GB"/>
              </w:rPr>
              <w:fldChar w:fldCharType="end"/>
            </w:r>
            <w:r w:rsidR="00B74CE9" w:rsidRPr="00590BB6">
              <w:rPr>
                <w:rFonts w:ascii="Times New Roman" w:hAnsi="Times New Roman" w:cs="Times New Roman"/>
                <w:color w:val="000000" w:themeColor="text1"/>
                <w:lang w:val="en-GB"/>
              </w:rPr>
              <w:t>)</w:t>
            </w:r>
            <w:r w:rsidR="00762011" w:rsidRPr="00590BB6">
              <w:rPr>
                <w:rFonts w:ascii="Times New Roman" w:hAnsi="Times New Roman" w:cs="Times New Roman"/>
                <w:color w:val="000000" w:themeColor="text1"/>
                <w:lang w:val="en-GB"/>
              </w:rPr>
              <w:t>.</w:t>
            </w:r>
          </w:p>
        </w:tc>
      </w:tr>
      <w:tr w:rsidR="00B74CE9" w:rsidRPr="00590BB6" w14:paraId="06B06529" w14:textId="77777777" w:rsidTr="0044327C">
        <w:trPr>
          <w:trHeight w:val="761"/>
        </w:trPr>
        <w:tc>
          <w:tcPr>
            <w:tcW w:w="1620" w:type="dxa"/>
            <w:shd w:val="clear" w:color="auto" w:fill="auto"/>
          </w:tcPr>
          <w:p w14:paraId="01A9E469" w14:textId="15866F90" w:rsidR="00B74CE9" w:rsidRPr="00590BB6" w:rsidRDefault="00B74CE9" w:rsidP="0044327C">
            <w:pPr>
              <w:pStyle w:val="PreformattedText"/>
              <w:spacing w:line="360" w:lineRule="auto"/>
              <w:contextualSpacing/>
              <w:jc w:val="center"/>
              <w:rPr>
                <w:rFonts w:ascii="Times New Roman" w:hAnsi="Times New Roman" w:cs="Times New Roman"/>
                <w:b/>
                <w:i/>
                <w:color w:val="000000"/>
                <w:lang w:val="en-GB"/>
              </w:rPr>
            </w:pPr>
            <w:r w:rsidRPr="00590BB6">
              <w:rPr>
                <w:rFonts w:ascii="Times New Roman" w:hAnsi="Times New Roman" w:cs="Times New Roman"/>
                <w:b/>
                <w:i/>
                <w:color w:val="000000" w:themeColor="text1"/>
                <w:lang w:val="en-GB"/>
              </w:rPr>
              <w:t>Carbon Price</w:t>
            </w:r>
          </w:p>
        </w:tc>
        <w:tc>
          <w:tcPr>
            <w:tcW w:w="7920" w:type="dxa"/>
            <w:shd w:val="clear" w:color="auto" w:fill="auto"/>
            <w:vAlign w:val="center"/>
          </w:tcPr>
          <w:p w14:paraId="6DAC511B" w14:textId="2FF3EAB5" w:rsidR="00B74CE9" w:rsidRPr="00590BB6" w:rsidRDefault="001C016E" w:rsidP="001301FD">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i/>
                <w:color w:val="000000"/>
                <w:lang w:val="en-GB"/>
              </w:rPr>
              <w:t>Fuel Prices</w:t>
            </w:r>
            <w:r w:rsidRPr="00590BB6">
              <w:rPr>
                <w:rFonts w:ascii="Times New Roman" w:hAnsi="Times New Roman" w:cs="Times New Roman"/>
                <w:color w:val="000000"/>
                <w:lang w:val="en-GB"/>
              </w:rPr>
              <w:t xml:space="preserve"> </w:t>
            </w:r>
            <w:r w:rsidR="00B74CE9" w:rsidRPr="00590BB6">
              <w:rPr>
                <w:rFonts w:ascii="Times New Roman" w:hAnsi="Times New Roman" w:cs="Times New Roman"/>
                <w:color w:val="000000"/>
                <w:lang w:val="en-GB"/>
              </w:rPr>
              <w:t xml:space="preserve">plus Carbon prices </w:t>
            </w:r>
            <w:r w:rsidR="00762011" w:rsidRPr="00590BB6">
              <w:rPr>
                <w:rFonts w:ascii="Times New Roman" w:hAnsi="Times New Roman" w:cs="Times New Roman"/>
                <w:color w:val="000000"/>
                <w:lang w:val="en-GB"/>
              </w:rPr>
              <w:t xml:space="preserve">(Supplementary Material, Figure </w:t>
            </w:r>
            <w:r w:rsidR="001301FD" w:rsidRPr="00590BB6">
              <w:rPr>
                <w:rFonts w:ascii="Times New Roman" w:hAnsi="Times New Roman" w:cs="Times New Roman"/>
                <w:color w:val="000000"/>
                <w:lang w:val="en-GB"/>
              </w:rPr>
              <w:t>S.1</w:t>
            </w:r>
            <w:r w:rsidR="00762011" w:rsidRPr="00590BB6">
              <w:rPr>
                <w:rFonts w:ascii="Times New Roman" w:hAnsi="Times New Roman" w:cs="Times New Roman"/>
                <w:color w:val="000000"/>
                <w:lang w:val="en-GB"/>
              </w:rPr>
              <w:t xml:space="preserve">) </w:t>
            </w:r>
            <w:r w:rsidR="00B74CE9" w:rsidRPr="00590BB6">
              <w:rPr>
                <w:rFonts w:ascii="Times New Roman" w:hAnsi="Times New Roman" w:cs="Times New Roman"/>
                <w:color w:val="000000"/>
                <w:lang w:val="en-GB"/>
              </w:rPr>
              <w:t xml:space="preserve">introduced </w:t>
            </w:r>
            <w:r w:rsidR="00D40D44" w:rsidRPr="00590BB6">
              <w:rPr>
                <w:rFonts w:ascii="Times New Roman" w:hAnsi="Times New Roman" w:cs="Times New Roman"/>
                <w:color w:val="000000"/>
                <w:lang w:val="en-GB"/>
              </w:rPr>
              <w:t>from</w:t>
            </w:r>
            <w:r w:rsidR="00B74CE9" w:rsidRPr="00590BB6">
              <w:rPr>
                <w:rFonts w:ascii="Times New Roman" w:hAnsi="Times New Roman" w:cs="Times New Roman"/>
                <w:color w:val="000000"/>
                <w:lang w:val="en-GB"/>
              </w:rPr>
              <w:t xml:space="preserve"> 2025 </w:t>
            </w:r>
            <w:r w:rsidR="00D40D44" w:rsidRPr="00590BB6">
              <w:rPr>
                <w:rFonts w:ascii="Times New Roman" w:hAnsi="Times New Roman" w:cs="Times New Roman"/>
                <w:color w:val="000000"/>
                <w:lang w:val="en-GB"/>
              </w:rPr>
              <w:t>onwards</w:t>
            </w:r>
            <w:r w:rsidR="00762011" w:rsidRPr="00590BB6">
              <w:rPr>
                <w:rFonts w:ascii="Times New Roman" w:hAnsi="Times New Roman" w:cs="Times New Roman"/>
                <w:color w:val="000000"/>
                <w:lang w:val="en-GB"/>
              </w:rPr>
              <w:t>.</w:t>
            </w:r>
          </w:p>
        </w:tc>
      </w:tr>
      <w:tr w:rsidR="00B74CE9" w:rsidRPr="00590BB6" w14:paraId="23FF9E17" w14:textId="77777777" w:rsidTr="0044327C">
        <w:trPr>
          <w:trHeight w:val="806"/>
        </w:trPr>
        <w:tc>
          <w:tcPr>
            <w:tcW w:w="1620" w:type="dxa"/>
            <w:shd w:val="clear" w:color="auto" w:fill="auto"/>
          </w:tcPr>
          <w:p w14:paraId="38258793" w14:textId="7BF4D3D4" w:rsidR="00B74CE9" w:rsidRPr="00590BB6" w:rsidRDefault="00CF355F" w:rsidP="0044327C">
            <w:pPr>
              <w:pStyle w:val="PreformattedText"/>
              <w:spacing w:line="360" w:lineRule="auto"/>
              <w:contextualSpacing/>
              <w:jc w:val="center"/>
              <w:rPr>
                <w:rFonts w:ascii="Times New Roman" w:hAnsi="Times New Roman" w:cs="Times New Roman"/>
                <w:b/>
                <w:i/>
                <w:color w:val="000000"/>
                <w:lang w:val="en-GB"/>
              </w:rPr>
            </w:pPr>
            <w:r w:rsidRPr="00590BB6">
              <w:rPr>
                <w:rFonts w:ascii="Times New Roman" w:hAnsi="Times New Roman" w:cs="Times New Roman"/>
                <w:b/>
                <w:i/>
                <w:color w:val="000000"/>
                <w:lang w:val="en-GB"/>
              </w:rPr>
              <w:t>2040 ICE B</w:t>
            </w:r>
            <w:r w:rsidR="00B74CE9" w:rsidRPr="00590BB6">
              <w:rPr>
                <w:rFonts w:ascii="Times New Roman" w:hAnsi="Times New Roman" w:cs="Times New Roman"/>
                <w:b/>
                <w:i/>
                <w:color w:val="000000"/>
                <w:lang w:val="en-GB"/>
              </w:rPr>
              <w:t>an</w:t>
            </w:r>
          </w:p>
        </w:tc>
        <w:tc>
          <w:tcPr>
            <w:tcW w:w="7920" w:type="dxa"/>
            <w:shd w:val="clear" w:color="auto" w:fill="auto"/>
            <w:vAlign w:val="center"/>
          </w:tcPr>
          <w:p w14:paraId="12CED64A" w14:textId="2D0132FF" w:rsidR="00B74CE9" w:rsidRPr="00590BB6" w:rsidRDefault="001C016E" w:rsidP="0044327C">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i/>
                <w:color w:val="000000"/>
                <w:lang w:val="en-GB"/>
              </w:rPr>
              <w:t>Carbon Price</w:t>
            </w:r>
            <w:r w:rsidRPr="00590BB6">
              <w:rPr>
                <w:rFonts w:ascii="Times New Roman" w:hAnsi="Times New Roman" w:cs="Times New Roman"/>
                <w:color w:val="000000"/>
                <w:lang w:val="en-GB"/>
              </w:rPr>
              <w:t xml:space="preserve"> </w:t>
            </w:r>
            <w:r w:rsidR="00B74CE9" w:rsidRPr="00590BB6">
              <w:rPr>
                <w:rFonts w:ascii="Times New Roman" w:hAnsi="Times New Roman" w:cs="Times New Roman"/>
                <w:color w:val="000000"/>
                <w:lang w:val="en-GB"/>
              </w:rPr>
              <w:t xml:space="preserve">plus a ban on </w:t>
            </w:r>
            <w:r w:rsidR="00E95BB0" w:rsidRPr="00590BB6">
              <w:rPr>
                <w:rFonts w:ascii="Times New Roman" w:hAnsi="Times New Roman" w:cs="Times New Roman"/>
                <w:color w:val="000000"/>
                <w:lang w:val="en-GB"/>
              </w:rPr>
              <w:t xml:space="preserve">the sale of new </w:t>
            </w:r>
            <w:r w:rsidR="00B74CE9" w:rsidRPr="00590BB6">
              <w:rPr>
                <w:rFonts w:ascii="Times New Roman" w:hAnsi="Times New Roman" w:cs="Times New Roman"/>
                <w:color w:val="000000"/>
                <w:lang w:val="en-GB"/>
              </w:rPr>
              <w:t>gasoline, diesel, and natural gas-fuelled trucks from 2040 onwards</w:t>
            </w:r>
            <w:r w:rsidR="00762011" w:rsidRPr="00590BB6">
              <w:rPr>
                <w:rFonts w:ascii="Times New Roman" w:hAnsi="Times New Roman" w:cs="Times New Roman"/>
                <w:color w:val="000000"/>
                <w:lang w:val="en-GB"/>
              </w:rPr>
              <w:t>.</w:t>
            </w:r>
          </w:p>
        </w:tc>
      </w:tr>
      <w:tr w:rsidR="00B74CE9" w:rsidRPr="00590BB6" w14:paraId="527A30F1" w14:textId="77777777" w:rsidTr="0044327C">
        <w:trPr>
          <w:trHeight w:val="130"/>
        </w:trPr>
        <w:tc>
          <w:tcPr>
            <w:tcW w:w="1620" w:type="dxa"/>
            <w:tcBorders>
              <w:bottom w:val="single" w:sz="4" w:space="0" w:color="auto"/>
            </w:tcBorders>
            <w:shd w:val="clear" w:color="auto" w:fill="auto"/>
          </w:tcPr>
          <w:p w14:paraId="61CBF2F9" w14:textId="7FFB6296" w:rsidR="00B74CE9" w:rsidRPr="00590BB6" w:rsidRDefault="00CF355F" w:rsidP="0044327C">
            <w:pPr>
              <w:pStyle w:val="PreformattedText"/>
              <w:spacing w:line="360" w:lineRule="auto"/>
              <w:contextualSpacing/>
              <w:jc w:val="center"/>
              <w:rPr>
                <w:rFonts w:ascii="Times New Roman" w:hAnsi="Times New Roman" w:cs="Times New Roman"/>
                <w:b/>
                <w:i/>
                <w:color w:val="000000"/>
                <w:lang w:val="en-GB"/>
              </w:rPr>
            </w:pPr>
            <w:r w:rsidRPr="00590BB6">
              <w:rPr>
                <w:rFonts w:ascii="Times New Roman" w:hAnsi="Times New Roman" w:cs="Times New Roman"/>
                <w:b/>
                <w:i/>
                <w:color w:val="000000"/>
                <w:lang w:val="en-GB"/>
              </w:rPr>
              <w:t>2030 ICE B</w:t>
            </w:r>
            <w:r w:rsidR="00B74CE9" w:rsidRPr="00590BB6">
              <w:rPr>
                <w:rFonts w:ascii="Times New Roman" w:hAnsi="Times New Roman" w:cs="Times New Roman"/>
                <w:b/>
                <w:i/>
                <w:color w:val="000000"/>
                <w:lang w:val="en-GB"/>
              </w:rPr>
              <w:t>an</w:t>
            </w:r>
          </w:p>
        </w:tc>
        <w:tc>
          <w:tcPr>
            <w:tcW w:w="7920" w:type="dxa"/>
            <w:tcBorders>
              <w:bottom w:val="single" w:sz="4" w:space="0" w:color="auto"/>
            </w:tcBorders>
            <w:shd w:val="clear" w:color="auto" w:fill="auto"/>
            <w:vAlign w:val="center"/>
          </w:tcPr>
          <w:p w14:paraId="59274475" w14:textId="11BF2D58" w:rsidR="00B74CE9" w:rsidRPr="00590BB6" w:rsidRDefault="001C016E" w:rsidP="0044327C">
            <w:pPr>
              <w:pStyle w:val="PreformattedText"/>
              <w:spacing w:line="360" w:lineRule="auto"/>
              <w:contextualSpacing/>
              <w:jc w:val="center"/>
              <w:rPr>
                <w:rFonts w:ascii="Times New Roman" w:hAnsi="Times New Roman" w:cs="Times New Roman"/>
                <w:color w:val="000000"/>
                <w:lang w:val="en-GB"/>
              </w:rPr>
            </w:pPr>
            <w:r w:rsidRPr="00590BB6">
              <w:rPr>
                <w:rFonts w:ascii="Times New Roman" w:hAnsi="Times New Roman" w:cs="Times New Roman"/>
                <w:i/>
                <w:color w:val="000000"/>
                <w:lang w:val="en-GB"/>
              </w:rPr>
              <w:t>Carbon Price</w:t>
            </w:r>
            <w:r w:rsidRPr="00590BB6">
              <w:rPr>
                <w:rFonts w:ascii="Times New Roman" w:hAnsi="Times New Roman" w:cs="Times New Roman"/>
                <w:color w:val="000000"/>
                <w:lang w:val="en-GB"/>
              </w:rPr>
              <w:t xml:space="preserve"> </w:t>
            </w:r>
            <w:r w:rsidR="00B74CE9" w:rsidRPr="00590BB6">
              <w:rPr>
                <w:rFonts w:ascii="Times New Roman" w:hAnsi="Times New Roman" w:cs="Times New Roman"/>
                <w:color w:val="000000"/>
                <w:lang w:val="en-GB"/>
              </w:rPr>
              <w:t>plus a ban on</w:t>
            </w:r>
            <w:r w:rsidR="00E95BB0" w:rsidRPr="00590BB6">
              <w:rPr>
                <w:rFonts w:ascii="Times New Roman" w:hAnsi="Times New Roman" w:cs="Times New Roman"/>
                <w:color w:val="000000"/>
                <w:lang w:val="en-GB"/>
              </w:rPr>
              <w:t xml:space="preserve"> the sale of new</w:t>
            </w:r>
            <w:r w:rsidR="00B74CE9" w:rsidRPr="00590BB6">
              <w:rPr>
                <w:rFonts w:ascii="Times New Roman" w:hAnsi="Times New Roman" w:cs="Times New Roman"/>
                <w:color w:val="000000"/>
                <w:lang w:val="en-GB"/>
              </w:rPr>
              <w:t xml:space="preserve"> gasoline, diesel, and natural gas-fuelled trucks from 2030 onwards</w:t>
            </w:r>
          </w:p>
        </w:tc>
      </w:tr>
    </w:tbl>
    <w:p w14:paraId="21D51473" w14:textId="08AAF927" w:rsidR="00733FFE" w:rsidRPr="00590BB6" w:rsidRDefault="00733FFE" w:rsidP="00733FFE">
      <w:pPr>
        <w:spacing w:line="360" w:lineRule="auto"/>
        <w:jc w:val="both"/>
        <w:rPr>
          <w:rFonts w:cs="Times New Roman"/>
        </w:rPr>
      </w:pPr>
    </w:p>
    <w:p w14:paraId="7972BA3C" w14:textId="3F66371E" w:rsidR="00151543" w:rsidRPr="00590BB6" w:rsidRDefault="00DE5BD2" w:rsidP="001C016E">
      <w:pPr>
        <w:pStyle w:val="Heading1"/>
        <w:spacing w:after="240" w:line="360" w:lineRule="auto"/>
        <w:rPr>
          <w:rFonts w:cs="Times New Roman"/>
          <w:sz w:val="22"/>
          <w:szCs w:val="22"/>
        </w:rPr>
      </w:pPr>
      <w:bookmarkStart w:id="24" w:name="_Hlk96678913"/>
      <w:r w:rsidRPr="00590BB6">
        <w:rPr>
          <w:rFonts w:cs="Times New Roman"/>
          <w:sz w:val="22"/>
          <w:szCs w:val="22"/>
        </w:rPr>
        <w:lastRenderedPageBreak/>
        <w:t>Results</w:t>
      </w:r>
      <w:r w:rsidR="00F42B0B" w:rsidRPr="00590BB6">
        <w:rPr>
          <w:rFonts w:cs="Times New Roman"/>
          <w:sz w:val="22"/>
          <w:szCs w:val="22"/>
        </w:rPr>
        <w:t xml:space="preserve"> AND DisCUSSION</w:t>
      </w:r>
    </w:p>
    <w:p w14:paraId="42A3BEC3" w14:textId="008A2057" w:rsidR="00B0247B" w:rsidRPr="00590BB6" w:rsidRDefault="00B0247B" w:rsidP="00B0247B">
      <w:pPr>
        <w:spacing w:line="360" w:lineRule="auto"/>
        <w:jc w:val="both"/>
      </w:pPr>
      <w:r w:rsidRPr="00590BB6">
        <w:t xml:space="preserve">The </w:t>
      </w:r>
      <w:r w:rsidR="0044327C" w:rsidRPr="00590BB6">
        <w:t xml:space="preserve">simulation </w:t>
      </w:r>
      <w:r w:rsidRPr="00590BB6">
        <w:t xml:space="preserve">results are displayed in relation to the fleet composition of scenarios, </w:t>
      </w:r>
      <w:r w:rsidR="00E5597D" w:rsidRPr="00590BB6">
        <w:t xml:space="preserve">with </w:t>
      </w:r>
      <w:r w:rsidRPr="00590BB6">
        <w:t>their respective fuel consumption, and emissions</w:t>
      </w:r>
      <w:r w:rsidR="00E5597D" w:rsidRPr="00590BB6">
        <w:t xml:space="preserve">, </w:t>
      </w:r>
      <w:r w:rsidR="003336C3" w:rsidRPr="00590BB6">
        <w:t>an analysis of the uptake of alternative powertrains, and an assessment of the feasibility of the transition.</w:t>
      </w:r>
    </w:p>
    <w:p w14:paraId="740EB0CF" w14:textId="2D3BCC3A" w:rsidR="0032708E" w:rsidRPr="00590BB6" w:rsidRDefault="0032708E" w:rsidP="004405F1">
      <w:pPr>
        <w:pStyle w:val="Heading2"/>
        <w:spacing w:after="240"/>
      </w:pPr>
      <w:r w:rsidRPr="00590BB6">
        <w:t>Fleet composition</w:t>
      </w:r>
      <w:r w:rsidR="00BC3C15" w:rsidRPr="00590BB6">
        <w:t>, fuels, and emissions</w:t>
      </w:r>
    </w:p>
    <w:p w14:paraId="2A06A4D8" w14:textId="21E8A841" w:rsidR="00C94933" w:rsidRPr="00590BB6" w:rsidRDefault="00A644B3" w:rsidP="00C94933">
      <w:pPr>
        <w:spacing w:line="360" w:lineRule="auto"/>
        <w:jc w:val="both"/>
        <w:rPr>
          <w:rFonts w:cs="Times New Roman"/>
        </w:rPr>
      </w:pPr>
      <w:r w:rsidRPr="00590BB6">
        <w:rPr>
          <w:rFonts w:cs="Times New Roman"/>
        </w:rPr>
        <w:fldChar w:fldCharType="begin"/>
      </w:r>
      <w:r w:rsidRPr="00590BB6">
        <w:rPr>
          <w:rFonts w:cs="Times New Roman"/>
        </w:rPr>
        <w:instrText xml:space="preserve"> REF _Ref143128737 \h </w:instrText>
      </w:r>
      <w:r w:rsidR="00590BB6">
        <w:rPr>
          <w:rFonts w:cs="Times New Roman"/>
        </w:rPr>
        <w:instrText xml:space="preserve"> \* MERGEFORMAT </w:instrText>
      </w:r>
      <w:r w:rsidRPr="00590BB6">
        <w:rPr>
          <w:rFonts w:cs="Times New Roman"/>
        </w:rPr>
      </w:r>
      <w:r w:rsidRPr="00590BB6">
        <w:rPr>
          <w:rFonts w:cs="Times New Roman"/>
        </w:rPr>
        <w:fldChar w:fldCharType="separate"/>
      </w:r>
      <w:r w:rsidRPr="00590BB6">
        <w:t xml:space="preserve">Figure </w:t>
      </w:r>
      <w:r w:rsidRPr="00590BB6">
        <w:rPr>
          <w:noProof/>
        </w:rPr>
        <w:t>9</w:t>
      </w:r>
      <w:r w:rsidRPr="00590BB6">
        <w:rPr>
          <w:rFonts w:cs="Times New Roman"/>
        </w:rPr>
        <w:fldChar w:fldCharType="end"/>
      </w:r>
      <w:r w:rsidRPr="00590BB6">
        <w:rPr>
          <w:rFonts w:cs="Times New Roman"/>
        </w:rPr>
        <w:t xml:space="preserve"> </w:t>
      </w:r>
      <w:r w:rsidR="007B6E18" w:rsidRPr="00590BB6">
        <w:rPr>
          <w:rFonts w:cs="Times New Roman"/>
        </w:rPr>
        <w:t>show</w:t>
      </w:r>
      <w:r w:rsidR="00FF2427" w:rsidRPr="00590BB6">
        <w:rPr>
          <w:rFonts w:cs="Times New Roman"/>
        </w:rPr>
        <w:t>s</w:t>
      </w:r>
      <w:r w:rsidR="007B6E18" w:rsidRPr="00590BB6">
        <w:rPr>
          <w:rFonts w:cs="Times New Roman"/>
        </w:rPr>
        <w:t xml:space="preserve"> the fleet composition in percentage terms across all scenarios</w:t>
      </w:r>
      <w:r w:rsidR="004C610A" w:rsidRPr="00590BB6">
        <w:rPr>
          <w:rFonts w:cs="Times New Roman"/>
        </w:rPr>
        <w:t xml:space="preserve">, for </w:t>
      </w:r>
      <w:r w:rsidR="007B6E18" w:rsidRPr="00590BB6">
        <w:rPr>
          <w:rFonts w:cs="Times New Roman"/>
        </w:rPr>
        <w:t>2050</w:t>
      </w:r>
      <w:r w:rsidR="00C94933" w:rsidRPr="00590BB6">
        <w:rPr>
          <w:rStyle w:val="FootnoteReference"/>
          <w:rFonts w:cs="Times New Roman"/>
        </w:rPr>
        <w:footnoteReference w:id="15"/>
      </w:r>
      <w:r w:rsidR="007B6E18" w:rsidRPr="00590BB6">
        <w:rPr>
          <w:rFonts w:cs="Times New Roman"/>
        </w:rPr>
        <w:t>.</w:t>
      </w:r>
      <w:r w:rsidR="00C94933" w:rsidRPr="00590BB6">
        <w:rPr>
          <w:rFonts w:cs="Times New Roman"/>
        </w:rPr>
        <w:t xml:space="preserve"> From the charts, it can be noticed that:</w:t>
      </w:r>
    </w:p>
    <w:p w14:paraId="1EDBB048" w14:textId="34CD819C" w:rsidR="00F361CA" w:rsidRPr="00590BB6" w:rsidRDefault="00F361CA" w:rsidP="00F361CA">
      <w:pPr>
        <w:pStyle w:val="ListParagraph"/>
        <w:numPr>
          <w:ilvl w:val="0"/>
          <w:numId w:val="53"/>
        </w:numPr>
        <w:spacing w:line="360" w:lineRule="auto"/>
        <w:jc w:val="both"/>
        <w:rPr>
          <w:rFonts w:cs="Times New Roman"/>
        </w:rPr>
      </w:pPr>
      <w:r w:rsidRPr="00590BB6">
        <w:rPr>
          <w:rFonts w:cs="Times New Roman"/>
        </w:rPr>
        <w:t xml:space="preserve">In the </w:t>
      </w:r>
      <w:r w:rsidRPr="00590BB6">
        <w:rPr>
          <w:rFonts w:cs="Times New Roman"/>
          <w:i/>
        </w:rPr>
        <w:t>Reference</w:t>
      </w:r>
      <w:r w:rsidRPr="00590BB6">
        <w:rPr>
          <w:rFonts w:cs="Times New Roman"/>
        </w:rPr>
        <w:t xml:space="preserve"> scenario, the </w:t>
      </w:r>
      <w:r w:rsidR="008C5239" w:rsidRPr="00590BB6">
        <w:rPr>
          <w:rFonts w:cs="Times New Roman"/>
        </w:rPr>
        <w:t xml:space="preserve">preferred technologies are </w:t>
      </w:r>
      <w:r w:rsidRPr="00590BB6">
        <w:rPr>
          <w:rFonts w:cs="Times New Roman"/>
        </w:rPr>
        <w:t xml:space="preserve">diesel </w:t>
      </w:r>
      <w:r w:rsidR="00287FE2" w:rsidRPr="00590BB6">
        <w:rPr>
          <w:rFonts w:cs="Times New Roman"/>
        </w:rPr>
        <w:t xml:space="preserve">HE </w:t>
      </w:r>
      <w:r w:rsidRPr="00590BB6">
        <w:rPr>
          <w:rFonts w:cs="Times New Roman"/>
        </w:rPr>
        <w:t xml:space="preserve">from 2025 to 2035 and LPG trucks from 2040 onwards in the heavy category, natural gas medium trucks, and diesel HE </w:t>
      </w:r>
      <w:r w:rsidR="00287FE2" w:rsidRPr="00590BB6">
        <w:rPr>
          <w:rFonts w:cs="Times New Roman"/>
        </w:rPr>
        <w:t xml:space="preserve">light </w:t>
      </w:r>
      <w:r w:rsidRPr="00590BB6">
        <w:rPr>
          <w:rFonts w:cs="Times New Roman"/>
        </w:rPr>
        <w:t>trucks from 2025 onwards.</w:t>
      </w:r>
      <w:r w:rsidR="004C0F78" w:rsidRPr="00590BB6">
        <w:rPr>
          <w:rFonts w:cs="Times New Roman"/>
        </w:rPr>
        <w:t xml:space="preserve"> This is a counterfactual scenario</w:t>
      </w:r>
      <w:r w:rsidR="00287FE2" w:rsidRPr="00590BB6">
        <w:rPr>
          <w:rFonts w:cs="Times New Roman"/>
        </w:rPr>
        <w:t xml:space="preserve"> to</w:t>
      </w:r>
      <w:r w:rsidR="004C0F78" w:rsidRPr="00590BB6">
        <w:rPr>
          <w:rFonts w:cs="Times New Roman"/>
        </w:rPr>
        <w:t xml:space="preserve"> show </w:t>
      </w:r>
      <w:r w:rsidR="00305FBA" w:rsidRPr="00590BB6">
        <w:rPr>
          <w:rFonts w:cs="Times New Roman"/>
        </w:rPr>
        <w:t xml:space="preserve">investment trends under </w:t>
      </w:r>
      <w:r w:rsidR="004405F1" w:rsidRPr="00590BB6">
        <w:rPr>
          <w:rFonts w:cs="Times New Roman"/>
        </w:rPr>
        <w:t>present-day</w:t>
      </w:r>
      <w:r w:rsidR="004C0F78" w:rsidRPr="00590BB6">
        <w:rPr>
          <w:rFonts w:cs="Times New Roman"/>
        </w:rPr>
        <w:t xml:space="preserve"> conditions. </w:t>
      </w:r>
    </w:p>
    <w:p w14:paraId="2A827E39" w14:textId="6A92B630" w:rsidR="004C0F78" w:rsidRPr="00590BB6" w:rsidRDefault="00F361CA" w:rsidP="00F361CA">
      <w:pPr>
        <w:pStyle w:val="ListParagraph"/>
        <w:numPr>
          <w:ilvl w:val="0"/>
          <w:numId w:val="53"/>
        </w:numPr>
        <w:spacing w:line="360" w:lineRule="auto"/>
        <w:jc w:val="both"/>
        <w:rPr>
          <w:rFonts w:cs="Times New Roman"/>
        </w:rPr>
      </w:pPr>
      <w:r w:rsidRPr="00590BB6">
        <w:rPr>
          <w:rFonts w:cs="Times New Roman"/>
        </w:rPr>
        <w:t xml:space="preserve">By adding assumptions regarding efficiency improvements in </w:t>
      </w:r>
      <w:r w:rsidRPr="00590BB6">
        <w:rPr>
          <w:rFonts w:cs="Times New Roman"/>
          <w:i/>
        </w:rPr>
        <w:t>Efficiency</w:t>
      </w:r>
      <w:r w:rsidRPr="00590BB6">
        <w:rPr>
          <w:rFonts w:cs="Times New Roman"/>
        </w:rPr>
        <w:t xml:space="preserve"> scenario, </w:t>
      </w:r>
      <w:r w:rsidR="00287FE2" w:rsidRPr="00590BB6">
        <w:rPr>
          <w:rFonts w:cs="Times New Roman"/>
        </w:rPr>
        <w:t xml:space="preserve">the same </w:t>
      </w:r>
      <w:r w:rsidRPr="00590BB6">
        <w:rPr>
          <w:rFonts w:cs="Times New Roman"/>
        </w:rPr>
        <w:t xml:space="preserve">technologies </w:t>
      </w:r>
      <w:r w:rsidR="00287FE2" w:rsidRPr="00590BB6">
        <w:rPr>
          <w:rFonts w:cs="Times New Roman"/>
        </w:rPr>
        <w:t xml:space="preserve">as the </w:t>
      </w:r>
      <w:r w:rsidR="00287FE2" w:rsidRPr="00590BB6">
        <w:rPr>
          <w:rFonts w:cs="Times New Roman"/>
          <w:i/>
          <w:iCs/>
        </w:rPr>
        <w:t>Reference</w:t>
      </w:r>
      <w:r w:rsidR="00287FE2" w:rsidRPr="00590BB6">
        <w:rPr>
          <w:rFonts w:cs="Times New Roman"/>
        </w:rPr>
        <w:t xml:space="preserve"> scenario, </w:t>
      </w:r>
      <w:r w:rsidR="008C5239" w:rsidRPr="00590BB6">
        <w:rPr>
          <w:rFonts w:cs="Times New Roman"/>
        </w:rPr>
        <w:t xml:space="preserve">are taken </w:t>
      </w:r>
      <w:r w:rsidRPr="00590BB6">
        <w:rPr>
          <w:rFonts w:cs="Times New Roman"/>
        </w:rPr>
        <w:t xml:space="preserve">except for light trucks, </w:t>
      </w:r>
      <w:r w:rsidR="00F34968">
        <w:rPr>
          <w:rFonts w:cs="Times New Roman"/>
        </w:rPr>
        <w:t>w</w:t>
      </w:r>
      <w:r w:rsidR="00A5756A">
        <w:rPr>
          <w:rFonts w:cs="Times New Roman"/>
        </w:rPr>
        <w:t>h</w:t>
      </w:r>
      <w:r w:rsidR="00F34968">
        <w:rPr>
          <w:rFonts w:cs="Times New Roman"/>
        </w:rPr>
        <w:t>ere</w:t>
      </w:r>
      <w:r w:rsidRPr="00590BB6">
        <w:rPr>
          <w:rFonts w:cs="Times New Roman"/>
        </w:rPr>
        <w:t xml:space="preserve"> gasoline HE </w:t>
      </w:r>
      <w:proofErr w:type="gramStart"/>
      <w:r w:rsidR="00F34968">
        <w:rPr>
          <w:rFonts w:cs="Times New Roman"/>
        </w:rPr>
        <w:t>are</w:t>
      </w:r>
      <w:proofErr w:type="gramEnd"/>
      <w:r w:rsidR="00F34968">
        <w:rPr>
          <w:rFonts w:cs="Times New Roman"/>
        </w:rPr>
        <w:t xml:space="preserve"> used </w:t>
      </w:r>
      <w:r w:rsidRPr="00590BB6">
        <w:rPr>
          <w:rFonts w:cs="Times New Roman"/>
        </w:rPr>
        <w:t xml:space="preserve">in addition to diesel HE in 2050. </w:t>
      </w:r>
    </w:p>
    <w:p w14:paraId="1D6D3DCF" w14:textId="1B3E5734" w:rsidR="00C94933" w:rsidRPr="00590BB6" w:rsidRDefault="00742FCB" w:rsidP="001A41CE">
      <w:pPr>
        <w:pStyle w:val="ListParagraph"/>
        <w:numPr>
          <w:ilvl w:val="0"/>
          <w:numId w:val="53"/>
        </w:numPr>
        <w:spacing w:line="360" w:lineRule="auto"/>
        <w:jc w:val="both"/>
        <w:rPr>
          <w:rFonts w:cs="Times New Roman"/>
        </w:rPr>
      </w:pPr>
      <w:r w:rsidRPr="00590BB6">
        <w:rPr>
          <w:rFonts w:cs="Times New Roman"/>
        </w:rPr>
        <w:t>I</w:t>
      </w:r>
      <w:r w:rsidR="0032708E" w:rsidRPr="00590BB6">
        <w:rPr>
          <w:rFonts w:cs="Times New Roman"/>
        </w:rPr>
        <w:t xml:space="preserve">n the </w:t>
      </w:r>
      <w:r w:rsidR="0032708E" w:rsidRPr="00590BB6">
        <w:rPr>
          <w:rFonts w:cs="Times New Roman"/>
          <w:i/>
        </w:rPr>
        <w:t>Tech Costs</w:t>
      </w:r>
      <w:r w:rsidR="0032708E" w:rsidRPr="00590BB6">
        <w:rPr>
          <w:rFonts w:cs="Times New Roman"/>
        </w:rPr>
        <w:t xml:space="preserve"> scenario</w:t>
      </w:r>
      <w:r w:rsidRPr="00590BB6">
        <w:rPr>
          <w:rFonts w:cs="Times New Roman"/>
        </w:rPr>
        <w:t xml:space="preserve">, </w:t>
      </w:r>
      <w:r w:rsidR="00287FE2" w:rsidRPr="00590BB6">
        <w:rPr>
          <w:rFonts w:cs="Times New Roman"/>
        </w:rPr>
        <w:t xml:space="preserve">the </w:t>
      </w:r>
      <w:r w:rsidRPr="00590BB6">
        <w:rPr>
          <w:rFonts w:cs="Times New Roman"/>
        </w:rPr>
        <w:t>light-truck fleet experience</w:t>
      </w:r>
      <w:r w:rsidR="00287FE2" w:rsidRPr="00590BB6">
        <w:rPr>
          <w:rFonts w:cs="Times New Roman"/>
        </w:rPr>
        <w:t>s</w:t>
      </w:r>
      <w:r w:rsidRPr="00590BB6">
        <w:rPr>
          <w:rFonts w:cs="Times New Roman"/>
        </w:rPr>
        <w:t xml:space="preserve"> a decrease in the number of </w:t>
      </w:r>
      <w:proofErr w:type="gramStart"/>
      <w:r w:rsidRPr="00590BB6">
        <w:rPr>
          <w:rFonts w:cs="Times New Roman"/>
        </w:rPr>
        <w:t>diesel</w:t>
      </w:r>
      <w:proofErr w:type="gramEnd"/>
      <w:r w:rsidRPr="00590BB6">
        <w:rPr>
          <w:rFonts w:cs="Times New Roman"/>
        </w:rPr>
        <w:t xml:space="preserve"> </w:t>
      </w:r>
      <w:r w:rsidR="00287FE2" w:rsidRPr="00590BB6">
        <w:rPr>
          <w:rFonts w:cs="Times New Roman"/>
        </w:rPr>
        <w:t xml:space="preserve">HE </w:t>
      </w:r>
      <w:r w:rsidRPr="00590BB6">
        <w:rPr>
          <w:rFonts w:cs="Times New Roman"/>
        </w:rPr>
        <w:t xml:space="preserve">vehicles </w:t>
      </w:r>
      <w:r w:rsidR="004C2B51" w:rsidRPr="00590BB6">
        <w:rPr>
          <w:rFonts w:cs="Times New Roman"/>
        </w:rPr>
        <w:t>and</w:t>
      </w:r>
      <w:r w:rsidRPr="00590BB6">
        <w:rPr>
          <w:rFonts w:cs="Times New Roman"/>
        </w:rPr>
        <w:t xml:space="preserve"> BEV</w:t>
      </w:r>
      <w:r w:rsidR="00305FBA" w:rsidRPr="00590BB6">
        <w:rPr>
          <w:rFonts w:cs="Times New Roman"/>
        </w:rPr>
        <w:t>s</w:t>
      </w:r>
      <w:r w:rsidRPr="00590BB6">
        <w:rPr>
          <w:rFonts w:cs="Times New Roman"/>
        </w:rPr>
        <w:t xml:space="preserve"> become the dominant </w:t>
      </w:r>
      <w:r w:rsidR="004C2B51" w:rsidRPr="00590BB6">
        <w:rPr>
          <w:rFonts w:cs="Times New Roman"/>
        </w:rPr>
        <w:t>technology</w:t>
      </w:r>
      <w:r w:rsidR="006B2962" w:rsidRPr="00590BB6">
        <w:rPr>
          <w:rFonts w:cs="Times New Roman"/>
        </w:rPr>
        <w:t xml:space="preserve">: the electric light fleet </w:t>
      </w:r>
      <w:r w:rsidR="00287FE2" w:rsidRPr="00590BB6">
        <w:rPr>
          <w:rFonts w:cs="Times New Roman"/>
        </w:rPr>
        <w:t>increases</w:t>
      </w:r>
      <w:r w:rsidR="006B2962" w:rsidRPr="00590BB6">
        <w:rPr>
          <w:rFonts w:cs="Times New Roman"/>
        </w:rPr>
        <w:t xml:space="preserve"> from around 5,500 vehicles in 2020 to 310,000 in 2030, 1.5 million in 2040, and 5.1 million in 2050. </w:t>
      </w:r>
      <w:r w:rsidRPr="00590BB6">
        <w:rPr>
          <w:rFonts w:cs="Times New Roman"/>
        </w:rPr>
        <w:t xml:space="preserve"> NGVs are preferred in the medium fleet.</w:t>
      </w:r>
      <w:r w:rsidR="004930FE" w:rsidRPr="00590BB6">
        <w:rPr>
          <w:rFonts w:cs="Times New Roman"/>
        </w:rPr>
        <w:t xml:space="preserve"> For the heavy category, diesel HE trucks dominate the market</w:t>
      </w:r>
      <w:r w:rsidR="004A3609" w:rsidRPr="00590BB6">
        <w:rPr>
          <w:rFonts w:cs="Times New Roman"/>
        </w:rPr>
        <w:t xml:space="preserve"> (</w:t>
      </w:r>
      <w:r w:rsidR="00287FE2" w:rsidRPr="00590BB6">
        <w:rPr>
          <w:rFonts w:cs="Times New Roman"/>
        </w:rPr>
        <w:t>with</w:t>
      </w:r>
      <w:r w:rsidR="004930FE" w:rsidRPr="00590BB6">
        <w:rPr>
          <w:rFonts w:cs="Times New Roman"/>
        </w:rPr>
        <w:t xml:space="preserve"> LPG </w:t>
      </w:r>
      <w:r w:rsidR="00287FE2" w:rsidRPr="00590BB6">
        <w:rPr>
          <w:rFonts w:cs="Times New Roman"/>
        </w:rPr>
        <w:t>having</w:t>
      </w:r>
      <w:r w:rsidR="004930FE" w:rsidRPr="00590BB6">
        <w:rPr>
          <w:rFonts w:cs="Times New Roman"/>
        </w:rPr>
        <w:t xml:space="preserve"> a</w:t>
      </w:r>
      <w:r w:rsidR="00287FE2" w:rsidRPr="00590BB6">
        <w:rPr>
          <w:rFonts w:cs="Times New Roman"/>
        </w:rPr>
        <w:t xml:space="preserve"> smaller, but growing share, from</w:t>
      </w:r>
      <w:r w:rsidR="004930FE" w:rsidRPr="00590BB6">
        <w:rPr>
          <w:rFonts w:cs="Times New Roman"/>
        </w:rPr>
        <w:t xml:space="preserve"> 5 to 10% </w:t>
      </w:r>
      <w:r w:rsidR="00287FE2" w:rsidRPr="00590BB6">
        <w:rPr>
          <w:rFonts w:cs="Times New Roman"/>
        </w:rPr>
        <w:t xml:space="preserve">of the market </w:t>
      </w:r>
      <w:r w:rsidR="00F34968">
        <w:rPr>
          <w:rFonts w:cs="Times New Roman"/>
        </w:rPr>
        <w:t>between</w:t>
      </w:r>
      <w:r w:rsidR="004930FE" w:rsidRPr="00590BB6">
        <w:rPr>
          <w:rFonts w:cs="Times New Roman"/>
        </w:rPr>
        <w:t xml:space="preserve"> 2025 </w:t>
      </w:r>
      <w:r w:rsidR="00F34968">
        <w:rPr>
          <w:rFonts w:cs="Times New Roman"/>
        </w:rPr>
        <w:t>and</w:t>
      </w:r>
      <w:r w:rsidR="004930FE" w:rsidRPr="00590BB6">
        <w:rPr>
          <w:rFonts w:cs="Times New Roman"/>
        </w:rPr>
        <w:t xml:space="preserve"> 2040</w:t>
      </w:r>
      <w:r w:rsidR="004A3609" w:rsidRPr="00590BB6">
        <w:rPr>
          <w:rFonts w:cs="Times New Roman"/>
        </w:rPr>
        <w:t>), due to</w:t>
      </w:r>
      <w:r w:rsidR="004930FE" w:rsidRPr="00590BB6">
        <w:rPr>
          <w:rFonts w:cs="Times New Roman"/>
        </w:rPr>
        <w:t xml:space="preserve"> the lower capital and </w:t>
      </w:r>
      <w:r w:rsidR="00287FE2" w:rsidRPr="00590BB6">
        <w:rPr>
          <w:rFonts w:cs="Times New Roman"/>
        </w:rPr>
        <w:t xml:space="preserve">fixed </w:t>
      </w:r>
      <w:r w:rsidR="004930FE" w:rsidRPr="00590BB6">
        <w:rPr>
          <w:rFonts w:cs="Times New Roman"/>
        </w:rPr>
        <w:t>curve costs for diesel trucks</w:t>
      </w:r>
      <w:r w:rsidR="00287FE2" w:rsidRPr="00590BB6">
        <w:rPr>
          <w:rFonts w:cs="Times New Roman"/>
        </w:rPr>
        <w:t xml:space="preserve"> compared to other technologies</w:t>
      </w:r>
      <w:r w:rsidR="004930FE" w:rsidRPr="00590BB6">
        <w:rPr>
          <w:rFonts w:cs="Times New Roman"/>
        </w:rPr>
        <w:t xml:space="preserve">. </w:t>
      </w:r>
    </w:p>
    <w:p w14:paraId="5B0017CB" w14:textId="57367172" w:rsidR="00C94933" w:rsidRPr="00590BB6" w:rsidRDefault="00742FCB" w:rsidP="00C94933">
      <w:pPr>
        <w:pStyle w:val="ListParagraph"/>
        <w:numPr>
          <w:ilvl w:val="0"/>
          <w:numId w:val="53"/>
        </w:numPr>
        <w:spacing w:line="360" w:lineRule="auto"/>
        <w:jc w:val="both"/>
        <w:rPr>
          <w:rFonts w:cs="Times New Roman"/>
        </w:rPr>
      </w:pPr>
      <w:r w:rsidRPr="00590BB6">
        <w:rPr>
          <w:rFonts w:cs="Times New Roman"/>
          <w:iCs/>
        </w:rPr>
        <w:t xml:space="preserve">In the </w:t>
      </w:r>
      <w:r w:rsidR="0032708E" w:rsidRPr="00590BB6">
        <w:rPr>
          <w:rFonts w:cs="Times New Roman"/>
          <w:i/>
        </w:rPr>
        <w:t>Fuel Projections</w:t>
      </w:r>
      <w:r w:rsidRPr="00590BB6">
        <w:rPr>
          <w:rFonts w:cs="Times New Roman"/>
          <w:i/>
        </w:rPr>
        <w:t xml:space="preserve"> </w:t>
      </w:r>
      <w:r w:rsidRPr="00590BB6">
        <w:rPr>
          <w:rFonts w:cs="Times New Roman"/>
          <w:iCs/>
        </w:rPr>
        <w:t>scenario</w:t>
      </w:r>
      <w:r w:rsidR="0032708E" w:rsidRPr="00590BB6">
        <w:rPr>
          <w:rFonts w:cs="Times New Roman"/>
        </w:rPr>
        <w:t>,</w:t>
      </w:r>
      <w:r w:rsidRPr="00590BB6">
        <w:rPr>
          <w:rFonts w:cs="Times New Roman"/>
        </w:rPr>
        <w:t xml:space="preserve"> </w:t>
      </w:r>
      <w:r w:rsidR="004405F1" w:rsidRPr="00590BB6">
        <w:rPr>
          <w:rFonts w:cs="Times New Roman"/>
        </w:rPr>
        <w:t xml:space="preserve">while </w:t>
      </w:r>
      <w:r w:rsidRPr="00590BB6">
        <w:rPr>
          <w:rFonts w:cs="Times New Roman"/>
        </w:rPr>
        <w:t>the light fleet switch</w:t>
      </w:r>
      <w:r w:rsidR="00305FBA" w:rsidRPr="00590BB6">
        <w:rPr>
          <w:rFonts w:cs="Times New Roman"/>
        </w:rPr>
        <w:t>es</w:t>
      </w:r>
      <w:r w:rsidRPr="00590BB6">
        <w:rPr>
          <w:rFonts w:cs="Times New Roman"/>
        </w:rPr>
        <w:t xml:space="preserve"> to BEVs, the </w:t>
      </w:r>
      <w:r w:rsidR="00F34968">
        <w:rPr>
          <w:rFonts w:cs="Times New Roman"/>
        </w:rPr>
        <w:t>heavy and medium</w:t>
      </w:r>
      <w:r w:rsidR="00883E9E" w:rsidRPr="00590BB6">
        <w:rPr>
          <w:rFonts w:cs="Times New Roman"/>
        </w:rPr>
        <w:t xml:space="preserve"> segments</w:t>
      </w:r>
      <w:r w:rsidRPr="00590BB6">
        <w:rPr>
          <w:rFonts w:cs="Times New Roman"/>
        </w:rPr>
        <w:t xml:space="preserve"> turn to NGVs</w:t>
      </w:r>
      <w:r w:rsidR="00883E9E" w:rsidRPr="00590BB6">
        <w:rPr>
          <w:rFonts w:cs="Times New Roman"/>
        </w:rPr>
        <w:t xml:space="preserve">, </w:t>
      </w:r>
      <w:r w:rsidR="00F34968">
        <w:rPr>
          <w:rFonts w:cs="Times New Roman"/>
        </w:rPr>
        <w:t>representing</w:t>
      </w:r>
      <w:r w:rsidR="00883E9E" w:rsidRPr="00590BB6">
        <w:rPr>
          <w:rFonts w:cs="Times New Roman"/>
        </w:rPr>
        <w:t xml:space="preserve"> 40% of the heavy fleet in 2035 and</w:t>
      </w:r>
      <w:r w:rsidR="001A41CE" w:rsidRPr="00590BB6">
        <w:rPr>
          <w:rFonts w:cs="Times New Roman"/>
        </w:rPr>
        <w:t xml:space="preserve"> bec</w:t>
      </w:r>
      <w:r w:rsidR="008C5239" w:rsidRPr="00590BB6">
        <w:rPr>
          <w:rFonts w:cs="Times New Roman"/>
        </w:rPr>
        <w:t>om</w:t>
      </w:r>
      <w:r w:rsidR="00F34968">
        <w:rPr>
          <w:rFonts w:cs="Times New Roman"/>
        </w:rPr>
        <w:t>ing</w:t>
      </w:r>
      <w:r w:rsidR="001A41CE" w:rsidRPr="00590BB6">
        <w:rPr>
          <w:rFonts w:cs="Times New Roman"/>
        </w:rPr>
        <w:t xml:space="preserve"> the dominant technology from 2040 </w:t>
      </w:r>
      <w:r w:rsidR="00883E9E" w:rsidRPr="00590BB6">
        <w:rPr>
          <w:rFonts w:cs="Times New Roman"/>
        </w:rPr>
        <w:t xml:space="preserve">onwards. </w:t>
      </w:r>
      <w:r w:rsidR="004405F1" w:rsidRPr="00590BB6">
        <w:rPr>
          <w:rFonts w:cs="Times New Roman"/>
        </w:rPr>
        <w:t xml:space="preserve">This scenario </w:t>
      </w:r>
      <w:r w:rsidR="00305FBA" w:rsidRPr="00590BB6">
        <w:rPr>
          <w:rFonts w:cs="Times New Roman"/>
        </w:rPr>
        <w:t>suggests</w:t>
      </w:r>
      <w:r w:rsidR="00FF2427" w:rsidRPr="00590BB6">
        <w:rPr>
          <w:rFonts w:cs="Times New Roman"/>
        </w:rPr>
        <w:t xml:space="preserve"> that </w:t>
      </w:r>
      <w:r w:rsidR="00883E9E" w:rsidRPr="00590BB6">
        <w:rPr>
          <w:rFonts w:cs="Times New Roman"/>
        </w:rPr>
        <w:t xml:space="preserve">the </w:t>
      </w:r>
      <w:r w:rsidR="00FF2427" w:rsidRPr="00590BB6">
        <w:rPr>
          <w:rFonts w:cs="Times New Roman"/>
        </w:rPr>
        <w:t>light fleet has higher efficiency gains compared to the increase in capex</w:t>
      </w:r>
      <w:r w:rsidR="00883E9E" w:rsidRPr="00590BB6">
        <w:rPr>
          <w:rFonts w:cs="Times New Roman"/>
        </w:rPr>
        <w:t xml:space="preserve"> for choosing electric powertrains</w:t>
      </w:r>
      <w:r w:rsidR="00FF2427" w:rsidRPr="00590BB6">
        <w:rPr>
          <w:rFonts w:cs="Times New Roman"/>
        </w:rPr>
        <w:t>, compared to medium and heavy trucks.</w:t>
      </w:r>
      <w:r w:rsidR="004C2B51" w:rsidRPr="00590BB6">
        <w:rPr>
          <w:rFonts w:cs="Times New Roman"/>
        </w:rPr>
        <w:t xml:space="preserve"> On the contrary, </w:t>
      </w:r>
      <w:proofErr w:type="gramStart"/>
      <w:r w:rsidR="004C2B51" w:rsidRPr="00590BB6">
        <w:rPr>
          <w:rFonts w:cs="Times New Roman"/>
        </w:rPr>
        <w:t>medium</w:t>
      </w:r>
      <w:proofErr w:type="gramEnd"/>
      <w:r w:rsidR="004C2B51" w:rsidRPr="00590BB6">
        <w:rPr>
          <w:rFonts w:cs="Times New Roman"/>
        </w:rPr>
        <w:t xml:space="preserve"> and heavy vehicles </w:t>
      </w:r>
      <w:r w:rsidR="00883E9E" w:rsidRPr="00590BB6">
        <w:rPr>
          <w:rFonts w:cs="Times New Roman"/>
        </w:rPr>
        <w:t xml:space="preserve">are constrained by the </w:t>
      </w:r>
      <w:r w:rsidR="006648A3" w:rsidRPr="00590BB6">
        <w:rPr>
          <w:rFonts w:cs="Times New Roman"/>
        </w:rPr>
        <w:t>adverse economies of scale of batteries and fuel cells</w:t>
      </w:r>
      <w:r w:rsidR="004A3609" w:rsidRPr="00590BB6">
        <w:rPr>
          <w:rFonts w:cs="Times New Roman"/>
        </w:rPr>
        <w:t>; although NGVs can have higher capital costs than diesel, in this analysis, the investment preference</w:t>
      </w:r>
      <w:r w:rsidR="00883E9E" w:rsidRPr="00590BB6">
        <w:rPr>
          <w:rFonts w:cs="Times New Roman"/>
        </w:rPr>
        <w:t xml:space="preserve"> </w:t>
      </w:r>
      <w:r w:rsidR="004A3609" w:rsidRPr="00590BB6">
        <w:rPr>
          <w:rFonts w:cs="Times New Roman"/>
        </w:rPr>
        <w:t>goes for the</w:t>
      </w:r>
      <w:r w:rsidR="004C2B51" w:rsidRPr="00590BB6">
        <w:rPr>
          <w:rFonts w:cs="Times New Roman"/>
        </w:rPr>
        <w:t xml:space="preserve"> cheapest fuel</w:t>
      </w:r>
      <w:r w:rsidR="00883E9E" w:rsidRPr="00590BB6">
        <w:rPr>
          <w:rFonts w:cs="Times New Roman"/>
        </w:rPr>
        <w:t>.</w:t>
      </w:r>
      <w:r w:rsidR="006648A3" w:rsidRPr="00590BB6">
        <w:rPr>
          <w:rFonts w:cs="Times New Roman"/>
        </w:rPr>
        <w:t xml:space="preserve"> </w:t>
      </w:r>
    </w:p>
    <w:p w14:paraId="672BAF9C" w14:textId="6998B26B" w:rsidR="00C94933" w:rsidRPr="00590BB6" w:rsidRDefault="00742FCB" w:rsidP="00C94933">
      <w:pPr>
        <w:pStyle w:val="ListParagraph"/>
        <w:numPr>
          <w:ilvl w:val="0"/>
          <w:numId w:val="53"/>
        </w:numPr>
        <w:spacing w:line="360" w:lineRule="auto"/>
        <w:jc w:val="both"/>
        <w:rPr>
          <w:rFonts w:cs="Times New Roman"/>
        </w:rPr>
      </w:pPr>
      <w:r w:rsidRPr="00590BB6">
        <w:rPr>
          <w:rFonts w:cs="Times New Roman"/>
        </w:rPr>
        <w:t xml:space="preserve">In the </w:t>
      </w:r>
      <w:r w:rsidRPr="00590BB6">
        <w:rPr>
          <w:rFonts w:cs="Times New Roman"/>
          <w:i/>
        </w:rPr>
        <w:t xml:space="preserve">Carbon Price </w:t>
      </w:r>
      <w:r w:rsidRPr="00590BB6">
        <w:rPr>
          <w:rFonts w:cs="Times New Roman"/>
          <w:iCs/>
        </w:rPr>
        <w:t>scenario</w:t>
      </w:r>
      <w:r w:rsidR="00C94933" w:rsidRPr="00590BB6">
        <w:rPr>
          <w:rFonts w:cs="Times New Roman"/>
        </w:rPr>
        <w:t xml:space="preserve">, </w:t>
      </w:r>
      <w:r w:rsidRPr="00590BB6">
        <w:rPr>
          <w:rFonts w:cs="Times New Roman"/>
        </w:rPr>
        <w:t xml:space="preserve">all the market segments align with the </w:t>
      </w:r>
      <w:r w:rsidRPr="00590BB6">
        <w:rPr>
          <w:rFonts w:cs="Times New Roman"/>
          <w:i/>
        </w:rPr>
        <w:t xml:space="preserve">Fuel Projections </w:t>
      </w:r>
      <w:r w:rsidRPr="00590BB6">
        <w:rPr>
          <w:rFonts w:cs="Times New Roman"/>
          <w:iCs/>
        </w:rPr>
        <w:t>scenario</w:t>
      </w:r>
      <w:r w:rsidRPr="00590BB6">
        <w:rPr>
          <w:rFonts w:cs="Times New Roman"/>
        </w:rPr>
        <w:t>. This shows that</w:t>
      </w:r>
      <w:r w:rsidR="00641470" w:rsidRPr="00590BB6">
        <w:rPr>
          <w:rFonts w:cs="Times New Roman"/>
        </w:rPr>
        <w:t xml:space="preserve"> </w:t>
      </w:r>
      <w:r w:rsidR="00C94933" w:rsidRPr="00590BB6">
        <w:rPr>
          <w:rFonts w:cs="Times New Roman"/>
        </w:rPr>
        <w:t>fossils remained predominant in the market, due to higher energy (i.e., fuel consumption) costs over the environmental ones.</w:t>
      </w:r>
      <w:r w:rsidR="004405F1" w:rsidRPr="00590BB6">
        <w:rPr>
          <w:rFonts w:cs="Times New Roman"/>
        </w:rPr>
        <w:t xml:space="preserve"> With a carbon price varying between 150 and 400 euro/ton of CO</w:t>
      </w:r>
      <w:r w:rsidR="004405F1" w:rsidRPr="00590BB6">
        <w:rPr>
          <w:rFonts w:cs="Times New Roman"/>
          <w:vertAlign w:val="subscript"/>
        </w:rPr>
        <w:t>2</w:t>
      </w:r>
      <w:r w:rsidR="004405F1" w:rsidRPr="00590BB6">
        <w:rPr>
          <w:rFonts w:cs="Times New Roman"/>
        </w:rPr>
        <w:t xml:space="preserve"> from 2025 to 2050, there </w:t>
      </w:r>
      <w:r w:rsidR="008C5239" w:rsidRPr="00590BB6">
        <w:rPr>
          <w:rFonts w:cs="Times New Roman"/>
        </w:rPr>
        <w:t>is</w:t>
      </w:r>
      <w:r w:rsidR="004405F1" w:rsidRPr="00590BB6">
        <w:rPr>
          <w:rFonts w:cs="Times New Roman"/>
        </w:rPr>
        <w:t xml:space="preserve"> no change in total emissions or </w:t>
      </w:r>
      <w:r w:rsidR="00883E9E" w:rsidRPr="00590BB6">
        <w:rPr>
          <w:rFonts w:cs="Times New Roman"/>
        </w:rPr>
        <w:t xml:space="preserve">different </w:t>
      </w:r>
      <w:r w:rsidR="004405F1" w:rsidRPr="00590BB6">
        <w:rPr>
          <w:rFonts w:cs="Times New Roman"/>
        </w:rPr>
        <w:t xml:space="preserve">technologies selection in comparison to the </w:t>
      </w:r>
      <w:r w:rsidR="004405F1" w:rsidRPr="00590BB6">
        <w:rPr>
          <w:rFonts w:cs="Times New Roman"/>
          <w:i/>
        </w:rPr>
        <w:t xml:space="preserve">Fuel Projections </w:t>
      </w:r>
      <w:r w:rsidR="004405F1" w:rsidRPr="00590BB6">
        <w:rPr>
          <w:rFonts w:cs="Times New Roman"/>
        </w:rPr>
        <w:t>scenario</w:t>
      </w:r>
      <w:r w:rsidR="00883E9E" w:rsidRPr="00590BB6">
        <w:rPr>
          <w:rFonts w:cs="Times New Roman"/>
        </w:rPr>
        <w:t xml:space="preserve">, </w:t>
      </w:r>
      <w:r w:rsidR="004405F1" w:rsidRPr="00590BB6">
        <w:rPr>
          <w:rFonts w:cs="Times New Roman"/>
        </w:rPr>
        <w:t xml:space="preserve">meaning that the carbon price is too low to drive </w:t>
      </w:r>
      <w:r w:rsidR="00FF2427" w:rsidRPr="00590BB6">
        <w:rPr>
          <w:rFonts w:cs="Times New Roman"/>
        </w:rPr>
        <w:t>a</w:t>
      </w:r>
      <w:r w:rsidR="004405F1" w:rsidRPr="00590BB6">
        <w:rPr>
          <w:rFonts w:cs="Times New Roman"/>
        </w:rPr>
        <w:t xml:space="preserve"> transition</w:t>
      </w:r>
      <w:r w:rsidR="00FF2427" w:rsidRPr="00590BB6">
        <w:rPr>
          <w:rFonts w:cs="Times New Roman"/>
        </w:rPr>
        <w:t xml:space="preserve"> in the heavy and medium segments</w:t>
      </w:r>
      <w:r w:rsidR="004405F1" w:rsidRPr="00590BB6">
        <w:rPr>
          <w:rFonts w:cs="Times New Roman"/>
        </w:rPr>
        <w:t>.</w:t>
      </w:r>
    </w:p>
    <w:p w14:paraId="5841282A" w14:textId="5EAB05FE" w:rsidR="001A41CE" w:rsidRPr="00590BB6" w:rsidRDefault="001A41CE" w:rsidP="00C94933">
      <w:pPr>
        <w:pStyle w:val="ListParagraph"/>
        <w:numPr>
          <w:ilvl w:val="0"/>
          <w:numId w:val="53"/>
        </w:numPr>
        <w:spacing w:line="360" w:lineRule="auto"/>
        <w:jc w:val="both"/>
        <w:rPr>
          <w:rFonts w:cs="Times New Roman"/>
        </w:rPr>
      </w:pPr>
      <w:r w:rsidRPr="00590BB6">
        <w:rPr>
          <w:rFonts w:cs="Times New Roman"/>
        </w:rPr>
        <w:lastRenderedPageBreak/>
        <w:t xml:space="preserve">In </w:t>
      </w:r>
      <w:r w:rsidRPr="00590BB6">
        <w:rPr>
          <w:rFonts w:cs="Times New Roman"/>
          <w:i/>
        </w:rPr>
        <w:t>2040 ICE Ban</w:t>
      </w:r>
      <w:r w:rsidRPr="00590BB6">
        <w:rPr>
          <w:rFonts w:cs="Times New Roman"/>
        </w:rPr>
        <w:t xml:space="preserve">, </w:t>
      </w:r>
      <w:r w:rsidR="00E5597D" w:rsidRPr="00590BB6">
        <w:rPr>
          <w:rFonts w:cs="Times New Roman"/>
        </w:rPr>
        <w:t xml:space="preserve">although the biggest share of the market belongs to NGVs, </w:t>
      </w:r>
      <w:r w:rsidRPr="00590BB6">
        <w:rPr>
          <w:rFonts w:cs="Times New Roman"/>
        </w:rPr>
        <w:t xml:space="preserve">hydrogen fuel cell vehicles appear in 2045 for medium and heavy trucks, reaching a capacity of 432,700 and 113,800 trucks, respectively. In </w:t>
      </w:r>
      <w:r w:rsidR="00F34968">
        <w:rPr>
          <w:rFonts w:cs="Times New Roman"/>
        </w:rPr>
        <w:t xml:space="preserve">the </w:t>
      </w:r>
      <w:r w:rsidRPr="00590BB6">
        <w:rPr>
          <w:rFonts w:cs="Times New Roman"/>
          <w:i/>
        </w:rPr>
        <w:t>2030 ICE Ban</w:t>
      </w:r>
      <w:r w:rsidRPr="00590BB6">
        <w:rPr>
          <w:rFonts w:cs="Times New Roman"/>
        </w:rPr>
        <w:t>, they beg</w:t>
      </w:r>
      <w:r w:rsidR="008C5239" w:rsidRPr="00590BB6">
        <w:rPr>
          <w:rFonts w:cs="Times New Roman"/>
        </w:rPr>
        <w:t>in</w:t>
      </w:r>
      <w:r w:rsidRPr="00590BB6">
        <w:rPr>
          <w:rFonts w:cs="Times New Roman"/>
        </w:rPr>
        <w:t xml:space="preserve"> to integrate the heavy </w:t>
      </w:r>
      <w:r w:rsidR="00E5597D" w:rsidRPr="00590BB6">
        <w:rPr>
          <w:rFonts w:cs="Times New Roman"/>
        </w:rPr>
        <w:t xml:space="preserve">and medium </w:t>
      </w:r>
      <w:r w:rsidRPr="00590BB6">
        <w:rPr>
          <w:rFonts w:cs="Times New Roman"/>
        </w:rPr>
        <w:t xml:space="preserve">truck fleet in 2035 together </w:t>
      </w:r>
      <w:r w:rsidR="00883E9E" w:rsidRPr="00590BB6">
        <w:rPr>
          <w:rFonts w:cs="Times New Roman"/>
        </w:rPr>
        <w:t>BEVs</w:t>
      </w:r>
      <w:r w:rsidRPr="00590BB6">
        <w:rPr>
          <w:rFonts w:cs="Times New Roman"/>
        </w:rPr>
        <w:t>, until hydrogen bec</w:t>
      </w:r>
      <w:r w:rsidR="008C5239" w:rsidRPr="00590BB6">
        <w:rPr>
          <w:rFonts w:cs="Times New Roman"/>
        </w:rPr>
        <w:t>o</w:t>
      </w:r>
      <w:r w:rsidRPr="00590BB6">
        <w:rPr>
          <w:rFonts w:cs="Times New Roman"/>
        </w:rPr>
        <w:t xml:space="preserve">me the single technological choice </w:t>
      </w:r>
      <w:r w:rsidR="00E5597D" w:rsidRPr="00590BB6">
        <w:rPr>
          <w:rFonts w:cs="Times New Roman"/>
        </w:rPr>
        <w:t>in</w:t>
      </w:r>
      <w:r w:rsidRPr="00590BB6">
        <w:rPr>
          <w:rFonts w:cs="Times New Roman"/>
        </w:rPr>
        <w:t xml:space="preserve"> 2050 (</w:t>
      </w:r>
      <w:r w:rsidR="00A40469" w:rsidRPr="00590BB6">
        <w:rPr>
          <w:rFonts w:cs="Times New Roman"/>
        </w:rPr>
        <w:t>Figure S.2 and Figure S.3</w:t>
      </w:r>
      <w:r w:rsidRPr="00590BB6">
        <w:rPr>
          <w:rFonts w:cs="Times New Roman"/>
        </w:rPr>
        <w:t>).</w:t>
      </w:r>
    </w:p>
    <w:p w14:paraId="5E2DF315" w14:textId="31C90EAD" w:rsidR="00E9004F" w:rsidRPr="00590BB6" w:rsidRDefault="002F2CCB" w:rsidP="0032708E">
      <w:pPr>
        <w:spacing w:line="360" w:lineRule="auto"/>
        <w:jc w:val="both"/>
        <w:rPr>
          <w:rFonts w:cs="Times New Roman"/>
        </w:rPr>
      </w:pPr>
      <w:r w:rsidRPr="00590BB6">
        <w:rPr>
          <w:rFonts w:cs="Times New Roman"/>
        </w:rPr>
        <w:t>In the model,</w:t>
      </w:r>
      <w:r w:rsidR="001276F5" w:rsidRPr="00590BB6">
        <w:rPr>
          <w:rFonts w:cs="Times New Roman"/>
        </w:rPr>
        <w:t xml:space="preserve"> investments are bounded-rational decisions of consumers-investor</w:t>
      </w:r>
      <w:r w:rsidRPr="00590BB6">
        <w:rPr>
          <w:rFonts w:cs="Times New Roman"/>
        </w:rPr>
        <w:t>s</w:t>
      </w:r>
      <w:r w:rsidR="001276F5" w:rsidRPr="00590BB6">
        <w:rPr>
          <w:rFonts w:cs="Times New Roman"/>
        </w:rPr>
        <w:t>. This could lead to unintended prolonged dependence on fossils</w:t>
      </w:r>
      <w:r w:rsidR="00F34968">
        <w:rPr>
          <w:rFonts w:cs="Times New Roman"/>
        </w:rPr>
        <w:t xml:space="preserve"> such as</w:t>
      </w:r>
      <w:r w:rsidR="001276F5" w:rsidRPr="00590BB6">
        <w:rPr>
          <w:rFonts w:cs="Times New Roman"/>
        </w:rPr>
        <w:t xml:space="preserve"> the dominance of </w:t>
      </w:r>
      <w:r w:rsidR="00860ABA" w:rsidRPr="00590BB6">
        <w:rPr>
          <w:rFonts w:cs="Times New Roman"/>
        </w:rPr>
        <w:t>NGVs</w:t>
      </w:r>
      <w:r w:rsidR="001276F5" w:rsidRPr="00590BB6">
        <w:rPr>
          <w:rFonts w:cs="Times New Roman"/>
        </w:rPr>
        <w:t xml:space="preserve"> </w:t>
      </w:r>
      <w:r w:rsidR="00A23660" w:rsidRPr="00590BB6">
        <w:rPr>
          <w:rFonts w:cs="Times New Roman"/>
        </w:rPr>
        <w:t>emerg</w:t>
      </w:r>
      <w:r w:rsidR="00F34968">
        <w:rPr>
          <w:rFonts w:cs="Times New Roman"/>
        </w:rPr>
        <w:t>ing</w:t>
      </w:r>
      <w:r w:rsidR="00A23660" w:rsidRPr="00590BB6">
        <w:rPr>
          <w:rFonts w:cs="Times New Roman"/>
        </w:rPr>
        <w:t xml:space="preserve"> </w:t>
      </w:r>
      <w:r w:rsidR="001276F5" w:rsidRPr="00590BB6">
        <w:rPr>
          <w:rFonts w:cs="Times New Roman"/>
        </w:rPr>
        <w:t xml:space="preserve">in the heavy and medium fleet in most scenarios. </w:t>
      </w:r>
      <w:r w:rsidR="00A23660" w:rsidRPr="00590BB6">
        <w:rPr>
          <w:rFonts w:cs="Times New Roman"/>
        </w:rPr>
        <w:t xml:space="preserve">While, on the one </w:t>
      </w:r>
      <w:r w:rsidR="00F34968">
        <w:rPr>
          <w:rFonts w:cs="Times New Roman"/>
        </w:rPr>
        <w:t>hand</w:t>
      </w:r>
      <w:r w:rsidR="00A23660" w:rsidRPr="00590BB6">
        <w:rPr>
          <w:rFonts w:cs="Times New Roman"/>
        </w:rPr>
        <w:t xml:space="preserve">, </w:t>
      </w:r>
      <w:r w:rsidRPr="00590BB6">
        <w:rPr>
          <w:rFonts w:cs="Times New Roman"/>
        </w:rPr>
        <w:t>NGVs</w:t>
      </w:r>
      <w:r w:rsidR="001276F5" w:rsidRPr="00590BB6">
        <w:rPr>
          <w:rFonts w:cs="Times New Roman"/>
        </w:rPr>
        <w:t xml:space="preserve"> would</w:t>
      </w:r>
      <w:r w:rsidR="00F5514C" w:rsidRPr="00590BB6">
        <w:rPr>
          <w:rFonts w:cs="Times New Roman"/>
        </w:rPr>
        <w:t xml:space="preserve"> reduce</w:t>
      </w:r>
      <w:r w:rsidR="00860ABA" w:rsidRPr="00590BB6">
        <w:rPr>
          <w:rFonts w:cs="Times New Roman"/>
        </w:rPr>
        <w:t xml:space="preserve"> </w:t>
      </w:r>
      <w:r w:rsidR="00893E1D" w:rsidRPr="00590BB6">
        <w:rPr>
          <w:rFonts w:cs="Times New Roman"/>
        </w:rPr>
        <w:t>CO</w:t>
      </w:r>
      <w:r w:rsidR="00893E1D" w:rsidRPr="00590BB6">
        <w:rPr>
          <w:rFonts w:cs="Times New Roman"/>
          <w:vertAlign w:val="subscript"/>
        </w:rPr>
        <w:t>2</w:t>
      </w:r>
      <w:r w:rsidR="00893E1D" w:rsidRPr="00590BB6">
        <w:rPr>
          <w:rFonts w:cs="Times New Roman"/>
        </w:rPr>
        <w:t xml:space="preserve"> emissions, </w:t>
      </w:r>
      <w:r w:rsidR="00F5514C" w:rsidRPr="00590BB6">
        <w:rPr>
          <w:rFonts w:cs="Times New Roman"/>
        </w:rPr>
        <w:t>NO</w:t>
      </w:r>
      <w:r w:rsidR="00F5514C" w:rsidRPr="00590BB6">
        <w:rPr>
          <w:rFonts w:cs="Times New Roman"/>
          <w:vertAlign w:val="subscript"/>
        </w:rPr>
        <w:t>x</w:t>
      </w:r>
      <w:r w:rsidR="00F5514C" w:rsidRPr="00590BB6">
        <w:rPr>
          <w:rFonts w:cs="Times New Roman"/>
        </w:rPr>
        <w:t xml:space="preserve">, </w:t>
      </w:r>
      <w:proofErr w:type="spellStart"/>
      <w:r w:rsidR="00F5514C" w:rsidRPr="00590BB6">
        <w:rPr>
          <w:rFonts w:cs="Times New Roman"/>
        </w:rPr>
        <w:t>SO</w:t>
      </w:r>
      <w:r w:rsidR="00F5514C" w:rsidRPr="00590BB6">
        <w:rPr>
          <w:rFonts w:cs="Times New Roman"/>
          <w:vertAlign w:val="subscript"/>
        </w:rPr>
        <w:t>x</w:t>
      </w:r>
      <w:proofErr w:type="spellEnd"/>
      <w:r w:rsidR="00F5514C" w:rsidRPr="00590BB6">
        <w:rPr>
          <w:rFonts w:cs="Times New Roman"/>
        </w:rPr>
        <w:t>, and particulate emissions</w:t>
      </w:r>
      <w:r w:rsidR="00A23660" w:rsidRPr="00590BB6">
        <w:rPr>
          <w:rFonts w:cs="Times New Roman"/>
        </w:rPr>
        <w:t xml:space="preserve">, on the other </w:t>
      </w:r>
      <w:r w:rsidR="00F34968">
        <w:rPr>
          <w:rFonts w:cs="Times New Roman"/>
        </w:rPr>
        <w:t>hand</w:t>
      </w:r>
      <w:r w:rsidR="00A23660" w:rsidRPr="00590BB6">
        <w:rPr>
          <w:rFonts w:cs="Times New Roman"/>
        </w:rPr>
        <w:t>,</w:t>
      </w:r>
      <w:r w:rsidR="00893E1D" w:rsidRPr="00590BB6">
        <w:rPr>
          <w:rFonts w:cs="Times New Roman"/>
        </w:rPr>
        <w:t xml:space="preserve"> </w:t>
      </w:r>
      <w:r w:rsidR="0006598F" w:rsidRPr="00590BB6">
        <w:rPr>
          <w:rFonts w:cs="Times New Roman"/>
        </w:rPr>
        <w:t>CH</w:t>
      </w:r>
      <w:r w:rsidR="0006598F" w:rsidRPr="00590BB6">
        <w:rPr>
          <w:rFonts w:cs="Times New Roman"/>
          <w:vertAlign w:val="subscript"/>
        </w:rPr>
        <w:t>4</w:t>
      </w:r>
      <w:r w:rsidR="00893E1D" w:rsidRPr="00590BB6">
        <w:rPr>
          <w:rFonts w:cs="Times New Roman"/>
        </w:rPr>
        <w:t xml:space="preserve"> leakage</w:t>
      </w:r>
      <w:r w:rsidR="0051217E" w:rsidRPr="00590BB6">
        <w:rPr>
          <w:rFonts w:cs="Times New Roman"/>
        </w:rPr>
        <w:t xml:space="preserve"> </w:t>
      </w:r>
      <w:r w:rsidR="00A23660" w:rsidRPr="00590BB6">
        <w:rPr>
          <w:rFonts w:cs="Times New Roman"/>
        </w:rPr>
        <w:t>would generate marginal</w:t>
      </w:r>
      <w:r w:rsidR="00893E1D" w:rsidRPr="00590BB6">
        <w:rPr>
          <w:rFonts w:cs="Times New Roman"/>
        </w:rPr>
        <w:t xml:space="preserve"> </w:t>
      </w:r>
      <w:r w:rsidR="00F5514C" w:rsidRPr="00590BB6">
        <w:rPr>
          <w:rFonts w:cs="Times New Roman"/>
        </w:rPr>
        <w:t>GHG reduction</w:t>
      </w:r>
      <w:r w:rsidR="0006598F" w:rsidRPr="00590BB6">
        <w:rPr>
          <w:rFonts w:cs="Times New Roman"/>
        </w:rPr>
        <w:t xml:space="preserve"> </w:t>
      </w:r>
      <w:r w:rsidR="00F32466" w:rsidRPr="00590BB6">
        <w:rPr>
          <w:rFonts w:cs="Times New Roman"/>
        </w:rPr>
        <w:t>benefits compared to diesel</w:t>
      </w:r>
      <w:r w:rsidR="00A23660" w:rsidRPr="00590BB6">
        <w:rPr>
          <w:rFonts w:cs="Times New Roman"/>
        </w:rPr>
        <w:t>,</w:t>
      </w:r>
      <w:r w:rsidR="00F5514C" w:rsidRPr="00590BB6">
        <w:rPr>
          <w:rFonts w:cs="Times New Roman"/>
        </w:rPr>
        <w:t xml:space="preserve"> </w:t>
      </w:r>
      <w:r w:rsidRPr="00590BB6">
        <w:rPr>
          <w:rFonts w:cs="Times New Roman"/>
        </w:rPr>
        <w:t>especially if estimated on</w:t>
      </w:r>
      <w:r w:rsidR="00A23660" w:rsidRPr="00590BB6">
        <w:rPr>
          <w:rFonts w:cs="Times New Roman"/>
        </w:rPr>
        <w:t xml:space="preserve"> timeframe </w:t>
      </w:r>
      <w:r w:rsidRPr="00590BB6">
        <w:rPr>
          <w:rFonts w:cs="Times New Roman"/>
        </w:rPr>
        <w:t>comparable with the truck lifetime</w:t>
      </w:r>
      <w:r w:rsidR="0051217E" w:rsidRPr="00590BB6">
        <w:rPr>
          <w:rFonts w:cs="Times New Roman"/>
        </w:rPr>
        <w:t>.</w:t>
      </w:r>
    </w:p>
    <w:p w14:paraId="6493525E" w14:textId="77777777" w:rsidR="00E9004F" w:rsidRPr="00590BB6" w:rsidRDefault="00E9004F" w:rsidP="00E9004F">
      <w:pPr>
        <w:rPr>
          <w:noProof/>
          <w:lang w:val="en-US"/>
        </w:rPr>
      </w:pPr>
      <w:r w:rsidRPr="00590BB6">
        <w:rPr>
          <w:noProof/>
          <w:lang w:val="en-US"/>
        </w:rPr>
        <w:drawing>
          <wp:inline distT="0" distB="0" distL="0" distR="0" wp14:anchorId="5E431E37" wp14:editId="4FEB19FF">
            <wp:extent cx="2743200" cy="2286000"/>
            <wp:effectExtent l="0" t="0" r="0"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sidRPr="00590BB6">
        <w:rPr>
          <w:noProof/>
          <w:lang w:val="en-US"/>
        </w:rPr>
        <w:drawing>
          <wp:inline distT="0" distB="0" distL="0" distR="0" wp14:anchorId="09511957" wp14:editId="0745DFF2">
            <wp:extent cx="2743200" cy="2286000"/>
            <wp:effectExtent l="0" t="0" r="0" b="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sidRPr="00590BB6">
        <w:rPr>
          <w:noProof/>
          <w:lang w:val="en-US"/>
        </w:rPr>
        <w:drawing>
          <wp:inline distT="0" distB="0" distL="0" distR="0" wp14:anchorId="1EAD0961" wp14:editId="6F4D8622">
            <wp:extent cx="2743200" cy="2286000"/>
            <wp:effectExtent l="0" t="0" r="0" b="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Pr="00590BB6">
        <w:rPr>
          <w:noProof/>
          <w:lang w:val="en-US"/>
        </w:rPr>
        <w:drawing>
          <wp:inline distT="0" distB="0" distL="0" distR="0" wp14:anchorId="0C1FB387" wp14:editId="3736E82F">
            <wp:extent cx="2743200" cy="2286000"/>
            <wp:effectExtent l="0" t="0" r="0" b="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20E3D368" w14:textId="77777777" w:rsidR="00E9004F" w:rsidRPr="00590BB6" w:rsidRDefault="00E9004F" w:rsidP="00E9004F">
      <w:pPr>
        <w:keepNext/>
        <w:jc w:val="center"/>
      </w:pPr>
      <w:r w:rsidRPr="00590BB6">
        <w:rPr>
          <w:noProof/>
          <w:lang w:val="en-US"/>
        </w:rPr>
        <w:drawing>
          <wp:inline distT="0" distB="0" distL="0" distR="0" wp14:anchorId="50761802" wp14:editId="5D83E2C3">
            <wp:extent cx="2831910" cy="208228"/>
            <wp:effectExtent l="0" t="0" r="0" b="190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088404" cy="227088"/>
                    </a:xfrm>
                    <a:prstGeom prst="rect">
                      <a:avLst/>
                    </a:prstGeom>
                  </pic:spPr>
                </pic:pic>
              </a:graphicData>
            </a:graphic>
          </wp:inline>
        </w:drawing>
      </w:r>
    </w:p>
    <w:p w14:paraId="48BC2868" w14:textId="6C33275D" w:rsidR="00AF25F7" w:rsidRPr="00590BB6" w:rsidRDefault="00A644B3" w:rsidP="00A644B3">
      <w:pPr>
        <w:pStyle w:val="Caption"/>
      </w:pPr>
      <w:bookmarkStart w:id="25" w:name="_Ref143128737"/>
      <w:bookmarkStart w:id="26" w:name="_Ref142900532"/>
      <w:r w:rsidRPr="00590BB6">
        <w:t xml:space="preserve">Figure </w:t>
      </w:r>
      <w:r w:rsidRPr="00590BB6">
        <w:fldChar w:fldCharType="begin"/>
      </w:r>
      <w:r w:rsidRPr="00590BB6">
        <w:instrText xml:space="preserve"> SEQ Figure \* ARABIC </w:instrText>
      </w:r>
      <w:r w:rsidRPr="00590BB6">
        <w:fldChar w:fldCharType="separate"/>
      </w:r>
      <w:r w:rsidRPr="00590BB6">
        <w:rPr>
          <w:noProof/>
        </w:rPr>
        <w:t>9</w:t>
      </w:r>
      <w:r w:rsidRPr="00590BB6">
        <w:fldChar w:fldCharType="end"/>
      </w:r>
      <w:bookmarkEnd w:id="25"/>
      <w:r w:rsidR="00E9004F" w:rsidRPr="00590BB6">
        <w:t xml:space="preserve">. </w:t>
      </w:r>
      <w:r w:rsidR="0044327C" w:rsidRPr="00590BB6">
        <w:t>Heavy, medium, light, and total f</w:t>
      </w:r>
      <w:r w:rsidR="00E9004F" w:rsidRPr="00590BB6">
        <w:t xml:space="preserve">leet composition </w:t>
      </w:r>
      <w:r w:rsidR="00AA6FFC" w:rsidRPr="00590BB6">
        <w:t xml:space="preserve">(%) </w:t>
      </w:r>
      <w:r w:rsidR="00E9004F" w:rsidRPr="00590BB6">
        <w:t>in 2050 for all scenarios.</w:t>
      </w:r>
      <w:bookmarkEnd w:id="26"/>
    </w:p>
    <w:p w14:paraId="099F858D" w14:textId="77777777" w:rsidR="00641470" w:rsidRPr="00590BB6" w:rsidRDefault="00641470" w:rsidP="00641470">
      <w:pPr>
        <w:rPr>
          <w:lang w:val="en-US"/>
        </w:rPr>
      </w:pPr>
    </w:p>
    <w:p w14:paraId="54751ECD" w14:textId="4DCE9EAC" w:rsidR="00641470" w:rsidRPr="00590BB6" w:rsidRDefault="00A23660" w:rsidP="00A23660">
      <w:pPr>
        <w:spacing w:line="360" w:lineRule="auto"/>
        <w:jc w:val="both"/>
        <w:rPr>
          <w:rFonts w:cs="Times New Roman"/>
        </w:rPr>
      </w:pPr>
      <w:r w:rsidRPr="00590BB6">
        <w:rPr>
          <w:rFonts w:cs="Times New Roman"/>
        </w:rPr>
        <w:t>In terms of f</w:t>
      </w:r>
      <w:r w:rsidR="00641470" w:rsidRPr="00590BB6">
        <w:rPr>
          <w:rFonts w:cs="Times New Roman"/>
        </w:rPr>
        <w:t>ue</w:t>
      </w:r>
      <w:r w:rsidRPr="00590BB6">
        <w:rPr>
          <w:rFonts w:cs="Times New Roman"/>
        </w:rPr>
        <w:t>l</w:t>
      </w:r>
      <w:r w:rsidR="002F2CCB" w:rsidRPr="00590BB6">
        <w:rPr>
          <w:rFonts w:cs="Times New Roman"/>
        </w:rPr>
        <w:t xml:space="preserve"> consumption</w:t>
      </w:r>
      <w:r w:rsidRPr="00590BB6">
        <w:rPr>
          <w:rFonts w:cs="Times New Roman"/>
        </w:rPr>
        <w:t xml:space="preserve">, </w:t>
      </w:r>
      <w:r w:rsidR="002F2CCB" w:rsidRPr="00590BB6">
        <w:rPr>
          <w:rFonts w:cs="Times New Roman"/>
        </w:rPr>
        <w:t>th</w:t>
      </w:r>
      <w:r w:rsidR="00F34968">
        <w:rPr>
          <w:rFonts w:cs="Times New Roman"/>
        </w:rPr>
        <w:t>ere is a</w:t>
      </w:r>
      <w:r w:rsidR="00722ABE">
        <w:rPr>
          <w:rFonts w:cs="Times New Roman"/>
        </w:rPr>
        <w:t xml:space="preserve"> </w:t>
      </w:r>
      <w:r w:rsidR="002F2CCB" w:rsidRPr="00590BB6">
        <w:rPr>
          <w:rFonts w:cs="Times New Roman"/>
        </w:rPr>
        <w:t>decrease</w:t>
      </w:r>
      <w:r w:rsidR="00641470" w:rsidRPr="00590BB6">
        <w:rPr>
          <w:rFonts w:cs="Times New Roman"/>
        </w:rPr>
        <w:t xml:space="preserve"> over time compared to 2020 in all the scenarios </w:t>
      </w:r>
      <w:r w:rsidR="00722ABE">
        <w:rPr>
          <w:rFonts w:cs="Times New Roman"/>
        </w:rPr>
        <w:t xml:space="preserve">as shown in </w:t>
      </w:r>
      <w:r w:rsidR="00A40469" w:rsidRPr="00590BB6">
        <w:rPr>
          <w:rFonts w:cs="Times New Roman"/>
        </w:rPr>
        <w:fldChar w:fldCharType="begin"/>
      </w:r>
      <w:r w:rsidR="00A40469" w:rsidRPr="00590BB6">
        <w:rPr>
          <w:rFonts w:cs="Times New Roman"/>
        </w:rPr>
        <w:instrText xml:space="preserve"> REF _Ref143128819 \h </w:instrText>
      </w:r>
      <w:r w:rsidR="00590BB6">
        <w:rPr>
          <w:rFonts w:cs="Times New Roman"/>
        </w:rPr>
        <w:instrText xml:space="preserve"> \* MERGEFORMAT </w:instrText>
      </w:r>
      <w:r w:rsidR="00A40469" w:rsidRPr="00590BB6">
        <w:rPr>
          <w:rFonts w:cs="Times New Roman"/>
        </w:rPr>
      </w:r>
      <w:r w:rsidR="00A40469" w:rsidRPr="00590BB6">
        <w:rPr>
          <w:rFonts w:cs="Times New Roman"/>
        </w:rPr>
        <w:fldChar w:fldCharType="separate"/>
      </w:r>
      <w:r w:rsidR="00A40469" w:rsidRPr="00590BB6">
        <w:t xml:space="preserve">Figure </w:t>
      </w:r>
      <w:r w:rsidR="00A40469" w:rsidRPr="00590BB6">
        <w:rPr>
          <w:noProof/>
        </w:rPr>
        <w:t>10</w:t>
      </w:r>
      <w:r w:rsidR="00A40469" w:rsidRPr="00590BB6">
        <w:rPr>
          <w:rFonts w:cs="Times New Roman"/>
        </w:rPr>
        <w:fldChar w:fldCharType="end"/>
      </w:r>
      <w:r w:rsidR="00641470" w:rsidRPr="00590BB6">
        <w:rPr>
          <w:rFonts w:cs="Times New Roman"/>
        </w:rPr>
        <w:t xml:space="preserve">. </w:t>
      </w:r>
      <w:r w:rsidR="002F2CCB" w:rsidRPr="00590BB6">
        <w:rPr>
          <w:rFonts w:cs="Times New Roman"/>
        </w:rPr>
        <w:t xml:space="preserve">Compared to the </w:t>
      </w:r>
      <w:r w:rsidR="002F2CCB" w:rsidRPr="00590BB6">
        <w:rPr>
          <w:rFonts w:cs="Times New Roman"/>
          <w:i/>
          <w:iCs/>
        </w:rPr>
        <w:t xml:space="preserve">Reference </w:t>
      </w:r>
      <w:r w:rsidR="002F2CCB" w:rsidRPr="00590BB6">
        <w:rPr>
          <w:rFonts w:cs="Times New Roman"/>
        </w:rPr>
        <w:t>scenario, t</w:t>
      </w:r>
      <w:r w:rsidR="00641470" w:rsidRPr="00590BB6">
        <w:rPr>
          <w:rFonts w:cs="Times New Roman"/>
        </w:rPr>
        <w:t xml:space="preserve">he </w:t>
      </w:r>
      <w:r w:rsidR="00641470" w:rsidRPr="00590BB6">
        <w:rPr>
          <w:rFonts w:cs="Times New Roman"/>
          <w:i/>
        </w:rPr>
        <w:t>Efficiency</w:t>
      </w:r>
      <w:r w:rsidR="00641470" w:rsidRPr="00590BB6">
        <w:rPr>
          <w:rFonts w:cs="Times New Roman"/>
        </w:rPr>
        <w:t xml:space="preserve"> scenario </w:t>
      </w:r>
      <w:r w:rsidR="002F2CCB" w:rsidRPr="00590BB6">
        <w:rPr>
          <w:rFonts w:cs="Times New Roman"/>
        </w:rPr>
        <w:t>shows</w:t>
      </w:r>
      <w:r w:rsidR="00641470" w:rsidRPr="00590BB6">
        <w:rPr>
          <w:rFonts w:cs="Times New Roman"/>
        </w:rPr>
        <w:t xml:space="preserve"> </w:t>
      </w:r>
      <w:r w:rsidR="002F2CCB" w:rsidRPr="00590BB6">
        <w:rPr>
          <w:rFonts w:cs="Times New Roman"/>
        </w:rPr>
        <w:t xml:space="preserve">reduction in fuel consumption </w:t>
      </w:r>
      <w:r w:rsidR="00641470" w:rsidRPr="00590BB6">
        <w:rPr>
          <w:rFonts w:cs="Times New Roman"/>
        </w:rPr>
        <w:t>from 2035 onwards due to the relative technology efficiency improvements</w:t>
      </w:r>
      <w:r w:rsidR="00722ABE">
        <w:rPr>
          <w:rFonts w:cs="Times New Roman"/>
        </w:rPr>
        <w:t xml:space="preserve"> of incumbent technologies; this is </w:t>
      </w:r>
      <w:r w:rsidR="00722ABE">
        <w:rPr>
          <w:rFonts w:cs="Times New Roman"/>
        </w:rPr>
        <w:lastRenderedPageBreak/>
        <w:t xml:space="preserve">emphasised in the </w:t>
      </w:r>
      <w:r w:rsidR="00641470" w:rsidRPr="00590BB6">
        <w:rPr>
          <w:rFonts w:cs="Times New Roman"/>
          <w:i/>
        </w:rPr>
        <w:t>Tech Costs</w:t>
      </w:r>
      <w:r w:rsidR="00641470" w:rsidRPr="00590BB6">
        <w:rPr>
          <w:rFonts w:cs="Times New Roman"/>
        </w:rPr>
        <w:t xml:space="preserve"> </w:t>
      </w:r>
      <w:r w:rsidR="002F2CCB" w:rsidRPr="00590BB6">
        <w:rPr>
          <w:rFonts w:cs="Times New Roman"/>
        </w:rPr>
        <w:t xml:space="preserve">scenario </w:t>
      </w:r>
      <w:r w:rsidR="00722ABE">
        <w:rPr>
          <w:rFonts w:cs="Times New Roman"/>
        </w:rPr>
        <w:t>where technological learning reduces costs reducing even more</w:t>
      </w:r>
      <w:r w:rsidR="00641470" w:rsidRPr="00590BB6">
        <w:rPr>
          <w:rFonts w:cs="Times New Roman"/>
        </w:rPr>
        <w:t xml:space="preserve"> the total consumption </w:t>
      </w:r>
      <w:r w:rsidR="002F2CCB" w:rsidRPr="00590BB6">
        <w:rPr>
          <w:rFonts w:cs="Times New Roman"/>
        </w:rPr>
        <w:t>(</w:t>
      </w:r>
      <w:r w:rsidR="00641470" w:rsidRPr="00590BB6">
        <w:rPr>
          <w:rFonts w:cs="Times New Roman"/>
        </w:rPr>
        <w:t>down to 142 PJ</w:t>
      </w:r>
      <w:r w:rsidR="002F2CCB" w:rsidRPr="00590BB6">
        <w:rPr>
          <w:rFonts w:cs="Times New Roman"/>
        </w:rPr>
        <w:t>/year</w:t>
      </w:r>
      <w:r w:rsidR="00641470" w:rsidRPr="00590BB6">
        <w:rPr>
          <w:rFonts w:cs="Times New Roman"/>
        </w:rPr>
        <w:t xml:space="preserve"> in 2050</w:t>
      </w:r>
      <w:r w:rsidR="002F2CCB" w:rsidRPr="00590BB6">
        <w:rPr>
          <w:rFonts w:cs="Times New Roman"/>
        </w:rPr>
        <w:t>).</w:t>
      </w:r>
      <w:r w:rsidR="00641470" w:rsidRPr="00590BB6">
        <w:rPr>
          <w:rFonts w:cs="Times New Roman"/>
        </w:rPr>
        <w:t xml:space="preserve"> </w:t>
      </w:r>
      <w:r w:rsidR="00F34968">
        <w:rPr>
          <w:rFonts w:cs="Times New Roman"/>
        </w:rPr>
        <w:t>T</w:t>
      </w:r>
      <w:r w:rsidR="002F2CCB" w:rsidRPr="00590BB6">
        <w:rPr>
          <w:rFonts w:cs="Times New Roman"/>
        </w:rPr>
        <w:t>he</w:t>
      </w:r>
      <w:r w:rsidR="00D36EC5" w:rsidRPr="00590BB6">
        <w:rPr>
          <w:rFonts w:cs="Times New Roman"/>
        </w:rPr>
        <w:t xml:space="preserve"> </w:t>
      </w:r>
      <w:r w:rsidR="00D36EC5" w:rsidRPr="00590BB6">
        <w:rPr>
          <w:rFonts w:cs="Times New Roman"/>
          <w:i/>
        </w:rPr>
        <w:t>Fuel Projections</w:t>
      </w:r>
      <w:r w:rsidR="00D36EC5" w:rsidRPr="00590BB6">
        <w:rPr>
          <w:rFonts w:cs="Times New Roman"/>
        </w:rPr>
        <w:t xml:space="preserve"> and </w:t>
      </w:r>
      <w:r w:rsidR="00D36EC5" w:rsidRPr="00590BB6">
        <w:rPr>
          <w:rFonts w:cs="Times New Roman"/>
          <w:i/>
        </w:rPr>
        <w:t>Carbon Price</w:t>
      </w:r>
      <w:r w:rsidR="002F2CCB" w:rsidRPr="00590BB6">
        <w:rPr>
          <w:rFonts w:cs="Times New Roman"/>
        </w:rPr>
        <w:t xml:space="preserve">, </w:t>
      </w:r>
      <w:r w:rsidR="00D36EC5" w:rsidRPr="00590BB6">
        <w:rPr>
          <w:rFonts w:cs="Times New Roman"/>
        </w:rPr>
        <w:t xml:space="preserve">due to BEVs and NGVs </w:t>
      </w:r>
      <w:r w:rsidR="002F2CCB" w:rsidRPr="00590BB6">
        <w:rPr>
          <w:rFonts w:cs="Times New Roman"/>
        </w:rPr>
        <w:t>uptake, have a total fuel consumption</w:t>
      </w:r>
      <w:r w:rsidR="00D36EC5" w:rsidRPr="00590BB6">
        <w:rPr>
          <w:rFonts w:cs="Times New Roman"/>
        </w:rPr>
        <w:t xml:space="preserve"> 34% </w:t>
      </w:r>
      <w:r w:rsidR="002F2CCB" w:rsidRPr="00590BB6">
        <w:rPr>
          <w:rFonts w:cs="Times New Roman"/>
        </w:rPr>
        <w:t xml:space="preserve">smaller than the </w:t>
      </w:r>
      <w:r w:rsidR="00D36EC5" w:rsidRPr="00590BB6">
        <w:rPr>
          <w:rFonts w:cs="Times New Roman"/>
        </w:rPr>
        <w:t>2020 consumption and equivalent to 118 PJ</w:t>
      </w:r>
      <w:r w:rsidR="002F2CCB" w:rsidRPr="00590BB6">
        <w:rPr>
          <w:rFonts w:cs="Times New Roman"/>
        </w:rPr>
        <w:t>/year</w:t>
      </w:r>
      <w:r w:rsidR="00D36EC5" w:rsidRPr="00590BB6">
        <w:rPr>
          <w:rFonts w:cs="Times New Roman"/>
        </w:rPr>
        <w:t xml:space="preserve">, of which electricity represented 38% and natural gas 62%. </w:t>
      </w:r>
      <w:r w:rsidR="00722ABE">
        <w:rPr>
          <w:rFonts w:cs="Times New Roman"/>
        </w:rPr>
        <w:t>The</w:t>
      </w:r>
      <w:r w:rsidR="00641470" w:rsidRPr="00590BB6">
        <w:rPr>
          <w:rFonts w:cs="Times New Roman"/>
        </w:rPr>
        <w:t xml:space="preserve"> </w:t>
      </w:r>
      <w:r w:rsidR="00641470" w:rsidRPr="00590BB6">
        <w:rPr>
          <w:rFonts w:cs="Times New Roman"/>
          <w:i/>
        </w:rPr>
        <w:t>2040 ICE Ban</w:t>
      </w:r>
      <w:r w:rsidR="00641470" w:rsidRPr="00590BB6">
        <w:rPr>
          <w:rFonts w:cs="Times New Roman"/>
        </w:rPr>
        <w:t xml:space="preserve"> scenario </w:t>
      </w:r>
      <w:r w:rsidR="00722ABE">
        <w:rPr>
          <w:rFonts w:cs="Times New Roman"/>
        </w:rPr>
        <w:t xml:space="preserve">and </w:t>
      </w:r>
      <w:r w:rsidR="00722ABE" w:rsidRPr="00590BB6">
        <w:rPr>
          <w:rFonts w:cs="Times New Roman"/>
        </w:rPr>
        <w:t xml:space="preserve">the </w:t>
      </w:r>
      <w:r w:rsidR="00722ABE" w:rsidRPr="00590BB6">
        <w:rPr>
          <w:rFonts w:cs="Times New Roman"/>
          <w:i/>
        </w:rPr>
        <w:t>2030 ICE Ban</w:t>
      </w:r>
      <w:r w:rsidR="00722ABE" w:rsidRPr="00590BB6">
        <w:rPr>
          <w:rFonts w:cs="Times New Roman"/>
        </w:rPr>
        <w:t xml:space="preserve"> scenario</w:t>
      </w:r>
      <w:r w:rsidR="00722ABE">
        <w:rPr>
          <w:rFonts w:cs="Times New Roman"/>
        </w:rPr>
        <w:t xml:space="preserve"> </w:t>
      </w:r>
      <w:r w:rsidR="00722ABE" w:rsidRPr="00590BB6">
        <w:rPr>
          <w:rFonts w:cs="Times New Roman"/>
        </w:rPr>
        <w:t>ha</w:t>
      </w:r>
      <w:r w:rsidR="00722ABE">
        <w:rPr>
          <w:rFonts w:cs="Times New Roman"/>
        </w:rPr>
        <w:t>ve</w:t>
      </w:r>
      <w:r w:rsidR="00722ABE" w:rsidRPr="00590BB6">
        <w:rPr>
          <w:rFonts w:cs="Times New Roman"/>
        </w:rPr>
        <w:t xml:space="preserve"> higher energy uses </w:t>
      </w:r>
      <w:r w:rsidR="00722ABE">
        <w:rPr>
          <w:rFonts w:cs="Times New Roman"/>
        </w:rPr>
        <w:t xml:space="preserve">in 2050 </w:t>
      </w:r>
      <w:r w:rsidR="00722ABE" w:rsidRPr="00590BB6">
        <w:rPr>
          <w:rFonts w:cs="Times New Roman"/>
        </w:rPr>
        <w:t xml:space="preserve">compared to the </w:t>
      </w:r>
      <w:r w:rsidR="00722ABE" w:rsidRPr="00590BB6">
        <w:rPr>
          <w:rFonts w:cs="Times New Roman"/>
          <w:i/>
        </w:rPr>
        <w:t>Fuel Projections</w:t>
      </w:r>
      <w:r w:rsidR="00722ABE" w:rsidRPr="00590BB6">
        <w:rPr>
          <w:rFonts w:cs="Times New Roman"/>
        </w:rPr>
        <w:t xml:space="preserve"> and </w:t>
      </w:r>
      <w:r w:rsidR="00722ABE" w:rsidRPr="00590BB6">
        <w:rPr>
          <w:rFonts w:cs="Times New Roman"/>
          <w:i/>
        </w:rPr>
        <w:t>Carbon Price</w:t>
      </w:r>
      <w:r w:rsidR="00722ABE">
        <w:rPr>
          <w:rFonts w:cs="Times New Roman"/>
        </w:rPr>
        <w:t xml:space="preserve">: while the former </w:t>
      </w:r>
      <w:r w:rsidR="00641470" w:rsidRPr="00590BB6">
        <w:rPr>
          <w:rFonts w:cs="Times New Roman"/>
        </w:rPr>
        <w:t>has equal amounts of natural gas, hydrogen, and electricity (i.e., approximately, 45 PJ</w:t>
      </w:r>
      <w:r w:rsidR="002F2CCB" w:rsidRPr="00590BB6">
        <w:rPr>
          <w:rFonts w:cs="Times New Roman"/>
        </w:rPr>
        <w:t>/year</w:t>
      </w:r>
      <w:r w:rsidR="00641470" w:rsidRPr="00590BB6">
        <w:rPr>
          <w:rFonts w:cs="Times New Roman"/>
        </w:rPr>
        <w:t xml:space="preserve"> each</w:t>
      </w:r>
      <w:proofErr w:type="gramStart"/>
      <w:r w:rsidR="00641470" w:rsidRPr="00590BB6">
        <w:rPr>
          <w:rFonts w:cs="Times New Roman"/>
        </w:rPr>
        <w:t>)</w:t>
      </w:r>
      <w:r w:rsidR="00722ABE">
        <w:rPr>
          <w:rFonts w:cs="Times New Roman"/>
        </w:rPr>
        <w:t>,the</w:t>
      </w:r>
      <w:proofErr w:type="gramEnd"/>
      <w:r w:rsidR="00722ABE">
        <w:rPr>
          <w:rFonts w:cs="Times New Roman"/>
        </w:rPr>
        <w:t xml:space="preserve"> latter relies exclusively on</w:t>
      </w:r>
      <w:r w:rsidR="004D3DD4" w:rsidRPr="00590BB6">
        <w:rPr>
          <w:rFonts w:cs="Times New Roman"/>
        </w:rPr>
        <w:t xml:space="preserve"> </w:t>
      </w:r>
      <w:r w:rsidR="00641470" w:rsidRPr="00590BB6">
        <w:rPr>
          <w:rFonts w:cs="Times New Roman"/>
        </w:rPr>
        <w:t>hydrogen and electricity</w:t>
      </w:r>
      <w:r w:rsidR="004D3DD4" w:rsidRPr="00590BB6">
        <w:rPr>
          <w:rFonts w:cs="Times New Roman"/>
        </w:rPr>
        <w:t xml:space="preserve"> (with consumption equal to 128 and 45 PJ/year, respectively)</w:t>
      </w:r>
      <w:r w:rsidR="00641470" w:rsidRPr="00590BB6">
        <w:rPr>
          <w:rFonts w:cs="Times New Roman"/>
        </w:rPr>
        <w:t>.</w:t>
      </w:r>
      <w:r w:rsidR="00D36EC5" w:rsidRPr="00590BB6">
        <w:rPr>
          <w:rFonts w:cs="Times New Roman"/>
        </w:rPr>
        <w:t xml:space="preserve"> </w:t>
      </w:r>
    </w:p>
    <w:p w14:paraId="336A4C16" w14:textId="77777777" w:rsidR="00D36EC5" w:rsidRPr="00590BB6" w:rsidRDefault="00D36EC5" w:rsidP="00A23660">
      <w:pPr>
        <w:spacing w:line="360" w:lineRule="auto"/>
        <w:jc w:val="both"/>
        <w:rPr>
          <w:rFonts w:cs="Times New Roman"/>
        </w:rPr>
      </w:pPr>
    </w:p>
    <w:p w14:paraId="2C2B7C5C" w14:textId="77777777" w:rsidR="00641470" w:rsidRPr="00590BB6" w:rsidRDefault="00641470" w:rsidP="00641470">
      <w:pPr>
        <w:keepNext/>
        <w:spacing w:after="0" w:line="360" w:lineRule="auto"/>
        <w:jc w:val="center"/>
        <w:rPr>
          <w:rFonts w:cs="Times New Roman"/>
        </w:rPr>
      </w:pPr>
      <w:r w:rsidRPr="00590BB6">
        <w:rPr>
          <w:noProof/>
          <w:lang w:val="en-US"/>
        </w:rPr>
        <w:drawing>
          <wp:inline distT="0" distB="0" distL="0" distR="0" wp14:anchorId="325369C9" wp14:editId="450E001D">
            <wp:extent cx="59436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BB246A1" w14:textId="6B58CAC5" w:rsidR="00D36EC5" w:rsidRPr="00590BB6" w:rsidRDefault="00641470" w:rsidP="00A23660">
      <w:pPr>
        <w:spacing w:line="360" w:lineRule="auto"/>
        <w:jc w:val="both"/>
        <w:rPr>
          <w:rFonts w:cs="Times New Roman"/>
        </w:rPr>
      </w:pPr>
      <w:bookmarkStart w:id="27" w:name="_Ref143128819"/>
      <w:bookmarkStart w:id="28" w:name="_Ref112664416"/>
      <w:r w:rsidRPr="00590BB6">
        <w:t xml:space="preserve">Figure </w:t>
      </w:r>
      <w:r w:rsidRPr="00590BB6">
        <w:rPr>
          <w:szCs w:val="18"/>
        </w:rPr>
        <w:fldChar w:fldCharType="begin"/>
      </w:r>
      <w:r w:rsidRPr="00590BB6">
        <w:instrText xml:space="preserve"> SEQ Figure \* ARABIC </w:instrText>
      </w:r>
      <w:r w:rsidRPr="00590BB6">
        <w:rPr>
          <w:szCs w:val="18"/>
        </w:rPr>
        <w:fldChar w:fldCharType="separate"/>
      </w:r>
      <w:r w:rsidR="00A644B3" w:rsidRPr="00590BB6">
        <w:rPr>
          <w:noProof/>
        </w:rPr>
        <w:t>10</w:t>
      </w:r>
      <w:r w:rsidRPr="00590BB6">
        <w:rPr>
          <w:szCs w:val="18"/>
        </w:rPr>
        <w:fldChar w:fldCharType="end"/>
      </w:r>
      <w:bookmarkEnd w:id="27"/>
      <w:r w:rsidRPr="00590BB6">
        <w:t>. Total fuel consumption (PJ/year) per scenario in selected years.</w:t>
      </w:r>
      <w:bookmarkEnd w:id="24"/>
      <w:bookmarkEnd w:id="28"/>
    </w:p>
    <w:p w14:paraId="76FC51A1" w14:textId="1F94D36E" w:rsidR="00F361CA" w:rsidRPr="00590BB6" w:rsidRDefault="00A23660" w:rsidP="00A23660">
      <w:pPr>
        <w:spacing w:line="360" w:lineRule="auto"/>
        <w:jc w:val="both"/>
        <w:rPr>
          <w:rFonts w:cs="Times New Roman"/>
        </w:rPr>
      </w:pPr>
      <w:r w:rsidRPr="00590BB6">
        <w:rPr>
          <w:rFonts w:cs="Times New Roman"/>
        </w:rPr>
        <w:t>In terms of emissions,</w:t>
      </w:r>
      <w:r w:rsidR="00066FF3" w:rsidRPr="00590BB6">
        <w:rPr>
          <w:rFonts w:cs="Times New Roman"/>
        </w:rPr>
        <w:t xml:space="preserve"> </w:t>
      </w:r>
      <w:r w:rsidR="00D36EC5" w:rsidRPr="00590BB6">
        <w:rPr>
          <w:rFonts w:cs="Times New Roman"/>
        </w:rPr>
        <w:t xml:space="preserve">although </w:t>
      </w:r>
      <w:r w:rsidRPr="00590BB6">
        <w:rPr>
          <w:rFonts w:cs="Times New Roman"/>
        </w:rPr>
        <w:t>CO</w:t>
      </w:r>
      <w:r w:rsidRPr="00590BB6">
        <w:rPr>
          <w:rFonts w:cs="Times New Roman"/>
          <w:vertAlign w:val="subscript"/>
        </w:rPr>
        <w:t>2</w:t>
      </w:r>
      <w:r w:rsidRPr="00590BB6">
        <w:rPr>
          <w:rFonts w:cs="Times New Roman"/>
        </w:rPr>
        <w:t xml:space="preserve"> emissions are orders of magnitude bigger than CH</w:t>
      </w:r>
      <w:r w:rsidRPr="00590BB6">
        <w:rPr>
          <w:rFonts w:cs="Times New Roman"/>
          <w:vertAlign w:val="subscript"/>
        </w:rPr>
        <w:t>4</w:t>
      </w:r>
      <w:r w:rsidRPr="00590BB6">
        <w:rPr>
          <w:rFonts w:cs="Times New Roman"/>
        </w:rPr>
        <w:t xml:space="preserve"> and N</w:t>
      </w:r>
      <w:r w:rsidRPr="00590BB6">
        <w:rPr>
          <w:rFonts w:cs="Times New Roman"/>
          <w:vertAlign w:val="subscript"/>
        </w:rPr>
        <w:t>2</w:t>
      </w:r>
      <w:r w:rsidRPr="00590BB6">
        <w:rPr>
          <w:rFonts w:cs="Times New Roman"/>
        </w:rPr>
        <w:t>O</w:t>
      </w:r>
      <w:r w:rsidR="00D36EC5" w:rsidRPr="00590BB6">
        <w:rPr>
          <w:rFonts w:cs="Times New Roman"/>
        </w:rPr>
        <w:t>, the latter two gases are important GHG, and their evolution must be monitored</w:t>
      </w:r>
      <w:r w:rsidRPr="00590BB6">
        <w:rPr>
          <w:rFonts w:cs="Times New Roman"/>
        </w:rPr>
        <w:t xml:space="preserve">. </w:t>
      </w:r>
      <w:r w:rsidR="00A40469" w:rsidRPr="00590BB6">
        <w:rPr>
          <w:rFonts w:cs="Times New Roman"/>
        </w:rPr>
        <w:fldChar w:fldCharType="begin"/>
      </w:r>
      <w:r w:rsidR="00A40469" w:rsidRPr="00590BB6">
        <w:rPr>
          <w:rFonts w:cs="Times New Roman"/>
        </w:rPr>
        <w:instrText xml:space="preserve"> REF _Ref143128890 \h  \* MERGEFORMAT </w:instrText>
      </w:r>
      <w:r w:rsidR="00A40469" w:rsidRPr="00590BB6">
        <w:rPr>
          <w:rFonts w:cs="Times New Roman"/>
        </w:rPr>
      </w:r>
      <w:r w:rsidR="00A40469" w:rsidRPr="00590BB6">
        <w:rPr>
          <w:rFonts w:cs="Times New Roman"/>
        </w:rPr>
        <w:fldChar w:fldCharType="separate"/>
      </w:r>
      <w:r w:rsidR="00A40469" w:rsidRPr="00590BB6">
        <w:t xml:space="preserve">Figure </w:t>
      </w:r>
      <w:r w:rsidR="00A40469" w:rsidRPr="00590BB6">
        <w:rPr>
          <w:noProof/>
        </w:rPr>
        <w:t>11</w:t>
      </w:r>
      <w:r w:rsidR="00A40469" w:rsidRPr="00590BB6">
        <w:rPr>
          <w:rFonts w:cs="Times New Roman"/>
        </w:rPr>
        <w:fldChar w:fldCharType="end"/>
      </w:r>
      <w:r w:rsidR="00A40469" w:rsidRPr="00590BB6">
        <w:rPr>
          <w:rFonts w:cs="Times New Roman"/>
        </w:rPr>
        <w:t xml:space="preserve"> represent the GHG emissions over time, whereas </w:t>
      </w:r>
      <w:r w:rsidR="00D36EC5" w:rsidRPr="00590BB6">
        <w:rPr>
          <w:rFonts w:cs="Times New Roman"/>
        </w:rPr>
        <w:t xml:space="preserve">Figure S.4 and S.5 in the Supporting Material </w:t>
      </w:r>
      <w:r w:rsidR="00066FF3" w:rsidRPr="00590BB6">
        <w:rPr>
          <w:rFonts w:cs="Times New Roman"/>
        </w:rPr>
        <w:t xml:space="preserve">show the progression of </w:t>
      </w:r>
      <w:r w:rsidR="00D36EC5" w:rsidRPr="00590BB6">
        <w:rPr>
          <w:rFonts w:cs="Times New Roman"/>
        </w:rPr>
        <w:t>CO</w:t>
      </w:r>
      <w:r w:rsidR="00D36EC5" w:rsidRPr="00590BB6">
        <w:rPr>
          <w:rFonts w:cs="Times New Roman"/>
          <w:vertAlign w:val="subscript"/>
        </w:rPr>
        <w:t>2</w:t>
      </w:r>
      <w:r w:rsidR="00D36EC5" w:rsidRPr="00590BB6">
        <w:rPr>
          <w:rFonts w:cs="Times New Roman"/>
        </w:rPr>
        <w:t xml:space="preserve">, </w:t>
      </w:r>
      <w:r w:rsidR="00066FF3" w:rsidRPr="00590BB6">
        <w:rPr>
          <w:rFonts w:cs="Times New Roman"/>
        </w:rPr>
        <w:t>CH</w:t>
      </w:r>
      <w:r w:rsidR="00066FF3" w:rsidRPr="00590BB6">
        <w:rPr>
          <w:rFonts w:cs="Times New Roman"/>
          <w:vertAlign w:val="subscript"/>
        </w:rPr>
        <w:t>4</w:t>
      </w:r>
      <w:r w:rsidR="00D36EC5" w:rsidRPr="00590BB6">
        <w:rPr>
          <w:rFonts w:cs="Times New Roman"/>
        </w:rPr>
        <w:t xml:space="preserve">, </w:t>
      </w:r>
      <w:r w:rsidR="00066FF3" w:rsidRPr="00590BB6">
        <w:rPr>
          <w:rFonts w:cs="Times New Roman"/>
        </w:rPr>
        <w:t>and N</w:t>
      </w:r>
      <w:r w:rsidR="00066FF3" w:rsidRPr="00590BB6">
        <w:rPr>
          <w:rFonts w:cs="Times New Roman"/>
          <w:vertAlign w:val="subscript"/>
        </w:rPr>
        <w:t>2</w:t>
      </w:r>
      <w:r w:rsidR="00066FF3" w:rsidRPr="00590BB6">
        <w:rPr>
          <w:rFonts w:cs="Times New Roman"/>
        </w:rPr>
        <w:t xml:space="preserve">O emissions for all </w:t>
      </w:r>
      <w:r w:rsidR="00F452FE" w:rsidRPr="00590BB6">
        <w:rPr>
          <w:rFonts w:cs="Times New Roman"/>
        </w:rPr>
        <w:t xml:space="preserve">the modelled </w:t>
      </w:r>
      <w:r w:rsidR="00066FF3" w:rsidRPr="00590BB6">
        <w:rPr>
          <w:rFonts w:cs="Times New Roman"/>
        </w:rPr>
        <w:t xml:space="preserve">scenarios. </w:t>
      </w:r>
      <w:r w:rsidR="004D3DD4" w:rsidRPr="00590BB6">
        <w:rPr>
          <w:rFonts w:cs="Times New Roman"/>
        </w:rPr>
        <w:t>CH</w:t>
      </w:r>
      <w:r w:rsidR="004D3DD4" w:rsidRPr="00590BB6">
        <w:rPr>
          <w:rFonts w:cs="Times New Roman"/>
          <w:vertAlign w:val="subscript"/>
        </w:rPr>
        <w:t>4</w:t>
      </w:r>
      <w:r w:rsidR="004D3DD4" w:rsidRPr="00590BB6">
        <w:rPr>
          <w:rFonts w:cs="Times New Roman"/>
        </w:rPr>
        <w:t xml:space="preserve"> </w:t>
      </w:r>
      <w:r w:rsidR="00066FF3" w:rsidRPr="00590BB6">
        <w:rPr>
          <w:rFonts w:cs="Times New Roman"/>
        </w:rPr>
        <w:t>increase</w:t>
      </w:r>
      <w:r w:rsidR="004D3DD4" w:rsidRPr="00590BB6">
        <w:rPr>
          <w:rFonts w:cs="Times New Roman"/>
        </w:rPr>
        <w:t>s</w:t>
      </w:r>
      <w:r w:rsidR="00066FF3" w:rsidRPr="00590BB6">
        <w:rPr>
          <w:rFonts w:cs="Times New Roman"/>
        </w:rPr>
        <w:t xml:space="preserve"> in all scenarios compared to 2020 levels given the presence of NGVs</w:t>
      </w:r>
      <w:r w:rsidR="004D3DD4" w:rsidRPr="00590BB6">
        <w:rPr>
          <w:rFonts w:cs="Times New Roman"/>
        </w:rPr>
        <w:t xml:space="preserve">, except for the </w:t>
      </w:r>
      <w:r w:rsidR="00066FF3" w:rsidRPr="00590BB6">
        <w:rPr>
          <w:rFonts w:cs="Times New Roman"/>
          <w:i/>
        </w:rPr>
        <w:t xml:space="preserve">2030 ICE Ban scenario, </w:t>
      </w:r>
      <w:r w:rsidR="00066FF3" w:rsidRPr="00590BB6">
        <w:rPr>
          <w:rFonts w:cs="Times New Roman"/>
        </w:rPr>
        <w:t>when the fleet is composed of FCEVs and EVs only.</w:t>
      </w:r>
      <w:r w:rsidR="004D3DD4" w:rsidRPr="00590BB6">
        <w:rPr>
          <w:rFonts w:cs="Times New Roman"/>
        </w:rPr>
        <w:t xml:space="preserve"> </w:t>
      </w:r>
      <w:r w:rsidR="00066FF3" w:rsidRPr="00590BB6">
        <w:rPr>
          <w:rFonts w:cs="Times New Roman"/>
        </w:rPr>
        <w:t>N</w:t>
      </w:r>
      <w:r w:rsidR="00066FF3" w:rsidRPr="00590BB6">
        <w:rPr>
          <w:rFonts w:cs="Times New Roman"/>
          <w:vertAlign w:val="subscript"/>
        </w:rPr>
        <w:t>2</w:t>
      </w:r>
      <w:r w:rsidR="00066FF3" w:rsidRPr="00590BB6">
        <w:rPr>
          <w:rFonts w:cs="Times New Roman"/>
        </w:rPr>
        <w:t xml:space="preserve">O, emissions remain above 2020 levels until the end of the simulation for </w:t>
      </w:r>
      <w:r w:rsidR="00066FF3" w:rsidRPr="00590BB6">
        <w:rPr>
          <w:rFonts w:cs="Times New Roman"/>
          <w:i/>
        </w:rPr>
        <w:t>Reference</w:t>
      </w:r>
      <w:r w:rsidR="00066FF3" w:rsidRPr="00590BB6">
        <w:rPr>
          <w:rFonts w:cs="Times New Roman"/>
        </w:rPr>
        <w:t xml:space="preserve"> and </w:t>
      </w:r>
      <w:r w:rsidR="00066FF3" w:rsidRPr="00590BB6">
        <w:rPr>
          <w:rFonts w:cs="Times New Roman"/>
          <w:i/>
        </w:rPr>
        <w:t>Efficiency</w:t>
      </w:r>
      <w:r w:rsidR="00066FF3" w:rsidRPr="00590BB6">
        <w:rPr>
          <w:rFonts w:cs="Times New Roman"/>
        </w:rPr>
        <w:t xml:space="preserve"> scenarios, dropping below 0.2 kt for the remainder scenarios from 2040 onwards.</w:t>
      </w:r>
      <w:r w:rsidR="004D3DD4" w:rsidRPr="00590BB6">
        <w:rPr>
          <w:rFonts w:cs="Times New Roman"/>
        </w:rPr>
        <w:t xml:space="preserve"> </w:t>
      </w:r>
    </w:p>
    <w:p w14:paraId="420790ED" w14:textId="7BA286EF" w:rsidR="006648A3" w:rsidRPr="00590BB6" w:rsidRDefault="00F361CA" w:rsidP="001A41CE">
      <w:pPr>
        <w:spacing w:line="360" w:lineRule="auto"/>
        <w:jc w:val="both"/>
      </w:pPr>
      <w:r w:rsidRPr="00590BB6">
        <w:rPr>
          <w:rFonts w:cs="Times New Roman"/>
        </w:rPr>
        <w:t xml:space="preserve">In the </w:t>
      </w:r>
      <w:r w:rsidRPr="00590BB6">
        <w:rPr>
          <w:rFonts w:cs="Times New Roman"/>
          <w:i/>
        </w:rPr>
        <w:t>Efficiency</w:t>
      </w:r>
      <w:r w:rsidRPr="00590BB6">
        <w:rPr>
          <w:rFonts w:cs="Times New Roman"/>
        </w:rPr>
        <w:t xml:space="preserve"> scenario, efficiency improvements cause reductions in GHG emissions of 1.27 Mt of CO</w:t>
      </w:r>
      <w:r w:rsidRPr="00590BB6">
        <w:rPr>
          <w:rFonts w:cs="Times New Roman"/>
          <w:vertAlign w:val="subscript"/>
        </w:rPr>
        <w:t xml:space="preserve">2 </w:t>
      </w:r>
      <w:r w:rsidRPr="00590BB6">
        <w:rPr>
          <w:rFonts w:cs="Times New Roman"/>
        </w:rPr>
        <w:t>(-7%), 5.70 kt of CH</w:t>
      </w:r>
      <w:r w:rsidRPr="00590BB6">
        <w:rPr>
          <w:rFonts w:cs="Times New Roman"/>
          <w:vertAlign w:val="subscript"/>
        </w:rPr>
        <w:t xml:space="preserve">4 </w:t>
      </w:r>
      <w:r w:rsidRPr="00590BB6">
        <w:rPr>
          <w:rFonts w:cs="Times New Roman"/>
        </w:rPr>
        <w:t>(-9%), and 0.18 kt of N</w:t>
      </w:r>
      <w:r w:rsidRPr="00590BB6">
        <w:rPr>
          <w:rFonts w:cs="Times New Roman"/>
          <w:vertAlign w:val="subscript"/>
        </w:rPr>
        <w:t>2</w:t>
      </w:r>
      <w:r w:rsidRPr="00590BB6">
        <w:rPr>
          <w:rFonts w:cs="Times New Roman"/>
        </w:rPr>
        <w:t xml:space="preserve">O (-24%) in 2050 compared to the </w:t>
      </w:r>
      <w:r w:rsidRPr="00590BB6">
        <w:rPr>
          <w:rFonts w:cs="Times New Roman"/>
          <w:i/>
        </w:rPr>
        <w:t>Reference</w:t>
      </w:r>
      <w:r w:rsidRPr="00590BB6">
        <w:rPr>
          <w:rFonts w:cs="Times New Roman"/>
        </w:rPr>
        <w:t xml:space="preserve"> scenario. </w:t>
      </w:r>
      <w:r w:rsidR="00CA7EEF" w:rsidRPr="00590BB6">
        <w:t>The scenario with the lowest emissions in 2050 includes an</w:t>
      </w:r>
      <w:r w:rsidR="002713D3" w:rsidRPr="00590BB6">
        <w:t xml:space="preserve"> early ban on ICE vehicles (i.e., </w:t>
      </w:r>
      <w:r w:rsidR="002713D3" w:rsidRPr="00590BB6">
        <w:rPr>
          <w:i/>
        </w:rPr>
        <w:t>2030 ICE Ban</w:t>
      </w:r>
      <w:r w:rsidR="002713D3" w:rsidRPr="00590BB6">
        <w:t>) as zero tailpipe CO</w:t>
      </w:r>
      <w:r w:rsidR="002713D3" w:rsidRPr="00590BB6">
        <w:rPr>
          <w:vertAlign w:val="subscript"/>
        </w:rPr>
        <w:t>2</w:t>
      </w:r>
      <w:r w:rsidR="002713D3" w:rsidRPr="00590BB6">
        <w:t>, N</w:t>
      </w:r>
      <w:r w:rsidR="002713D3" w:rsidRPr="00590BB6">
        <w:rPr>
          <w:vertAlign w:val="subscript"/>
        </w:rPr>
        <w:t>2</w:t>
      </w:r>
      <w:r w:rsidR="002713D3" w:rsidRPr="00590BB6">
        <w:t>O, and CH</w:t>
      </w:r>
      <w:r w:rsidR="002713D3" w:rsidRPr="00590BB6">
        <w:rPr>
          <w:vertAlign w:val="subscript"/>
        </w:rPr>
        <w:t xml:space="preserve">4 </w:t>
      </w:r>
      <w:r w:rsidR="002713D3" w:rsidRPr="00590BB6">
        <w:t xml:space="preserve">emissions in the road freight sector were achieved by 2045. </w:t>
      </w:r>
      <w:r w:rsidR="00501A17" w:rsidRPr="00590BB6">
        <w:t>This</w:t>
      </w:r>
      <w:r w:rsidR="00480891" w:rsidRPr="00590BB6">
        <w:t xml:space="preserve"> scenario can be technically feasible, considering </w:t>
      </w:r>
      <w:r w:rsidR="002713D3" w:rsidRPr="00590BB6">
        <w:t xml:space="preserve">an average lifetime of 15 years, </w:t>
      </w:r>
      <w:r w:rsidR="00480891" w:rsidRPr="00590BB6">
        <w:t xml:space="preserve">as </w:t>
      </w:r>
      <w:r w:rsidR="002713D3" w:rsidRPr="00590BB6">
        <w:t>ICE vehicles bought by 2030 would not be on the road after 2045</w:t>
      </w:r>
      <w:r w:rsidR="00501A17" w:rsidRPr="00590BB6">
        <w:t xml:space="preserve">. </w:t>
      </w:r>
      <w:r w:rsidR="002713D3" w:rsidRPr="00590BB6">
        <w:t xml:space="preserve">A later ban in 2040 (i.e., </w:t>
      </w:r>
      <w:r w:rsidR="002713D3" w:rsidRPr="00590BB6">
        <w:rPr>
          <w:i/>
        </w:rPr>
        <w:t>2040 ICE Ban</w:t>
      </w:r>
      <w:r w:rsidR="002713D3" w:rsidRPr="00590BB6">
        <w:t>) cause</w:t>
      </w:r>
      <w:r w:rsidR="00480891" w:rsidRPr="00590BB6">
        <w:t>s</w:t>
      </w:r>
      <w:r w:rsidR="002713D3" w:rsidRPr="00590BB6">
        <w:t xml:space="preserve"> </w:t>
      </w:r>
      <w:proofErr w:type="gramStart"/>
      <w:r w:rsidR="002713D3" w:rsidRPr="00590BB6">
        <w:t>a</w:t>
      </w:r>
      <w:proofErr w:type="gramEnd"/>
      <w:r w:rsidR="002713D3" w:rsidRPr="00590BB6">
        <w:t xml:space="preserve"> 86% </w:t>
      </w:r>
      <w:r w:rsidR="00722ABE">
        <w:t xml:space="preserve">reduction </w:t>
      </w:r>
      <w:r w:rsidR="002713D3" w:rsidRPr="00590BB6">
        <w:t>in CO</w:t>
      </w:r>
      <w:r w:rsidR="002713D3" w:rsidRPr="00590BB6">
        <w:rPr>
          <w:vertAlign w:val="subscript"/>
        </w:rPr>
        <w:t>2</w:t>
      </w:r>
      <w:r w:rsidR="002713D3" w:rsidRPr="00590BB6">
        <w:t>, 26% in CH</w:t>
      </w:r>
      <w:r w:rsidR="002713D3" w:rsidRPr="00590BB6">
        <w:rPr>
          <w:vertAlign w:val="subscript"/>
        </w:rPr>
        <w:t>4</w:t>
      </w:r>
      <w:r w:rsidR="002713D3" w:rsidRPr="00590BB6">
        <w:t>, and 98% in N</w:t>
      </w:r>
      <w:r w:rsidR="002713D3" w:rsidRPr="00590BB6">
        <w:rPr>
          <w:vertAlign w:val="subscript"/>
        </w:rPr>
        <w:t>2</w:t>
      </w:r>
      <w:r w:rsidR="002713D3" w:rsidRPr="00590BB6">
        <w:t xml:space="preserve">O emissions in 2050 compared to the </w:t>
      </w:r>
      <w:r w:rsidR="00722ABE">
        <w:t>reference (</w:t>
      </w:r>
      <w:r w:rsidR="002713D3" w:rsidRPr="00590BB6">
        <w:rPr>
          <w:i/>
        </w:rPr>
        <w:t xml:space="preserve">Reference </w:t>
      </w:r>
      <w:r w:rsidR="002713D3" w:rsidRPr="00590BB6">
        <w:t>scenario</w:t>
      </w:r>
      <w:r w:rsidR="00722ABE">
        <w:t>)</w:t>
      </w:r>
      <w:r w:rsidR="00F452FE" w:rsidRPr="00590BB6">
        <w:t>. However,</w:t>
      </w:r>
      <w:r w:rsidR="002713D3" w:rsidRPr="00590BB6">
        <w:t xml:space="preserve"> the road freight sector would still emit 2.57 Mt of CO</w:t>
      </w:r>
      <w:r w:rsidR="002713D3" w:rsidRPr="00590BB6">
        <w:rPr>
          <w:vertAlign w:val="subscript"/>
        </w:rPr>
        <w:t>2</w:t>
      </w:r>
      <w:r w:rsidR="002713D3" w:rsidRPr="00590BB6">
        <w:t>, 48 kt of CH</w:t>
      </w:r>
      <w:r w:rsidR="002713D3" w:rsidRPr="00590BB6">
        <w:rPr>
          <w:vertAlign w:val="subscript"/>
        </w:rPr>
        <w:t>4</w:t>
      </w:r>
      <w:r w:rsidR="002713D3" w:rsidRPr="00590BB6">
        <w:t>, and 0.01 kt of N</w:t>
      </w:r>
      <w:r w:rsidR="002713D3" w:rsidRPr="00590BB6">
        <w:rPr>
          <w:vertAlign w:val="subscript"/>
        </w:rPr>
        <w:t>2</w:t>
      </w:r>
      <w:r w:rsidR="002713D3" w:rsidRPr="00590BB6">
        <w:t xml:space="preserve">O in </w:t>
      </w:r>
      <w:r w:rsidR="000E4F6B" w:rsidRPr="00590BB6">
        <w:t>2050</w:t>
      </w:r>
      <w:r w:rsidR="002713D3" w:rsidRPr="00590BB6">
        <w:t xml:space="preserve">. </w:t>
      </w:r>
      <w:r w:rsidR="001A41CE" w:rsidRPr="00590BB6">
        <w:t xml:space="preserve">The resulting </w:t>
      </w:r>
      <w:r w:rsidR="001A41CE" w:rsidRPr="00590BB6">
        <w:lastRenderedPageBreak/>
        <w:t xml:space="preserve">emissions in </w:t>
      </w:r>
      <w:r w:rsidR="001A41CE" w:rsidRPr="00590BB6">
        <w:rPr>
          <w:i/>
        </w:rPr>
        <w:t>2040 ICE Ban</w:t>
      </w:r>
      <w:r w:rsidR="001A41CE" w:rsidRPr="00590BB6">
        <w:t xml:space="preserve"> scenario are aligned</w:t>
      </w:r>
      <w:r w:rsidR="00BC3C15" w:rsidRPr="00590BB6">
        <w:t>, although more conservative than</w:t>
      </w:r>
      <w:r w:rsidR="001A41CE" w:rsidRPr="00590BB6">
        <w:t xml:space="preserve"> the results </w:t>
      </w:r>
      <w:r w:rsidR="00BC3C15" w:rsidRPr="00590BB6">
        <w:t>from</w:t>
      </w:r>
      <w:r w:rsidR="001A41CE" w:rsidRPr="00590BB6">
        <w:t xml:space="preserve"> </w:t>
      </w:r>
      <w:proofErr w:type="spellStart"/>
      <w:r w:rsidR="001A41CE" w:rsidRPr="00590BB6">
        <w:t>Stenning</w:t>
      </w:r>
      <w:proofErr w:type="spellEnd"/>
      <w:r w:rsidR="001A41CE" w:rsidRPr="00590BB6">
        <w:t xml:space="preserve"> et al. </w:t>
      </w:r>
      <w:r w:rsidR="001A41CE" w:rsidRPr="00590BB6">
        <w:fldChar w:fldCharType="begin" w:fldLock="1"/>
      </w:r>
      <w:r w:rsidR="001A41CE" w:rsidRPr="00590BB6">
        <w:instrText>ADDIN CSL_CITATION {"citationItems":[{"id":"ITEM-1","itemData":{"author":[{"dropping-particle":"","family":"Stenning","given":"Jon","non-dropping-particle":"","parse-names":false,"suffix":""},{"dropping-particle":"","family":"Caspani","given":"Matteo","non-dropping-particle":"","parse-names":false,"suffix":""},{"dropping-particle":"","family":"Hartvig","given":"Áron","non-dropping-particle":"","parse-names":false,"suffix":""}],"id":"ITEM-1","issue":"September","issued":{"date-parts":[["2021"]]},"publisher-place":"Cambridge, UK","title":"Potential options and technology pathways for delivering zero-carbon freight in Italy","type":"report"},"uris":["http://www.mendeley.com/documents/?uuid=85bbf112-d2ea-4846-b03b-00dd8d2c7d56","http://www.mendeley.com/documents/?uuid=e5266a38-0395-4abb-9dde-7b44774f9c3b"]}],"mendeley":{"formattedCitation":"[18]","plainTextFormattedCitation":"[18]","previouslyFormattedCitation":"[17]"},"properties":{"noteIndex":0},"schema":"https://github.com/citation-style-language/schema/raw/master/csl-citation.json"}</w:instrText>
      </w:r>
      <w:r w:rsidR="001A41CE" w:rsidRPr="00590BB6">
        <w:fldChar w:fldCharType="separate"/>
      </w:r>
      <w:r w:rsidR="001A41CE" w:rsidRPr="00590BB6">
        <w:rPr>
          <w:noProof/>
        </w:rPr>
        <w:t>[18]</w:t>
      </w:r>
      <w:r w:rsidR="001A41CE" w:rsidRPr="00590BB6">
        <w:fldChar w:fldCharType="end"/>
      </w:r>
      <w:r w:rsidR="001A41CE" w:rsidRPr="00590BB6">
        <w:t>, who concluded that CO</w:t>
      </w:r>
      <w:r w:rsidR="001A41CE" w:rsidRPr="00590BB6">
        <w:rPr>
          <w:vertAlign w:val="subscript"/>
        </w:rPr>
        <w:t>2</w:t>
      </w:r>
      <w:r w:rsidR="001A41CE" w:rsidRPr="00590BB6">
        <w:t xml:space="preserve"> </w:t>
      </w:r>
      <w:r w:rsidR="00BC3C15" w:rsidRPr="00590BB6">
        <w:t>and N</w:t>
      </w:r>
      <w:r w:rsidR="00BC3C15" w:rsidRPr="00590BB6">
        <w:rPr>
          <w:vertAlign w:val="subscript"/>
        </w:rPr>
        <w:t>2</w:t>
      </w:r>
      <w:r w:rsidR="00BC3C15" w:rsidRPr="00590BB6">
        <w:t xml:space="preserve">O </w:t>
      </w:r>
      <w:r w:rsidR="001A41CE" w:rsidRPr="00590BB6">
        <w:t>emissions could be</w:t>
      </w:r>
      <w:r w:rsidR="00BC3C15" w:rsidRPr="00590BB6">
        <w:t>, respectively,</w:t>
      </w:r>
      <w:r w:rsidR="001A41CE" w:rsidRPr="00590BB6">
        <w:t xml:space="preserve"> 95% </w:t>
      </w:r>
      <w:r w:rsidR="00BC3C15" w:rsidRPr="00590BB6">
        <w:t xml:space="preserve">and 99% </w:t>
      </w:r>
      <w:r w:rsidR="001A41CE" w:rsidRPr="00590BB6">
        <w:t xml:space="preserve">lower in a scenario with low-carbon technologies uptake than </w:t>
      </w:r>
      <w:r w:rsidR="00BC3C15" w:rsidRPr="00590BB6">
        <w:t>the</w:t>
      </w:r>
      <w:r w:rsidR="001A41CE" w:rsidRPr="00590BB6">
        <w:t xml:space="preserve"> business-as-usual scenario</w:t>
      </w:r>
      <w:r w:rsidR="00BC3C15" w:rsidRPr="00590BB6">
        <w:t>.</w:t>
      </w:r>
    </w:p>
    <w:p w14:paraId="11D4E2BF" w14:textId="3D862839" w:rsidR="00CA7EEF" w:rsidRPr="00590BB6" w:rsidRDefault="006648A3" w:rsidP="00D36EC5">
      <w:pPr>
        <w:spacing w:line="360" w:lineRule="auto"/>
        <w:jc w:val="both"/>
      </w:pPr>
      <w:r w:rsidRPr="00590BB6">
        <w:t xml:space="preserve">While the 2030 ICE Ban scenario is more ambitious than </w:t>
      </w:r>
      <w:r w:rsidR="00A5756A">
        <w:t xml:space="preserve">the </w:t>
      </w:r>
      <w:r w:rsidRPr="00590BB6">
        <w:t>current policies, as</w:t>
      </w:r>
      <w:r w:rsidR="005C0F4D" w:rsidRPr="00590BB6">
        <w:t xml:space="preserve"> current </w:t>
      </w:r>
      <w:r w:rsidRPr="00590BB6">
        <w:t>targets on</w:t>
      </w:r>
      <w:r w:rsidR="005C0F4D" w:rsidRPr="00590BB6">
        <w:t xml:space="preserve"> emissions from new trucks in 2030 </w:t>
      </w:r>
      <w:r w:rsidRPr="00590BB6">
        <w:t>should</w:t>
      </w:r>
      <w:r w:rsidR="005C0F4D" w:rsidRPr="00590BB6">
        <w:t xml:space="preserve"> be 30% lower than the values estimated in 2019 </w:t>
      </w:r>
      <w:r w:rsidR="005C0F4D" w:rsidRPr="00590BB6">
        <w:rPr>
          <w:rFonts w:cs="Times New Roman"/>
        </w:rPr>
        <w:fldChar w:fldCharType="begin" w:fldLock="1"/>
      </w:r>
      <w:r w:rsidR="005C0F4D" w:rsidRPr="00590BB6">
        <w:rPr>
          <w:rFonts w:cs="Times New Roman"/>
        </w:rPr>
        <w:instrText>ADDIN CSL_CITATION {"citationItems":[{"id":"ITEM-1","itemData":{"author":[{"dropping-particle":"","family":"Climate Transparency","given":"","non-dropping-particle":"","parse-names":false,"suffix":""}],"id":"ITEM-1","issued":{"date-parts":[["2019"]]},"title":"Brown to Green: The G20 transition towards a net-zero emissions economy - Italy","type":"article"},"uris":["http://www.mendeley.com/documents/?uuid=60583945-6179-4465-81c0-78abc177a0a6"]}],"mendeley":{"formattedCitation":"[11]","plainTextFormattedCitation":"[11]","previouslyFormattedCitation":"[10]"},"properties":{"noteIndex":0},"schema":"https://github.com/citation-style-language/schema/raw/master/csl-citation.json"}</w:instrText>
      </w:r>
      <w:r w:rsidR="005C0F4D" w:rsidRPr="00590BB6">
        <w:rPr>
          <w:rFonts w:cs="Times New Roman"/>
        </w:rPr>
        <w:fldChar w:fldCharType="separate"/>
      </w:r>
      <w:r w:rsidR="005C0F4D" w:rsidRPr="00590BB6">
        <w:rPr>
          <w:rFonts w:cs="Times New Roman"/>
          <w:noProof/>
        </w:rPr>
        <w:t>[11]</w:t>
      </w:r>
      <w:r w:rsidR="005C0F4D" w:rsidRPr="00590BB6">
        <w:rPr>
          <w:rFonts w:cs="Times New Roman"/>
        </w:rPr>
        <w:fldChar w:fldCharType="end"/>
      </w:r>
      <w:r w:rsidRPr="00590BB6">
        <w:t xml:space="preserve">, it is the only scenario reaching zero-tailpipe GHG emissions. </w:t>
      </w:r>
      <w:r w:rsidR="00BC3C15" w:rsidRPr="00590BB6">
        <w:t>The scenario finds motivation in a</w:t>
      </w:r>
      <w:r w:rsidR="005C0F4D" w:rsidRPr="00590BB6">
        <w:t xml:space="preserve"> new proposal of the European Commission amending the Regulation 2019/1242</w:t>
      </w:r>
      <w:r w:rsidR="00BC3C15" w:rsidRPr="00590BB6">
        <w:t>. I</w:t>
      </w:r>
      <w:r w:rsidR="005C0F4D" w:rsidRPr="00590BB6">
        <w:t xml:space="preserve">f approved this could set </w:t>
      </w:r>
      <w:r w:rsidR="00F452FE" w:rsidRPr="00590BB6">
        <w:t xml:space="preserve">to 43% and </w:t>
      </w:r>
      <w:r w:rsidR="005C0F4D" w:rsidRPr="00590BB6">
        <w:t xml:space="preserve">90% </w:t>
      </w:r>
      <w:r w:rsidR="00F452FE" w:rsidRPr="00590BB6">
        <w:t xml:space="preserve">the </w:t>
      </w:r>
      <w:r w:rsidRPr="00590BB6">
        <w:t>CO</w:t>
      </w:r>
      <w:r w:rsidRPr="00590BB6">
        <w:rPr>
          <w:vertAlign w:val="subscript"/>
        </w:rPr>
        <w:t>2</w:t>
      </w:r>
      <w:r w:rsidRPr="00590BB6">
        <w:t xml:space="preserve"> </w:t>
      </w:r>
      <w:r w:rsidR="005C0F4D" w:rsidRPr="00590BB6">
        <w:t xml:space="preserve">emission reduction on new trucks </w:t>
      </w:r>
      <w:r w:rsidR="00F452FE" w:rsidRPr="00590BB6">
        <w:t xml:space="preserve">for 2030 and 2050 </w:t>
      </w:r>
      <w:r w:rsidR="005C0F4D" w:rsidRPr="00590BB6">
        <w:t>compared to 2019</w:t>
      </w:r>
      <w:r w:rsidR="005C0F4D" w:rsidRPr="00590BB6">
        <w:rPr>
          <w:rStyle w:val="FootnoteReference"/>
        </w:rPr>
        <w:footnoteReference w:id="16"/>
      </w:r>
      <w:r w:rsidR="005C0F4D" w:rsidRPr="00590BB6">
        <w:t>.</w:t>
      </w:r>
      <w:r w:rsidRPr="00590BB6">
        <w:t xml:space="preserve"> </w:t>
      </w:r>
      <w:r w:rsidR="002E73C3" w:rsidRPr="00590BB6">
        <w:t>In fact, t</w:t>
      </w:r>
      <w:r w:rsidR="00C677C8" w:rsidRPr="00590BB6">
        <w:t>o meet the targets</w:t>
      </w:r>
      <w:r w:rsidR="002E73C3" w:rsidRPr="00590BB6">
        <w:t xml:space="preserve"> in the proposal</w:t>
      </w:r>
      <w:r w:rsidR="00C677C8" w:rsidRPr="00590BB6">
        <w:t xml:space="preserve">, </w:t>
      </w:r>
      <w:r w:rsidR="002E73C3" w:rsidRPr="00590BB6">
        <w:t>the two scenarios</w:t>
      </w:r>
      <w:r w:rsidRPr="00590BB6">
        <w:t xml:space="preserve"> </w:t>
      </w:r>
      <w:r w:rsidR="00A5756A">
        <w:t xml:space="preserve">imposing an ICE ban </w:t>
      </w:r>
      <w:r w:rsidR="00C677C8" w:rsidRPr="00590BB6">
        <w:t xml:space="preserve">would need to </w:t>
      </w:r>
      <w:r w:rsidRPr="00590BB6">
        <w:t>promot</w:t>
      </w:r>
      <w:r w:rsidR="002E73C3" w:rsidRPr="00590BB6">
        <w:t>e</w:t>
      </w:r>
      <w:r w:rsidRPr="00590BB6">
        <w:t xml:space="preserve"> alternative powertrains</w:t>
      </w:r>
      <w:r w:rsidR="002E73C3" w:rsidRPr="00590BB6">
        <w:t xml:space="preserve"> from 2030</w:t>
      </w:r>
      <w:r w:rsidRPr="00590BB6">
        <w:t>, especially in the medium</w:t>
      </w:r>
      <w:r w:rsidR="002E73C3" w:rsidRPr="00590BB6">
        <w:t xml:space="preserve"> and </w:t>
      </w:r>
      <w:r w:rsidRPr="00590BB6">
        <w:t>heavy segments</w:t>
      </w:r>
      <w:r w:rsidR="00C677C8" w:rsidRPr="00590BB6">
        <w:rPr>
          <w:rStyle w:val="FootnoteReference"/>
        </w:rPr>
        <w:footnoteReference w:id="17"/>
      </w:r>
      <w:r w:rsidRPr="00590BB6">
        <w:t xml:space="preserve">. A reduction in the capital costs of BEVs and FCEV, in the form of public subsidy could accelerate their deployment promoting </w:t>
      </w:r>
      <w:r w:rsidR="002E73C3" w:rsidRPr="00590BB6">
        <w:t>an earlier emission reduction</w:t>
      </w:r>
      <w:r w:rsidRPr="00590BB6">
        <w:t>.</w:t>
      </w:r>
      <w:r w:rsidR="00A5756A">
        <w:t xml:space="preserve"> This is even more true as the development of alternative powertrains would produce infrastructure costs. Nor infrastructure costs or governmental subsidies were included in the model, as they were deemed prone to over-simplification within the current model settings.</w:t>
      </w:r>
      <w:r w:rsidR="00142794">
        <w:t xml:space="preserve"> However, a lag-time is introduced to include a delay between the investment decision and the deployment of novel technologies, thus accounting for an infrastructural inertia.</w:t>
      </w:r>
    </w:p>
    <w:p w14:paraId="0A75B1F0" w14:textId="11B63CB9" w:rsidR="00F239B6" w:rsidRPr="00590BB6" w:rsidRDefault="00AC643C" w:rsidP="00F239B6">
      <w:pPr>
        <w:spacing w:line="360" w:lineRule="auto"/>
        <w:jc w:val="both"/>
      </w:pPr>
      <w:r w:rsidRPr="00590BB6">
        <w:t>Nonetheless, t</w:t>
      </w:r>
      <w:r w:rsidR="002E73C3" w:rsidRPr="00590BB6">
        <w:t xml:space="preserve">he carbon </w:t>
      </w:r>
      <w:r w:rsidRPr="00590BB6">
        <w:t>footprints</w:t>
      </w:r>
      <w:r w:rsidR="002E73C3" w:rsidRPr="00590BB6">
        <w:t xml:space="preserve"> should be based on life cycle assessments</w:t>
      </w:r>
      <w:r w:rsidR="00A5756A">
        <w:t>.</w:t>
      </w:r>
      <w:r w:rsidRPr="00590BB6">
        <w:t xml:space="preserve"> </w:t>
      </w:r>
      <w:r w:rsidR="00A5756A">
        <w:t>F</w:t>
      </w:r>
      <w:r w:rsidRPr="00590BB6">
        <w:t xml:space="preserve">or powertrains, in Italy </w:t>
      </w:r>
      <w:r w:rsidR="00A5756A">
        <w:t xml:space="preserve">2015 </w:t>
      </w:r>
      <w:r w:rsidRPr="00590BB6">
        <w:t xml:space="preserve">values </w:t>
      </w:r>
      <w:r w:rsidR="00A5756A">
        <w:t>ranged</w:t>
      </w:r>
      <w:r w:rsidRPr="00590BB6">
        <w:t xml:space="preserve"> between 0.155 </w:t>
      </w:r>
      <w:r w:rsidR="00A5756A">
        <w:t>–</w:t>
      </w:r>
      <w:r w:rsidR="00A5756A" w:rsidRPr="00590BB6">
        <w:t xml:space="preserve"> </w:t>
      </w:r>
      <w:r w:rsidRPr="00590BB6">
        <w:t>0.300 kgCO</w:t>
      </w:r>
      <w:r w:rsidRPr="00590BB6">
        <w:rPr>
          <w:vertAlign w:val="subscript"/>
        </w:rPr>
        <w:t>2</w:t>
      </w:r>
      <w:r w:rsidRPr="00590BB6">
        <w:t>-eq/km for BEVs and ICE-</w:t>
      </w:r>
      <w:r w:rsidR="00A5756A">
        <w:t>gasoline</w:t>
      </w:r>
      <w:r w:rsidRPr="00590BB6">
        <w:t xml:space="preserve">, whereas 2016 </w:t>
      </w:r>
      <w:r w:rsidR="00A5756A">
        <w:t>values were</w:t>
      </w:r>
      <w:r w:rsidRPr="00590BB6">
        <w:t xml:space="preserve"> in the range 0.12 </w:t>
      </w:r>
      <w:r w:rsidR="00A5756A">
        <w:t>–</w:t>
      </w:r>
      <w:r w:rsidR="00A5756A" w:rsidRPr="00590BB6">
        <w:t xml:space="preserve"> </w:t>
      </w:r>
      <w:r w:rsidRPr="00590BB6">
        <w:t>0.16 kgCO</w:t>
      </w:r>
      <w:r w:rsidRPr="00590BB6">
        <w:rPr>
          <w:vertAlign w:val="subscript"/>
        </w:rPr>
        <w:t>2</w:t>
      </w:r>
      <w:r w:rsidRPr="00590BB6">
        <w:t xml:space="preserve">-eq/km for BEVs and ICE-diesel. In other regions, such as China or Norway, BEVs could have much closer footprints or be even higher than the ICE counterpart </w:t>
      </w:r>
      <w:r w:rsidRPr="00590BB6">
        <w:fldChar w:fldCharType="begin" w:fldLock="1"/>
      </w:r>
      <w:r w:rsidRPr="00590BB6">
        <w:instrText>ADDIN CSL_CITATION {"citationItems":[{"id":"ITEM-1","itemData":{"abstract":"The Global EV Outlook is an annual publication that identifies and discusses recent developments in electric mobility across the globe. It is developed with the support of the members of the Electric Vehicles Initiative (EVI). Combining historical analysis with projections to 2030, the report examines key areas of interest such as electric vehicle and charging infrastructure deployment, ownership cost, energy use, carbon dioxide emissions and battery material demand. The report includes policy recommendations that incorporate learning from frontrunner markets to inform policy makers and stakeholders that consider policy frameworks and market systems for electric vehicle adoption. This edition features a specific analysis of the performance of electric cars and competing powertrain options in terms of greenhouse gas emissions over their life cycle. As well, it discusses key challenges in the transition to electric mobility and solutions that are well suited to address them. This includes vehicle and battery cost developments; supply and value chain sustainability of battery materials; implications of electric mobility for power systems; government revenue from taxation; and the interplay between electric, shared and automated mobility options.","author":[{"dropping-particle":"","family":"IEA","given":"","non-dropping-particle":"","parse-names":false,"suffix":""}],"container-title":"Global EV Outlook 2020: Technology Report","id":"ITEM-1","issued":{"date-parts":[["2020"]]},"title":"Global EV Outlook","type":"report"},"uris":["http://www.mendeley.com/documents/?uuid=a6abb893-760e-4c1c-b806-525a1df32df0","http://www.mendeley.com/documents/?uuid=0525ab09-af72-4009-8a65-3c044a0ccefe"]}],"mendeley":{"formattedCitation":"[64]","plainTextFormattedCitation":"[64]","previouslyFormattedCitation":"[63]"},"properties":{"noteIndex":0},"schema":"https://github.com/citation-style-language/schema/raw/master/csl-citation.json"}</w:instrText>
      </w:r>
      <w:r w:rsidRPr="00590BB6">
        <w:fldChar w:fldCharType="separate"/>
      </w:r>
      <w:r w:rsidRPr="00590BB6">
        <w:t>[64]</w:t>
      </w:r>
      <w:r w:rsidRPr="00590BB6">
        <w:fldChar w:fldCharType="end"/>
      </w:r>
      <w:r w:rsidRPr="00590BB6">
        <w:t>. One reason for this</w:t>
      </w:r>
      <w:r w:rsidR="00F57017" w:rsidRPr="00590BB6">
        <w:t xml:space="preserve"> </w:t>
      </w:r>
      <w:r w:rsidRPr="00590BB6">
        <w:t>high variability</w:t>
      </w:r>
      <w:r w:rsidR="002E73C3" w:rsidRPr="00590BB6">
        <w:t xml:space="preserve"> </w:t>
      </w:r>
      <w:r w:rsidR="00F57017" w:rsidRPr="00590BB6">
        <w:t xml:space="preserve">comes from the electricity carbon intensity, but also from the type of manufacturing process used. </w:t>
      </w:r>
      <w:r w:rsidR="00A5756A">
        <w:t>For q</w:t>
      </w:r>
      <w:r w:rsidR="00F239B6" w:rsidRPr="00590BB6">
        <w:t>uantify</w:t>
      </w:r>
      <w:r w:rsidR="00F57017" w:rsidRPr="00590BB6">
        <w:t>ing</w:t>
      </w:r>
      <w:r w:rsidR="00F239B6" w:rsidRPr="00590BB6">
        <w:t xml:space="preserve"> the impact over different phases of a vehicle </w:t>
      </w:r>
      <w:r w:rsidR="00F57017" w:rsidRPr="00590BB6">
        <w:t xml:space="preserve">(i.e., </w:t>
      </w:r>
      <w:r w:rsidR="00F239B6" w:rsidRPr="00590BB6">
        <w:t>manufacturing, use</w:t>
      </w:r>
      <w:r w:rsidR="002E73C3" w:rsidRPr="00590BB6">
        <w:t xml:space="preserve">, </w:t>
      </w:r>
      <w:r w:rsidR="00F239B6" w:rsidRPr="00590BB6">
        <w:t>and end of life</w:t>
      </w:r>
      <w:r w:rsidR="00F57017" w:rsidRPr="00590BB6">
        <w:t>)</w:t>
      </w:r>
      <w:r w:rsidR="00F239B6" w:rsidRPr="00590BB6">
        <w:t xml:space="preserve">, </w:t>
      </w:r>
      <w:r w:rsidR="00F57017" w:rsidRPr="00590BB6">
        <w:t xml:space="preserve">it is </w:t>
      </w:r>
      <w:r w:rsidR="00A5756A">
        <w:t>important to note</w:t>
      </w:r>
      <w:r w:rsidR="00A5756A" w:rsidRPr="00590BB6">
        <w:t xml:space="preserve"> </w:t>
      </w:r>
      <w:r w:rsidR="00F57017" w:rsidRPr="00590BB6">
        <w:t xml:space="preserve">that </w:t>
      </w:r>
      <w:r w:rsidR="00F239B6" w:rsidRPr="00590BB6">
        <w:t xml:space="preserve">in </w:t>
      </w:r>
      <w:r w:rsidR="00A5756A">
        <w:t xml:space="preserve">the </w:t>
      </w:r>
      <w:r w:rsidR="00F239B6" w:rsidRPr="00590BB6">
        <w:t>use-phase, BEV</w:t>
      </w:r>
      <w:r w:rsidR="00F57017" w:rsidRPr="00590BB6">
        <w:t>s</w:t>
      </w:r>
      <w:r w:rsidR="00F239B6" w:rsidRPr="00590BB6">
        <w:t xml:space="preserve"> </w:t>
      </w:r>
      <w:r w:rsidR="00F57017" w:rsidRPr="00590BB6">
        <w:t xml:space="preserve">could </w:t>
      </w:r>
      <w:r w:rsidR="00F239B6" w:rsidRPr="00590BB6">
        <w:t>emit half of the GHG emissions for a European electricity mix, while the</w:t>
      </w:r>
      <w:r w:rsidR="00F57017" w:rsidRPr="00590BB6">
        <w:t>y c</w:t>
      </w:r>
      <w:r w:rsidR="00A5756A">
        <w:t>ould</w:t>
      </w:r>
      <w:r w:rsidR="00F57017" w:rsidRPr="00590BB6">
        <w:t xml:space="preserve"> emit </w:t>
      </w:r>
      <w:r w:rsidR="00F239B6" w:rsidRPr="00590BB6">
        <w:t>nearly double the emissions during manufacturing phase, compared to ICEVs</w:t>
      </w:r>
      <w:r w:rsidR="00F57017" w:rsidRPr="00590BB6">
        <w:t xml:space="preserve"> </w:t>
      </w:r>
      <w:r w:rsidR="00F57017" w:rsidRPr="00590BB6">
        <w:fldChar w:fldCharType="begin" w:fldLock="1"/>
      </w:r>
      <w:r w:rsidR="00F57017" w:rsidRPr="00590BB6">
        <w:instrText>ADDIN CSL_CITATION {"citationItems":[{"id":"ITEM-1","itemData":{"abstract":"The Global EV Outlook is an annual publication that identifies and discusses recent developments in electric mobility across the globe. It is developed with the support of the members of the Electric Vehicles Initiative (EVI). Combining historical analysis with projections to 2030, the report examines key areas of interest such as electric vehicle and charging infrastructure deployment, ownership cost, energy use, carbon dioxide emissions and battery material demand. The report includes policy recommendations that incorporate learning from frontrunner markets to inform policy makers and stakeholders that consider policy frameworks and market systems for electric vehicle adoption. This edition features a specific analysis of the performance of electric cars and competing powertrain options in terms of greenhouse gas emissions over their life cycle. As well, it discusses key challenges in the transition to electric mobility and solutions that are well suited to address them. This includes vehicle and battery cost developments; supply and value chain sustainability of battery materials; implications of electric mobility for power systems; government revenue from taxation; and the interplay between electric, shared and automated mobility options.","author":[{"dropping-particle":"","family":"IEA","given":"","non-dropping-particle":"","parse-names":false,"suffix":""}],"container-title":"Global EV Outlook 2020: Technology Report","id":"ITEM-1","issued":{"date-parts":[["2020"]]},"title":"Global EV Outlook","type":"report"},"uris":["http://www.mendeley.com/documents/?uuid=a6abb893-760e-4c1c-b806-525a1df32df0","http://www.mendeley.com/documents/?uuid=0525ab09-af72-4009-8a65-3c044a0ccefe"]}],"mendeley":{"formattedCitation":"[64]","plainTextFormattedCitation":"[64]","previouslyFormattedCitation":"[63]"},"properties":{"noteIndex":0},"schema":"https://github.com/citation-style-language/schema/raw/master/csl-citation.json"}</w:instrText>
      </w:r>
      <w:r w:rsidR="00F57017" w:rsidRPr="00590BB6">
        <w:fldChar w:fldCharType="separate"/>
      </w:r>
      <w:r w:rsidR="00F57017" w:rsidRPr="00590BB6">
        <w:t>[64]</w:t>
      </w:r>
      <w:r w:rsidR="00F57017" w:rsidRPr="00590BB6">
        <w:fldChar w:fldCharType="end"/>
      </w:r>
      <w:r w:rsidR="00F239B6" w:rsidRPr="00590BB6">
        <w:t xml:space="preserve">. </w:t>
      </w:r>
      <w:r w:rsidR="00F57017" w:rsidRPr="00590BB6">
        <w:t>In general, t</w:t>
      </w:r>
      <w:r w:rsidR="00F239B6" w:rsidRPr="00590BB6">
        <w:t>he inventory for calculating life-cycle impact of BEVs is still maturing</w:t>
      </w:r>
      <w:r w:rsidR="00F57017" w:rsidRPr="00590BB6">
        <w:t>, especially for</w:t>
      </w:r>
      <w:r w:rsidR="00F239B6" w:rsidRPr="00590BB6">
        <w:t xml:space="preserve"> the end-of-life recycling phase.</w:t>
      </w:r>
      <w:r w:rsidR="00BC3C15" w:rsidRPr="00590BB6">
        <w:t xml:space="preserve"> </w:t>
      </w:r>
      <w:r w:rsidR="00F239B6" w:rsidRPr="00590BB6">
        <w:t xml:space="preserve"> </w:t>
      </w:r>
      <w:r w:rsidR="00F57017" w:rsidRPr="00590BB6">
        <w:t>In this work, t</w:t>
      </w:r>
      <w:r w:rsidR="00BC3C15" w:rsidRPr="00590BB6">
        <w:t xml:space="preserve">he “zero-by-2050” target would require the replacement of more than 5 million light trucks, 1.3 million medium trucks, and 200 thousand heavy trucks in Italy by 2050. This can produce </w:t>
      </w:r>
      <w:r w:rsidR="00E06461">
        <w:t xml:space="preserve">consistent </w:t>
      </w:r>
      <w:r w:rsidR="00BC3C15" w:rsidRPr="00590BB6">
        <w:t xml:space="preserve">emissions </w:t>
      </w:r>
      <w:r w:rsidR="00E06461">
        <w:t>during</w:t>
      </w:r>
      <w:r w:rsidR="00E06461" w:rsidRPr="00590BB6">
        <w:t xml:space="preserve"> </w:t>
      </w:r>
      <w:r w:rsidR="00BC3C15" w:rsidRPr="00590BB6">
        <w:t xml:space="preserve">the disposal of the fleet, </w:t>
      </w:r>
      <w:r w:rsidR="00E06461">
        <w:t>but they</w:t>
      </w:r>
      <w:r w:rsidR="00E06461" w:rsidRPr="00590BB6">
        <w:t xml:space="preserve"> </w:t>
      </w:r>
      <w:r w:rsidR="00BC3C15" w:rsidRPr="00590BB6">
        <w:t>are not dealt with in this work.</w:t>
      </w:r>
    </w:p>
    <w:p w14:paraId="6F5D995D" w14:textId="77777777" w:rsidR="003B72B9" w:rsidRPr="00590BB6" w:rsidRDefault="003B72B9" w:rsidP="00D36EC5">
      <w:pPr>
        <w:spacing w:line="360" w:lineRule="auto"/>
        <w:jc w:val="both"/>
      </w:pPr>
    </w:p>
    <w:p w14:paraId="6522F1F0" w14:textId="26CF859B" w:rsidR="002713D3" w:rsidRPr="00590BB6" w:rsidRDefault="00F32466" w:rsidP="002713D3">
      <w:pPr>
        <w:keepNext/>
        <w:spacing w:line="360" w:lineRule="auto"/>
        <w:jc w:val="both"/>
      </w:pPr>
      <w:r w:rsidRPr="00590BB6">
        <w:rPr>
          <w:noProof/>
        </w:rPr>
        <w:lastRenderedPageBreak/>
        <w:drawing>
          <wp:inline distT="0" distB="0" distL="0" distR="0" wp14:anchorId="02454947" wp14:editId="665D0690">
            <wp:extent cx="6120130" cy="3216910"/>
            <wp:effectExtent l="0" t="0" r="1270" b="0"/>
            <wp:docPr id="1248070131" name="Chart 1">
              <a:extLst xmlns:a="http://schemas.openxmlformats.org/drawingml/2006/main">
                <a:ext uri="{FF2B5EF4-FFF2-40B4-BE49-F238E27FC236}">
                  <a16:creationId xmlns:a16="http://schemas.microsoft.com/office/drawing/2014/main" id="{00000000-0008-0000-05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3E2EE416" w14:textId="38395ECF" w:rsidR="002713D3" w:rsidRPr="00590BB6" w:rsidRDefault="00641470" w:rsidP="00641470">
      <w:pPr>
        <w:pStyle w:val="Caption"/>
      </w:pPr>
      <w:bookmarkStart w:id="29" w:name="_Ref143128890"/>
      <w:r w:rsidRPr="00590BB6">
        <w:t xml:space="preserve">Figure </w:t>
      </w:r>
      <w:r w:rsidRPr="00590BB6">
        <w:fldChar w:fldCharType="begin"/>
      </w:r>
      <w:r w:rsidRPr="00590BB6">
        <w:instrText xml:space="preserve"> SEQ Figure \* ARABIC </w:instrText>
      </w:r>
      <w:r w:rsidRPr="00590BB6">
        <w:fldChar w:fldCharType="separate"/>
      </w:r>
      <w:r w:rsidR="00A644B3" w:rsidRPr="00590BB6">
        <w:rPr>
          <w:noProof/>
        </w:rPr>
        <w:t>11</w:t>
      </w:r>
      <w:r w:rsidRPr="00590BB6">
        <w:fldChar w:fldCharType="end"/>
      </w:r>
      <w:bookmarkEnd w:id="29"/>
      <w:r w:rsidR="002713D3" w:rsidRPr="00590BB6">
        <w:t xml:space="preserve">. </w:t>
      </w:r>
      <w:r w:rsidR="008802EF" w:rsidRPr="00590BB6">
        <w:t xml:space="preserve">Resulting </w:t>
      </w:r>
      <w:r w:rsidR="00F32466" w:rsidRPr="00590BB6">
        <w:t>GHG emissions from the modelled</w:t>
      </w:r>
      <w:r w:rsidR="008802EF" w:rsidRPr="00590BB6">
        <w:t xml:space="preserve"> scenarios for selected years</w:t>
      </w:r>
      <w:r w:rsidR="00F32466" w:rsidRPr="00590BB6">
        <w:t xml:space="preserve"> (kt CO</w:t>
      </w:r>
      <w:r w:rsidR="00F32466" w:rsidRPr="00590BB6">
        <w:rPr>
          <w:vertAlign w:val="subscript"/>
        </w:rPr>
        <w:t>2</w:t>
      </w:r>
      <w:r w:rsidR="00F32466" w:rsidRPr="00590BB6">
        <w:t>-eq/year)</w:t>
      </w:r>
    </w:p>
    <w:p w14:paraId="523155AC" w14:textId="4797B93A" w:rsidR="00B5337C" w:rsidRPr="00590BB6" w:rsidRDefault="00B5337C" w:rsidP="00B5337C">
      <w:pPr>
        <w:spacing w:line="360" w:lineRule="auto"/>
        <w:jc w:val="both"/>
      </w:pPr>
    </w:p>
    <w:p w14:paraId="63430B01" w14:textId="37ABB0B5" w:rsidR="00BC368D" w:rsidRPr="00590BB6" w:rsidRDefault="002713D3" w:rsidP="00BC368D">
      <w:pPr>
        <w:pStyle w:val="Heading2"/>
        <w:spacing w:after="240"/>
        <w:rPr>
          <w:rFonts w:cs="Times New Roman"/>
          <w:sz w:val="22"/>
          <w:szCs w:val="22"/>
        </w:rPr>
      </w:pPr>
      <w:r w:rsidRPr="00590BB6">
        <w:rPr>
          <w:rFonts w:cs="Times New Roman"/>
          <w:sz w:val="22"/>
          <w:szCs w:val="22"/>
        </w:rPr>
        <w:t xml:space="preserve">Alternative </w:t>
      </w:r>
      <w:r w:rsidR="000D170B" w:rsidRPr="00590BB6">
        <w:rPr>
          <w:rFonts w:cs="Times New Roman"/>
          <w:sz w:val="22"/>
          <w:szCs w:val="22"/>
        </w:rPr>
        <w:t>powertrains</w:t>
      </w:r>
    </w:p>
    <w:p w14:paraId="39D94FFD" w14:textId="67B24E95" w:rsidR="006B2962" w:rsidRPr="00590BB6" w:rsidRDefault="000D6A33" w:rsidP="00AB0013">
      <w:pPr>
        <w:spacing w:line="360" w:lineRule="auto"/>
        <w:jc w:val="both"/>
        <w:rPr>
          <w:rFonts w:cs="Times New Roman"/>
        </w:rPr>
      </w:pPr>
      <w:r w:rsidRPr="00590BB6">
        <w:rPr>
          <w:rFonts w:cs="Times New Roman"/>
        </w:rPr>
        <w:t>F</w:t>
      </w:r>
      <w:r w:rsidR="00E74724" w:rsidRPr="00590BB6">
        <w:rPr>
          <w:rFonts w:cs="Times New Roman"/>
        </w:rPr>
        <w:t>uel vehicle</w:t>
      </w:r>
      <w:r w:rsidR="006B2962" w:rsidRPr="00590BB6">
        <w:rPr>
          <w:rFonts w:cs="Times New Roman"/>
        </w:rPr>
        <w:t xml:space="preserve"> </w:t>
      </w:r>
      <w:r w:rsidR="00AB0013" w:rsidRPr="00590BB6">
        <w:rPr>
          <w:rFonts w:cs="Times New Roman"/>
        </w:rPr>
        <w:t xml:space="preserve">share </w:t>
      </w:r>
      <w:r w:rsidR="006B2962" w:rsidRPr="00590BB6">
        <w:rPr>
          <w:rFonts w:cs="Times New Roman"/>
        </w:rPr>
        <w:t xml:space="preserve">for </w:t>
      </w:r>
      <w:r w:rsidRPr="00590BB6">
        <w:rPr>
          <w:rFonts w:cs="Times New Roman"/>
        </w:rPr>
        <w:t xml:space="preserve">BEVs in the </w:t>
      </w:r>
      <w:r w:rsidR="006B2962" w:rsidRPr="00590BB6">
        <w:rPr>
          <w:rFonts w:cs="Times New Roman"/>
        </w:rPr>
        <w:t>light truck</w:t>
      </w:r>
      <w:r w:rsidRPr="00590BB6">
        <w:rPr>
          <w:rFonts w:cs="Times New Roman"/>
        </w:rPr>
        <w:t xml:space="preserve"> segment</w:t>
      </w:r>
      <w:r w:rsidR="006B2962" w:rsidRPr="00590BB6">
        <w:rPr>
          <w:rFonts w:cs="Times New Roman"/>
        </w:rPr>
        <w:t xml:space="preserve"> </w:t>
      </w:r>
      <w:r w:rsidR="00AB0013" w:rsidRPr="00590BB6">
        <w:rPr>
          <w:rFonts w:cs="Times New Roman"/>
        </w:rPr>
        <w:t xml:space="preserve">of approximately 50% in 2035 and 100% in 2040 and 2050 </w:t>
      </w:r>
      <w:r w:rsidR="00C677C8" w:rsidRPr="00590BB6">
        <w:rPr>
          <w:rFonts w:cs="Times New Roman"/>
        </w:rPr>
        <w:t xml:space="preserve">(as in the </w:t>
      </w:r>
      <w:r w:rsidR="00244DFF" w:rsidRPr="00590BB6">
        <w:rPr>
          <w:rFonts w:cs="Times New Roman"/>
          <w:i/>
        </w:rPr>
        <w:t xml:space="preserve">Tech Costs </w:t>
      </w:r>
      <w:r w:rsidR="00C677C8" w:rsidRPr="00590BB6">
        <w:rPr>
          <w:rFonts w:cs="Times New Roman"/>
          <w:iCs/>
        </w:rPr>
        <w:t xml:space="preserve">scenario) </w:t>
      </w:r>
      <w:r w:rsidR="00AB0013" w:rsidRPr="00590BB6">
        <w:rPr>
          <w:rFonts w:cs="Times New Roman"/>
        </w:rPr>
        <w:t xml:space="preserve">are in line with the most optimistic values found in climate protection scenarios </w:t>
      </w:r>
      <w:r w:rsidR="00AB0013" w:rsidRPr="00590BB6">
        <w:rPr>
          <w:rFonts w:cs="Times New Roman"/>
        </w:rPr>
        <w:fldChar w:fldCharType="begin" w:fldLock="1"/>
      </w:r>
      <w:r w:rsidR="006F44A7" w:rsidRPr="00590BB6">
        <w:rPr>
          <w:rFonts w:cs="Times New Roman"/>
        </w:rPr>
        <w:instrText>ADDIN CSL_CITATION {"citationItems":[{"id":"ITEM-1","itemData":{"DOI":"10.1016/j.egyr.2019.07.017","ISSN":"23524847","abstract":"With about 22%, the transport sector is one of the largest global emitters of the greenhouse gas CO2. Long-distance road freight transport accounts for a large and rising share within this sector. For this reason, in February 2019, the European Union agreed to introduce CO2 emission standards following Canada, China, Japan and the United States. One way to reduce CO2 emissions from long-distance road freight transport is to use alternative powertrains in trucks — especially heavy-duty vehicles (HDV) because of their high mileage, weight and fuel consumption. Multiple alternative fuels and powertrains (AFPs) have been proposed as potential options to lower CO2 emissions. However, the current research does not paint a clear picture of the path towards decarbonizing transport that uses AFPs in HDVs. The aim of this literature review is to understand the current state of research on the market diffusion of HDVs with alternative powertrains. We present a summary of market diffusion studies of AFPs in HDVs, including their methods, main findings and policy recommendations. We compare and synthesize the results of these studies to identify strengths and weaknesses in the field, and to propose further options to improve AFP HDV market diffusion modelling. All the studies expect AFPs on a small scale in their reference scenarios under current regulations. In climate protection scenarios, however, AFPs dominate the market, indicating their positive effect on CO2 reduction. There is a high degree of uncertainty regarding the emergence of a superior AFP technology for HDVs. The authors of this review recommend more research into policy measures, and that infrastructure development and energy supply should be included in order to obtain a holistic understanding of modelling AFP market diffusion for HDVs.","author":[{"dropping-particle":"","family":"Kluschke","given":"Philipp","non-dropping-particle":"","parse-names":false,"suffix":""},{"dropping-particle":"","family":"Gnann","given":"Till","non-dropping-particle":"","parse-names":false,"suffix":""},{"dropping-particle":"","family":"Plötz","given":"Patrick","non-dropping-particle":"","parse-names":false,"suffix":""},{"dropping-particle":"","family":"Wietschel","given":"Martin","non-dropping-particle":"","parse-names":false,"suffix":""}],"container-title":"Energy Reports","id":"ITEM-1","issued":{"date-parts":[["2019"]]},"page":"1010-1024","publisher":"Elsevier Ltd","title":"Market diffusion of alternative fuels and powertrains in heavy-duty vehicles: A literature review","type":"article-journal","volume":"5"},"uris":["http://www.mendeley.com/documents/?uuid=05a0fa9f-c1e3-4761-8be7-f94a30f95a50","http://www.mendeley.com/documents/?uuid=ce0d2116-fa0b-4c35-8983-d59a67fdd0c1"]}],"mendeley":{"formattedCitation":"[19]","plainTextFormattedCitation":"[19]","previouslyFormattedCitation":"[18]"},"properties":{"noteIndex":0},"schema":"https://github.com/citation-style-language/schema/raw/master/csl-citation.json"}</w:instrText>
      </w:r>
      <w:r w:rsidR="00AB0013" w:rsidRPr="00590BB6">
        <w:rPr>
          <w:rFonts w:cs="Times New Roman"/>
        </w:rPr>
        <w:fldChar w:fldCharType="separate"/>
      </w:r>
      <w:r w:rsidR="006F44A7" w:rsidRPr="00590BB6">
        <w:rPr>
          <w:rFonts w:cs="Times New Roman"/>
          <w:noProof/>
        </w:rPr>
        <w:t>[19]</w:t>
      </w:r>
      <w:r w:rsidR="00AB0013" w:rsidRPr="00590BB6">
        <w:rPr>
          <w:rFonts w:cs="Times New Roman"/>
        </w:rPr>
        <w:fldChar w:fldCharType="end"/>
      </w:r>
      <w:r w:rsidR="00C677C8" w:rsidRPr="00590BB6">
        <w:rPr>
          <w:rFonts w:cs="Times New Roman"/>
        </w:rPr>
        <w:t>. They are</w:t>
      </w:r>
      <w:r w:rsidRPr="00590BB6">
        <w:rPr>
          <w:rFonts w:cs="Times New Roman"/>
        </w:rPr>
        <w:t xml:space="preserve"> </w:t>
      </w:r>
      <w:r w:rsidR="00BC324B" w:rsidRPr="00590BB6">
        <w:rPr>
          <w:rFonts w:cs="Times New Roman"/>
        </w:rPr>
        <w:t xml:space="preserve">motivated by </w:t>
      </w:r>
      <w:r w:rsidR="006B2962" w:rsidRPr="00590BB6">
        <w:rPr>
          <w:rFonts w:cs="Times New Roman"/>
        </w:rPr>
        <w:t>reduction in electric vehicles purchase costs</w:t>
      </w:r>
      <w:r w:rsidRPr="00590BB6">
        <w:rPr>
          <w:rFonts w:cs="Times New Roman"/>
        </w:rPr>
        <w:t>,</w:t>
      </w:r>
      <w:r w:rsidR="006B2962" w:rsidRPr="00590BB6">
        <w:rPr>
          <w:rFonts w:cs="Times New Roman"/>
        </w:rPr>
        <w:t xml:space="preserve"> </w:t>
      </w:r>
      <w:r w:rsidRPr="00590BB6">
        <w:rPr>
          <w:rFonts w:cs="Times New Roman"/>
        </w:rPr>
        <w:t>combined with</w:t>
      </w:r>
      <w:r w:rsidR="006B2962" w:rsidRPr="00590BB6">
        <w:rPr>
          <w:rFonts w:cs="Times New Roman"/>
        </w:rPr>
        <w:t xml:space="preserve"> their relative efficiency </w:t>
      </w:r>
      <w:r w:rsidR="00BC324B" w:rsidRPr="00590BB6">
        <w:rPr>
          <w:rFonts w:cs="Times New Roman"/>
        </w:rPr>
        <w:t xml:space="preserve">gains </w:t>
      </w:r>
      <w:r w:rsidR="006B2962" w:rsidRPr="00590BB6">
        <w:rPr>
          <w:rFonts w:cs="Times New Roman"/>
        </w:rPr>
        <w:fldChar w:fldCharType="begin" w:fldLock="1"/>
      </w:r>
      <w:r w:rsidR="006B2962" w:rsidRPr="00590BB6">
        <w:rPr>
          <w:rFonts w:cs="Times New Roman"/>
        </w:rPr>
        <w:instrText>ADDIN CSL_CITATION {"citationItems":[{"id":"ITEM-1","itemData":{"DOI":"10.1016/j.trc.2018.01.013","ISSN":"0968090X","abstract":"Road freight is the most energy-intensive freight mode (per tkm) and runs almost exclusively on fossil fuels. Electrification could change that, but can batteries really power actual heavy-duty operations? This study introduces a data-driven, bottom-up approach to explore the technical limits of electrification using real data from the entire Swiss truck fleet. Full electrification increased the total Swiss electricity demand by about 5% (3 TWh per year) over its current level and avoid about 1 megaton of CO2 per year (accounting for emissions of generation). Realizing this potential required (1) an allowance to exceed current maximum permissible weight regulations, (2) a high-capacity grid access for charging at the home-base (at least 50kW) and (3) a supporting intra-day energy infrastructure (we explored battery swapping). Boosting the gravimetric energy density of the battery cells was generally beneficial, but only effective if the aforementioned conditions were met. Thus, right now, battery electric trucks are no drop-in replacements for their Diesel counterparts. To allow their wide-spread usage, the road-freight sector would have to transform well beyond the vehicle. The required changes are substantial, but not unthinkable. Therefore, we think electric trucks deserve further exploration, in particular regarding their costs, life-cycle impact, technological variants and comparison to competing technologies.","author":[{"dropping-particle":"","family":"Çabukoglu","given":"Emir","non-dropping-particle":"","parse-names":false,"suffix":""},{"dropping-particle":"","family":"Georges","given":"Gil","non-dropping-particle":"","parse-names":false,"suffix":""},{"dropping-particle":"","family":"Küng","given":"Lukas","non-dropping-particle":"","parse-names":false,"suffix":""},{"dropping-particle":"","family":"Pareschi","given":"Giacomo","non-dropping-particle":"","parse-names":false,"suffix":""},{"dropping-particle":"","family":"Boulouchos","given":"Konstantinos","non-dropping-particle":"","parse-names":false,"suffix":""}],"container-title":"Transportation Research Part C: Emerging Technologies","id":"ITEM-1","issue":"January","issued":{"date-parts":[["2018"]]},"page":"107-123","publisher":"Elsevier","title":"Battery electric propulsion: an option for heavy-duty vehicles? Results from a Swiss case-study","type":"article-journal","volume":"88"},"uris":["http://www.mendeley.com/documents/?uuid=65110a53-2d0b-404f-9811-cfea17d51c4b","http://www.mendeley.com/documents/?uuid=c5111564-baf0-412e-adc6-0729393756bd"]}],"mendeley":{"formattedCitation":"[65]","plainTextFormattedCitation":"[65]","previouslyFormattedCitation":"[64]"},"properties":{"noteIndex":0},"schema":"https://github.com/citation-style-language/schema/raw/master/csl-citation.json"}</w:instrText>
      </w:r>
      <w:r w:rsidR="006B2962" w:rsidRPr="00590BB6">
        <w:rPr>
          <w:rFonts w:cs="Times New Roman"/>
        </w:rPr>
        <w:fldChar w:fldCharType="separate"/>
      </w:r>
      <w:r w:rsidR="006B2962" w:rsidRPr="00590BB6">
        <w:rPr>
          <w:rFonts w:cs="Times New Roman"/>
          <w:noProof/>
        </w:rPr>
        <w:t>[65]</w:t>
      </w:r>
      <w:r w:rsidR="006B2962" w:rsidRPr="00590BB6">
        <w:rPr>
          <w:rFonts w:cs="Times New Roman"/>
        </w:rPr>
        <w:fldChar w:fldCharType="end"/>
      </w:r>
      <w:r w:rsidRPr="00590BB6">
        <w:rPr>
          <w:rFonts w:cs="Times New Roman"/>
        </w:rPr>
        <w:t xml:space="preserve">, subsidies and tax exemption mechanisms </w:t>
      </w:r>
      <w:r w:rsidRPr="00590BB6">
        <w:rPr>
          <w:rFonts w:eastAsia="Times New Roman" w:cs="Times New Roman"/>
        </w:rPr>
        <w:fldChar w:fldCharType="begin" w:fldLock="1"/>
      </w:r>
      <w:r w:rsidRPr="00590BB6">
        <w:rPr>
          <w:rFonts w:eastAsia="Times New Roman" w:cs="Times New Roman"/>
        </w:rPr>
        <w:instrText>ADDIN CSL_CITATION {"citationItems":[{"id":"ITEM-1","itemData":{"DOI":"10.1016/j.trd.2020.102421","ISSN":"13619209","abstract":"Transport emissions need to be drastically decreased in order to put Europe on a path towards a long-term climate neutrality. Commercial transport, and especially last mile delivery is expected to grow because of the rise of e-commerce. In this frame, electric light commercial vehicles (eLCVs) can be a promising low-emission solution. Literature holistically analysing the potential of eLCVs as well as related support policies is sparse. This paper attempts to close this research gap. To this aim, the total cost of ownership (TCO) comparisons for eLCVs and benchmark vehicles are performed and support measures that target the improvement of the eLCV TCO are analysed. Various eLCV deployment scenarios until 2030 are explored and their impact on carbon dioxide (CO2) and other pollutant emissions as well as pollutant concentrations are calculated. It is found that while in several European Union (EU) countries eLCVs are already cost competitive, because of fiscal support, some remaining market barriers need to be overcome to pave the way to mass market deployment of eLCVs. High penetration of eLCVs alone can lead to a reduction of total transport CO2 emissions by more than 3% by 2030. For pollutant emissions, such as nitrogen oxide (NOx) and particulate matter (PM), the reduction would be equal or even higher. In the case of PM, this can translate to reductions in concentrations by nearly 2% in several urban areas by 2030. Carefully designed support policies could help to ensure that the potential of eLCVs as a low-emission alternative is fully leveraged in the EU.","author":[{"dropping-particle":"","family":"Tsakalidis","given":"Anastasios","non-dropping-particle":"","parse-names":false,"suffix":""},{"dropping-particle":"","family":"Krause","given":"Jette","non-dropping-particle":"","parse-names":false,"suffix":""},{"dropping-particle":"","family":"Julea","given":"Andreea","non-dropping-particle":"","parse-names":false,"suffix":""},{"dropping-particle":"","family":"Peduzzi","given":"Emanuela","non-dropping-particle":"","parse-names":false,"suffix":""},{"dropping-particle":"","family":"Pisoni","given":"Enrico","non-dropping-particle":"","parse-names":false,"suffix":""},{"dropping-particle":"","family":"Thiel","given":"Christian","non-dropping-particle":"","parse-names":false,"suffix":""}],"container-title":"Transportation Research Part D: Transport and Environment","id":"ITEM-1","issue":"April","issued":{"date-parts":[["2020"]]},"page":"102421","publisher":"Elsevier","title":"Electric light commercial vehicles: Are they the sleeping giant of electromobility?","type":"article-journal","volume":"86"},"uris":["http://www.mendeley.com/documents/?uuid=1b9608e7-0085-4db3-a093-04094bf0dba3"]}],"mendeley":{"formattedCitation":"[68]","plainTextFormattedCitation":"[68]","previouslyFormattedCitation":"[67]"},"properties":{"noteIndex":0},"schema":"https://github.com/citation-style-language/schema/raw/master/csl-citation.json"}</w:instrText>
      </w:r>
      <w:r w:rsidRPr="00590BB6">
        <w:rPr>
          <w:rFonts w:eastAsia="Times New Roman" w:cs="Times New Roman"/>
        </w:rPr>
        <w:fldChar w:fldCharType="separate"/>
      </w:r>
      <w:r w:rsidRPr="00590BB6">
        <w:rPr>
          <w:rFonts w:eastAsia="Times New Roman" w:cs="Times New Roman"/>
          <w:noProof/>
        </w:rPr>
        <w:t>[66]</w:t>
      </w:r>
      <w:r w:rsidRPr="00590BB6">
        <w:rPr>
          <w:rFonts w:eastAsia="Times New Roman" w:cs="Times New Roman"/>
        </w:rPr>
        <w:fldChar w:fldCharType="end"/>
      </w:r>
      <w:r w:rsidR="006B2962" w:rsidRPr="00590BB6">
        <w:rPr>
          <w:rFonts w:cs="Times New Roman"/>
        </w:rPr>
        <w:t xml:space="preserve">. </w:t>
      </w:r>
      <w:proofErr w:type="spellStart"/>
      <w:r w:rsidR="00BC324B" w:rsidRPr="00590BB6">
        <w:rPr>
          <w:rFonts w:cs="Times New Roman"/>
        </w:rPr>
        <w:t>Çabukoglu</w:t>
      </w:r>
      <w:proofErr w:type="spellEnd"/>
      <w:r w:rsidR="00BC324B" w:rsidRPr="00590BB6">
        <w:rPr>
          <w:rFonts w:cs="Times New Roman"/>
        </w:rPr>
        <w:t xml:space="preserve"> et al. </w:t>
      </w:r>
      <w:r w:rsidR="00BC324B" w:rsidRPr="00590BB6">
        <w:rPr>
          <w:rFonts w:cs="Times New Roman"/>
        </w:rPr>
        <w:fldChar w:fldCharType="begin" w:fldLock="1"/>
      </w:r>
      <w:r w:rsidR="00BC324B" w:rsidRPr="00590BB6">
        <w:rPr>
          <w:rFonts w:cs="Times New Roman"/>
        </w:rPr>
        <w:instrText>ADDIN CSL_CITATION {"citationItems":[{"id":"ITEM-1","itemData":{"DOI":"10.1016/j.trc.2018.01.013","ISSN":"0968090X","abstract":"Road freight is the most energy-intensive freight mode (per tkm) and runs almost exclusively on fossil fuels. Electrification could change that, but can batteries really power actual heavy-duty operations? This study introduces a data-driven, bottom-up approach to explore the technical limits of electrification using real data from the entire Swiss truck fleet. Full electrification increased the total Swiss electricity demand by about 5% (3 TWh per year) over its current level and avoid about 1 megaton of CO2 per year (accounting for emissions of generation). Realizing this potential required (1) an allowance to exceed current maximum permissible weight regulations, (2) a high-capacity grid access for charging at the home-base (at least 50kW) and (3) a supporting intra-day energy infrastructure (we explored battery swapping). Boosting the gravimetric energy density of the battery cells was generally beneficial, but only effective if the aforementioned conditions were met. Thus, right now, battery electric trucks are no drop-in replacements for their Diesel counterparts. To allow their wide-spread usage, the road-freight sector would have to transform well beyond the vehicle. The required changes are substantial, but not unthinkable. Therefore, we think electric trucks deserve further exploration, in particular regarding their costs, life-cycle impact, technological variants and comparison to competing technologies.","author":[{"dropping-particle":"","family":"Çabukoglu","given":"Emir","non-dropping-particle":"","parse-names":false,"suffix":""},{"dropping-particle":"","family":"Georges","given":"Gil","non-dropping-particle":"","parse-names":false,"suffix":""},{"dropping-particle":"","family":"Küng","given":"Lukas","non-dropping-particle":"","parse-names":false,"suffix":""},{"dropping-particle":"","family":"Pareschi","given":"Giacomo","non-dropping-particle":"","parse-names":false,"suffix":""},{"dropping-particle":"","family":"Boulouchos","given":"Konstantinos","non-dropping-particle":"","parse-names":false,"suffix":""}],"container-title":"Transportation Research Part C: Emerging Technologies","id":"ITEM-1","issue":"January","issued":{"date-parts":[["2018"]]},"page":"107-123","publisher":"Elsevier","title":"Battery electric propulsion: an option for heavy-duty vehicles? Results from a Swiss case-study","type":"article-journal","volume":"88"},"uris":["http://www.mendeley.com/documents/?uuid=c5111564-baf0-412e-adc6-0729393756bd","http://www.mendeley.com/documents/?uuid=65110a53-2d0b-404f-9811-cfea17d51c4b"]}],"mendeley":{"formattedCitation":"[65]","plainTextFormattedCitation":"[65]","previouslyFormattedCitation":"[64]"},"properties":{"noteIndex":0},"schema":"https://github.com/citation-style-language/schema/raw/master/csl-citation.json"}</w:instrText>
      </w:r>
      <w:r w:rsidR="00BC324B" w:rsidRPr="00590BB6">
        <w:rPr>
          <w:rFonts w:cs="Times New Roman"/>
        </w:rPr>
        <w:fldChar w:fldCharType="separate"/>
      </w:r>
      <w:r w:rsidR="00BC324B" w:rsidRPr="00590BB6">
        <w:rPr>
          <w:rFonts w:cs="Times New Roman"/>
          <w:noProof/>
        </w:rPr>
        <w:t>[65]</w:t>
      </w:r>
      <w:r w:rsidR="00BC324B" w:rsidRPr="00590BB6">
        <w:rPr>
          <w:rFonts w:cs="Times New Roman"/>
        </w:rPr>
        <w:fldChar w:fldCharType="end"/>
      </w:r>
      <w:r w:rsidR="00BC324B" w:rsidRPr="00590BB6">
        <w:rPr>
          <w:rFonts w:cs="Times New Roman"/>
        </w:rPr>
        <w:t>, for instance, evaluated the potential of battery electric propulsion for the Swiss heavy-duty fleet using a bottom-up approach and concluded that electric trucks could reach a share 72.7% for a 50% CO</w:t>
      </w:r>
      <w:r w:rsidR="00BC324B" w:rsidRPr="00590BB6">
        <w:rPr>
          <w:rFonts w:cs="Times New Roman"/>
          <w:vertAlign w:val="subscript"/>
        </w:rPr>
        <w:t>2</w:t>
      </w:r>
      <w:r w:rsidR="00BC324B" w:rsidRPr="00590BB6">
        <w:rPr>
          <w:rFonts w:cs="Times New Roman"/>
        </w:rPr>
        <w:t xml:space="preserve"> emissions reduction, and more than 95% in scenarios that aimed for 90% CO</w:t>
      </w:r>
      <w:r w:rsidR="00BC324B" w:rsidRPr="00590BB6">
        <w:rPr>
          <w:rFonts w:cs="Times New Roman"/>
          <w:vertAlign w:val="subscript"/>
        </w:rPr>
        <w:t>2</w:t>
      </w:r>
      <w:r w:rsidR="00BC324B" w:rsidRPr="00590BB6">
        <w:rPr>
          <w:rFonts w:cs="Times New Roman"/>
        </w:rPr>
        <w:t xml:space="preserve"> emissions reduction. </w:t>
      </w:r>
      <w:r w:rsidR="00902082" w:rsidRPr="00590BB6">
        <w:rPr>
          <w:rFonts w:cs="Times New Roman"/>
        </w:rPr>
        <w:t>A</w:t>
      </w:r>
      <w:r w:rsidR="006B2962" w:rsidRPr="00590BB6">
        <w:rPr>
          <w:rFonts w:cs="Times New Roman"/>
        </w:rPr>
        <w:t xml:space="preserve"> large increase in the demand for batteries</w:t>
      </w:r>
      <w:r w:rsidR="00902082" w:rsidRPr="00590BB6">
        <w:rPr>
          <w:rFonts w:cs="Times New Roman"/>
        </w:rPr>
        <w:t xml:space="preserve">, as the one envisaged for Italy in the </w:t>
      </w:r>
      <w:r w:rsidR="00902082" w:rsidRPr="00590BB6">
        <w:rPr>
          <w:rFonts w:cs="Times New Roman"/>
          <w:i/>
          <w:iCs/>
        </w:rPr>
        <w:t>Tech Costs</w:t>
      </w:r>
      <w:r w:rsidR="00902082" w:rsidRPr="00590BB6">
        <w:rPr>
          <w:rFonts w:cs="Times New Roman"/>
        </w:rPr>
        <w:t xml:space="preserve"> scenario,</w:t>
      </w:r>
      <w:r w:rsidR="006B2962" w:rsidRPr="00590BB6">
        <w:rPr>
          <w:rFonts w:cs="Times New Roman"/>
        </w:rPr>
        <w:t xml:space="preserve"> in a 30-year timeframe will impose a large burden on mineral raw materials extraction in case battery technologies remain as today </w:t>
      </w:r>
      <w:r w:rsidR="006B2962" w:rsidRPr="00590BB6">
        <w:rPr>
          <w:rFonts w:cs="Times New Roman"/>
        </w:rPr>
        <w:fldChar w:fldCharType="begin" w:fldLock="1"/>
      </w:r>
      <w:r w:rsidR="006B2962" w:rsidRPr="00590BB6">
        <w:rPr>
          <w:rFonts w:cs="Times New Roman"/>
        </w:rPr>
        <w:instrText>ADDIN CSL_CITATION {"citationItems":[{"id":"ITEM-1","itemData":{"DOI":"10.1016/j.ecmx.2022.100271","ISSN":"25901745","abstract":"The impacts of low-carbon technologies are spread across countries and lifecycle stages in ways that can compromise the achievement of an inclusive and equitable energy transition. Based on an exploratory review, this paper identifies the main activities of the electric vehicles (EVs) life cycle, where they occur, and potentially associated injustices. Through a whole systems approach, energy justice tenets are extended to the EV technology, highlighting how it might fail to fully support a low-carbon and just energy transition. Results provide insights into how EVs can contribute to flexibility justice through smart grids and vehicle-to-grid developments, cosmopolitan justice as a consequence of greenhouse gas (GHG) emissions and global resource depletion, and restorative justice through laws and standards that demand environmental restoration and social compensation over affected communities. However, reviewed documents indicate that efforts must be directed toward reducing distributional, procedural, and recognition injustices across the North-South divide, especially those related to mining activities in the resource extraction and processing stage. EVs upfront costs and charging infrastructure issues may also exclude poor and rural communities during its operational stage. Recommendations for future research include technical aspects such as battery composition and recycling, which will determine the overall impact of EVs on resource extraction and end of life stages, and social aspects of EV-technology such as social innovations that can promote its inclusiveness, the achievement of the Sustainable Development Goals, and the quantification of social impacts of low-carbon technologies.","author":[{"dropping-particle":"","family":"Dall-Orsoletta","given":"Alaize","non-dropping-particle":"","parse-names":false,"suffix":""},{"dropping-particle":"","family":"Ferreira","given":"Paula","non-dropping-particle":"","parse-names":false,"suffix":""},{"dropping-particle":"","family":"Gilson Dranka","given":"Géremi","non-dropping-particle":"","parse-names":false,"suffix":""}],"container-title":"Energy Conversion and Management: X","id":"ITEM-1","issue":"December 2021","issued":{"date-parts":[["2022","12"]]},"page":"100271","title":"Low-carbon technologies and just energy transition: Prospects for electric vehicles","type":"article-journal","volume":"16"},"uris":["http://www.mendeley.com/documents/?uuid=a45a6faa-c144-435c-8bbe-4ee9e6ba475f","http://www.mendeley.com/documents/?uuid=27dc1dbc-75e8-4720-8c90-f66b4d62c520"]}],"mendeley":{"formattedCitation":"[66]","plainTextFormattedCitation":"[66]","previouslyFormattedCitation":"[65]"},"properties":{"noteIndex":0},"schema":"https://github.com/citation-style-language/schema/raw/master/csl-citation.json"}</w:instrText>
      </w:r>
      <w:r w:rsidR="006B2962" w:rsidRPr="00590BB6">
        <w:rPr>
          <w:rFonts w:cs="Times New Roman"/>
        </w:rPr>
        <w:fldChar w:fldCharType="separate"/>
      </w:r>
      <w:r w:rsidR="006B2962" w:rsidRPr="00590BB6">
        <w:rPr>
          <w:rFonts w:cs="Times New Roman"/>
          <w:noProof/>
        </w:rPr>
        <w:t>[6</w:t>
      </w:r>
      <w:r w:rsidRPr="00590BB6">
        <w:rPr>
          <w:rFonts w:cs="Times New Roman"/>
          <w:noProof/>
        </w:rPr>
        <w:t>7</w:t>
      </w:r>
      <w:r w:rsidR="006B2962" w:rsidRPr="00590BB6">
        <w:rPr>
          <w:rFonts w:cs="Times New Roman"/>
          <w:noProof/>
        </w:rPr>
        <w:t>]</w:t>
      </w:r>
      <w:r w:rsidR="006B2962" w:rsidRPr="00590BB6">
        <w:rPr>
          <w:rFonts w:cs="Times New Roman"/>
        </w:rPr>
        <w:fldChar w:fldCharType="end"/>
      </w:r>
      <w:r w:rsidR="006B2962" w:rsidRPr="00590BB6">
        <w:rPr>
          <w:rFonts w:cs="Times New Roman"/>
        </w:rPr>
        <w:t xml:space="preserve">. </w:t>
      </w:r>
    </w:p>
    <w:p w14:paraId="2A360A6C" w14:textId="506DA364" w:rsidR="00AB0013" w:rsidRPr="00590BB6" w:rsidRDefault="00BC324B" w:rsidP="002713D3">
      <w:pPr>
        <w:spacing w:line="360" w:lineRule="auto"/>
        <w:jc w:val="both"/>
        <w:rPr>
          <w:rFonts w:cs="Times New Roman"/>
        </w:rPr>
      </w:pPr>
      <w:r w:rsidRPr="00590BB6">
        <w:rPr>
          <w:rFonts w:cs="Times New Roman"/>
        </w:rPr>
        <w:t xml:space="preserve">Conversely, for battery electric and hydrogen medium and heavy trucks, a competitive TCO is highly dependent on battery and fuel cell prices and, even at their lower foreseeable costs, electricity and hydrogen-fuelled HDVs are unlikely to compete with their diesel counterparts </w:t>
      </w:r>
      <w:r w:rsidRPr="00590BB6">
        <w:rPr>
          <w:rFonts w:cs="Times New Roman"/>
        </w:rPr>
        <w:fldChar w:fldCharType="begin" w:fldLock="1"/>
      </w:r>
      <w:r w:rsidRPr="00590BB6">
        <w:rPr>
          <w:rFonts w:cs="Times New Roman"/>
        </w:rPr>
        <w:instrText>ADDIN CSL_CITATION {"citationItems":[{"id":"ITEM-1","itemData":{"DOI":"10.7922/G2H993FJ","abstract":"The objective of this study is to project the introduction of battery-electric and fuel cell technologies into the medium-duty and heavy-duty vehicle markets and to identify which markets will be most suitable for each of technologies and the factors (technical, economic, operational) which will be most critical to their successful introduction. The use of renewable energy sources to generate electricity and produce hydrogen are key considerations of the analysis. The present status of the battery-electric and hydrogen/fuel cell technologies are reviewed in detail and the futures of these technologies are projected. The design and performance of various types of buses and trucks are described based on detailed simulations of the various electrified vehicles. The total cost of ownership (TCO) of each bus/truck type were calculated using EXCEL spreadsheets and their market prospects projected for 2020-2040. It was concluded that before any of the electrified vehicles can be cost competitive with the corresponding diesel powered vehicle, the unit cost of batteries must be $80-100/kWh and the unit cost of the fuel cell system must be $80-100/kW. The long term economics of battery-electric buses and trucks looks more favorable than that for the fuel cell/hydrogen option if the range requirement (miles) for the vehicle can be met using batteries. This is primarily due to the significantly lower energy operating cost ($/mi) using electricity than hydrogen.","author":[{"dropping-particle":"","family":"Burke","given":"Andrew","non-dropping-particle":"","parse-names":false,"suffix":""},{"dropping-particle":"","family":"Sinha","given":"Anish Kumar","non-dropping-particle":"","parse-names":false,"suffix":""},{"dropping-particle":"","family":"University of California","given":"Davis","non-dropping-particle":"","parse-names":false,"suffix":""},{"dropping-particle":"","family":"Transportation","given":"National Center for Sustainable","non-dropping-particle":"","parse-names":false,"suffix":""},{"dropping-particle":"","family":"Transportation","given":"California Department of","non-dropping-particle":"","parse-names":false,"suffix":""},{"dropping-particle":"","family":"Technology","given":"Office of the Assistant Secretary for Research and","non-dropping-particle":"","parse-names":false,"suffix":""}],"id":"ITEM-1","issue":"March","issued":{"date-parts":[["2020"]]},"page":"63p","title":"Technology, Sustainability, and Marketing of Battery Electric and Hydrogen Fuel Cell Medium-Duty and Heavy-Duty Trucks and Buses in 2020-2040","type":"article-journal"},"uris":["http://www.mendeley.com/documents/?uuid=bd1183bb-0544-454f-a69b-13d3b745e4ad","http://www.mendeley.com/documents/?uuid=291ab3e2-4d70-4f4b-8efb-8298e05fc5b0"]}],"mendeley":{"formattedCitation":"[67]","plainTextFormattedCitation":"[67]","previouslyFormattedCitation":"[66]"},"properties":{"noteIndex":0},"schema":"https://github.com/citation-style-language/schema/raw/master/csl-citation.json"}</w:instrText>
      </w:r>
      <w:r w:rsidRPr="00590BB6">
        <w:rPr>
          <w:rFonts w:cs="Times New Roman"/>
        </w:rPr>
        <w:fldChar w:fldCharType="separate"/>
      </w:r>
      <w:r w:rsidRPr="00590BB6">
        <w:rPr>
          <w:rFonts w:cs="Times New Roman"/>
          <w:noProof/>
        </w:rPr>
        <w:t>[</w:t>
      </w:r>
      <w:r w:rsidR="000D6A33" w:rsidRPr="00590BB6">
        <w:rPr>
          <w:rFonts w:cs="Times New Roman"/>
          <w:noProof/>
        </w:rPr>
        <w:t>68</w:t>
      </w:r>
      <w:r w:rsidRPr="00590BB6">
        <w:rPr>
          <w:rFonts w:cs="Times New Roman"/>
          <w:noProof/>
        </w:rPr>
        <w:t>]</w:t>
      </w:r>
      <w:r w:rsidRPr="00590BB6">
        <w:rPr>
          <w:rFonts w:cs="Times New Roman"/>
        </w:rPr>
        <w:fldChar w:fldCharType="end"/>
      </w:r>
      <w:r w:rsidRPr="00590BB6">
        <w:rPr>
          <w:rFonts w:eastAsia="Times New Roman" w:cs="Times New Roman"/>
        </w:rPr>
        <w:t xml:space="preserve">. </w:t>
      </w:r>
      <w:r w:rsidR="00AB0013" w:rsidRPr="00590BB6">
        <w:rPr>
          <w:rFonts w:cs="Times New Roman"/>
        </w:rPr>
        <w:t>Th</w:t>
      </w:r>
      <w:r w:rsidRPr="00590BB6">
        <w:rPr>
          <w:rFonts w:cs="Times New Roman"/>
        </w:rPr>
        <w:t>e</w:t>
      </w:r>
      <w:r w:rsidR="00AB0013" w:rsidRPr="00590BB6">
        <w:rPr>
          <w:rFonts w:cs="Times New Roman"/>
        </w:rPr>
        <w:t xml:space="preserve"> dominance of hydrogen-fuelled </w:t>
      </w:r>
      <w:r w:rsidRPr="00590BB6">
        <w:rPr>
          <w:rFonts w:cs="Times New Roman"/>
        </w:rPr>
        <w:t xml:space="preserve">medium and heavy </w:t>
      </w:r>
      <w:r w:rsidR="00AB0013" w:rsidRPr="00590BB6">
        <w:rPr>
          <w:rFonts w:cs="Times New Roman"/>
        </w:rPr>
        <w:t xml:space="preserve">trucks </w:t>
      </w:r>
      <w:r w:rsidRPr="00590BB6">
        <w:rPr>
          <w:rFonts w:cs="Times New Roman"/>
        </w:rPr>
        <w:t xml:space="preserve">in the </w:t>
      </w:r>
      <w:r w:rsidRPr="00590BB6">
        <w:rPr>
          <w:rFonts w:cs="Times New Roman"/>
          <w:i/>
          <w:iCs/>
        </w:rPr>
        <w:t>Ban</w:t>
      </w:r>
      <w:r w:rsidRPr="00590BB6">
        <w:rPr>
          <w:rFonts w:cs="Times New Roman"/>
        </w:rPr>
        <w:t xml:space="preserve"> scenarios </w:t>
      </w:r>
      <w:r w:rsidR="00AB0013" w:rsidRPr="00590BB6">
        <w:rPr>
          <w:rFonts w:cs="Times New Roman"/>
        </w:rPr>
        <w:t xml:space="preserve">is aligned with the work of Kotze et al. </w:t>
      </w:r>
      <w:r w:rsidR="00AB0013" w:rsidRPr="00590BB6">
        <w:rPr>
          <w:rFonts w:cs="Times New Roman"/>
        </w:rPr>
        <w:fldChar w:fldCharType="begin" w:fldLock="1"/>
      </w:r>
      <w:r w:rsidR="006F44A7" w:rsidRPr="00590BB6">
        <w:rPr>
          <w:rFonts w:cs="Times New Roman"/>
        </w:rPr>
        <w:instrText>ADDIN CSL_CITATION {"citationItems":[{"id":"ITEM-1","itemData":{"abstract":"Reducing greenhouse gas emissions in the transport sector is known to be an important contribution to climate change mitigation. Some parts of the transport sector are particularly difficult to decarbonize; this includes the heavy-duty vehicle sector, which is considered one of the “hard- to-abate” sectors of the economy. Transitioning from diesel trucks to hydrogen fuel cell trucks has been identified as a potential way to decarbonize the sector. However, the current and future costs and efficiencies of the enabling technologies remain unclear. In light of these uncertainties, this paper investigates the investments required to decarbonize New Zealand’s heavy-duty vehicle sector with green hydrogen. By combining system dynamics modelling literature and hydrogen transition modelling literature a customized methodology is developed for modelling hydrogen transitions with system dynamics modelling. Results are presented in terms of the investments required to purchase the hydrogen production capacity and the investments required to supply electricity to the hydrogen production systems. Production capacity investments are found to range between 1.59 and 2.58 billion New Zealand Dollars, and marginal electricity investments are found to range between 4.14 and 7.65 billion New Zealand Dollars. These investments represent scenarios in which 71% to 90% of the heavy-duty vehicle fleet are replaced with fuel cell trucks by 2050. The wide range of these findings reflects the large uncertainties in estimates of how hydrogen technologies will develop over the course of the next thirty years. Policy recommendations are drawn from these results, and a clear opportunity for future work is outlined. Most notably, the results from this study should be compared with research investigating the investments required to decarbonize the heavy-duty vehicle sectors with alternative technologies such as battery-electric trucks, biodiesel, and catenary systems. Such a comparison would ensure that the most cost effective decarbonization strategy is employed.","author":[{"dropping-particle":"","family":"Kotze","given":"Rick","non-dropping-particle":"","parse-names":false,"suffix":""},{"dropping-particle":"","family":"Brent","given":"Alan C","non-dropping-particle":"","parse-names":false,"suffix":""},{"dropping-particle":"","family":"Musango","given":"Josephine","non-dropping-particle":"","parse-names":false,"suffix":""},{"dropping-particle":"De","family":"Kock","given":"Imke","non-dropping-particle":"","parse-names":false,"suffix":""},{"dropping-particle":"","family":"Malczynski","given":"Leonard A","non-dropping-particle":"","parse-names":false,"suffix":""}],"container-title":"Energies","id":"ITEM-1","issued":{"date-parts":[["2021"]]},"title":"Investigating the Investments Required to Transition New Zealand’s Heavy-Duty Vehicles to Hydrogen","type":"article-journal"},"uris":["http://www.mendeley.com/documents/?uuid=a886450b-33fe-40ec-8823-5f23eef909d9","http://www.mendeley.com/documents/?uuid=3d844d99-9f6f-4272-8744-93e517058f74"]}],"mendeley":{"formattedCitation":"[63]","plainTextFormattedCitation":"[63]","previouslyFormattedCitation":"[62]"},"properties":{"noteIndex":0},"schema":"https://github.com/citation-style-language/schema/raw/master/csl-citation.json"}</w:instrText>
      </w:r>
      <w:r w:rsidR="00AB0013" w:rsidRPr="00590BB6">
        <w:rPr>
          <w:rFonts w:cs="Times New Roman"/>
        </w:rPr>
        <w:fldChar w:fldCharType="separate"/>
      </w:r>
      <w:r w:rsidR="006F44A7" w:rsidRPr="00590BB6">
        <w:rPr>
          <w:rFonts w:cs="Times New Roman"/>
          <w:noProof/>
        </w:rPr>
        <w:t>[63]</w:t>
      </w:r>
      <w:r w:rsidR="00AB0013" w:rsidRPr="00590BB6">
        <w:rPr>
          <w:rFonts w:cs="Times New Roman"/>
        </w:rPr>
        <w:fldChar w:fldCharType="end"/>
      </w:r>
      <w:r w:rsidR="00AB0013" w:rsidRPr="00590BB6">
        <w:rPr>
          <w:rFonts w:cs="Times New Roman"/>
        </w:rPr>
        <w:t>, as the authors affirm</w:t>
      </w:r>
      <w:r w:rsidR="00C677C8" w:rsidRPr="00590BB6">
        <w:rPr>
          <w:rFonts w:cs="Times New Roman"/>
        </w:rPr>
        <w:t>ed</w:t>
      </w:r>
      <w:r w:rsidR="00AB0013" w:rsidRPr="00590BB6">
        <w:rPr>
          <w:rFonts w:cs="Times New Roman"/>
        </w:rPr>
        <w:t xml:space="preserve"> that, even for the lowest efficiency estimates, fuel cell vehicles </w:t>
      </w:r>
      <w:r w:rsidR="00C677C8" w:rsidRPr="00590BB6">
        <w:rPr>
          <w:rFonts w:cs="Times New Roman"/>
        </w:rPr>
        <w:t>would</w:t>
      </w:r>
      <w:r w:rsidR="00AB0013" w:rsidRPr="00590BB6">
        <w:rPr>
          <w:rFonts w:cs="Times New Roman"/>
        </w:rPr>
        <w:t xml:space="preserve"> outcompete </w:t>
      </w:r>
      <w:r w:rsidR="00E06461">
        <w:rPr>
          <w:rFonts w:cs="Times New Roman"/>
        </w:rPr>
        <w:t xml:space="preserve">the </w:t>
      </w:r>
      <w:r w:rsidR="00AB0013" w:rsidRPr="00590BB6">
        <w:rPr>
          <w:rFonts w:cs="Times New Roman"/>
        </w:rPr>
        <w:t xml:space="preserve">diesel ones. Nonetheless, there is a large uncertainty regarding the development of fuel cell technologies </w:t>
      </w:r>
      <w:r w:rsidR="00AB0013" w:rsidRPr="00590BB6">
        <w:rPr>
          <w:rFonts w:cs="Times New Roman"/>
        </w:rPr>
        <w:fldChar w:fldCharType="begin" w:fldLock="1"/>
      </w:r>
      <w:r w:rsidR="006F44A7" w:rsidRPr="00590BB6">
        <w:rPr>
          <w:rFonts w:cs="Times New Roman"/>
        </w:rPr>
        <w:instrText>ADDIN CSL_CITATION {"citationItems":[{"id":"ITEM-1","itemData":{"DOI":"10.7922/G2H993FJ","abstract":"The objective of this study is to project the introduction of battery-electric and fuel cell technologies into the medium-duty and heavy-duty vehicle markets and to identify which markets will be most suitable for each of technologies and the factors (technical, economic, operational) which will be most critical to their successful introduction. The use of renewable energy sources to generate electricity and produce hydrogen are key considerations of the analysis. The present status of the battery-electric and hydrogen/fuel cell technologies are reviewed in detail and the futures of these technologies are projected. The design and performance of various types of buses and trucks are described based on detailed simulations of the various electrified vehicles. The total cost of ownership (TCO) of each bus/truck type were calculated using EXCEL spreadsheets and their market prospects projected for 2020-2040. It was concluded that before any of the electrified vehicles can be cost competitive with the corresponding diesel powered vehicle, the unit cost of batteries must be $80-100/kWh and the unit cost of the fuel cell system must be $80-100/kW. The long term economics of battery-electric buses and trucks looks more favorable than that for the fuel cell/hydrogen option if the range requirement (miles) for the vehicle can be met using batteries. This is primarily due to the significantly lower energy operating cost ($/mi) using electricity than hydrogen.","author":[{"dropping-particle":"","family":"Burke","given":"Andrew","non-dropping-particle":"","parse-names":false,"suffix":""},{"dropping-particle":"","family":"Sinha","given":"Anish Kumar","non-dropping-particle":"","parse-names":false,"suffix":""},{"dropping-particle":"","family":"University of California","given":"Davis","non-dropping-particle":"","parse-names":false,"suffix":""},{"dropping-particle":"","family":"Transportation","given":"National Center for Sustainable","non-dropping-particle":"","parse-names":false,"suffix":""},{"dropping-particle":"","family":"Transportation","given":"California Department of","non-dropping-particle":"","parse-names":false,"suffix":""},{"dropping-particle":"","family":"Technology","given":"Office of the Assistant Secretary for Research and","non-dropping-particle":"","parse-names":false,"suffix":""}],"id":"ITEM-1","issue":"March","issued":{"date-parts":[["2020"]]},"page":"63p","title":"Technology, Sustainability, and Marketing of Battery Electric and Hydrogen Fuel Cell Medium-Duty and Heavy-Duty Trucks and Buses in 2020-2040","type":"article-journal"},"uris":["http://www.mendeley.com/documents/?uuid=291ab3e2-4d70-4f4b-8efb-8298e05fc5b0","http://www.mendeley.com/documents/?uuid=bd1183bb-0544-454f-a69b-13d3b745e4ad"]}],"mendeley":{"formattedCitation":"[67]","plainTextFormattedCitation":"[67]","previouslyFormattedCitation":"[66]"},"properties":{"noteIndex":0},"schema":"https://github.com/citation-style-language/schema/raw/master/csl-citation.json"}</w:instrText>
      </w:r>
      <w:r w:rsidR="00AB0013" w:rsidRPr="00590BB6">
        <w:rPr>
          <w:rFonts w:cs="Times New Roman"/>
        </w:rPr>
        <w:fldChar w:fldCharType="separate"/>
      </w:r>
      <w:r w:rsidR="006F44A7" w:rsidRPr="00590BB6">
        <w:rPr>
          <w:rFonts w:cs="Times New Roman"/>
          <w:noProof/>
        </w:rPr>
        <w:t>[</w:t>
      </w:r>
      <w:r w:rsidR="000D6A33" w:rsidRPr="00590BB6">
        <w:rPr>
          <w:rFonts w:cs="Times New Roman"/>
          <w:noProof/>
        </w:rPr>
        <w:t>69</w:t>
      </w:r>
      <w:r w:rsidR="006F44A7" w:rsidRPr="00590BB6">
        <w:rPr>
          <w:rFonts w:cs="Times New Roman"/>
          <w:noProof/>
        </w:rPr>
        <w:t>]</w:t>
      </w:r>
      <w:r w:rsidR="00AB0013" w:rsidRPr="00590BB6">
        <w:rPr>
          <w:rFonts w:cs="Times New Roman"/>
        </w:rPr>
        <w:fldChar w:fldCharType="end"/>
      </w:r>
      <w:r w:rsidR="00AB0013" w:rsidRPr="00590BB6">
        <w:rPr>
          <w:rFonts w:cs="Times New Roman"/>
        </w:rPr>
        <w:t xml:space="preserve">. The current and expected number of projects focused on hydrogen HDVs is much smaller than those focused on light duty vehicles </w:t>
      </w:r>
      <w:r w:rsidR="00AB0013" w:rsidRPr="00590BB6">
        <w:rPr>
          <w:rFonts w:cs="Times New Roman"/>
        </w:rPr>
        <w:fldChar w:fldCharType="begin" w:fldLock="1"/>
      </w:r>
      <w:r w:rsidR="006F44A7" w:rsidRPr="00590BB6">
        <w:rPr>
          <w:rFonts w:cs="Times New Roman"/>
        </w:rPr>
        <w:instrText>ADDIN CSL_CITATION {"citationItems":[{"id":"ITEM-1","itemData":{"abstract":"Fuel cells and hydrogen (FCH) technology can be a key enabler to reduce emissions and realise the green energy transition in European regions and cities. In 2017 the FCH JU launched an initiative to support regions and cities in this regard. Today, 89 regions and cities participate, representing about one quarter of Europe's population, surface area and GDP. These regions are pursuing ambitious plans to deploy FCH technology in the coming years. FCH investments totalling about EUR 1.8 billion are planned for these regions in the next 5 years. Potential for further growth is considerable. These planned investments can contribute significantly to further developing the FCH market in Europe and driving the sector towards commercialisation. To achieve the development of a large-scale commercial market, all relevant stakeholders must play their part, and the FCH deployment plans developed by participating regions will need to be brought to implementation. This report provides a detailed insight into the FCH investment plans of the participating regions and cities and points out next steps to be taken for realising a European FCH roadmap with a view to commercialising the technology.","author":[{"dropping-particle":"","family":"Yvonne Ruf, Simon Lange, Johannes Pfister","given":"Claudia Droege","non-dropping-particle":"","parse-names":false,"suffix":""}],"id":"ITEM-1","issued":{"date-parts":[["2018"]]},"page":"80","title":"Fuel Cells and Hydrogen for Green Energy in European Cities and Regions. A Study for the Fuel Cells and Hydrogen Joint Undertaking","type":"article-journal"},"uris":["http://www.mendeley.com/documents/?uuid=1d8a6c22-a12c-45f4-a13e-ef4b109110c0","http://www.mendeley.com/documents/?uuid=0cadf3cd-62de-4967-a329-cac18bfef6e5"]}],"mendeley":{"formattedCitation":"[69]","plainTextFormattedCitation":"[69]","previouslyFormattedCitation":"[68]"},"properties":{"noteIndex":0},"schema":"https://github.com/citation-style-language/schema/raw/master/csl-citation.json"}</w:instrText>
      </w:r>
      <w:r w:rsidR="00AB0013" w:rsidRPr="00590BB6">
        <w:rPr>
          <w:rFonts w:cs="Times New Roman"/>
        </w:rPr>
        <w:fldChar w:fldCharType="separate"/>
      </w:r>
      <w:r w:rsidR="006F44A7" w:rsidRPr="00590BB6">
        <w:rPr>
          <w:rFonts w:cs="Times New Roman"/>
          <w:noProof/>
        </w:rPr>
        <w:t>[</w:t>
      </w:r>
      <w:r w:rsidR="000D6A33" w:rsidRPr="00590BB6">
        <w:rPr>
          <w:rFonts w:cs="Times New Roman"/>
          <w:noProof/>
        </w:rPr>
        <w:t>68</w:t>
      </w:r>
      <w:r w:rsidR="006F44A7" w:rsidRPr="00590BB6">
        <w:rPr>
          <w:rFonts w:cs="Times New Roman"/>
          <w:noProof/>
        </w:rPr>
        <w:t>]</w:t>
      </w:r>
      <w:r w:rsidR="00AB0013" w:rsidRPr="00590BB6">
        <w:rPr>
          <w:rFonts w:cs="Times New Roman"/>
        </w:rPr>
        <w:fldChar w:fldCharType="end"/>
      </w:r>
      <w:r w:rsidR="00AB0013" w:rsidRPr="00590BB6">
        <w:rPr>
          <w:rFonts w:cs="Times New Roman"/>
        </w:rPr>
        <w:t>, which can raise questions about priorities for hydrogen application</w:t>
      </w:r>
      <w:r w:rsidR="000D6A33" w:rsidRPr="00590BB6">
        <w:rPr>
          <w:rFonts w:cs="Times New Roman"/>
        </w:rPr>
        <w:t>s</w:t>
      </w:r>
      <w:r w:rsidR="00AB0013" w:rsidRPr="00590BB6">
        <w:rPr>
          <w:rFonts w:cs="Times New Roman"/>
        </w:rPr>
        <w:t xml:space="preserve">. </w:t>
      </w:r>
    </w:p>
    <w:p w14:paraId="222E6D64" w14:textId="74E26A46" w:rsidR="004E0CDD" w:rsidRPr="00590BB6" w:rsidRDefault="00E923B3" w:rsidP="00D64A5A">
      <w:pPr>
        <w:pStyle w:val="Heading2"/>
        <w:spacing w:after="240"/>
        <w:rPr>
          <w:rFonts w:cs="Times New Roman"/>
          <w:sz w:val="22"/>
          <w:szCs w:val="22"/>
        </w:rPr>
      </w:pPr>
      <w:r w:rsidRPr="00590BB6">
        <w:rPr>
          <w:rFonts w:cs="Times New Roman"/>
          <w:sz w:val="22"/>
          <w:szCs w:val="22"/>
        </w:rPr>
        <w:lastRenderedPageBreak/>
        <w:t>Feasibility of the transition</w:t>
      </w:r>
    </w:p>
    <w:p w14:paraId="04DFD75D" w14:textId="44EB5858" w:rsidR="00E72CA0" w:rsidRPr="00590BB6" w:rsidRDefault="00426BED" w:rsidP="005C0F4D">
      <w:pPr>
        <w:pStyle w:val="Caption"/>
        <w:spacing w:after="0" w:line="360" w:lineRule="auto"/>
        <w:rPr>
          <w:rFonts w:cs="Times New Roman"/>
        </w:rPr>
      </w:pPr>
      <w:r w:rsidRPr="00590BB6">
        <w:rPr>
          <w:rFonts w:cs="Times New Roman"/>
        </w:rPr>
        <w:t>An assessment of the feasibility of the transition is performed estimating the electricity</w:t>
      </w:r>
      <w:r w:rsidR="00F24A18" w:rsidRPr="00590BB6">
        <w:rPr>
          <w:rFonts w:cs="Times New Roman"/>
        </w:rPr>
        <w:t xml:space="preserve"> and hydrogen requirements</w:t>
      </w:r>
      <w:r w:rsidR="008802EF" w:rsidRPr="00590BB6">
        <w:rPr>
          <w:rFonts w:cs="Times New Roman"/>
        </w:rPr>
        <w:t xml:space="preserve"> across scenarios</w:t>
      </w:r>
      <w:r w:rsidR="00F24A18" w:rsidRPr="00590BB6">
        <w:rPr>
          <w:rFonts w:cs="Times New Roman"/>
        </w:rPr>
        <w:t xml:space="preserve"> </w:t>
      </w:r>
      <w:r w:rsidR="000331A6" w:rsidRPr="00590BB6">
        <w:rPr>
          <w:rFonts w:cs="Times New Roman"/>
        </w:rPr>
        <w:t>are compared with</w:t>
      </w:r>
      <w:r w:rsidR="000F6DC9" w:rsidRPr="00590BB6">
        <w:rPr>
          <w:rFonts w:cs="Times New Roman"/>
        </w:rPr>
        <w:t xml:space="preserve"> the country potentials.</w:t>
      </w:r>
      <w:r w:rsidR="008802EF" w:rsidRPr="00590BB6">
        <w:rPr>
          <w:rFonts w:cs="Times New Roman"/>
        </w:rPr>
        <w:t xml:space="preserve"> </w:t>
      </w:r>
      <w:r w:rsidR="00A40469" w:rsidRPr="00590BB6">
        <w:rPr>
          <w:rFonts w:cs="Times New Roman"/>
        </w:rPr>
        <w:fldChar w:fldCharType="begin"/>
      </w:r>
      <w:r w:rsidR="00A40469" w:rsidRPr="00590BB6">
        <w:rPr>
          <w:rFonts w:cs="Times New Roman"/>
        </w:rPr>
        <w:instrText xml:space="preserve"> REF _Ref143040576 \h  \* MERGEFORMAT </w:instrText>
      </w:r>
      <w:r w:rsidR="00A40469" w:rsidRPr="00590BB6">
        <w:rPr>
          <w:rFonts w:cs="Times New Roman"/>
        </w:rPr>
      </w:r>
      <w:r w:rsidR="00A40469" w:rsidRPr="00590BB6">
        <w:rPr>
          <w:rFonts w:cs="Times New Roman"/>
        </w:rPr>
        <w:fldChar w:fldCharType="separate"/>
      </w:r>
      <w:r w:rsidR="00A40469" w:rsidRPr="00590BB6">
        <w:t xml:space="preserve">Figure </w:t>
      </w:r>
      <w:r w:rsidR="00A40469" w:rsidRPr="00590BB6">
        <w:rPr>
          <w:noProof/>
        </w:rPr>
        <w:t>12</w:t>
      </w:r>
      <w:r w:rsidR="00A40469" w:rsidRPr="00590BB6">
        <w:rPr>
          <w:rFonts w:cs="Times New Roman"/>
        </w:rPr>
        <w:fldChar w:fldCharType="end"/>
      </w:r>
      <w:r w:rsidR="00A40469" w:rsidRPr="00590BB6">
        <w:rPr>
          <w:rFonts w:cs="Times New Roman"/>
        </w:rPr>
        <w:t xml:space="preserve"> </w:t>
      </w:r>
      <w:r w:rsidR="005C0F4D" w:rsidRPr="00590BB6">
        <w:rPr>
          <w:rFonts w:cs="Times New Roman"/>
        </w:rPr>
        <w:t xml:space="preserve">shows the </w:t>
      </w:r>
      <w:r w:rsidR="00937E7A" w:rsidRPr="00590BB6">
        <w:rPr>
          <w:rFonts w:cs="Times New Roman"/>
        </w:rPr>
        <w:t>indirect CO</w:t>
      </w:r>
      <w:r w:rsidR="00937E7A" w:rsidRPr="00590BB6">
        <w:rPr>
          <w:rFonts w:cs="Times New Roman"/>
          <w:vertAlign w:val="subscript"/>
        </w:rPr>
        <w:t>2</w:t>
      </w:r>
      <w:r w:rsidR="00937E7A" w:rsidRPr="00590BB6">
        <w:rPr>
          <w:rFonts w:cs="Times New Roman"/>
        </w:rPr>
        <w:t xml:space="preserve"> emissions from electricity consumption in road freight for all scenarios.</w:t>
      </w:r>
    </w:p>
    <w:p w14:paraId="2055B87E" w14:textId="77777777" w:rsidR="00FD5950" w:rsidRPr="00590BB6" w:rsidRDefault="002D69F4" w:rsidP="00FD5950">
      <w:pPr>
        <w:jc w:val="center"/>
      </w:pPr>
      <w:r w:rsidRPr="00590BB6">
        <w:rPr>
          <w:noProof/>
        </w:rPr>
        <w:drawing>
          <wp:inline distT="0" distB="0" distL="0" distR="0" wp14:anchorId="0E4C855B" wp14:editId="08878DF5">
            <wp:extent cx="5400000" cy="3214332"/>
            <wp:effectExtent l="0" t="0" r="0" b="0"/>
            <wp:docPr id="570099774" name="Chart 1">
              <a:extLst xmlns:a="http://schemas.openxmlformats.org/drawingml/2006/main">
                <a:ext uri="{FF2B5EF4-FFF2-40B4-BE49-F238E27FC236}">
                  <a16:creationId xmlns:a16="http://schemas.microsoft.com/office/drawing/2014/main" id="{8DBEA0C9-8DEE-8C5E-07E1-27FDAD305DD0}"/>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2C7D7985" w14:textId="11DF4FA5" w:rsidR="00FD5950" w:rsidRPr="00590BB6" w:rsidRDefault="00FD5950" w:rsidP="002D69F4">
      <w:r w:rsidRPr="00590BB6">
        <w:tab/>
      </w:r>
      <w:r w:rsidRPr="00590BB6">
        <w:tab/>
      </w:r>
      <w:r w:rsidRPr="00590BB6">
        <w:tab/>
      </w:r>
      <w:r w:rsidRPr="00590BB6">
        <w:tab/>
      </w:r>
      <w:r w:rsidRPr="00590BB6">
        <w:tab/>
      </w:r>
      <w:r w:rsidRPr="00590BB6">
        <w:tab/>
      </w:r>
      <w:r w:rsidRPr="00590BB6">
        <w:tab/>
        <w:t>a)</w:t>
      </w:r>
    </w:p>
    <w:p w14:paraId="47A21385" w14:textId="1BA4E79A" w:rsidR="002D69F4" w:rsidRPr="00590BB6" w:rsidRDefault="00FD5950" w:rsidP="00FD5950">
      <w:pPr>
        <w:jc w:val="center"/>
      </w:pPr>
      <w:r w:rsidRPr="00590BB6">
        <w:rPr>
          <w:noProof/>
        </w:rPr>
        <w:drawing>
          <wp:inline distT="0" distB="0" distL="0" distR="0" wp14:anchorId="4582A8D0" wp14:editId="3060A93A">
            <wp:extent cx="5400000" cy="3212751"/>
            <wp:effectExtent l="0" t="0" r="0" b="635"/>
            <wp:docPr id="1289710594" name="Chart 1">
              <a:extLst xmlns:a="http://schemas.openxmlformats.org/drawingml/2006/main">
                <a:ext uri="{FF2B5EF4-FFF2-40B4-BE49-F238E27FC236}">
                  <a16:creationId xmlns:a16="http://schemas.microsoft.com/office/drawing/2014/main" id="{EC0E5AE1-93F6-1E4E-A399-1130F2FA7131}"/>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37F5929C" w14:textId="2F747EF9" w:rsidR="008B3E3C" w:rsidRPr="00590BB6" w:rsidRDefault="00FD5950" w:rsidP="002D69F4">
      <w:r w:rsidRPr="00590BB6">
        <w:tab/>
      </w:r>
      <w:r w:rsidRPr="00590BB6">
        <w:tab/>
      </w:r>
      <w:r w:rsidRPr="00590BB6">
        <w:tab/>
      </w:r>
      <w:r w:rsidRPr="00590BB6">
        <w:tab/>
      </w:r>
      <w:r w:rsidRPr="00590BB6">
        <w:tab/>
      </w:r>
      <w:r w:rsidRPr="00590BB6">
        <w:tab/>
        <w:t>b)</w:t>
      </w:r>
    </w:p>
    <w:p w14:paraId="1972FC0C" w14:textId="60B2B839" w:rsidR="00937E7A" w:rsidRPr="00590BB6" w:rsidRDefault="00FD5950" w:rsidP="00FD5950">
      <w:pPr>
        <w:pStyle w:val="Caption"/>
      </w:pPr>
      <w:bookmarkStart w:id="30" w:name="_Ref143040576"/>
      <w:r w:rsidRPr="00590BB6">
        <w:t xml:space="preserve">Figure </w:t>
      </w:r>
      <w:r w:rsidRPr="00590BB6">
        <w:fldChar w:fldCharType="begin"/>
      </w:r>
      <w:r w:rsidRPr="00590BB6">
        <w:instrText xml:space="preserve"> SEQ Figure \* ARABIC </w:instrText>
      </w:r>
      <w:r w:rsidRPr="00590BB6">
        <w:fldChar w:fldCharType="separate"/>
      </w:r>
      <w:r w:rsidR="00A644B3" w:rsidRPr="00590BB6">
        <w:rPr>
          <w:noProof/>
        </w:rPr>
        <w:t>12</w:t>
      </w:r>
      <w:r w:rsidRPr="00590BB6">
        <w:fldChar w:fldCharType="end"/>
      </w:r>
      <w:bookmarkEnd w:id="30"/>
      <w:r w:rsidRPr="00590BB6">
        <w:t>: I</w:t>
      </w:r>
      <w:r w:rsidR="00937E7A" w:rsidRPr="00590BB6">
        <w:t>ndirect emissions from battery electric trucks</w:t>
      </w:r>
      <w:r w:rsidRPr="00590BB6">
        <w:t xml:space="preserve"> (Mt CO</w:t>
      </w:r>
      <w:r w:rsidRPr="00590BB6">
        <w:rPr>
          <w:vertAlign w:val="subscript"/>
        </w:rPr>
        <w:t>2</w:t>
      </w:r>
      <w:r w:rsidRPr="00590BB6">
        <w:t>/y</w:t>
      </w:r>
      <w:r w:rsidR="004C610A" w:rsidRPr="00590BB6">
        <w:t>ear</w:t>
      </w:r>
      <w:r w:rsidRPr="00590BB6">
        <w:t>) (a), electricity demand in PJ/y</w:t>
      </w:r>
      <w:r w:rsidR="004C610A" w:rsidRPr="00590BB6">
        <w:t>ear</w:t>
      </w:r>
      <w:r w:rsidRPr="00590BB6">
        <w:t xml:space="preserve"> (b). Electricity consumption for all years is presented in the Supplementary Results (Table S.4).</w:t>
      </w:r>
      <w:r w:rsidR="004C610A" w:rsidRPr="00590BB6">
        <w:t xml:space="preserve"> Due to the low penetration of BEVs, the </w:t>
      </w:r>
      <w:r w:rsidR="004C610A" w:rsidRPr="00590BB6">
        <w:rPr>
          <w:i/>
          <w:iCs w:val="0"/>
        </w:rPr>
        <w:t>Reference</w:t>
      </w:r>
      <w:r w:rsidR="004C610A" w:rsidRPr="00590BB6">
        <w:t xml:space="preserve">, </w:t>
      </w:r>
      <w:r w:rsidR="004C610A" w:rsidRPr="00590BB6">
        <w:rPr>
          <w:i/>
          <w:iCs w:val="0"/>
        </w:rPr>
        <w:t>Efficiency</w:t>
      </w:r>
      <w:r w:rsidR="004C610A" w:rsidRPr="00590BB6">
        <w:t xml:space="preserve">, </w:t>
      </w:r>
      <w:r w:rsidR="004C610A" w:rsidRPr="00590BB6">
        <w:rPr>
          <w:i/>
          <w:iCs w:val="0"/>
        </w:rPr>
        <w:t>Tech Costs</w:t>
      </w:r>
      <w:r w:rsidR="004C610A" w:rsidRPr="00590BB6">
        <w:t xml:space="preserve">, </w:t>
      </w:r>
      <w:r w:rsidR="004C610A" w:rsidRPr="00590BB6">
        <w:rPr>
          <w:i/>
          <w:iCs w:val="0"/>
        </w:rPr>
        <w:t>Fuel Projections</w:t>
      </w:r>
      <w:r w:rsidR="004C610A" w:rsidRPr="00590BB6">
        <w:t xml:space="preserve">, </w:t>
      </w:r>
      <w:r w:rsidR="004C610A" w:rsidRPr="00590BB6">
        <w:rPr>
          <w:i/>
          <w:iCs w:val="0"/>
        </w:rPr>
        <w:t>Carbon Price</w:t>
      </w:r>
      <w:r w:rsidR="004C610A" w:rsidRPr="00590BB6">
        <w:t xml:space="preserve">, </w:t>
      </w:r>
      <w:r w:rsidR="004C610A" w:rsidRPr="00590BB6">
        <w:rPr>
          <w:i/>
          <w:iCs w:val="0"/>
        </w:rPr>
        <w:t>2040 ICE Ban</w:t>
      </w:r>
      <w:r w:rsidR="004C610A" w:rsidRPr="00590BB6">
        <w:t xml:space="preserve"> overlap with other.</w:t>
      </w:r>
    </w:p>
    <w:p w14:paraId="557B091B" w14:textId="77777777" w:rsidR="002D69F4" w:rsidRPr="00590BB6" w:rsidRDefault="002D69F4" w:rsidP="002D69F4"/>
    <w:p w14:paraId="653E67F3" w14:textId="0C6CCB22" w:rsidR="005B0D10" w:rsidRPr="00590BB6" w:rsidRDefault="005C0F4D" w:rsidP="008802EF">
      <w:pPr>
        <w:spacing w:line="360" w:lineRule="auto"/>
        <w:jc w:val="both"/>
        <w:rPr>
          <w:rFonts w:cs="Times New Roman"/>
        </w:rPr>
      </w:pPr>
      <w:r w:rsidRPr="00590BB6">
        <w:rPr>
          <w:rFonts w:cs="Times New Roman"/>
        </w:rPr>
        <w:t>In the estimation of carbon intensities, while t</w:t>
      </w:r>
      <w:r w:rsidR="00AA0931" w:rsidRPr="00590BB6">
        <w:rPr>
          <w:rFonts w:cs="Times New Roman"/>
        </w:rPr>
        <w:t xml:space="preserve">he </w:t>
      </w:r>
      <w:r w:rsidR="00F24A18" w:rsidRPr="00590BB6">
        <w:rPr>
          <w:rFonts w:cs="Times New Roman"/>
        </w:rPr>
        <w:t>estimated</w:t>
      </w:r>
      <w:r w:rsidR="00AA0931" w:rsidRPr="00590BB6">
        <w:rPr>
          <w:rFonts w:cs="Times New Roman"/>
        </w:rPr>
        <w:t xml:space="preserve"> carbon intensity of the 2020 Italian electricity mix was close to other values found in the literature (e.g., 284 gCO</w:t>
      </w:r>
      <w:r w:rsidR="00AA0931" w:rsidRPr="00590BB6">
        <w:rPr>
          <w:rFonts w:cs="Times New Roman"/>
          <w:vertAlign w:val="subscript"/>
        </w:rPr>
        <w:t>2</w:t>
      </w:r>
      <w:r w:rsidR="00AA0931" w:rsidRPr="00590BB6">
        <w:rPr>
          <w:rFonts w:cs="Times New Roman"/>
        </w:rPr>
        <w:t xml:space="preserve">/kWh </w:t>
      </w:r>
      <w:r w:rsidR="00AA0931" w:rsidRPr="00590BB6">
        <w:rPr>
          <w:rFonts w:cs="Times New Roman"/>
        </w:rPr>
        <w:fldChar w:fldCharType="begin" w:fldLock="1"/>
      </w:r>
      <w:r w:rsidR="006F44A7" w:rsidRPr="00590BB6">
        <w:rPr>
          <w:rFonts w:cs="Times New Roman"/>
        </w:rPr>
        <w:instrText>ADDIN CSL_CITATION {"citationItems":[{"id":"ITEM-1","itemData":{"author":[{"dropping-particle":"","family":"Climate Transparency","given":"","non-dropping-particle":"","parse-names":false,"suffix":""}],"id":"ITEM-1","issued":{"date-parts":[["2019"]]},"title":"Brown to Green: The G20 transition towards a net-zero emissions economy - Italy","type":"article"},"uris":["http://www.mendeley.com/documents/?uuid=60583945-6179-4465-81c0-78abc177a0a6"]}],"mendeley":{"formattedCitation":"[11]","plainTextFormattedCitation":"[11]","previouslyFormattedCitation":"[10]"},"properties":{"noteIndex":0},"schema":"https://github.com/citation-style-language/schema/raw/master/csl-citation.json"}</w:instrText>
      </w:r>
      <w:r w:rsidR="00AA0931" w:rsidRPr="00590BB6">
        <w:rPr>
          <w:rFonts w:cs="Times New Roman"/>
        </w:rPr>
        <w:fldChar w:fldCharType="separate"/>
      </w:r>
      <w:r w:rsidR="006F44A7" w:rsidRPr="00590BB6">
        <w:rPr>
          <w:rFonts w:cs="Times New Roman"/>
          <w:noProof/>
        </w:rPr>
        <w:t>[11]</w:t>
      </w:r>
      <w:r w:rsidR="00AA0931" w:rsidRPr="00590BB6">
        <w:rPr>
          <w:rFonts w:cs="Times New Roman"/>
        </w:rPr>
        <w:fldChar w:fldCharType="end"/>
      </w:r>
      <w:r w:rsidR="00AA0931" w:rsidRPr="00590BB6">
        <w:rPr>
          <w:rFonts w:cs="Times New Roman"/>
        </w:rPr>
        <w:t xml:space="preserve">), future carbon intensities </w:t>
      </w:r>
      <w:r w:rsidRPr="00590BB6">
        <w:rPr>
          <w:rFonts w:cs="Times New Roman"/>
        </w:rPr>
        <w:t>vary depending on the renewable uptake</w:t>
      </w:r>
      <w:r w:rsidR="005B0D10" w:rsidRPr="00590BB6">
        <w:rPr>
          <w:rFonts w:cs="Times New Roman"/>
        </w:rPr>
        <w:t>:</w:t>
      </w:r>
      <w:r w:rsidRPr="00590BB6">
        <w:rPr>
          <w:rFonts w:cs="Times New Roman"/>
        </w:rPr>
        <w:t xml:space="preserve"> they could decrease</w:t>
      </w:r>
      <w:r w:rsidR="00AA0931" w:rsidRPr="00590BB6">
        <w:rPr>
          <w:rFonts w:cs="Times New Roman"/>
        </w:rPr>
        <w:t xml:space="preserve"> with power generation technologies improvement</w:t>
      </w:r>
      <w:r w:rsidR="003B75BE" w:rsidRPr="00590BB6">
        <w:rPr>
          <w:rFonts w:cs="Times New Roman"/>
        </w:rPr>
        <w:t>,</w:t>
      </w:r>
      <w:r w:rsidR="00AA0931" w:rsidRPr="00590BB6">
        <w:rPr>
          <w:rFonts w:cs="Times New Roman"/>
        </w:rPr>
        <w:t xml:space="preserve"> coal and fossil fuels phase-out</w:t>
      </w:r>
      <w:r w:rsidR="003B75BE" w:rsidRPr="00590BB6">
        <w:rPr>
          <w:rFonts w:cs="Times New Roman"/>
        </w:rPr>
        <w:t xml:space="preserve">, and renewable targets </w:t>
      </w:r>
      <w:r w:rsidR="00AA0931" w:rsidRPr="00590BB6">
        <w:rPr>
          <w:rFonts w:cs="Times New Roman"/>
        </w:rPr>
        <w:fldChar w:fldCharType="begin" w:fldLock="1"/>
      </w:r>
      <w:r w:rsidR="006F44A7" w:rsidRPr="00590BB6">
        <w:rPr>
          <w:rFonts w:cs="Times New Roman"/>
        </w:rPr>
        <w:instrText>ADDIN CSL_CITATION {"citationItems":[{"id":"ITEM-1","itemData":{"author":[{"dropping-particle":"","family":"Climate Analytics","given":"","non-dropping-particle":"","parse-names":false,"suffix":""}],"id":"ITEM-1","issued":{"date-parts":[["2022"]]},"page":"1-8","title":"Country Factsheet - 1.5ºC Pathways for Europe - Italy","type":"article"},"uris":["http://www.mendeley.com/documents/?uuid=61e56e9a-0506-448f-aa4a-acf94db2071c"]}],"mendeley":{"formattedCitation":"[70]","plainTextFormattedCitation":"[70]","previouslyFormattedCitation":"[69]"},"properties":{"noteIndex":0},"schema":"https://github.com/citation-style-language/schema/raw/master/csl-citation.json"}</w:instrText>
      </w:r>
      <w:r w:rsidR="00AA0931" w:rsidRPr="00590BB6">
        <w:rPr>
          <w:rFonts w:cs="Times New Roman"/>
        </w:rPr>
        <w:fldChar w:fldCharType="separate"/>
      </w:r>
      <w:r w:rsidR="006F44A7" w:rsidRPr="00590BB6">
        <w:rPr>
          <w:rFonts w:cs="Times New Roman"/>
          <w:noProof/>
        </w:rPr>
        <w:t>[70]</w:t>
      </w:r>
      <w:r w:rsidR="00AA0931" w:rsidRPr="00590BB6">
        <w:rPr>
          <w:rFonts w:cs="Times New Roman"/>
        </w:rPr>
        <w:fldChar w:fldCharType="end"/>
      </w:r>
      <w:r w:rsidR="00AA0931" w:rsidRPr="00590BB6">
        <w:rPr>
          <w:rFonts w:cs="Times New Roman"/>
        </w:rPr>
        <w:t xml:space="preserve">. Comparatively, </w:t>
      </w:r>
      <w:r w:rsidR="00762608">
        <w:rPr>
          <w:rFonts w:cs="Times New Roman"/>
        </w:rPr>
        <w:t xml:space="preserve">while </w:t>
      </w:r>
      <w:r w:rsidR="00AA0931" w:rsidRPr="00590BB6">
        <w:rPr>
          <w:rFonts w:cs="Times New Roman"/>
        </w:rPr>
        <w:t>CO</w:t>
      </w:r>
      <w:r w:rsidR="00AA0931" w:rsidRPr="00590BB6">
        <w:rPr>
          <w:rFonts w:cs="Times New Roman"/>
          <w:vertAlign w:val="subscript"/>
        </w:rPr>
        <w:t>2</w:t>
      </w:r>
      <w:r w:rsidR="00AA0931" w:rsidRPr="00590BB6">
        <w:rPr>
          <w:rFonts w:cs="Times New Roman"/>
        </w:rPr>
        <w:t xml:space="preserve"> emissions from electricity being generated </w:t>
      </w:r>
      <w:r w:rsidR="00762608">
        <w:rPr>
          <w:rFonts w:cs="Times New Roman"/>
        </w:rPr>
        <w:t>for</w:t>
      </w:r>
      <w:r w:rsidR="00AA0931" w:rsidRPr="00590BB6">
        <w:rPr>
          <w:rFonts w:cs="Times New Roman"/>
        </w:rPr>
        <w:t xml:space="preserve"> trucks were 0.04% of the </w:t>
      </w:r>
      <w:r w:rsidR="00762608">
        <w:rPr>
          <w:rFonts w:cs="Times New Roman"/>
        </w:rPr>
        <w:t>total tailpipe emissions (</w:t>
      </w:r>
      <w:r w:rsidR="00AA0931" w:rsidRPr="00590BB6">
        <w:rPr>
          <w:rFonts w:cs="Times New Roman"/>
        </w:rPr>
        <w:t>25.3 Mt</w:t>
      </w:r>
      <w:r w:rsidR="00762608">
        <w:rPr>
          <w:rFonts w:cs="Times New Roman"/>
        </w:rPr>
        <w:t>) in 2020, i</w:t>
      </w:r>
      <w:r w:rsidR="00AA0931" w:rsidRPr="00590BB6">
        <w:rPr>
          <w:rFonts w:cs="Times New Roman"/>
        </w:rPr>
        <w:t xml:space="preserve">n 2040, </w:t>
      </w:r>
      <w:r w:rsidR="00762608">
        <w:rPr>
          <w:rFonts w:cs="Times New Roman"/>
        </w:rPr>
        <w:t>the contribution grows to</w:t>
      </w:r>
      <w:r w:rsidR="00AA0931" w:rsidRPr="00590BB6">
        <w:rPr>
          <w:rFonts w:cs="Times New Roman"/>
        </w:rPr>
        <w:t xml:space="preserve"> 31.15% in </w:t>
      </w:r>
      <w:r w:rsidR="00762608">
        <w:rPr>
          <w:rFonts w:cs="Times New Roman"/>
        </w:rPr>
        <w:t xml:space="preserve">the </w:t>
      </w:r>
      <w:r w:rsidR="00AA0931" w:rsidRPr="00590BB6">
        <w:rPr>
          <w:rFonts w:cs="Times New Roman"/>
          <w:i/>
        </w:rPr>
        <w:t>Tech Costs</w:t>
      </w:r>
      <w:r w:rsidR="00762608">
        <w:rPr>
          <w:rFonts w:cs="Times New Roman"/>
          <w:i/>
        </w:rPr>
        <w:t xml:space="preserve"> scenario</w:t>
      </w:r>
      <w:r w:rsidR="00AA0931" w:rsidRPr="00590BB6">
        <w:rPr>
          <w:rFonts w:cs="Times New Roman"/>
        </w:rPr>
        <w:t xml:space="preserve">, 47.95% in </w:t>
      </w:r>
      <w:r w:rsidR="00762608">
        <w:rPr>
          <w:rFonts w:cs="Times New Roman"/>
        </w:rPr>
        <w:t xml:space="preserve">the </w:t>
      </w:r>
      <w:r w:rsidR="00AA0931" w:rsidRPr="00590BB6">
        <w:rPr>
          <w:rFonts w:cs="Times New Roman"/>
          <w:i/>
        </w:rPr>
        <w:t>Fuel Projections</w:t>
      </w:r>
      <w:r w:rsidR="00762608">
        <w:rPr>
          <w:rFonts w:cs="Times New Roman"/>
        </w:rPr>
        <w:t>/</w:t>
      </w:r>
      <w:r w:rsidR="00AA0931" w:rsidRPr="00590BB6">
        <w:rPr>
          <w:rFonts w:cs="Times New Roman"/>
        </w:rPr>
        <w:t xml:space="preserve"> </w:t>
      </w:r>
      <w:r w:rsidR="00AA0931" w:rsidRPr="00590BB6">
        <w:rPr>
          <w:rFonts w:cs="Times New Roman"/>
          <w:i/>
        </w:rPr>
        <w:t>Carbon Price</w:t>
      </w:r>
      <w:r w:rsidR="00762608">
        <w:rPr>
          <w:rFonts w:cs="Times New Roman"/>
        </w:rPr>
        <w:t xml:space="preserve"> /</w:t>
      </w:r>
      <w:r w:rsidR="00AA0931" w:rsidRPr="00590BB6">
        <w:rPr>
          <w:rFonts w:cs="Times New Roman"/>
        </w:rPr>
        <w:t xml:space="preserve"> </w:t>
      </w:r>
      <w:r w:rsidR="00AA0931" w:rsidRPr="00590BB6">
        <w:rPr>
          <w:rFonts w:cs="Times New Roman"/>
          <w:i/>
        </w:rPr>
        <w:t>2040 ICE Ban</w:t>
      </w:r>
      <w:r w:rsidR="00762608">
        <w:rPr>
          <w:rFonts w:cs="Times New Roman"/>
          <w:i/>
        </w:rPr>
        <w:t xml:space="preserve"> scenarios</w:t>
      </w:r>
      <w:r w:rsidR="00AA0931" w:rsidRPr="00590BB6">
        <w:rPr>
          <w:rFonts w:cs="Times New Roman"/>
        </w:rPr>
        <w:t xml:space="preserve">, and 588.38% in </w:t>
      </w:r>
      <w:r w:rsidR="00762608">
        <w:rPr>
          <w:rFonts w:cs="Times New Roman"/>
        </w:rPr>
        <w:t xml:space="preserve">the </w:t>
      </w:r>
      <w:r w:rsidR="00AA0931" w:rsidRPr="00590BB6">
        <w:rPr>
          <w:rFonts w:cs="Times New Roman"/>
          <w:i/>
        </w:rPr>
        <w:t>2030 ICE Ban</w:t>
      </w:r>
      <w:r w:rsidR="00762608">
        <w:rPr>
          <w:rFonts w:cs="Times New Roman"/>
        </w:rPr>
        <w:t>.</w:t>
      </w:r>
      <w:r w:rsidR="00AA0931" w:rsidRPr="00590BB6">
        <w:rPr>
          <w:rFonts w:cs="Times New Roman"/>
        </w:rPr>
        <w:t xml:space="preserve"> </w:t>
      </w:r>
      <w:r w:rsidR="00762608">
        <w:rPr>
          <w:rFonts w:cs="Times New Roman"/>
        </w:rPr>
        <w:t xml:space="preserve">The trend is reasonable </w:t>
      </w:r>
      <w:r w:rsidR="00AA0931" w:rsidRPr="00590BB6">
        <w:rPr>
          <w:rFonts w:cs="Times New Roman"/>
        </w:rPr>
        <w:t xml:space="preserve">as </w:t>
      </w:r>
      <w:r w:rsidR="00762608">
        <w:rPr>
          <w:rFonts w:cs="Times New Roman"/>
        </w:rPr>
        <w:t xml:space="preserve">the </w:t>
      </w:r>
      <w:r w:rsidR="00AA0931" w:rsidRPr="00590BB6">
        <w:rPr>
          <w:rFonts w:cs="Times New Roman"/>
          <w:i/>
        </w:rPr>
        <w:t>2030 ICE Ban</w:t>
      </w:r>
      <w:r w:rsidR="00AA0931" w:rsidRPr="00590BB6">
        <w:rPr>
          <w:rFonts w:cs="Times New Roman"/>
        </w:rPr>
        <w:t xml:space="preserve"> approaches zero tailpipe emissions in </w:t>
      </w:r>
      <w:r w:rsidR="00762608">
        <w:rPr>
          <w:rFonts w:cs="Times New Roman"/>
        </w:rPr>
        <w:t>2040</w:t>
      </w:r>
      <w:r w:rsidR="00AA0931" w:rsidRPr="00590BB6">
        <w:rPr>
          <w:rFonts w:cs="Times New Roman"/>
        </w:rPr>
        <w:t xml:space="preserve"> (i.e., 0.38 Mt of CO</w:t>
      </w:r>
      <w:r w:rsidR="00AA0931" w:rsidRPr="00590BB6">
        <w:rPr>
          <w:rFonts w:cs="Times New Roman"/>
          <w:vertAlign w:val="subscript"/>
        </w:rPr>
        <w:t>2</w:t>
      </w:r>
      <w:r w:rsidR="00AA0931" w:rsidRPr="00590BB6">
        <w:rPr>
          <w:rFonts w:cs="Times New Roman"/>
        </w:rPr>
        <w:t xml:space="preserve">). </w:t>
      </w:r>
    </w:p>
    <w:p w14:paraId="4BBE5ED3" w14:textId="31174853" w:rsidR="00AA0931" w:rsidRPr="00590BB6" w:rsidRDefault="00C53664" w:rsidP="008802EF">
      <w:pPr>
        <w:spacing w:line="360" w:lineRule="auto"/>
        <w:jc w:val="both"/>
        <w:rPr>
          <w:rFonts w:cs="Times New Roman"/>
        </w:rPr>
      </w:pPr>
      <w:r w:rsidRPr="00590BB6">
        <w:rPr>
          <w:rFonts w:cs="Times New Roman"/>
        </w:rPr>
        <w:t xml:space="preserve">Comparing electric trucks electricity demand to the Italian total electricity generation of approximately 280,000 GWh (i.e., 10,080 PJ) in 2020 </w:t>
      </w:r>
      <w:r w:rsidRPr="00590BB6">
        <w:rPr>
          <w:rFonts w:cs="Times New Roman"/>
        </w:rPr>
        <w:fldChar w:fldCharType="begin" w:fldLock="1"/>
      </w:r>
      <w:r w:rsidR="006F44A7" w:rsidRPr="00590BB6">
        <w:rPr>
          <w:rFonts w:cs="Times New Roman"/>
        </w:rPr>
        <w:instrText>ADDIN CSL_CITATION {"citationItems":[{"id":"ITEM-1","itemData":{"URL":"https://www.iea.org/data-and-statistics/data-product/electricity-information","accessed":{"date-parts":[["2022","8","30"]]},"container-title":"IEA","id":"ITEM-1","issued":{"date-parts":[["2021"]]},"title":"Electricity Information: Italy","type":"webpage"},"uris":["http://www.mendeley.com/documents/?uuid=43b4b894-ffdd-4ee2-88d4-f90cb538801f"]}],"mendeley":{"formattedCitation":"[55]","plainTextFormattedCitation":"[55]","previouslyFormattedCitation":"[54]"},"properties":{"noteIndex":0},"schema":"https://github.com/citation-style-language/schema/raw/master/csl-citation.json"}</w:instrText>
      </w:r>
      <w:r w:rsidRPr="00590BB6">
        <w:rPr>
          <w:rFonts w:cs="Times New Roman"/>
        </w:rPr>
        <w:fldChar w:fldCharType="separate"/>
      </w:r>
      <w:r w:rsidR="006F44A7" w:rsidRPr="00590BB6">
        <w:rPr>
          <w:rFonts w:cs="Times New Roman"/>
          <w:noProof/>
        </w:rPr>
        <w:t>[55]</w:t>
      </w:r>
      <w:r w:rsidRPr="00590BB6">
        <w:rPr>
          <w:rFonts w:cs="Times New Roman"/>
        </w:rPr>
        <w:fldChar w:fldCharType="end"/>
      </w:r>
      <w:r w:rsidRPr="00590BB6">
        <w:rPr>
          <w:rFonts w:cs="Times New Roman"/>
        </w:rPr>
        <w:t xml:space="preserve">, </w:t>
      </w:r>
      <w:r w:rsidR="002F2128" w:rsidRPr="00590BB6">
        <w:rPr>
          <w:rFonts w:cs="Times New Roman"/>
        </w:rPr>
        <w:t xml:space="preserve">electric </w:t>
      </w:r>
      <w:r w:rsidRPr="00590BB6">
        <w:rPr>
          <w:rFonts w:cs="Times New Roman"/>
        </w:rPr>
        <w:t xml:space="preserve">truck demand would range from 0.001% in 2020 to approximately 0.4% </w:t>
      </w:r>
      <w:r w:rsidR="002F2128" w:rsidRPr="00590BB6">
        <w:rPr>
          <w:rFonts w:cs="Times New Roman"/>
        </w:rPr>
        <w:t xml:space="preserve">of total generation </w:t>
      </w:r>
      <w:r w:rsidRPr="00590BB6">
        <w:rPr>
          <w:rFonts w:cs="Times New Roman"/>
        </w:rPr>
        <w:t xml:space="preserve">in 2040 in </w:t>
      </w:r>
      <w:r w:rsidRPr="00590BB6">
        <w:rPr>
          <w:rFonts w:cs="Times New Roman"/>
          <w:i/>
        </w:rPr>
        <w:t>Tech Costs</w:t>
      </w:r>
      <w:r w:rsidRPr="00590BB6">
        <w:rPr>
          <w:rFonts w:cs="Times New Roman"/>
        </w:rPr>
        <w:t xml:space="preserve">, </w:t>
      </w:r>
      <w:r w:rsidRPr="00590BB6">
        <w:rPr>
          <w:rFonts w:cs="Times New Roman"/>
          <w:i/>
        </w:rPr>
        <w:t>Fuel Projections, Carbon Price,</w:t>
      </w:r>
      <w:r w:rsidRPr="00590BB6">
        <w:rPr>
          <w:rFonts w:cs="Times New Roman"/>
        </w:rPr>
        <w:t xml:space="preserve"> and </w:t>
      </w:r>
      <w:r w:rsidRPr="00590BB6">
        <w:rPr>
          <w:rFonts w:cs="Times New Roman"/>
          <w:i/>
        </w:rPr>
        <w:t>2040 ICE Ban</w:t>
      </w:r>
      <w:r w:rsidRPr="00590BB6">
        <w:rPr>
          <w:rFonts w:cs="Times New Roman"/>
        </w:rPr>
        <w:t xml:space="preserve">, and 0.5% in 2040 in </w:t>
      </w:r>
      <w:r w:rsidRPr="00590BB6">
        <w:rPr>
          <w:rFonts w:cs="Times New Roman"/>
          <w:i/>
        </w:rPr>
        <w:t>2030 ICE Ban</w:t>
      </w:r>
      <w:r w:rsidRPr="00590BB6">
        <w:rPr>
          <w:rFonts w:cs="Times New Roman"/>
        </w:rPr>
        <w:t>.</w:t>
      </w:r>
    </w:p>
    <w:p w14:paraId="5673D2AA" w14:textId="21057A9C" w:rsidR="00A44A6C" w:rsidRPr="00590BB6" w:rsidRDefault="002F2128" w:rsidP="008802EF">
      <w:pPr>
        <w:spacing w:line="360" w:lineRule="auto"/>
        <w:jc w:val="both"/>
      </w:pPr>
      <w:r w:rsidRPr="00590BB6">
        <w:rPr>
          <w:rFonts w:cs="Times New Roman"/>
        </w:rPr>
        <w:t xml:space="preserve">Regarding hydrogen </w:t>
      </w:r>
      <w:r w:rsidR="00E06461">
        <w:rPr>
          <w:rFonts w:cs="Times New Roman"/>
        </w:rPr>
        <w:t>production</w:t>
      </w:r>
      <w:r w:rsidR="00E06461">
        <w:rPr>
          <w:rStyle w:val="FootnoteReference"/>
          <w:rFonts w:cs="Times New Roman"/>
        </w:rPr>
        <w:footnoteReference w:id="18"/>
      </w:r>
      <w:r w:rsidR="0037440B" w:rsidRPr="00590BB6">
        <w:rPr>
          <w:rFonts w:cs="Times New Roman"/>
        </w:rPr>
        <w:t xml:space="preserve">, </w:t>
      </w:r>
      <w:r w:rsidR="003B75BE" w:rsidRPr="00590BB6">
        <w:rPr>
          <w:rFonts w:cs="Times New Roman"/>
        </w:rPr>
        <w:t xml:space="preserve">the </w:t>
      </w:r>
      <w:r w:rsidR="008816F6" w:rsidRPr="00590BB6">
        <w:rPr>
          <w:rFonts w:cs="Times New Roman"/>
        </w:rPr>
        <w:t>electricity</w:t>
      </w:r>
      <w:r w:rsidR="0037440B" w:rsidRPr="00590BB6">
        <w:rPr>
          <w:rFonts w:cs="Times New Roman"/>
        </w:rPr>
        <w:t xml:space="preserve"> required to meet hydrogen demands in </w:t>
      </w:r>
      <w:r w:rsidR="0037440B" w:rsidRPr="00590BB6">
        <w:rPr>
          <w:rFonts w:cs="Times New Roman"/>
          <w:i/>
        </w:rPr>
        <w:t>2040 ICE Ban</w:t>
      </w:r>
      <w:r w:rsidR="0037440B" w:rsidRPr="00590BB6">
        <w:rPr>
          <w:rFonts w:cs="Times New Roman"/>
        </w:rPr>
        <w:t xml:space="preserve"> and </w:t>
      </w:r>
      <w:r w:rsidR="0037440B" w:rsidRPr="00590BB6">
        <w:rPr>
          <w:rFonts w:cs="Times New Roman"/>
          <w:i/>
        </w:rPr>
        <w:t>2030 ICE Ban</w:t>
      </w:r>
      <w:r w:rsidR="0037440B" w:rsidRPr="00590BB6">
        <w:rPr>
          <w:rFonts w:cs="Times New Roman"/>
        </w:rPr>
        <w:t xml:space="preserve"> scenarios</w:t>
      </w:r>
      <w:r w:rsidR="003B75BE" w:rsidRPr="00590BB6">
        <w:rPr>
          <w:rFonts w:cs="Times New Roman"/>
        </w:rPr>
        <w:t xml:space="preserve"> was calculated alongside the e</w:t>
      </w:r>
      <w:r w:rsidR="0037440B" w:rsidRPr="00590BB6">
        <w:rPr>
          <w:rFonts w:cs="Times New Roman"/>
        </w:rPr>
        <w:t>stimated hydrogen consumptions for 2030 onwards</w:t>
      </w:r>
      <w:r w:rsidR="003B75BE" w:rsidRPr="00590BB6">
        <w:rPr>
          <w:rFonts w:cs="Times New Roman"/>
        </w:rPr>
        <w:t>, as</w:t>
      </w:r>
      <w:r w:rsidR="0037440B" w:rsidRPr="00590BB6">
        <w:rPr>
          <w:rFonts w:cs="Times New Roman"/>
        </w:rPr>
        <w:t xml:space="preserve"> shown in </w:t>
      </w:r>
      <w:r w:rsidR="0037440B" w:rsidRPr="00590BB6">
        <w:rPr>
          <w:rFonts w:cs="Times New Roman"/>
        </w:rPr>
        <w:fldChar w:fldCharType="begin"/>
      </w:r>
      <w:r w:rsidR="0037440B" w:rsidRPr="00590BB6">
        <w:rPr>
          <w:rFonts w:cs="Times New Roman"/>
        </w:rPr>
        <w:instrText xml:space="preserve"> REF _Ref117013094 \h </w:instrText>
      </w:r>
      <w:r w:rsidR="00590BB6">
        <w:rPr>
          <w:rFonts w:cs="Times New Roman"/>
        </w:rPr>
        <w:instrText xml:space="preserve"> \* MERGEFORMAT </w:instrText>
      </w:r>
      <w:r w:rsidR="0037440B" w:rsidRPr="00590BB6">
        <w:rPr>
          <w:rFonts w:cs="Times New Roman"/>
        </w:rPr>
      </w:r>
      <w:r w:rsidR="0037440B" w:rsidRPr="00590BB6">
        <w:rPr>
          <w:rFonts w:cs="Times New Roman"/>
        </w:rPr>
        <w:fldChar w:fldCharType="separate"/>
      </w:r>
      <w:r w:rsidR="0037440B" w:rsidRPr="00590BB6">
        <w:t xml:space="preserve">Table </w:t>
      </w:r>
      <w:r w:rsidR="0037440B" w:rsidRPr="00590BB6">
        <w:rPr>
          <w:noProof/>
        </w:rPr>
        <w:t>6</w:t>
      </w:r>
      <w:r w:rsidR="0037440B" w:rsidRPr="00590BB6">
        <w:rPr>
          <w:rFonts w:cs="Times New Roman"/>
        </w:rPr>
        <w:fldChar w:fldCharType="end"/>
      </w:r>
      <w:r w:rsidR="0037440B" w:rsidRPr="00590BB6">
        <w:rPr>
          <w:rFonts w:cs="Times New Roman"/>
        </w:rPr>
        <w:t xml:space="preserve">. In </w:t>
      </w:r>
      <w:r w:rsidR="0037440B" w:rsidRPr="00590BB6">
        <w:rPr>
          <w:rFonts w:cs="Times New Roman"/>
          <w:i/>
        </w:rPr>
        <w:t>2030 ICE Ban</w:t>
      </w:r>
      <w:r w:rsidR="0037440B" w:rsidRPr="00590BB6">
        <w:rPr>
          <w:rFonts w:cs="Times New Roman"/>
        </w:rPr>
        <w:t xml:space="preserve">, for instance, 156.89 PJ of electricity required for electrolysis in 2040 would correspond to approximately 13% of the </w:t>
      </w:r>
      <w:r w:rsidR="00E06461">
        <w:rPr>
          <w:rFonts w:cs="Times New Roman"/>
        </w:rPr>
        <w:t>produced electricity in the same year (</w:t>
      </w:r>
      <w:r w:rsidR="0037440B" w:rsidRPr="00590BB6">
        <w:rPr>
          <w:rFonts w:cs="Times New Roman"/>
        </w:rPr>
        <w:t xml:space="preserve">1,203 PJ or 334 </w:t>
      </w:r>
      <w:proofErr w:type="spellStart"/>
      <w:r w:rsidR="0037440B" w:rsidRPr="00590BB6">
        <w:rPr>
          <w:rFonts w:cs="Times New Roman"/>
        </w:rPr>
        <w:t>TWh</w:t>
      </w:r>
      <w:proofErr w:type="spellEnd"/>
      <w:r w:rsidR="00E06461">
        <w:rPr>
          <w:rFonts w:cs="Times New Roman"/>
        </w:rPr>
        <w:t>)</w:t>
      </w:r>
      <w:r w:rsidR="0037440B" w:rsidRPr="00590BB6">
        <w:rPr>
          <w:rFonts w:cs="Times New Roman"/>
        </w:rPr>
        <w:t>, of which 70% would come from RES (</w:t>
      </w:r>
      <w:r w:rsidR="006F44A7" w:rsidRPr="00590BB6">
        <w:rPr>
          <w:rFonts w:cs="Times New Roman"/>
        </w:rPr>
        <w:t>Figure 8</w:t>
      </w:r>
      <w:r w:rsidR="0037440B" w:rsidRPr="00590BB6">
        <w:rPr>
          <w:rFonts w:cs="Times New Roman"/>
        </w:rPr>
        <w:t xml:space="preserve">). </w:t>
      </w:r>
      <w:r w:rsidR="00E06461">
        <w:rPr>
          <w:rFonts w:cs="Times New Roman"/>
        </w:rPr>
        <w:t>When</w:t>
      </w:r>
      <w:r w:rsidR="00E06461" w:rsidRPr="00590BB6">
        <w:rPr>
          <w:rFonts w:cs="Times New Roman"/>
        </w:rPr>
        <w:t xml:space="preserve"> </w:t>
      </w:r>
      <w:r w:rsidR="00E06461">
        <w:rPr>
          <w:rFonts w:cs="Times New Roman"/>
        </w:rPr>
        <w:t>a</w:t>
      </w:r>
      <w:r w:rsidR="00E06461" w:rsidRPr="00590BB6">
        <w:rPr>
          <w:rFonts w:cs="Times New Roman"/>
        </w:rPr>
        <w:t xml:space="preserve"> </w:t>
      </w:r>
      <w:r w:rsidR="0037440B" w:rsidRPr="00590BB6">
        <w:rPr>
          <w:rFonts w:cs="Times New Roman"/>
        </w:rPr>
        <w:t xml:space="preserve">larger number of medium and heavy weight trucks </w:t>
      </w:r>
      <w:r w:rsidR="00E06461">
        <w:rPr>
          <w:rFonts w:cs="Times New Roman"/>
        </w:rPr>
        <w:t xml:space="preserve">is </w:t>
      </w:r>
      <w:r w:rsidR="0037440B" w:rsidRPr="00590BB6">
        <w:rPr>
          <w:rFonts w:cs="Times New Roman"/>
        </w:rPr>
        <w:t xml:space="preserve">fuelled by hydrogen than electricity, </w:t>
      </w:r>
      <w:r w:rsidR="00762608">
        <w:rPr>
          <w:rFonts w:cs="Times New Roman"/>
        </w:rPr>
        <w:t xml:space="preserve">the </w:t>
      </w:r>
      <w:r w:rsidR="0037440B" w:rsidRPr="00590BB6">
        <w:rPr>
          <w:rFonts w:cs="Times New Roman"/>
        </w:rPr>
        <w:t xml:space="preserve">electricity </w:t>
      </w:r>
      <w:r w:rsidR="00E06461">
        <w:rPr>
          <w:rFonts w:cs="Times New Roman"/>
        </w:rPr>
        <w:t xml:space="preserve">used </w:t>
      </w:r>
      <w:r w:rsidR="0037440B" w:rsidRPr="00590BB6">
        <w:rPr>
          <w:rFonts w:cs="Times New Roman"/>
        </w:rPr>
        <w:t>for hydrogen production surpasses the direct consumption of electricity</w:t>
      </w:r>
      <w:r w:rsidR="00762608">
        <w:rPr>
          <w:rFonts w:cs="Times New Roman"/>
        </w:rPr>
        <w:t>. This happens</w:t>
      </w:r>
      <w:r w:rsidR="00E06461">
        <w:rPr>
          <w:rFonts w:cs="Times New Roman"/>
        </w:rPr>
        <w:t xml:space="preserve"> </w:t>
      </w:r>
      <w:r w:rsidR="00762608">
        <w:rPr>
          <w:rFonts w:cs="Times New Roman"/>
        </w:rPr>
        <w:t xml:space="preserve">both in </w:t>
      </w:r>
      <w:r w:rsidR="0037440B" w:rsidRPr="00590BB6">
        <w:rPr>
          <w:rFonts w:cs="Times New Roman"/>
        </w:rPr>
        <w:t xml:space="preserve">the </w:t>
      </w:r>
      <w:r w:rsidR="0037440B" w:rsidRPr="00590BB6">
        <w:rPr>
          <w:rFonts w:cs="Times New Roman"/>
          <w:i/>
        </w:rPr>
        <w:t>2040 ICE Ban</w:t>
      </w:r>
      <w:r w:rsidR="00762608">
        <w:rPr>
          <w:rFonts w:cs="Times New Roman"/>
          <w:i/>
        </w:rPr>
        <w:t xml:space="preserve"> </w:t>
      </w:r>
      <w:r w:rsidR="00762608">
        <w:rPr>
          <w:rFonts w:cs="Times New Roman"/>
          <w:iCs/>
        </w:rPr>
        <w:t>and in the</w:t>
      </w:r>
      <w:r w:rsidR="0037440B" w:rsidRPr="00590BB6">
        <w:rPr>
          <w:rFonts w:cs="Times New Roman"/>
          <w:i/>
        </w:rPr>
        <w:t>2030 ICE Ban</w:t>
      </w:r>
      <w:r w:rsidR="0037440B" w:rsidRPr="00590BB6">
        <w:rPr>
          <w:rFonts w:cs="Times New Roman"/>
        </w:rPr>
        <w:t xml:space="preserve"> </w:t>
      </w:r>
      <w:r w:rsidR="00762608">
        <w:rPr>
          <w:rFonts w:cs="Times New Roman"/>
        </w:rPr>
        <w:t>scenarios, respectively in 2050 and from 2035 onwards</w:t>
      </w:r>
      <w:r w:rsidR="0037440B" w:rsidRPr="00590BB6">
        <w:rPr>
          <w:rFonts w:cs="Times New Roman"/>
        </w:rPr>
        <w:t xml:space="preserve">. According to </w:t>
      </w:r>
      <w:proofErr w:type="spellStart"/>
      <w:r w:rsidR="0037440B" w:rsidRPr="00590BB6">
        <w:rPr>
          <w:rFonts w:cs="Times New Roman"/>
        </w:rPr>
        <w:t>Kakoulaki</w:t>
      </w:r>
      <w:proofErr w:type="spellEnd"/>
      <w:r w:rsidR="0037440B" w:rsidRPr="00590BB6">
        <w:rPr>
          <w:rFonts w:cs="Times New Roman"/>
        </w:rPr>
        <w:t xml:space="preserve"> et al. </w:t>
      </w:r>
      <w:r w:rsidR="0037440B" w:rsidRPr="00590BB6">
        <w:rPr>
          <w:rFonts w:cs="Times New Roman"/>
        </w:rPr>
        <w:fldChar w:fldCharType="begin" w:fldLock="1"/>
      </w:r>
      <w:r w:rsidR="006F44A7" w:rsidRPr="00590BB6">
        <w:rPr>
          <w:rFonts w:cs="Times New Roman"/>
        </w:rPr>
        <w:instrText>ADDIN CSL_CITATION {"citationItems":[{"id":"ITEM-1","itemData":{"DOI":"10.1016/j.enconman.2020.113649","ISSN":"01968904","abstract":"The increasing ambition of climate targets creates a major role for hydrogen especially in achieving carbon-neutrality in sectors presently difficult to decarbonise. This work examines to what extent the currently carbon-intensive hydrogen production in Europe could be replaced by water electrolysis using electricity from renewable energy resources (RES) such as solar photovoltaic, onshore/offshore wind and hydropower (green hydrogen). The study assesses the technical potential of RES at regional and national levels considering environmental constraints, land use limitations and various techno-economic parameters. It estimates localised clean hydrogen production and examines the capacity to replace carbon-intensive hydrogen hubs with ones that use RES-based water electrolysis. Findings reveal that -at national level- the available RES electricity potential exceeds the total electricity demand and the part for hydrogen production from electrolysis in all analysed countries. At regional level, from the 109 regions associated with hydrogen production (EU27 and UK), 88 regions (81%) show an excess of potential RES generation after covering the annual electricity demand across all sectors and hydrogen production. Notably, 84 regions have over 50% excess RES electricity potential after covering the total electricity demand and that for water electrolysis. The study provides evidence on the option to decarbonize hydrogen production at regional level. It shows that such transformation is possible and compatible with the ongoing transition towards carbon–neutral power systems in the EU. Overall, this work aims to serve as a tool for designing hydrogen strategies in harmony with renewable energy policies.","author":[{"dropping-particle":"","family":"Kakoulaki","given":"G.","non-dropping-particle":"","parse-names":false,"suffix":""},{"dropping-particle":"","family":"Kougias","given":"I.","non-dropping-particle":"","parse-names":false,"suffix":""},{"dropping-particle":"","family":"Taylor","given":"N.","non-dropping-particle":"","parse-names":false,"suffix":""},{"dropping-particle":"","family":"Dolci","given":"F.","non-dropping-particle":"","parse-names":false,"suffix":""},{"dropping-particle":"","family":"Moya","given":"J.","non-dropping-particle":"","parse-names":false,"suffix":""},{"dropping-particle":"","family":"Jäger-Waldau","given":"A.","non-dropping-particle":"","parse-names":false,"suffix":""}],"container-title":"Energy Conversion and Management","id":"ITEM-1","issue":"July 2020","issued":{"date-parts":[["2021"]]},"title":"Green hydrogen in Europe – A regional assessment: Substituting existing production with electrolysis powered by renewables","type":"article-journal","volume":"228"},"uris":["http://www.mendeley.com/documents/?uuid=12e64bad-b640-4af0-8a7d-b031f0870e4d"]}],"mendeley":{"formattedCitation":"[72]","plainTextFormattedCitation":"[72]","previouslyFormattedCitation":"[71]"},"properties":{"noteIndex":0},"schema":"https://github.com/citation-style-language/schema/raw/master/csl-citation.json"}</w:instrText>
      </w:r>
      <w:r w:rsidR="0037440B" w:rsidRPr="00590BB6">
        <w:rPr>
          <w:rFonts w:cs="Times New Roman"/>
        </w:rPr>
        <w:fldChar w:fldCharType="separate"/>
      </w:r>
      <w:r w:rsidR="006F44A7" w:rsidRPr="00590BB6">
        <w:rPr>
          <w:rFonts w:cs="Times New Roman"/>
          <w:noProof/>
        </w:rPr>
        <w:t>[72]</w:t>
      </w:r>
      <w:r w:rsidR="0037440B" w:rsidRPr="00590BB6">
        <w:rPr>
          <w:rFonts w:cs="Times New Roman"/>
        </w:rPr>
        <w:fldChar w:fldCharType="end"/>
      </w:r>
      <w:r w:rsidR="0037440B" w:rsidRPr="00590BB6">
        <w:rPr>
          <w:rFonts w:cs="Times New Roman"/>
        </w:rPr>
        <w:t xml:space="preserve">, Italy consumes approximately 290 </w:t>
      </w:r>
      <w:proofErr w:type="spellStart"/>
      <w:r w:rsidR="0037440B" w:rsidRPr="00590BB6">
        <w:rPr>
          <w:rFonts w:cs="Times New Roman"/>
        </w:rPr>
        <w:t>TWh</w:t>
      </w:r>
      <w:proofErr w:type="spellEnd"/>
      <w:r w:rsidR="0037440B" w:rsidRPr="00590BB6">
        <w:rPr>
          <w:rFonts w:cs="Times New Roman"/>
        </w:rPr>
        <w:t xml:space="preserve"> (i.e., 1</w:t>
      </w:r>
      <w:r w:rsidR="008816F6" w:rsidRPr="00590BB6">
        <w:rPr>
          <w:rFonts w:cs="Times New Roman"/>
        </w:rPr>
        <w:t>,</w:t>
      </w:r>
      <w:r w:rsidR="0037440B" w:rsidRPr="00590BB6">
        <w:rPr>
          <w:rFonts w:cs="Times New Roman"/>
        </w:rPr>
        <w:t xml:space="preserve">044 PJ) of electricity and would need extra 22 </w:t>
      </w:r>
      <w:proofErr w:type="spellStart"/>
      <w:r w:rsidR="0037440B" w:rsidRPr="00590BB6">
        <w:rPr>
          <w:rFonts w:cs="Times New Roman"/>
        </w:rPr>
        <w:t>TWh</w:t>
      </w:r>
      <w:proofErr w:type="spellEnd"/>
      <w:r w:rsidR="0037440B" w:rsidRPr="00590BB6">
        <w:rPr>
          <w:rFonts w:cs="Times New Roman"/>
        </w:rPr>
        <w:t xml:space="preserve"> (i.e., 79.2 PJ) for green hydrogen production from water electrolysis. The same authors have estimated that the country has a </w:t>
      </w:r>
      <w:r w:rsidR="0044327C" w:rsidRPr="00590BB6">
        <w:rPr>
          <w:rFonts w:cs="Times New Roman"/>
        </w:rPr>
        <w:t>RE</w:t>
      </w:r>
      <w:r w:rsidR="00762608">
        <w:rPr>
          <w:rFonts w:cs="Times New Roman"/>
        </w:rPr>
        <w:t>S</w:t>
      </w:r>
      <w:r w:rsidR="0037440B" w:rsidRPr="00590BB6">
        <w:rPr>
          <w:rFonts w:cs="Times New Roman"/>
        </w:rPr>
        <w:t xml:space="preserve"> potential over 600 </w:t>
      </w:r>
      <w:proofErr w:type="spellStart"/>
      <w:r w:rsidR="0037440B" w:rsidRPr="00590BB6">
        <w:rPr>
          <w:rFonts w:cs="Times New Roman"/>
        </w:rPr>
        <w:t>TWh</w:t>
      </w:r>
      <w:proofErr w:type="spellEnd"/>
      <w:r w:rsidR="0037440B" w:rsidRPr="00590BB6">
        <w:rPr>
          <w:rFonts w:cs="Times New Roman"/>
        </w:rPr>
        <w:t xml:space="preserve"> (i.e., 2</w:t>
      </w:r>
      <w:r w:rsidR="008816F6" w:rsidRPr="00590BB6">
        <w:rPr>
          <w:rFonts w:cs="Times New Roman"/>
        </w:rPr>
        <w:t>,</w:t>
      </w:r>
      <w:r w:rsidR="0037440B" w:rsidRPr="00590BB6">
        <w:rPr>
          <w:rFonts w:cs="Times New Roman"/>
        </w:rPr>
        <w:t xml:space="preserve">160 PJ), </w:t>
      </w:r>
      <w:r w:rsidR="00762608">
        <w:rPr>
          <w:rFonts w:cs="Times New Roman"/>
        </w:rPr>
        <w:t>mostly coming from</w:t>
      </w:r>
      <w:r w:rsidR="0037440B" w:rsidRPr="00590BB6">
        <w:rPr>
          <w:rFonts w:cs="Times New Roman"/>
        </w:rPr>
        <w:t xml:space="preserve"> onshore wind and ground solar photovoltaics </w:t>
      </w:r>
      <w:r w:rsidR="0037440B" w:rsidRPr="00590BB6">
        <w:rPr>
          <w:rFonts w:cs="Times New Roman"/>
        </w:rPr>
        <w:fldChar w:fldCharType="begin" w:fldLock="1"/>
      </w:r>
      <w:r w:rsidR="006F44A7" w:rsidRPr="00590BB6">
        <w:rPr>
          <w:rFonts w:cs="Times New Roman"/>
        </w:rPr>
        <w:instrText>ADDIN CSL_CITATION {"citationItems":[{"id":"ITEM-1","itemData":{"DOI":"10.1016/j.enconman.2020.113649","ISSN":"01968904","abstract":"The increasing ambition of climate targets creates a major role for hydrogen especially in achieving carbon-neutrality in sectors presently difficult to decarbonise. This work examines to what extent the currently carbon-intensive hydrogen production in Europe could be replaced by water electrolysis using electricity from renewable energy resources (RES) such as solar photovoltaic, onshore/offshore wind and hydropower (green hydrogen). The study assesses the technical potential of RES at regional and national levels considering environmental constraints, land use limitations and various techno-economic parameters. It estimates localised clean hydrogen production and examines the capacity to replace carbon-intensive hydrogen hubs with ones that use RES-based water electrolysis. Findings reveal that -at national level- the available RES electricity potential exceeds the total electricity demand and the part for hydrogen production from electrolysis in all analysed countries. At regional level, from the 109 regions associated with hydrogen production (EU27 and UK), 88 regions (81%) show an excess of potential RES generation after covering the annual electricity demand across all sectors and hydrogen production. Notably, 84 regions have over 50% excess RES electricity potential after covering the total electricity demand and that for water electrolysis. The study provides evidence on the option to decarbonize hydrogen production at regional level. It shows that such transformation is possible and compatible with the ongoing transition towards carbon–neutral power systems in the EU. Overall, this work aims to serve as a tool for designing hydrogen strategies in harmony with renewable energy policies.","author":[{"dropping-particle":"","family":"Kakoulaki","given":"G.","non-dropping-particle":"","parse-names":false,"suffix":""},{"dropping-particle":"","family":"Kougias","given":"I.","non-dropping-particle":"","parse-names":false,"suffix":""},{"dropping-particle":"","family":"Taylor","given":"N.","non-dropping-particle":"","parse-names":false,"suffix":""},{"dropping-particle":"","family":"Dolci","given":"F.","non-dropping-particle":"","parse-names":false,"suffix":""},{"dropping-particle":"","family":"Moya","given":"J.","non-dropping-particle":"","parse-names":false,"suffix":""},{"dropping-particle":"","family":"Jäger-Waldau","given":"A.","non-dropping-particle":"","parse-names":false,"suffix":""}],"container-title":"Energy Conversion and Management","id":"ITEM-1","issue":"July 2020","issued":{"date-parts":[["2021"]]},"title":"Green hydrogen in Europe – A regional assessment: Substituting existing production with electrolysis powered by renewables","type":"article-journal","volume":"228"},"uris":["http://www.mendeley.com/documents/?uuid=12e64bad-b640-4af0-8a7d-b031f0870e4d"]}],"mendeley":{"formattedCitation":"[72]","plainTextFormattedCitation":"[72]","previouslyFormattedCitation":"[71]"},"properties":{"noteIndex":0},"schema":"https://github.com/citation-style-language/schema/raw/master/csl-citation.json"}</w:instrText>
      </w:r>
      <w:r w:rsidR="0037440B" w:rsidRPr="00590BB6">
        <w:rPr>
          <w:rFonts w:cs="Times New Roman"/>
        </w:rPr>
        <w:fldChar w:fldCharType="separate"/>
      </w:r>
      <w:r w:rsidR="006F44A7" w:rsidRPr="00590BB6">
        <w:rPr>
          <w:rFonts w:cs="Times New Roman"/>
          <w:noProof/>
        </w:rPr>
        <w:t>[72]</w:t>
      </w:r>
      <w:r w:rsidR="0037440B" w:rsidRPr="00590BB6">
        <w:rPr>
          <w:rFonts w:cs="Times New Roman"/>
        </w:rPr>
        <w:fldChar w:fldCharType="end"/>
      </w:r>
      <w:r w:rsidR="0037440B" w:rsidRPr="00590BB6">
        <w:rPr>
          <w:rFonts w:cs="Times New Roman"/>
        </w:rPr>
        <w:t xml:space="preserve">. This indicates that, with appropriate investments, Italy could renewably produce the hydrogen required by the model in </w:t>
      </w:r>
      <w:r w:rsidR="0037440B" w:rsidRPr="00590BB6">
        <w:rPr>
          <w:rFonts w:cs="Times New Roman"/>
          <w:i/>
        </w:rPr>
        <w:t>2040 ICE B</w:t>
      </w:r>
      <w:r w:rsidR="00E8683E" w:rsidRPr="00590BB6">
        <w:rPr>
          <w:rFonts w:cs="Times New Roman"/>
          <w:i/>
        </w:rPr>
        <w:t>an</w:t>
      </w:r>
      <w:r w:rsidR="0037440B" w:rsidRPr="00590BB6">
        <w:rPr>
          <w:rFonts w:cs="Times New Roman"/>
        </w:rPr>
        <w:t xml:space="preserve"> and </w:t>
      </w:r>
      <w:r w:rsidR="0037440B" w:rsidRPr="00590BB6">
        <w:rPr>
          <w:rFonts w:cs="Times New Roman"/>
          <w:i/>
        </w:rPr>
        <w:t>2030 ICE B</w:t>
      </w:r>
      <w:r w:rsidR="00E8683E" w:rsidRPr="00590BB6">
        <w:rPr>
          <w:rFonts w:cs="Times New Roman"/>
          <w:i/>
        </w:rPr>
        <w:t>an</w:t>
      </w:r>
      <w:r w:rsidR="0037440B" w:rsidRPr="00590BB6">
        <w:rPr>
          <w:rFonts w:cs="Times New Roman"/>
        </w:rPr>
        <w:t xml:space="preserve">. </w:t>
      </w:r>
      <w:r w:rsidR="005B0D10" w:rsidRPr="00590BB6">
        <w:rPr>
          <w:rFonts w:cs="Times New Roman"/>
        </w:rPr>
        <w:t xml:space="preserve"> </w:t>
      </w:r>
      <w:r w:rsidR="005B0D10" w:rsidRPr="00590BB6">
        <w:t>However, there are challenges related to the infrastructure capacity of fuelling vehicles powered by these alternative fuels, competing end uses, socio-economic and environment impacts of developing these alternative supply chains, and the expansion of RES capacity in the electricity mix</w:t>
      </w:r>
      <w:r w:rsidR="005B0D10" w:rsidRPr="00590BB6">
        <w:rPr>
          <w:rStyle w:val="FootnoteReference"/>
        </w:rPr>
        <w:footnoteReference w:id="19"/>
      </w:r>
      <w:r w:rsidR="005B0D10" w:rsidRPr="00590BB6">
        <w:t>. In the present analysis, investments related to the fuelling capacity have not been modelled. Inertia in the uptake of novel technologies was modelled via constraining the yearly changes in new investments and using a lag-time between investment decision and technology introduction.</w:t>
      </w:r>
    </w:p>
    <w:p w14:paraId="63A5ED79" w14:textId="09B6120F" w:rsidR="00A44A6C" w:rsidRPr="00590BB6" w:rsidRDefault="00A44A6C" w:rsidP="00A44A6C">
      <w:pPr>
        <w:pStyle w:val="Caption"/>
        <w:keepNext/>
      </w:pPr>
      <w:bookmarkStart w:id="31" w:name="_Ref117013094"/>
      <w:r w:rsidRPr="00590BB6">
        <w:lastRenderedPageBreak/>
        <w:t xml:space="preserve">Table </w:t>
      </w:r>
      <w:r w:rsidRPr="00590BB6">
        <w:fldChar w:fldCharType="begin"/>
      </w:r>
      <w:r w:rsidRPr="00590BB6">
        <w:instrText xml:space="preserve"> SEQ Table \* ARABIC </w:instrText>
      </w:r>
      <w:r w:rsidRPr="00590BB6">
        <w:fldChar w:fldCharType="separate"/>
      </w:r>
      <w:r w:rsidRPr="00590BB6">
        <w:rPr>
          <w:noProof/>
        </w:rPr>
        <w:t>6</w:t>
      </w:r>
      <w:r w:rsidRPr="00590BB6">
        <w:fldChar w:fldCharType="end"/>
      </w:r>
      <w:bookmarkEnd w:id="31"/>
      <w:r w:rsidRPr="00590BB6">
        <w:t>. Hydrogen consumption and the respective electricity required for electrolysis, measured in PJ (</w:t>
      </w:r>
      <w:r w:rsidR="002F2128" w:rsidRPr="00590BB6">
        <w:t xml:space="preserve">equivalent amount in </w:t>
      </w:r>
      <w:proofErr w:type="spellStart"/>
      <w:r w:rsidRPr="00590BB6">
        <w:t>TWh</w:t>
      </w:r>
      <w:proofErr w:type="spellEnd"/>
      <w:r w:rsidR="002F2128" w:rsidRPr="00590BB6">
        <w:t xml:space="preserve"> is shown in parenthes</w:t>
      </w:r>
      <w:r w:rsidR="008816F6" w:rsidRPr="00590BB6">
        <w:t>e</w:t>
      </w:r>
      <w:r w:rsidR="002F2128" w:rsidRPr="00590BB6">
        <w:t>s</w:t>
      </w:r>
      <w:r w:rsidRPr="00590BB6">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0"/>
        <w:gridCol w:w="1737"/>
        <w:gridCol w:w="1738"/>
        <w:gridCol w:w="1665"/>
        <w:gridCol w:w="1665"/>
      </w:tblGrid>
      <w:tr w:rsidR="00A44A6C" w:rsidRPr="00590BB6" w14:paraId="35684F46" w14:textId="77777777" w:rsidTr="008D3EF9">
        <w:trPr>
          <w:jc w:val="center"/>
        </w:trPr>
        <w:tc>
          <w:tcPr>
            <w:tcW w:w="760" w:type="dxa"/>
            <w:vMerge w:val="restart"/>
            <w:tcBorders>
              <w:top w:val="single" w:sz="4" w:space="0" w:color="auto"/>
              <w:bottom w:val="nil"/>
            </w:tcBorders>
            <w:vAlign w:val="center"/>
          </w:tcPr>
          <w:p w14:paraId="6F942AE6" w14:textId="77777777" w:rsidR="00A44A6C" w:rsidRPr="00590BB6" w:rsidRDefault="00A44A6C" w:rsidP="008D3EF9">
            <w:pPr>
              <w:spacing w:line="360" w:lineRule="auto"/>
              <w:jc w:val="center"/>
              <w:rPr>
                <w:rFonts w:cs="Times New Roman"/>
                <w:b/>
              </w:rPr>
            </w:pPr>
            <w:r w:rsidRPr="00590BB6">
              <w:rPr>
                <w:rFonts w:cs="Times New Roman"/>
                <w:b/>
              </w:rPr>
              <w:t>Year</w:t>
            </w:r>
          </w:p>
        </w:tc>
        <w:tc>
          <w:tcPr>
            <w:tcW w:w="3475" w:type="dxa"/>
            <w:gridSpan w:val="2"/>
            <w:tcBorders>
              <w:top w:val="single" w:sz="4" w:space="0" w:color="auto"/>
              <w:bottom w:val="nil"/>
            </w:tcBorders>
            <w:vAlign w:val="center"/>
          </w:tcPr>
          <w:p w14:paraId="223EA1A2" w14:textId="77777777" w:rsidR="00A44A6C" w:rsidRPr="00590BB6" w:rsidRDefault="00A44A6C" w:rsidP="008D3EF9">
            <w:pPr>
              <w:spacing w:line="276" w:lineRule="auto"/>
              <w:jc w:val="center"/>
              <w:rPr>
                <w:rFonts w:cs="Times New Roman"/>
                <w:b/>
              </w:rPr>
            </w:pPr>
            <w:r w:rsidRPr="00590BB6">
              <w:rPr>
                <w:rFonts w:cs="Times New Roman"/>
                <w:b/>
              </w:rPr>
              <w:t>Hydrogen consumption</w:t>
            </w:r>
          </w:p>
        </w:tc>
        <w:tc>
          <w:tcPr>
            <w:tcW w:w="3330" w:type="dxa"/>
            <w:gridSpan w:val="2"/>
            <w:tcBorders>
              <w:top w:val="single" w:sz="4" w:space="0" w:color="auto"/>
              <w:bottom w:val="nil"/>
            </w:tcBorders>
            <w:vAlign w:val="center"/>
          </w:tcPr>
          <w:p w14:paraId="57CB82DD" w14:textId="77777777" w:rsidR="00A44A6C" w:rsidRPr="00590BB6" w:rsidRDefault="00A44A6C" w:rsidP="008D3EF9">
            <w:pPr>
              <w:spacing w:line="276" w:lineRule="auto"/>
              <w:jc w:val="center"/>
              <w:rPr>
                <w:rFonts w:cs="Times New Roman"/>
                <w:b/>
              </w:rPr>
            </w:pPr>
            <w:r w:rsidRPr="00590BB6">
              <w:rPr>
                <w:rFonts w:cs="Times New Roman"/>
                <w:b/>
              </w:rPr>
              <w:t>Electricity for electrolysis</w:t>
            </w:r>
          </w:p>
        </w:tc>
      </w:tr>
      <w:tr w:rsidR="00A44A6C" w:rsidRPr="00590BB6" w14:paraId="237A89DD" w14:textId="77777777" w:rsidTr="008D3EF9">
        <w:trPr>
          <w:jc w:val="center"/>
        </w:trPr>
        <w:tc>
          <w:tcPr>
            <w:tcW w:w="760" w:type="dxa"/>
            <w:vMerge/>
            <w:tcBorders>
              <w:top w:val="nil"/>
              <w:bottom w:val="single" w:sz="4" w:space="0" w:color="auto"/>
            </w:tcBorders>
            <w:vAlign w:val="center"/>
          </w:tcPr>
          <w:p w14:paraId="7DB5F4FC" w14:textId="77777777" w:rsidR="00A44A6C" w:rsidRPr="00590BB6" w:rsidRDefault="00A44A6C" w:rsidP="008D3EF9">
            <w:pPr>
              <w:spacing w:line="360" w:lineRule="auto"/>
              <w:jc w:val="center"/>
              <w:rPr>
                <w:rFonts w:cs="Times New Roman"/>
              </w:rPr>
            </w:pPr>
          </w:p>
        </w:tc>
        <w:tc>
          <w:tcPr>
            <w:tcW w:w="1737" w:type="dxa"/>
            <w:tcBorders>
              <w:top w:val="nil"/>
              <w:bottom w:val="single" w:sz="4" w:space="0" w:color="auto"/>
            </w:tcBorders>
            <w:vAlign w:val="center"/>
          </w:tcPr>
          <w:p w14:paraId="48846F77" w14:textId="77777777" w:rsidR="00A44A6C" w:rsidRPr="00590BB6" w:rsidRDefault="00A44A6C" w:rsidP="008D3EF9">
            <w:pPr>
              <w:spacing w:line="276" w:lineRule="auto"/>
              <w:jc w:val="center"/>
              <w:rPr>
                <w:rFonts w:cs="Times New Roman"/>
                <w:i/>
              </w:rPr>
            </w:pPr>
            <w:r w:rsidRPr="00590BB6">
              <w:rPr>
                <w:rFonts w:cs="Times New Roman"/>
                <w:i/>
              </w:rPr>
              <w:t>2040 ICE Ban</w:t>
            </w:r>
          </w:p>
        </w:tc>
        <w:tc>
          <w:tcPr>
            <w:tcW w:w="1738" w:type="dxa"/>
            <w:tcBorders>
              <w:top w:val="nil"/>
              <w:bottom w:val="single" w:sz="4" w:space="0" w:color="auto"/>
            </w:tcBorders>
            <w:vAlign w:val="center"/>
          </w:tcPr>
          <w:p w14:paraId="1BB51541" w14:textId="77777777" w:rsidR="00A44A6C" w:rsidRPr="00590BB6" w:rsidRDefault="00A44A6C" w:rsidP="008D3EF9">
            <w:pPr>
              <w:spacing w:line="276" w:lineRule="auto"/>
              <w:jc w:val="center"/>
              <w:rPr>
                <w:rFonts w:cs="Times New Roman"/>
                <w:i/>
              </w:rPr>
            </w:pPr>
            <w:r w:rsidRPr="00590BB6">
              <w:rPr>
                <w:rFonts w:cs="Times New Roman"/>
                <w:i/>
              </w:rPr>
              <w:t>2030 ICE Ban</w:t>
            </w:r>
          </w:p>
        </w:tc>
        <w:tc>
          <w:tcPr>
            <w:tcW w:w="1665" w:type="dxa"/>
            <w:tcBorders>
              <w:top w:val="nil"/>
              <w:bottom w:val="single" w:sz="4" w:space="0" w:color="auto"/>
            </w:tcBorders>
            <w:vAlign w:val="center"/>
          </w:tcPr>
          <w:p w14:paraId="0CFD1D1B" w14:textId="77777777" w:rsidR="00A44A6C" w:rsidRPr="00590BB6" w:rsidRDefault="00A44A6C" w:rsidP="008D3EF9">
            <w:pPr>
              <w:spacing w:line="276" w:lineRule="auto"/>
              <w:jc w:val="center"/>
              <w:rPr>
                <w:rFonts w:cs="Times New Roman"/>
                <w:i/>
              </w:rPr>
            </w:pPr>
            <w:r w:rsidRPr="00590BB6">
              <w:rPr>
                <w:rFonts w:cs="Times New Roman"/>
                <w:i/>
              </w:rPr>
              <w:t>2040 ICE Ban</w:t>
            </w:r>
          </w:p>
        </w:tc>
        <w:tc>
          <w:tcPr>
            <w:tcW w:w="1665" w:type="dxa"/>
            <w:tcBorders>
              <w:top w:val="nil"/>
              <w:bottom w:val="single" w:sz="4" w:space="0" w:color="auto"/>
            </w:tcBorders>
            <w:vAlign w:val="center"/>
          </w:tcPr>
          <w:p w14:paraId="65525B04" w14:textId="77777777" w:rsidR="00A44A6C" w:rsidRPr="00590BB6" w:rsidRDefault="00A44A6C" w:rsidP="008D3EF9">
            <w:pPr>
              <w:spacing w:line="276" w:lineRule="auto"/>
              <w:jc w:val="center"/>
              <w:rPr>
                <w:rFonts w:cs="Times New Roman"/>
                <w:i/>
              </w:rPr>
            </w:pPr>
            <w:r w:rsidRPr="00590BB6">
              <w:rPr>
                <w:rFonts w:cs="Times New Roman"/>
                <w:i/>
              </w:rPr>
              <w:t>2030 ICE Ban</w:t>
            </w:r>
          </w:p>
        </w:tc>
      </w:tr>
      <w:tr w:rsidR="00A44A6C" w:rsidRPr="00590BB6" w14:paraId="30CD813F" w14:textId="77777777" w:rsidTr="008D3EF9">
        <w:trPr>
          <w:jc w:val="center"/>
        </w:trPr>
        <w:tc>
          <w:tcPr>
            <w:tcW w:w="760" w:type="dxa"/>
            <w:tcBorders>
              <w:top w:val="single" w:sz="4" w:space="0" w:color="auto"/>
            </w:tcBorders>
            <w:vAlign w:val="center"/>
          </w:tcPr>
          <w:p w14:paraId="2F079BDB" w14:textId="77777777" w:rsidR="00A44A6C" w:rsidRPr="00590BB6" w:rsidRDefault="00A44A6C" w:rsidP="008D3EF9">
            <w:pPr>
              <w:spacing w:line="360" w:lineRule="auto"/>
              <w:jc w:val="center"/>
              <w:rPr>
                <w:rFonts w:cs="Times New Roman"/>
              </w:rPr>
            </w:pPr>
            <w:r w:rsidRPr="00590BB6">
              <w:rPr>
                <w:rFonts w:cs="Times New Roman"/>
              </w:rPr>
              <w:t>2030</w:t>
            </w:r>
          </w:p>
        </w:tc>
        <w:tc>
          <w:tcPr>
            <w:tcW w:w="1737" w:type="dxa"/>
            <w:tcBorders>
              <w:top w:val="single" w:sz="4" w:space="0" w:color="auto"/>
            </w:tcBorders>
            <w:vAlign w:val="center"/>
          </w:tcPr>
          <w:p w14:paraId="51F2FFB7" w14:textId="77777777" w:rsidR="00A44A6C" w:rsidRPr="00590BB6" w:rsidRDefault="00A44A6C" w:rsidP="008D3EF9">
            <w:pPr>
              <w:spacing w:line="360" w:lineRule="auto"/>
              <w:jc w:val="center"/>
              <w:rPr>
                <w:rFonts w:cs="Times New Roman"/>
              </w:rPr>
            </w:pPr>
            <w:r w:rsidRPr="00590BB6">
              <w:rPr>
                <w:rFonts w:cs="Times New Roman"/>
              </w:rPr>
              <w:t>0 (0)</w:t>
            </w:r>
          </w:p>
        </w:tc>
        <w:tc>
          <w:tcPr>
            <w:tcW w:w="1738" w:type="dxa"/>
            <w:tcBorders>
              <w:top w:val="single" w:sz="4" w:space="0" w:color="auto"/>
            </w:tcBorders>
            <w:vAlign w:val="center"/>
          </w:tcPr>
          <w:p w14:paraId="7249038B" w14:textId="77777777" w:rsidR="00A44A6C" w:rsidRPr="00590BB6" w:rsidRDefault="00A44A6C" w:rsidP="008D3EF9">
            <w:pPr>
              <w:spacing w:line="360" w:lineRule="auto"/>
              <w:jc w:val="center"/>
              <w:rPr>
                <w:rFonts w:cs="Times New Roman"/>
              </w:rPr>
            </w:pPr>
            <w:r w:rsidRPr="00590BB6">
              <w:rPr>
                <w:rFonts w:cs="Times New Roman"/>
              </w:rPr>
              <w:t>0 (0)</w:t>
            </w:r>
          </w:p>
        </w:tc>
        <w:tc>
          <w:tcPr>
            <w:tcW w:w="1665" w:type="dxa"/>
            <w:tcBorders>
              <w:top w:val="single" w:sz="4" w:space="0" w:color="auto"/>
            </w:tcBorders>
            <w:vAlign w:val="center"/>
          </w:tcPr>
          <w:p w14:paraId="7619D332" w14:textId="77777777" w:rsidR="00A44A6C" w:rsidRPr="00590BB6" w:rsidRDefault="00A44A6C" w:rsidP="008D3EF9">
            <w:pPr>
              <w:spacing w:line="360" w:lineRule="auto"/>
              <w:jc w:val="center"/>
              <w:rPr>
                <w:rFonts w:cs="Times New Roman"/>
              </w:rPr>
            </w:pPr>
            <w:r w:rsidRPr="00590BB6">
              <w:rPr>
                <w:rFonts w:cs="Times New Roman"/>
              </w:rPr>
              <w:t>0 (0)</w:t>
            </w:r>
          </w:p>
        </w:tc>
        <w:tc>
          <w:tcPr>
            <w:tcW w:w="1665" w:type="dxa"/>
            <w:tcBorders>
              <w:top w:val="single" w:sz="4" w:space="0" w:color="auto"/>
            </w:tcBorders>
            <w:vAlign w:val="center"/>
          </w:tcPr>
          <w:p w14:paraId="57C80DFD" w14:textId="77777777" w:rsidR="00A44A6C" w:rsidRPr="00590BB6" w:rsidRDefault="00A44A6C" w:rsidP="008D3EF9">
            <w:pPr>
              <w:spacing w:line="360" w:lineRule="auto"/>
              <w:jc w:val="center"/>
              <w:rPr>
                <w:rFonts w:cs="Times New Roman"/>
              </w:rPr>
            </w:pPr>
            <w:r w:rsidRPr="00590BB6">
              <w:rPr>
                <w:rFonts w:cs="Times New Roman"/>
              </w:rPr>
              <w:t>0 (0)</w:t>
            </w:r>
          </w:p>
        </w:tc>
      </w:tr>
      <w:tr w:rsidR="00A44A6C" w:rsidRPr="00590BB6" w14:paraId="0DE02023" w14:textId="77777777" w:rsidTr="008D3EF9">
        <w:trPr>
          <w:jc w:val="center"/>
        </w:trPr>
        <w:tc>
          <w:tcPr>
            <w:tcW w:w="760" w:type="dxa"/>
            <w:vAlign w:val="center"/>
          </w:tcPr>
          <w:p w14:paraId="56E41BA9" w14:textId="77777777" w:rsidR="00A44A6C" w:rsidRPr="00590BB6" w:rsidRDefault="00A44A6C" w:rsidP="008D3EF9">
            <w:pPr>
              <w:spacing w:line="360" w:lineRule="auto"/>
              <w:jc w:val="center"/>
              <w:rPr>
                <w:rFonts w:cs="Times New Roman"/>
              </w:rPr>
            </w:pPr>
            <w:r w:rsidRPr="00590BB6">
              <w:rPr>
                <w:rFonts w:cs="Times New Roman"/>
              </w:rPr>
              <w:t>2035</w:t>
            </w:r>
          </w:p>
        </w:tc>
        <w:tc>
          <w:tcPr>
            <w:tcW w:w="1737" w:type="dxa"/>
            <w:vAlign w:val="center"/>
          </w:tcPr>
          <w:p w14:paraId="08061111" w14:textId="77777777" w:rsidR="00A44A6C" w:rsidRPr="00590BB6" w:rsidRDefault="00A44A6C" w:rsidP="008D3EF9">
            <w:pPr>
              <w:spacing w:line="360" w:lineRule="auto"/>
              <w:jc w:val="center"/>
              <w:rPr>
                <w:rFonts w:cs="Times New Roman"/>
              </w:rPr>
            </w:pPr>
            <w:r w:rsidRPr="00590BB6">
              <w:rPr>
                <w:rFonts w:cs="Times New Roman"/>
              </w:rPr>
              <w:t>0 (0)</w:t>
            </w:r>
          </w:p>
        </w:tc>
        <w:tc>
          <w:tcPr>
            <w:tcW w:w="1738" w:type="dxa"/>
            <w:vAlign w:val="center"/>
          </w:tcPr>
          <w:p w14:paraId="6BC97784" w14:textId="77777777" w:rsidR="00A44A6C" w:rsidRPr="00590BB6" w:rsidRDefault="00A44A6C" w:rsidP="008D3EF9">
            <w:pPr>
              <w:spacing w:line="360" w:lineRule="auto"/>
              <w:jc w:val="center"/>
              <w:rPr>
                <w:rFonts w:cs="Times New Roman"/>
              </w:rPr>
            </w:pPr>
            <w:r w:rsidRPr="00590BB6">
              <w:rPr>
                <w:rFonts w:cs="Times New Roman"/>
              </w:rPr>
              <w:t>23.40 (6.5)</w:t>
            </w:r>
          </w:p>
        </w:tc>
        <w:tc>
          <w:tcPr>
            <w:tcW w:w="1665" w:type="dxa"/>
            <w:vAlign w:val="center"/>
          </w:tcPr>
          <w:p w14:paraId="2AFAE197" w14:textId="77777777" w:rsidR="00A44A6C" w:rsidRPr="00590BB6" w:rsidRDefault="00A44A6C" w:rsidP="008D3EF9">
            <w:pPr>
              <w:spacing w:line="360" w:lineRule="auto"/>
              <w:jc w:val="center"/>
              <w:rPr>
                <w:rFonts w:cs="Times New Roman"/>
              </w:rPr>
            </w:pPr>
            <w:r w:rsidRPr="00590BB6">
              <w:rPr>
                <w:rFonts w:cs="Times New Roman"/>
              </w:rPr>
              <w:t>0 (0)</w:t>
            </w:r>
          </w:p>
        </w:tc>
        <w:tc>
          <w:tcPr>
            <w:tcW w:w="1665" w:type="dxa"/>
            <w:vAlign w:val="center"/>
          </w:tcPr>
          <w:p w14:paraId="75AD2137" w14:textId="77777777" w:rsidR="00A44A6C" w:rsidRPr="00590BB6" w:rsidRDefault="00A44A6C" w:rsidP="008D3EF9">
            <w:pPr>
              <w:spacing w:line="360" w:lineRule="auto"/>
              <w:jc w:val="center"/>
              <w:rPr>
                <w:rFonts w:cs="Times New Roman"/>
              </w:rPr>
            </w:pPr>
            <w:r w:rsidRPr="00590BB6">
              <w:rPr>
                <w:rFonts w:cs="Times New Roman"/>
              </w:rPr>
              <w:t>33.70 (9.36)</w:t>
            </w:r>
          </w:p>
        </w:tc>
      </w:tr>
      <w:tr w:rsidR="00A44A6C" w:rsidRPr="00590BB6" w14:paraId="6AC38DE3" w14:textId="77777777" w:rsidTr="008D3EF9">
        <w:trPr>
          <w:jc w:val="center"/>
        </w:trPr>
        <w:tc>
          <w:tcPr>
            <w:tcW w:w="760" w:type="dxa"/>
            <w:vAlign w:val="center"/>
          </w:tcPr>
          <w:p w14:paraId="6A3D9A95" w14:textId="77777777" w:rsidR="00A44A6C" w:rsidRPr="00590BB6" w:rsidRDefault="00A44A6C" w:rsidP="008D3EF9">
            <w:pPr>
              <w:spacing w:line="360" w:lineRule="auto"/>
              <w:jc w:val="center"/>
              <w:rPr>
                <w:rFonts w:cs="Times New Roman"/>
              </w:rPr>
            </w:pPr>
            <w:r w:rsidRPr="00590BB6">
              <w:rPr>
                <w:rFonts w:cs="Times New Roman"/>
              </w:rPr>
              <w:t>2040</w:t>
            </w:r>
          </w:p>
        </w:tc>
        <w:tc>
          <w:tcPr>
            <w:tcW w:w="1737" w:type="dxa"/>
            <w:vAlign w:val="center"/>
          </w:tcPr>
          <w:p w14:paraId="586024FD" w14:textId="77777777" w:rsidR="00A44A6C" w:rsidRPr="00590BB6" w:rsidRDefault="00A44A6C" w:rsidP="008D3EF9">
            <w:pPr>
              <w:spacing w:line="360" w:lineRule="auto"/>
              <w:jc w:val="center"/>
              <w:rPr>
                <w:rFonts w:cs="Times New Roman"/>
              </w:rPr>
            </w:pPr>
            <w:r w:rsidRPr="00590BB6">
              <w:rPr>
                <w:rFonts w:cs="Times New Roman"/>
              </w:rPr>
              <w:t>0 (0)</w:t>
            </w:r>
          </w:p>
        </w:tc>
        <w:tc>
          <w:tcPr>
            <w:tcW w:w="1738" w:type="dxa"/>
            <w:vAlign w:val="center"/>
          </w:tcPr>
          <w:p w14:paraId="7B77D619" w14:textId="77777777" w:rsidR="00A44A6C" w:rsidRPr="00590BB6" w:rsidRDefault="00A44A6C" w:rsidP="008D3EF9">
            <w:pPr>
              <w:spacing w:line="360" w:lineRule="auto"/>
              <w:jc w:val="center"/>
              <w:rPr>
                <w:rFonts w:cs="Times New Roman"/>
              </w:rPr>
            </w:pPr>
            <w:r w:rsidRPr="00590BB6">
              <w:rPr>
                <w:rFonts w:cs="Times New Roman"/>
              </w:rPr>
              <w:t>108.95 (30.26)</w:t>
            </w:r>
          </w:p>
        </w:tc>
        <w:tc>
          <w:tcPr>
            <w:tcW w:w="1665" w:type="dxa"/>
            <w:vAlign w:val="center"/>
          </w:tcPr>
          <w:p w14:paraId="3F5D7544" w14:textId="77777777" w:rsidR="00A44A6C" w:rsidRPr="00590BB6" w:rsidRDefault="00A44A6C" w:rsidP="008D3EF9">
            <w:pPr>
              <w:spacing w:line="360" w:lineRule="auto"/>
              <w:jc w:val="center"/>
              <w:rPr>
                <w:rFonts w:cs="Times New Roman"/>
              </w:rPr>
            </w:pPr>
            <w:r w:rsidRPr="00590BB6">
              <w:rPr>
                <w:rFonts w:cs="Times New Roman"/>
              </w:rPr>
              <w:t>0 (0)</w:t>
            </w:r>
          </w:p>
        </w:tc>
        <w:tc>
          <w:tcPr>
            <w:tcW w:w="1665" w:type="dxa"/>
            <w:vAlign w:val="center"/>
          </w:tcPr>
          <w:p w14:paraId="7F689907" w14:textId="77777777" w:rsidR="00A44A6C" w:rsidRPr="00590BB6" w:rsidRDefault="00A44A6C" w:rsidP="008D3EF9">
            <w:pPr>
              <w:spacing w:line="360" w:lineRule="auto"/>
              <w:jc w:val="center"/>
              <w:rPr>
                <w:rFonts w:cs="Times New Roman"/>
              </w:rPr>
            </w:pPr>
            <w:r w:rsidRPr="00590BB6">
              <w:rPr>
                <w:rFonts w:cs="Times New Roman"/>
              </w:rPr>
              <w:t>156.89 (43.58)</w:t>
            </w:r>
          </w:p>
        </w:tc>
      </w:tr>
      <w:tr w:rsidR="00A44A6C" w:rsidRPr="00590BB6" w14:paraId="778400EC" w14:textId="77777777" w:rsidTr="008D3EF9">
        <w:trPr>
          <w:jc w:val="center"/>
        </w:trPr>
        <w:tc>
          <w:tcPr>
            <w:tcW w:w="760" w:type="dxa"/>
            <w:vAlign w:val="center"/>
          </w:tcPr>
          <w:p w14:paraId="6B27307A" w14:textId="77777777" w:rsidR="00A44A6C" w:rsidRPr="00590BB6" w:rsidRDefault="00A44A6C" w:rsidP="008D3EF9">
            <w:pPr>
              <w:spacing w:line="360" w:lineRule="auto"/>
              <w:jc w:val="center"/>
              <w:rPr>
                <w:rFonts w:cs="Times New Roman"/>
              </w:rPr>
            </w:pPr>
            <w:r w:rsidRPr="00590BB6">
              <w:rPr>
                <w:rFonts w:cs="Times New Roman"/>
              </w:rPr>
              <w:t>2045</w:t>
            </w:r>
          </w:p>
        </w:tc>
        <w:tc>
          <w:tcPr>
            <w:tcW w:w="1737" w:type="dxa"/>
            <w:vAlign w:val="center"/>
          </w:tcPr>
          <w:p w14:paraId="597BB18E" w14:textId="77777777" w:rsidR="00A44A6C" w:rsidRPr="00590BB6" w:rsidRDefault="00A44A6C" w:rsidP="008D3EF9">
            <w:pPr>
              <w:spacing w:line="360" w:lineRule="auto"/>
              <w:jc w:val="center"/>
              <w:rPr>
                <w:rFonts w:cs="Times New Roman"/>
              </w:rPr>
            </w:pPr>
            <w:r w:rsidRPr="00590BB6">
              <w:rPr>
                <w:rFonts w:cs="Times New Roman"/>
              </w:rPr>
              <w:t>15.78 (4.38)</w:t>
            </w:r>
          </w:p>
        </w:tc>
        <w:tc>
          <w:tcPr>
            <w:tcW w:w="1738" w:type="dxa"/>
            <w:vAlign w:val="center"/>
          </w:tcPr>
          <w:p w14:paraId="79576A87" w14:textId="77777777" w:rsidR="00A44A6C" w:rsidRPr="00590BB6" w:rsidRDefault="00A44A6C" w:rsidP="008D3EF9">
            <w:pPr>
              <w:spacing w:line="360" w:lineRule="auto"/>
              <w:jc w:val="center"/>
              <w:rPr>
                <w:rFonts w:cs="Times New Roman"/>
              </w:rPr>
            </w:pPr>
            <w:r w:rsidRPr="00590BB6">
              <w:rPr>
                <w:rFonts w:cs="Times New Roman"/>
              </w:rPr>
              <w:t>124.73 (34.65)</w:t>
            </w:r>
          </w:p>
        </w:tc>
        <w:tc>
          <w:tcPr>
            <w:tcW w:w="1665" w:type="dxa"/>
            <w:vAlign w:val="center"/>
          </w:tcPr>
          <w:p w14:paraId="299EA3FF" w14:textId="77777777" w:rsidR="00A44A6C" w:rsidRPr="00590BB6" w:rsidRDefault="00A44A6C" w:rsidP="008D3EF9">
            <w:pPr>
              <w:spacing w:line="360" w:lineRule="auto"/>
              <w:jc w:val="center"/>
              <w:rPr>
                <w:rFonts w:cs="Times New Roman"/>
              </w:rPr>
            </w:pPr>
            <w:r w:rsidRPr="00590BB6">
              <w:rPr>
                <w:rFonts w:cs="Times New Roman"/>
              </w:rPr>
              <w:t>22.73 (6.31)</w:t>
            </w:r>
          </w:p>
        </w:tc>
        <w:tc>
          <w:tcPr>
            <w:tcW w:w="1665" w:type="dxa"/>
            <w:vAlign w:val="center"/>
          </w:tcPr>
          <w:p w14:paraId="4606374B" w14:textId="77777777" w:rsidR="00A44A6C" w:rsidRPr="00590BB6" w:rsidRDefault="00A44A6C" w:rsidP="008D3EF9">
            <w:pPr>
              <w:spacing w:line="360" w:lineRule="auto"/>
              <w:jc w:val="center"/>
              <w:rPr>
                <w:rFonts w:cs="Times New Roman"/>
              </w:rPr>
            </w:pPr>
            <w:r w:rsidRPr="00590BB6">
              <w:rPr>
                <w:rFonts w:cs="Times New Roman"/>
              </w:rPr>
              <w:t>179.62 (49.89)</w:t>
            </w:r>
          </w:p>
        </w:tc>
      </w:tr>
      <w:tr w:rsidR="00A44A6C" w:rsidRPr="00590BB6" w14:paraId="00E9A066" w14:textId="77777777" w:rsidTr="008D3EF9">
        <w:trPr>
          <w:jc w:val="center"/>
        </w:trPr>
        <w:tc>
          <w:tcPr>
            <w:tcW w:w="760" w:type="dxa"/>
            <w:vAlign w:val="center"/>
          </w:tcPr>
          <w:p w14:paraId="1E246548" w14:textId="77777777" w:rsidR="00A44A6C" w:rsidRPr="00590BB6" w:rsidRDefault="00A44A6C" w:rsidP="008D3EF9">
            <w:pPr>
              <w:spacing w:line="360" w:lineRule="auto"/>
              <w:jc w:val="center"/>
              <w:rPr>
                <w:rFonts w:cs="Times New Roman"/>
              </w:rPr>
            </w:pPr>
            <w:r w:rsidRPr="00590BB6">
              <w:rPr>
                <w:rFonts w:cs="Times New Roman"/>
              </w:rPr>
              <w:t>2050</w:t>
            </w:r>
          </w:p>
        </w:tc>
        <w:tc>
          <w:tcPr>
            <w:tcW w:w="1737" w:type="dxa"/>
            <w:vAlign w:val="center"/>
          </w:tcPr>
          <w:p w14:paraId="754E4542" w14:textId="77777777" w:rsidR="00A44A6C" w:rsidRPr="00590BB6" w:rsidRDefault="00A44A6C" w:rsidP="008D3EF9">
            <w:pPr>
              <w:spacing w:line="360" w:lineRule="auto"/>
              <w:jc w:val="center"/>
              <w:rPr>
                <w:rFonts w:cs="Times New Roman"/>
              </w:rPr>
            </w:pPr>
            <w:r w:rsidRPr="00590BB6">
              <w:rPr>
                <w:rFonts w:cs="Times New Roman"/>
              </w:rPr>
              <w:t>42.54 (11.82)</w:t>
            </w:r>
          </w:p>
        </w:tc>
        <w:tc>
          <w:tcPr>
            <w:tcW w:w="1738" w:type="dxa"/>
            <w:vAlign w:val="center"/>
          </w:tcPr>
          <w:p w14:paraId="56C3E777" w14:textId="77777777" w:rsidR="00A44A6C" w:rsidRPr="00590BB6" w:rsidRDefault="00A44A6C" w:rsidP="008D3EF9">
            <w:pPr>
              <w:spacing w:line="360" w:lineRule="auto"/>
              <w:jc w:val="center"/>
              <w:rPr>
                <w:rFonts w:cs="Times New Roman"/>
              </w:rPr>
            </w:pPr>
            <w:r w:rsidRPr="00590BB6">
              <w:rPr>
                <w:rFonts w:cs="Times New Roman"/>
              </w:rPr>
              <w:t>128.09 (35.58)</w:t>
            </w:r>
          </w:p>
        </w:tc>
        <w:tc>
          <w:tcPr>
            <w:tcW w:w="1665" w:type="dxa"/>
            <w:vAlign w:val="center"/>
          </w:tcPr>
          <w:p w14:paraId="3493AF0D" w14:textId="77777777" w:rsidR="00A44A6C" w:rsidRPr="00590BB6" w:rsidRDefault="00A44A6C" w:rsidP="008D3EF9">
            <w:pPr>
              <w:spacing w:line="360" w:lineRule="auto"/>
              <w:jc w:val="center"/>
              <w:rPr>
                <w:rFonts w:cs="Times New Roman"/>
              </w:rPr>
            </w:pPr>
            <w:r w:rsidRPr="00590BB6">
              <w:rPr>
                <w:rFonts w:cs="Times New Roman"/>
              </w:rPr>
              <w:t>61.26 (17.02)</w:t>
            </w:r>
          </w:p>
        </w:tc>
        <w:tc>
          <w:tcPr>
            <w:tcW w:w="1665" w:type="dxa"/>
            <w:vAlign w:val="center"/>
          </w:tcPr>
          <w:p w14:paraId="20AF5200" w14:textId="77777777" w:rsidR="00A44A6C" w:rsidRPr="00590BB6" w:rsidRDefault="00A44A6C" w:rsidP="008D3EF9">
            <w:pPr>
              <w:spacing w:line="360" w:lineRule="auto"/>
              <w:jc w:val="center"/>
              <w:rPr>
                <w:rFonts w:cs="Times New Roman"/>
              </w:rPr>
            </w:pPr>
            <w:r w:rsidRPr="00590BB6">
              <w:rPr>
                <w:rFonts w:cs="Times New Roman"/>
              </w:rPr>
              <w:t>184.45 (51.24)</w:t>
            </w:r>
          </w:p>
        </w:tc>
      </w:tr>
    </w:tbl>
    <w:p w14:paraId="47EED6A3" w14:textId="77777777" w:rsidR="00A44A6C" w:rsidRPr="00590BB6" w:rsidRDefault="00A44A6C" w:rsidP="00A44A6C">
      <w:pPr>
        <w:spacing w:line="360" w:lineRule="auto"/>
        <w:jc w:val="both"/>
        <w:rPr>
          <w:rFonts w:cs="Times New Roman"/>
        </w:rPr>
      </w:pPr>
    </w:p>
    <w:p w14:paraId="2DCBA740" w14:textId="77777777" w:rsidR="00DF3CCB" w:rsidRPr="00590BB6" w:rsidRDefault="00DF3CCB" w:rsidP="00DF3CCB">
      <w:pPr>
        <w:pStyle w:val="Heading1"/>
        <w:spacing w:after="240" w:line="360" w:lineRule="auto"/>
        <w:rPr>
          <w:rFonts w:cs="Times New Roman"/>
          <w:sz w:val="22"/>
          <w:szCs w:val="22"/>
        </w:rPr>
      </w:pPr>
      <w:r w:rsidRPr="00590BB6">
        <w:rPr>
          <w:rFonts w:cs="Times New Roman"/>
          <w:sz w:val="22"/>
          <w:szCs w:val="22"/>
        </w:rPr>
        <w:t>Conclusions</w:t>
      </w:r>
    </w:p>
    <w:p w14:paraId="45BFA130" w14:textId="589003F6" w:rsidR="007C5173" w:rsidRPr="00590BB6" w:rsidRDefault="00023191" w:rsidP="000D170B">
      <w:pPr>
        <w:spacing w:line="360" w:lineRule="auto"/>
        <w:jc w:val="both"/>
        <w:rPr>
          <w:rFonts w:cs="Times New Roman"/>
        </w:rPr>
      </w:pPr>
      <w:r w:rsidRPr="00590BB6">
        <w:rPr>
          <w:rFonts w:cs="Times New Roman"/>
        </w:rPr>
        <w:t xml:space="preserve">This work </w:t>
      </w:r>
      <w:r w:rsidR="00F57017" w:rsidRPr="00590BB6">
        <w:rPr>
          <w:rFonts w:cs="Times New Roman"/>
        </w:rPr>
        <w:t>simulates scenarios for the decarbonisation of the</w:t>
      </w:r>
      <w:r w:rsidRPr="00590BB6">
        <w:rPr>
          <w:rFonts w:cs="Times New Roman"/>
        </w:rPr>
        <w:t xml:space="preserve"> Italia</w:t>
      </w:r>
      <w:r w:rsidR="000D170B" w:rsidRPr="00590BB6">
        <w:rPr>
          <w:rFonts w:cs="Times New Roman"/>
        </w:rPr>
        <w:t>n road freight transport</w:t>
      </w:r>
      <w:r w:rsidR="00447F21">
        <w:rPr>
          <w:rFonts w:cs="Times New Roman"/>
        </w:rPr>
        <w:t xml:space="preserve">, motivated by the </w:t>
      </w:r>
      <w:r w:rsidR="00447F21" w:rsidRPr="004B0178">
        <w:rPr>
          <w:noProof/>
        </w:rPr>
        <w:t>2050 climate neutrality</w:t>
      </w:r>
      <w:r w:rsidR="00447F21">
        <w:rPr>
          <w:noProof/>
        </w:rPr>
        <w:t xml:space="preserve"> set by the E</w:t>
      </w:r>
      <w:r w:rsidR="00C0033B">
        <w:rPr>
          <w:noProof/>
        </w:rPr>
        <w:t>uropean Commission</w:t>
      </w:r>
      <w:r w:rsidR="00447F21">
        <w:rPr>
          <w:noProof/>
        </w:rPr>
        <w:t xml:space="preserve"> in its “Fit for 55”</w:t>
      </w:r>
      <w:r w:rsidR="00447F21">
        <w:rPr>
          <w:rFonts w:cs="Times New Roman"/>
        </w:rPr>
        <w:t>.</w:t>
      </w:r>
      <w:r w:rsidR="00C0033B">
        <w:rPr>
          <w:rFonts w:cs="Times New Roman"/>
        </w:rPr>
        <w:t xml:space="preserve"> </w:t>
      </w:r>
      <w:r w:rsidR="00F57017" w:rsidRPr="00590BB6">
        <w:rPr>
          <w:rFonts w:cs="Times New Roman"/>
        </w:rPr>
        <w:t>It contributes to the literature using a simulation model (MUSE) based on limited foresight for the evolution of the truck sector</w:t>
      </w:r>
      <w:r w:rsidR="00762608">
        <w:rPr>
          <w:rFonts w:cs="Times New Roman"/>
        </w:rPr>
        <w:t xml:space="preserve"> and</w:t>
      </w:r>
      <w:r w:rsidR="00F57017" w:rsidRPr="00590BB6">
        <w:rPr>
          <w:rFonts w:cs="Times New Roman"/>
        </w:rPr>
        <w:t xml:space="preserve"> subjected to market, techno-economics, </w:t>
      </w:r>
      <w:r w:rsidR="00762608">
        <w:rPr>
          <w:rFonts w:cs="Times New Roman"/>
        </w:rPr>
        <w:t>as well as</w:t>
      </w:r>
      <w:r w:rsidR="003E20D3">
        <w:rPr>
          <w:rFonts w:cs="Times New Roman"/>
        </w:rPr>
        <w:t xml:space="preserve"> </w:t>
      </w:r>
      <w:r w:rsidR="00F57017" w:rsidRPr="00590BB6">
        <w:rPr>
          <w:rFonts w:cs="Times New Roman"/>
        </w:rPr>
        <w:t>fuel price</w:t>
      </w:r>
      <w:r w:rsidR="001D0DA1">
        <w:rPr>
          <w:rFonts w:cs="Times New Roman"/>
        </w:rPr>
        <w:t xml:space="preserve"> volatility</w:t>
      </w:r>
      <w:r w:rsidR="00F57017" w:rsidRPr="00590BB6">
        <w:rPr>
          <w:rFonts w:cs="Times New Roman"/>
        </w:rPr>
        <w:t>.</w:t>
      </w:r>
    </w:p>
    <w:p w14:paraId="4A6BC094" w14:textId="4EE20543" w:rsidR="00F7577B" w:rsidRPr="00590BB6" w:rsidRDefault="004361ED" w:rsidP="004361ED">
      <w:pPr>
        <w:spacing w:line="360" w:lineRule="auto"/>
        <w:jc w:val="both"/>
        <w:rPr>
          <w:rFonts w:cs="Times New Roman"/>
        </w:rPr>
      </w:pPr>
      <w:r w:rsidRPr="0098272A">
        <w:rPr>
          <w:rFonts w:cs="Times New Roman"/>
        </w:rPr>
        <w:t>F</w:t>
      </w:r>
      <w:r w:rsidR="000D170B" w:rsidRPr="0098272A">
        <w:rPr>
          <w:rFonts w:cs="Times New Roman"/>
        </w:rPr>
        <w:t xml:space="preserve">indings show that </w:t>
      </w:r>
      <w:r w:rsidR="005C231A" w:rsidRPr="0098272A">
        <w:rPr>
          <w:rFonts w:cs="Times New Roman"/>
        </w:rPr>
        <w:t>incumbent</w:t>
      </w:r>
      <w:r w:rsidR="000D170B" w:rsidRPr="0098272A">
        <w:rPr>
          <w:rFonts w:cs="Times New Roman"/>
        </w:rPr>
        <w:t xml:space="preserve"> technologies</w:t>
      </w:r>
      <w:r w:rsidR="006D464A" w:rsidRPr="0098272A">
        <w:rPr>
          <w:rFonts w:cs="Times New Roman"/>
        </w:rPr>
        <w:t>,</w:t>
      </w:r>
      <w:r w:rsidR="000D170B" w:rsidRPr="0098272A">
        <w:rPr>
          <w:rFonts w:cs="Times New Roman"/>
        </w:rPr>
        <w:t xml:space="preserve"> </w:t>
      </w:r>
      <w:r w:rsidR="006D464A" w:rsidRPr="0098272A">
        <w:rPr>
          <w:rFonts w:cs="Times New Roman"/>
        </w:rPr>
        <w:t>with the inclusion of</w:t>
      </w:r>
      <w:r w:rsidR="00596C4D" w:rsidRPr="0098272A">
        <w:rPr>
          <w:rFonts w:cs="Times New Roman"/>
        </w:rPr>
        <w:t xml:space="preserve"> </w:t>
      </w:r>
      <w:r w:rsidR="00681114" w:rsidRPr="0098272A">
        <w:rPr>
          <w:rFonts w:cs="Times New Roman"/>
        </w:rPr>
        <w:t>efficiency improvements compatible</w:t>
      </w:r>
      <w:r w:rsidR="00FB4580">
        <w:rPr>
          <w:rFonts w:cs="Times New Roman"/>
        </w:rPr>
        <w:t xml:space="preserve"> with recent literature [31]</w:t>
      </w:r>
      <w:r w:rsidR="006D464A" w:rsidRPr="0098272A">
        <w:rPr>
          <w:rFonts w:cs="Times New Roman"/>
        </w:rPr>
        <w:t xml:space="preserve">, </w:t>
      </w:r>
      <w:r w:rsidR="005C231A" w:rsidRPr="0098272A">
        <w:rPr>
          <w:rFonts w:cs="Times New Roman"/>
        </w:rPr>
        <w:t>are</w:t>
      </w:r>
      <w:r w:rsidR="005C231A">
        <w:rPr>
          <w:rFonts w:cs="Times New Roman"/>
        </w:rPr>
        <w:t xml:space="preserve"> not suitable </w:t>
      </w:r>
      <w:r w:rsidR="008D7198">
        <w:rPr>
          <w:rFonts w:cs="Times New Roman"/>
        </w:rPr>
        <w:t xml:space="preserve">alone </w:t>
      </w:r>
      <w:r w:rsidR="005C231A">
        <w:rPr>
          <w:rFonts w:cs="Times New Roman"/>
        </w:rPr>
        <w:t>to</w:t>
      </w:r>
      <w:r w:rsidR="000D170B" w:rsidRPr="00590BB6">
        <w:rPr>
          <w:rFonts w:cs="Times New Roman"/>
        </w:rPr>
        <w:t xml:space="preserve"> meet </w:t>
      </w:r>
      <w:r w:rsidR="008D7198">
        <w:rPr>
          <w:rFonts w:cs="Times New Roman"/>
        </w:rPr>
        <w:t xml:space="preserve">the </w:t>
      </w:r>
      <w:r w:rsidR="000D170B" w:rsidRPr="00590BB6">
        <w:rPr>
          <w:rFonts w:cs="Times New Roman"/>
        </w:rPr>
        <w:t xml:space="preserve">decarbonisation goals </w:t>
      </w:r>
      <w:r w:rsidR="00762608">
        <w:rPr>
          <w:rFonts w:cs="Times New Roman"/>
        </w:rPr>
        <w:t>in</w:t>
      </w:r>
      <w:r w:rsidR="000D170B" w:rsidRPr="00590BB6">
        <w:rPr>
          <w:rFonts w:cs="Times New Roman"/>
        </w:rPr>
        <w:t xml:space="preserve"> 2050.</w:t>
      </w:r>
      <w:r w:rsidR="00222BA5" w:rsidRPr="00590BB6">
        <w:rPr>
          <w:rFonts w:cs="Times New Roman"/>
        </w:rPr>
        <w:t xml:space="preserve"> </w:t>
      </w:r>
      <w:r w:rsidR="00FB4580">
        <w:rPr>
          <w:rFonts w:cs="Times New Roman"/>
        </w:rPr>
        <w:t xml:space="preserve">In fact, </w:t>
      </w:r>
      <w:r w:rsidR="00447F21">
        <w:rPr>
          <w:rFonts w:cs="Times New Roman"/>
        </w:rPr>
        <w:t xml:space="preserve">given the assumptions used in the analysis, </w:t>
      </w:r>
      <w:r w:rsidR="00FB4580">
        <w:rPr>
          <w:rFonts w:cs="Times New Roman"/>
        </w:rPr>
        <w:t xml:space="preserve">the HDV sector would remain anchored to fossils. Expected cost reduction </w:t>
      </w:r>
      <w:r w:rsidR="00C0033B">
        <w:rPr>
          <w:rFonts w:cs="Times New Roman"/>
        </w:rPr>
        <w:t>for</w:t>
      </w:r>
      <w:r w:rsidR="00FB4580">
        <w:rPr>
          <w:rFonts w:cs="Times New Roman"/>
        </w:rPr>
        <w:t xml:space="preserve"> electric vehicles would </w:t>
      </w:r>
      <w:r w:rsidR="00762608">
        <w:rPr>
          <w:rFonts w:cs="Times New Roman"/>
        </w:rPr>
        <w:t xml:space="preserve">only </w:t>
      </w:r>
      <w:r w:rsidR="00C0033B">
        <w:rPr>
          <w:rFonts w:cs="Times New Roman"/>
        </w:rPr>
        <w:t>lead to a full</w:t>
      </w:r>
      <w:r w:rsidR="00FB4580">
        <w:rPr>
          <w:rFonts w:cs="Times New Roman"/>
        </w:rPr>
        <w:t xml:space="preserve"> decarbonisation of the light </w:t>
      </w:r>
      <w:r w:rsidR="00447F21">
        <w:rPr>
          <w:rFonts w:cs="Times New Roman"/>
        </w:rPr>
        <w:t xml:space="preserve">class of HDVs. </w:t>
      </w:r>
      <w:r w:rsidR="00C0033B">
        <w:rPr>
          <w:rFonts w:cs="Times New Roman"/>
        </w:rPr>
        <w:t xml:space="preserve"> Findings</w:t>
      </w:r>
      <w:r w:rsidR="00B05609">
        <w:rPr>
          <w:rFonts w:cs="Times New Roman"/>
        </w:rPr>
        <w:t xml:space="preserve"> also show the importance of </w:t>
      </w:r>
      <w:r w:rsidR="00222BA5" w:rsidRPr="00590BB6">
        <w:rPr>
          <w:rFonts w:cs="Times New Roman"/>
        </w:rPr>
        <w:t xml:space="preserve">fuel prices </w:t>
      </w:r>
      <w:r w:rsidR="00E97EBA">
        <w:rPr>
          <w:rFonts w:cs="Times New Roman"/>
        </w:rPr>
        <w:t xml:space="preserve">and their </w:t>
      </w:r>
      <w:r w:rsidR="00B05609">
        <w:rPr>
          <w:rFonts w:cs="Times New Roman"/>
        </w:rPr>
        <w:t>volatil</w:t>
      </w:r>
      <w:r w:rsidR="00D96F48">
        <w:rPr>
          <w:rFonts w:cs="Times New Roman"/>
        </w:rPr>
        <w:t>ity</w:t>
      </w:r>
      <w:r w:rsidR="00E97EBA">
        <w:rPr>
          <w:rFonts w:cs="Times New Roman"/>
        </w:rPr>
        <w:t xml:space="preserve">. </w:t>
      </w:r>
      <w:r w:rsidR="00C0033B">
        <w:rPr>
          <w:rFonts w:cs="Times New Roman"/>
        </w:rPr>
        <w:t>Under the assumption of a</w:t>
      </w:r>
      <w:r w:rsidR="00F83C9E">
        <w:rPr>
          <w:rFonts w:cs="Times New Roman"/>
        </w:rPr>
        <w:t xml:space="preserve"> m</w:t>
      </w:r>
      <w:r w:rsidR="00E97EBA">
        <w:rPr>
          <w:rFonts w:cs="Times New Roman"/>
        </w:rPr>
        <w:t xml:space="preserve">edium-term stabilisation of natural gas price </w:t>
      </w:r>
      <w:r w:rsidR="00F83C9E">
        <w:rPr>
          <w:rFonts w:cs="Times New Roman"/>
        </w:rPr>
        <w:t>after 2025</w:t>
      </w:r>
      <w:r w:rsidR="00C0033B">
        <w:rPr>
          <w:rFonts w:cs="Times New Roman"/>
        </w:rPr>
        <w:t>, the heavy an</w:t>
      </w:r>
      <w:r w:rsidR="000360B7">
        <w:rPr>
          <w:rFonts w:cs="Times New Roman"/>
        </w:rPr>
        <w:t>d</w:t>
      </w:r>
      <w:r w:rsidR="00C0033B">
        <w:rPr>
          <w:rFonts w:cs="Times New Roman"/>
        </w:rPr>
        <w:t xml:space="preserve"> medium class of HDVs would shift towards natural gas-fuelled vehicles</w:t>
      </w:r>
      <w:r w:rsidR="00C0033B">
        <w:rPr>
          <w:rStyle w:val="FootnoteReference"/>
          <w:rFonts w:cs="Times New Roman"/>
        </w:rPr>
        <w:footnoteReference w:id="20"/>
      </w:r>
      <w:r w:rsidR="00D96F48">
        <w:rPr>
          <w:rFonts w:cs="Times New Roman"/>
        </w:rPr>
        <w:t>.</w:t>
      </w:r>
      <w:r w:rsidR="00222BA5" w:rsidRPr="00590BB6">
        <w:rPr>
          <w:rFonts w:cs="Times New Roman"/>
        </w:rPr>
        <w:t xml:space="preserve"> </w:t>
      </w:r>
      <w:r w:rsidR="00F85E5D">
        <w:rPr>
          <w:rFonts w:cs="Times New Roman"/>
        </w:rPr>
        <w:t>Under</w:t>
      </w:r>
      <w:r w:rsidR="0098272A">
        <w:rPr>
          <w:rFonts w:cs="Times New Roman"/>
        </w:rPr>
        <w:t xml:space="preserve"> the current assumption settings, c</w:t>
      </w:r>
      <w:r w:rsidR="00222BA5" w:rsidRPr="00590BB6">
        <w:rPr>
          <w:rFonts w:cs="Times New Roman"/>
        </w:rPr>
        <w:t xml:space="preserve">arbon price </w:t>
      </w:r>
      <w:r w:rsidR="000360B7">
        <w:rPr>
          <w:rFonts w:cs="Times New Roman"/>
        </w:rPr>
        <w:t xml:space="preserve">effects align with those of the fuel projections, meaning that to produce additional changes to the composition fleet, it </w:t>
      </w:r>
      <w:r w:rsidR="00222BA5" w:rsidRPr="00590BB6">
        <w:rPr>
          <w:rFonts w:cs="Times New Roman"/>
        </w:rPr>
        <w:t xml:space="preserve">should be </w:t>
      </w:r>
      <w:r w:rsidR="0083086F" w:rsidRPr="00590BB6">
        <w:rPr>
          <w:rFonts w:cs="Times New Roman"/>
        </w:rPr>
        <w:t xml:space="preserve">higher than the assumed </w:t>
      </w:r>
      <w:r w:rsidR="009804C0" w:rsidRPr="00590BB6">
        <w:rPr>
          <w:rFonts w:cs="Times New Roman"/>
        </w:rPr>
        <w:t>400 USD per t of CO</w:t>
      </w:r>
      <w:r w:rsidR="009804C0" w:rsidRPr="00590BB6">
        <w:rPr>
          <w:rFonts w:cs="Times New Roman"/>
          <w:vertAlign w:val="subscript"/>
        </w:rPr>
        <w:t>2</w:t>
      </w:r>
      <w:r w:rsidR="0098272A">
        <w:rPr>
          <w:rFonts w:cs="Times New Roman"/>
        </w:rPr>
        <w:t>.</w:t>
      </w:r>
      <w:r w:rsidR="00222BA5" w:rsidRPr="00590BB6">
        <w:rPr>
          <w:rFonts w:cs="Times New Roman"/>
        </w:rPr>
        <w:t xml:space="preserve"> Banning ICE trucks </w:t>
      </w:r>
      <w:r w:rsidR="009804C0" w:rsidRPr="00590BB6">
        <w:rPr>
          <w:rFonts w:cs="Times New Roman"/>
        </w:rPr>
        <w:t>is</w:t>
      </w:r>
      <w:r w:rsidR="00222BA5" w:rsidRPr="00590BB6">
        <w:rPr>
          <w:rFonts w:cs="Times New Roman"/>
        </w:rPr>
        <w:t xml:space="preserve"> a successful measure to reduce emissions, with an early ban in 2030 </w:t>
      </w:r>
      <w:r w:rsidR="000331A6" w:rsidRPr="00590BB6">
        <w:rPr>
          <w:rFonts w:cs="Times New Roman"/>
        </w:rPr>
        <w:t>leading to</w:t>
      </w:r>
      <w:r w:rsidR="00222BA5" w:rsidRPr="00590BB6">
        <w:rPr>
          <w:rFonts w:cs="Times New Roman"/>
        </w:rPr>
        <w:t xml:space="preserve"> zero-tailpipe trucks on the road. </w:t>
      </w:r>
      <w:r w:rsidR="009804C0" w:rsidRPr="00590BB6">
        <w:rPr>
          <w:rFonts w:cs="Times New Roman"/>
        </w:rPr>
        <w:t>Due to the current pace of market change, the</w:t>
      </w:r>
      <w:r w:rsidR="00222BA5" w:rsidRPr="00590BB6">
        <w:rPr>
          <w:rFonts w:cs="Times New Roman"/>
        </w:rPr>
        <w:t xml:space="preserve"> lack of technological maturity</w:t>
      </w:r>
      <w:r w:rsidR="009804C0" w:rsidRPr="00590BB6">
        <w:rPr>
          <w:rFonts w:cs="Times New Roman"/>
        </w:rPr>
        <w:t>,</w:t>
      </w:r>
      <w:r w:rsidR="00222BA5" w:rsidRPr="00590BB6">
        <w:rPr>
          <w:rFonts w:cs="Times New Roman"/>
        </w:rPr>
        <w:t xml:space="preserve"> and </w:t>
      </w:r>
      <w:r w:rsidR="005A6801" w:rsidRPr="00590BB6">
        <w:rPr>
          <w:rFonts w:cs="Times New Roman"/>
        </w:rPr>
        <w:t xml:space="preserve">socio-political support, </w:t>
      </w:r>
      <w:r w:rsidR="009804C0" w:rsidRPr="00590BB6">
        <w:rPr>
          <w:rFonts w:cs="Times New Roman"/>
        </w:rPr>
        <w:t>a</w:t>
      </w:r>
      <w:r w:rsidR="005A6801" w:rsidRPr="00590BB6">
        <w:rPr>
          <w:rFonts w:cs="Times New Roman"/>
        </w:rPr>
        <w:t xml:space="preserve"> 2040 ICE ban </w:t>
      </w:r>
      <w:r w:rsidR="009804C0" w:rsidRPr="00590BB6">
        <w:rPr>
          <w:rFonts w:cs="Times New Roman"/>
        </w:rPr>
        <w:t>appears a more realistic pathway, although extending the presence of fossils in the market</w:t>
      </w:r>
      <w:r w:rsidR="007C5173" w:rsidRPr="00590BB6">
        <w:rPr>
          <w:rFonts w:cs="Times New Roman"/>
        </w:rPr>
        <w:t xml:space="preserve"> compared to a 2030 ICE ban</w:t>
      </w:r>
      <w:r w:rsidR="005A6801" w:rsidRPr="00590BB6">
        <w:rPr>
          <w:rFonts w:cs="Times New Roman"/>
        </w:rPr>
        <w:t>.</w:t>
      </w:r>
      <w:r w:rsidR="00AA0F08" w:rsidRPr="00590BB6">
        <w:rPr>
          <w:rFonts w:cs="Times New Roman"/>
        </w:rPr>
        <w:t xml:space="preserve"> </w:t>
      </w:r>
      <w:r w:rsidR="000360B7">
        <w:rPr>
          <w:rFonts w:cs="Times New Roman"/>
        </w:rPr>
        <w:t>In this context, h</w:t>
      </w:r>
      <w:r w:rsidR="00732468" w:rsidRPr="00590BB6">
        <w:rPr>
          <w:rFonts w:cs="Times New Roman"/>
        </w:rPr>
        <w:t>ydrogen</w:t>
      </w:r>
      <w:r w:rsidR="00265ABA" w:rsidRPr="00590BB6">
        <w:rPr>
          <w:rFonts w:cs="Times New Roman"/>
        </w:rPr>
        <w:t xml:space="preserve"> and electricity</w:t>
      </w:r>
      <w:r w:rsidR="000360B7">
        <w:rPr>
          <w:rFonts w:cs="Times New Roman"/>
        </w:rPr>
        <w:t xml:space="preserve"> </w:t>
      </w:r>
      <w:r w:rsidR="00265ABA" w:rsidRPr="00590BB6">
        <w:rPr>
          <w:rFonts w:cs="Times New Roman"/>
        </w:rPr>
        <w:t>eventually compet</w:t>
      </w:r>
      <w:r w:rsidR="000360B7">
        <w:rPr>
          <w:rFonts w:cs="Times New Roman"/>
        </w:rPr>
        <w:t>e</w:t>
      </w:r>
      <w:r w:rsidR="00265ABA" w:rsidRPr="00590BB6">
        <w:rPr>
          <w:rFonts w:cs="Times New Roman"/>
        </w:rPr>
        <w:t xml:space="preserve"> for truck decarbonisation</w:t>
      </w:r>
      <w:r w:rsidR="00F85E5D">
        <w:rPr>
          <w:rFonts w:cs="Times New Roman"/>
        </w:rPr>
        <w:t xml:space="preserve"> in the high and medium segments</w:t>
      </w:r>
      <w:r w:rsidR="00732468" w:rsidRPr="00590BB6">
        <w:rPr>
          <w:rFonts w:cs="Times New Roman"/>
        </w:rPr>
        <w:t>,</w:t>
      </w:r>
      <w:r w:rsidR="004314FB" w:rsidRPr="00590BB6">
        <w:rPr>
          <w:rFonts w:cs="Times New Roman"/>
        </w:rPr>
        <w:t xml:space="preserve"> </w:t>
      </w:r>
      <w:r w:rsidR="000360B7">
        <w:rPr>
          <w:rFonts w:cs="Times New Roman"/>
        </w:rPr>
        <w:t>given their</w:t>
      </w:r>
      <w:r w:rsidR="000360B7" w:rsidRPr="00590BB6">
        <w:rPr>
          <w:rFonts w:cs="Times New Roman"/>
        </w:rPr>
        <w:t xml:space="preserve"> </w:t>
      </w:r>
      <w:r w:rsidR="00142794">
        <w:rPr>
          <w:rFonts w:cs="Times New Roman"/>
        </w:rPr>
        <w:t>emission</w:t>
      </w:r>
      <w:r w:rsidR="000360B7">
        <w:rPr>
          <w:rFonts w:cs="Times New Roman"/>
        </w:rPr>
        <w:t xml:space="preserve"> performance. </w:t>
      </w:r>
      <w:r w:rsidR="00CC6C1C">
        <w:rPr>
          <w:rFonts w:cs="Times New Roman"/>
        </w:rPr>
        <w:t xml:space="preserve"> This competition reflects the choice of d</w:t>
      </w:r>
      <w:r w:rsidRPr="00590BB6">
        <w:rPr>
          <w:rFonts w:cs="Times New Roman"/>
        </w:rPr>
        <w:t xml:space="preserve">ecarbonisation options </w:t>
      </w:r>
      <w:r w:rsidR="001377C5" w:rsidRPr="00590BB6">
        <w:rPr>
          <w:rFonts w:cs="Times New Roman"/>
        </w:rPr>
        <w:t xml:space="preserve">analysed in the study </w:t>
      </w:r>
      <w:r w:rsidR="00CC6C1C">
        <w:rPr>
          <w:rFonts w:cs="Times New Roman"/>
        </w:rPr>
        <w:t xml:space="preserve">which </w:t>
      </w:r>
      <w:r w:rsidRPr="00590BB6">
        <w:rPr>
          <w:rFonts w:cs="Times New Roman"/>
        </w:rPr>
        <w:t>include</w:t>
      </w:r>
      <w:r w:rsidR="00173D58">
        <w:rPr>
          <w:rFonts w:cs="Times New Roman"/>
        </w:rPr>
        <w:t>d</w:t>
      </w:r>
      <w:r w:rsidR="001377C5" w:rsidRPr="00590BB6">
        <w:rPr>
          <w:rFonts w:cs="Times New Roman"/>
        </w:rPr>
        <w:t xml:space="preserve"> electric vehicles and hydrogen fuel cells, substituting traditional ICE powertrains. </w:t>
      </w:r>
      <w:r w:rsidR="00CC6C1C">
        <w:rPr>
          <w:rFonts w:cs="Times New Roman"/>
        </w:rPr>
        <w:t>Should additional low-carbon</w:t>
      </w:r>
      <w:r w:rsidR="001377C5" w:rsidRPr="00590BB6">
        <w:rPr>
          <w:rFonts w:cs="Times New Roman"/>
        </w:rPr>
        <w:t xml:space="preserve"> options </w:t>
      </w:r>
      <w:r w:rsidR="00CC6C1C">
        <w:rPr>
          <w:rFonts w:cs="Times New Roman"/>
        </w:rPr>
        <w:t>be included such as</w:t>
      </w:r>
      <w:r w:rsidR="001377C5" w:rsidRPr="00590BB6">
        <w:rPr>
          <w:rFonts w:cs="Times New Roman"/>
        </w:rPr>
        <w:t xml:space="preserve"> biofuels, </w:t>
      </w:r>
      <w:r w:rsidR="00CC6C1C">
        <w:rPr>
          <w:rFonts w:cs="Times New Roman"/>
        </w:rPr>
        <w:t>results would likely include them as a transitioning fuel given that</w:t>
      </w:r>
      <w:r w:rsidR="001377C5" w:rsidRPr="00590BB6">
        <w:rPr>
          <w:rFonts w:cs="Times New Roman"/>
        </w:rPr>
        <w:t xml:space="preserve"> their use in blends</w:t>
      </w:r>
      <w:r w:rsidR="00CC6C1C">
        <w:rPr>
          <w:rFonts w:cs="Times New Roman"/>
        </w:rPr>
        <w:t xml:space="preserve"> would</w:t>
      </w:r>
      <w:r w:rsidR="001377C5" w:rsidRPr="00590BB6">
        <w:rPr>
          <w:rFonts w:cs="Times New Roman"/>
        </w:rPr>
        <w:t xml:space="preserve"> extend the dependence on fossils.</w:t>
      </w:r>
      <w:r w:rsidR="00CC6C1C">
        <w:rPr>
          <w:rFonts w:cs="Times New Roman"/>
        </w:rPr>
        <w:t xml:space="preserve"> It is to notice that </w:t>
      </w:r>
      <w:r w:rsidR="00CA6EB8" w:rsidRPr="00CA6EB8">
        <w:rPr>
          <w:rFonts w:cs="Times New Roman"/>
        </w:rPr>
        <w:t>infrastructure costs</w:t>
      </w:r>
      <w:r w:rsidR="00173D58">
        <w:rPr>
          <w:rFonts w:cs="Times New Roman"/>
        </w:rPr>
        <w:t xml:space="preserve"> were not modelled</w:t>
      </w:r>
      <w:r w:rsidR="00CA6EB8">
        <w:rPr>
          <w:rFonts w:cs="Times New Roman"/>
        </w:rPr>
        <w:t xml:space="preserve">, as </w:t>
      </w:r>
      <w:r w:rsidR="00173D58">
        <w:rPr>
          <w:rFonts w:cs="Times New Roman"/>
        </w:rPr>
        <w:t>their implementation in the model would be oversimplified</w:t>
      </w:r>
      <w:r w:rsidR="00CA6EB8" w:rsidRPr="00CA6EB8">
        <w:rPr>
          <w:rFonts w:cs="Times New Roman"/>
        </w:rPr>
        <w:t xml:space="preserve">. </w:t>
      </w:r>
      <w:r w:rsidR="00173D58">
        <w:rPr>
          <w:rFonts w:cs="Times New Roman"/>
        </w:rPr>
        <w:t xml:space="preserve">The absence of infrastructure costs </w:t>
      </w:r>
      <w:r w:rsidR="00CA6EB8" w:rsidRPr="00CA6EB8">
        <w:rPr>
          <w:rFonts w:cs="Times New Roman"/>
        </w:rPr>
        <w:t xml:space="preserve">means that no additional cost </w:t>
      </w:r>
      <w:r w:rsidR="00173D58">
        <w:rPr>
          <w:rFonts w:cs="Times New Roman"/>
        </w:rPr>
        <w:t xml:space="preserve">is </w:t>
      </w:r>
      <w:r w:rsidR="00CA6EB8" w:rsidRPr="00CA6EB8">
        <w:rPr>
          <w:rFonts w:cs="Times New Roman"/>
        </w:rPr>
        <w:t xml:space="preserve">linked to </w:t>
      </w:r>
      <w:r w:rsidR="00173D58">
        <w:rPr>
          <w:rFonts w:cs="Times New Roman"/>
        </w:rPr>
        <w:t xml:space="preserve">either </w:t>
      </w:r>
      <w:r w:rsidR="00CA6EB8" w:rsidRPr="00CA6EB8">
        <w:rPr>
          <w:rFonts w:cs="Times New Roman"/>
        </w:rPr>
        <w:t xml:space="preserve">the charging or </w:t>
      </w:r>
      <w:r w:rsidR="00173D58">
        <w:rPr>
          <w:rFonts w:cs="Times New Roman"/>
        </w:rPr>
        <w:t xml:space="preserve">the </w:t>
      </w:r>
      <w:r w:rsidR="00CA6EB8" w:rsidRPr="00CA6EB8">
        <w:rPr>
          <w:rFonts w:cs="Times New Roman"/>
        </w:rPr>
        <w:t>fuelling infrastructure</w:t>
      </w:r>
      <w:r w:rsidR="00173D58">
        <w:rPr>
          <w:rFonts w:cs="Times New Roman"/>
        </w:rPr>
        <w:t xml:space="preserve"> and would make the </w:t>
      </w:r>
      <w:r w:rsidR="00173D58">
        <w:rPr>
          <w:rFonts w:cs="Times New Roman"/>
        </w:rPr>
        <w:lastRenderedPageBreak/>
        <w:t xml:space="preserve">uptake of alternative fuels less expensive. </w:t>
      </w:r>
      <w:r w:rsidR="00CA6EB8" w:rsidRPr="00CA6EB8">
        <w:rPr>
          <w:rFonts w:cs="Times New Roman"/>
        </w:rPr>
        <w:t xml:space="preserve">However, </w:t>
      </w:r>
      <w:r w:rsidR="00173D58">
        <w:rPr>
          <w:rFonts w:cs="Times New Roman"/>
        </w:rPr>
        <w:t>as</w:t>
      </w:r>
      <w:r w:rsidR="00CA6EB8" w:rsidRPr="00CA6EB8">
        <w:rPr>
          <w:rFonts w:cs="Times New Roman"/>
        </w:rPr>
        <w:t xml:space="preserve"> a delay in time </w:t>
      </w:r>
      <w:r w:rsidR="00173D58">
        <w:rPr>
          <w:rFonts w:cs="Times New Roman"/>
        </w:rPr>
        <w:t>for</w:t>
      </w:r>
      <w:r w:rsidR="00CA6EB8" w:rsidRPr="00CA6EB8">
        <w:rPr>
          <w:rFonts w:cs="Times New Roman"/>
        </w:rPr>
        <w:t xml:space="preserve"> technologies </w:t>
      </w:r>
      <w:r w:rsidR="00173D58">
        <w:rPr>
          <w:rFonts w:cs="Times New Roman"/>
        </w:rPr>
        <w:t xml:space="preserve">to </w:t>
      </w:r>
      <w:r w:rsidR="00CA6EB8" w:rsidRPr="00CA6EB8">
        <w:rPr>
          <w:rFonts w:cs="Times New Roman"/>
        </w:rPr>
        <w:t xml:space="preserve">come to market </w:t>
      </w:r>
      <w:r w:rsidR="00173D58">
        <w:rPr>
          <w:rFonts w:cs="Times New Roman"/>
        </w:rPr>
        <w:t xml:space="preserve">is implemented </w:t>
      </w:r>
      <w:r w:rsidR="00CA6EB8" w:rsidRPr="00CA6EB8">
        <w:rPr>
          <w:rFonts w:cs="Times New Roman"/>
        </w:rPr>
        <w:t>(a 5-year lag time)</w:t>
      </w:r>
      <w:r w:rsidR="00173D58">
        <w:rPr>
          <w:rFonts w:cs="Times New Roman"/>
        </w:rPr>
        <w:t>, this is a proxy for additional costs associated with the development of novel infrastructures. Finally, g</w:t>
      </w:r>
      <w:r w:rsidR="00CA6EB8" w:rsidRPr="00CA6EB8">
        <w:rPr>
          <w:rFonts w:cs="Times New Roman"/>
        </w:rPr>
        <w:t xml:space="preserve">overnment subsidies were not included. A subsidy on purchase costs would favour an early adoption of BEVs especially for medium and heavy classes of trucks if these were designed to bring them to an earlier cost-parity with incumbent </w:t>
      </w:r>
      <w:r w:rsidR="002316E9">
        <w:rPr>
          <w:rFonts w:cs="Times New Roman"/>
        </w:rPr>
        <w:t>technologies.</w:t>
      </w:r>
    </w:p>
    <w:p w14:paraId="4E73DC2D" w14:textId="77777777" w:rsidR="004361ED" w:rsidRPr="00590BB6" w:rsidRDefault="004361ED" w:rsidP="004361ED">
      <w:pPr>
        <w:spacing w:line="360" w:lineRule="auto"/>
        <w:jc w:val="both"/>
        <w:rPr>
          <w:rFonts w:cs="Times New Roman"/>
        </w:rPr>
      </w:pPr>
      <w:r w:rsidRPr="00590BB6">
        <w:rPr>
          <w:rFonts w:cs="Times New Roman"/>
        </w:rPr>
        <w:t>Among the limitations of the studies, these ones are relevant, as they could be the base of a comprehensive understanding of the work and of ways to direct future research advances.</w:t>
      </w:r>
    </w:p>
    <w:p w14:paraId="7055A37C" w14:textId="77777777" w:rsidR="004361ED" w:rsidRDefault="004361ED" w:rsidP="004361ED">
      <w:pPr>
        <w:pStyle w:val="ListParagraph"/>
        <w:numPr>
          <w:ilvl w:val="0"/>
          <w:numId w:val="53"/>
        </w:numPr>
        <w:spacing w:line="360" w:lineRule="auto"/>
        <w:jc w:val="both"/>
        <w:rPr>
          <w:rFonts w:cs="Times New Roman"/>
        </w:rPr>
      </w:pPr>
      <w:r w:rsidRPr="00590BB6">
        <w:rPr>
          <w:rFonts w:cs="Times New Roman"/>
        </w:rPr>
        <w:t>The technology granularity of the databases used for the vehicle stock and the techno-economics, only allowed a characterisation of the sector into three weight classes, each one having three efficiency classes. This approach neglects travel purposes and simplifies the truck configurations, although it gives a representation of efficiency, a main driver to emissions.</w:t>
      </w:r>
    </w:p>
    <w:p w14:paraId="4FD3ED1A" w14:textId="7B6CE8DC" w:rsidR="00CA6EB8" w:rsidRDefault="00CA6EB8" w:rsidP="000D170B">
      <w:pPr>
        <w:pStyle w:val="ListParagraph"/>
        <w:numPr>
          <w:ilvl w:val="0"/>
          <w:numId w:val="53"/>
        </w:numPr>
        <w:spacing w:line="360" w:lineRule="auto"/>
        <w:jc w:val="both"/>
        <w:rPr>
          <w:rFonts w:cs="Times New Roman"/>
        </w:rPr>
      </w:pPr>
      <w:r>
        <w:rPr>
          <w:rFonts w:cs="Times New Roman"/>
        </w:rPr>
        <w:t>In</w:t>
      </w:r>
      <w:r w:rsidR="004361ED" w:rsidRPr="00590BB6">
        <w:rPr>
          <w:rFonts w:cs="Times New Roman"/>
        </w:rPr>
        <w:t xml:space="preserve"> terms of agent</w:t>
      </w:r>
      <w:r>
        <w:rPr>
          <w:rFonts w:cs="Times New Roman"/>
        </w:rPr>
        <w:t xml:space="preserve"> characterisation,</w:t>
      </w:r>
      <w:r w:rsidR="004361ED" w:rsidRPr="00590BB6">
        <w:rPr>
          <w:rFonts w:cs="Times New Roman"/>
        </w:rPr>
        <w:t xml:space="preserve"> a single objective function targeting the minimisation of the LCOE</w:t>
      </w:r>
      <w:r>
        <w:rPr>
          <w:rFonts w:cs="Times New Roman"/>
        </w:rPr>
        <w:t xml:space="preserve"> was used.</w:t>
      </w:r>
      <w:r w:rsidR="004361ED" w:rsidRPr="00590BB6">
        <w:rPr>
          <w:rFonts w:cs="Times New Roman"/>
        </w:rPr>
        <w:t xml:space="preserve"> </w:t>
      </w:r>
      <w:r>
        <w:rPr>
          <w:rFonts w:cs="Times New Roman"/>
        </w:rPr>
        <w:t>In fact,</w:t>
      </w:r>
      <w:r w:rsidR="004361ED" w:rsidRPr="00590BB6">
        <w:rPr>
          <w:rFonts w:cs="Times New Roman"/>
        </w:rPr>
        <w:t xml:space="preserve"> additional factors would play a role in the technology selection, such as company size and type of transported goods. </w:t>
      </w:r>
    </w:p>
    <w:p w14:paraId="07F1B501" w14:textId="7B17EF13" w:rsidR="005A6801" w:rsidRPr="00590BB6" w:rsidRDefault="004361ED" w:rsidP="000D170B">
      <w:pPr>
        <w:spacing w:line="360" w:lineRule="auto"/>
        <w:jc w:val="both"/>
        <w:rPr>
          <w:rFonts w:cs="Times New Roman"/>
        </w:rPr>
      </w:pPr>
      <w:r w:rsidRPr="00CA6EB8">
        <w:rPr>
          <w:rFonts w:cs="Times New Roman"/>
        </w:rPr>
        <w:t xml:space="preserve">The modelling of </w:t>
      </w:r>
      <w:r w:rsidR="00CA6EB8" w:rsidRPr="00CA6EB8">
        <w:rPr>
          <w:rFonts w:cs="Times New Roman"/>
        </w:rPr>
        <w:t xml:space="preserve">multiple investment </w:t>
      </w:r>
      <w:r w:rsidR="00CA6EB8">
        <w:rPr>
          <w:rFonts w:cs="Times New Roman"/>
        </w:rPr>
        <w:t>decisions</w:t>
      </w:r>
      <w:r w:rsidR="00142794">
        <w:rPr>
          <w:rFonts w:cs="Times New Roman"/>
        </w:rPr>
        <w:t xml:space="preserve"> is </w:t>
      </w:r>
      <w:r w:rsidRPr="00CA6EB8">
        <w:rPr>
          <w:rFonts w:cs="Times New Roman"/>
        </w:rPr>
        <w:t xml:space="preserve">planned to be included in the model </w:t>
      </w:r>
      <w:r w:rsidR="00CA6EB8">
        <w:rPr>
          <w:rFonts w:cs="Times New Roman"/>
        </w:rPr>
        <w:t xml:space="preserve">alongside </w:t>
      </w:r>
      <w:r w:rsidR="00142794">
        <w:rPr>
          <w:rFonts w:cs="Times New Roman"/>
        </w:rPr>
        <w:t>a</w:t>
      </w:r>
      <w:r w:rsidR="00142794" w:rsidRPr="00CA6EB8">
        <w:rPr>
          <w:rFonts w:cs="Times New Roman"/>
        </w:rPr>
        <w:t xml:space="preserve"> </w:t>
      </w:r>
      <w:r w:rsidRPr="00CA6EB8">
        <w:rPr>
          <w:rFonts w:cs="Times New Roman"/>
        </w:rPr>
        <w:t xml:space="preserve">segmentation of Italy in smaller regions. </w:t>
      </w:r>
      <w:r w:rsidR="00AA0F08" w:rsidRPr="00590BB6">
        <w:rPr>
          <w:rFonts w:cs="Times New Roman"/>
        </w:rPr>
        <w:t>There</w:t>
      </w:r>
      <w:r w:rsidR="005A6801" w:rsidRPr="00590BB6">
        <w:rPr>
          <w:rFonts w:cs="Times New Roman"/>
        </w:rPr>
        <w:t xml:space="preserve"> are challenges concerning technological development of alternative powertrains that must be overcome. Particularly, forecasted demand for battery electric trucks would place a significant burden on mineral raw material extraction and refining, as well as post-use recycling, under available technologies. </w:t>
      </w:r>
      <w:r w:rsidR="00E74724" w:rsidRPr="00590BB6">
        <w:rPr>
          <w:rFonts w:cs="Times New Roman"/>
        </w:rPr>
        <w:t>FCEVs</w:t>
      </w:r>
      <w:r w:rsidR="005A6801" w:rsidRPr="00590BB6">
        <w:rPr>
          <w:rFonts w:cs="Times New Roman"/>
        </w:rPr>
        <w:t xml:space="preserve"> are also subject to uncertainty given low technology readiness level. Similarly, an assessment of the feasibility of the transition concerning alternative fuel availability shows that Italy </w:t>
      </w:r>
      <w:r w:rsidR="000331A6" w:rsidRPr="00590BB6">
        <w:rPr>
          <w:rFonts w:cs="Times New Roman"/>
        </w:rPr>
        <w:t>c</w:t>
      </w:r>
      <w:r w:rsidR="005A6801" w:rsidRPr="00590BB6">
        <w:rPr>
          <w:rFonts w:cs="Times New Roman"/>
        </w:rPr>
        <w:t xml:space="preserve">ould technically </w:t>
      </w:r>
      <w:r w:rsidR="000331A6" w:rsidRPr="00590BB6">
        <w:rPr>
          <w:rFonts w:cs="Times New Roman"/>
        </w:rPr>
        <w:t>produce</w:t>
      </w:r>
      <w:r w:rsidR="005A6801" w:rsidRPr="00590BB6">
        <w:rPr>
          <w:rFonts w:cs="Times New Roman"/>
        </w:rPr>
        <w:t xml:space="preserve"> all the electricity </w:t>
      </w:r>
      <w:r w:rsidR="000331A6" w:rsidRPr="00590BB6">
        <w:rPr>
          <w:rFonts w:cs="Times New Roman"/>
        </w:rPr>
        <w:t>and</w:t>
      </w:r>
      <w:r w:rsidR="005A6801" w:rsidRPr="00590BB6">
        <w:rPr>
          <w:rFonts w:cs="Times New Roman"/>
        </w:rPr>
        <w:t xml:space="preserve"> hydrogen </w:t>
      </w:r>
      <w:r w:rsidR="000331A6" w:rsidRPr="00590BB6">
        <w:rPr>
          <w:rFonts w:cs="Times New Roman"/>
        </w:rPr>
        <w:t>amounts required</w:t>
      </w:r>
      <w:r w:rsidR="005A6801" w:rsidRPr="00590BB6">
        <w:rPr>
          <w:rFonts w:cs="Times New Roman"/>
        </w:rPr>
        <w:t>. However, combined action must be taken towards the expansion of Italy’s RE capacity and coal and fossil fuels</w:t>
      </w:r>
      <w:r w:rsidR="002E62B6" w:rsidRPr="00590BB6">
        <w:rPr>
          <w:rFonts w:cs="Times New Roman"/>
        </w:rPr>
        <w:t>’ phase-out</w:t>
      </w:r>
      <w:r w:rsidR="005A6801" w:rsidRPr="00590BB6">
        <w:rPr>
          <w:rFonts w:cs="Times New Roman"/>
        </w:rPr>
        <w:t>.</w:t>
      </w:r>
    </w:p>
    <w:p w14:paraId="29DDCD45" w14:textId="19D66174" w:rsidR="00553659" w:rsidRPr="00590BB6" w:rsidRDefault="00553659" w:rsidP="00553659">
      <w:pPr>
        <w:pStyle w:val="Heading1"/>
        <w:numPr>
          <w:ilvl w:val="0"/>
          <w:numId w:val="0"/>
        </w:numPr>
        <w:spacing w:after="240" w:line="360" w:lineRule="auto"/>
        <w:ind w:left="432" w:hanging="432"/>
        <w:rPr>
          <w:rFonts w:cs="Times New Roman"/>
          <w:sz w:val="22"/>
          <w:szCs w:val="22"/>
        </w:rPr>
      </w:pPr>
      <w:r w:rsidRPr="00590BB6">
        <w:rPr>
          <w:rFonts w:cs="Times New Roman"/>
          <w:sz w:val="22"/>
          <w:szCs w:val="22"/>
        </w:rPr>
        <w:t>Acknowledgements</w:t>
      </w:r>
    </w:p>
    <w:p w14:paraId="531F03E2" w14:textId="09BC294D" w:rsidR="004E0CDD" w:rsidRPr="00590BB6" w:rsidRDefault="00DF040E" w:rsidP="00600286">
      <w:pPr>
        <w:spacing w:line="360" w:lineRule="auto"/>
        <w:jc w:val="both"/>
        <w:rPr>
          <w:rFonts w:cs="Times New Roman"/>
        </w:rPr>
      </w:pPr>
      <w:r w:rsidRPr="00590BB6">
        <w:rPr>
          <w:rFonts w:cs="Times New Roman"/>
        </w:rPr>
        <w:t>SG</w:t>
      </w:r>
      <w:r w:rsidR="009E6ECE" w:rsidRPr="00590BB6">
        <w:rPr>
          <w:rFonts w:cs="Times New Roman"/>
        </w:rPr>
        <w:t xml:space="preserve"> acknowledges </w:t>
      </w:r>
      <w:r w:rsidR="00552C29" w:rsidRPr="00590BB6">
        <w:rPr>
          <w:rFonts w:cs="Times New Roman"/>
        </w:rPr>
        <w:t>the H2020-MSCA-IF-2020 project 101033173.</w:t>
      </w:r>
      <w:r w:rsidRPr="00590BB6">
        <w:rPr>
          <w:rFonts w:cs="Times New Roman"/>
        </w:rPr>
        <w:t xml:space="preserve"> </w:t>
      </w:r>
      <w:r w:rsidR="00FF5C91" w:rsidRPr="00590BB6">
        <w:rPr>
          <w:rFonts w:cs="Times New Roman"/>
        </w:rPr>
        <w:t xml:space="preserve">ADO acknowledges the support of FCT – </w:t>
      </w:r>
      <w:proofErr w:type="spellStart"/>
      <w:r w:rsidR="00FF5C91" w:rsidRPr="00590BB6">
        <w:rPr>
          <w:rFonts w:cs="Times New Roman"/>
        </w:rPr>
        <w:t>Fundação</w:t>
      </w:r>
      <w:proofErr w:type="spellEnd"/>
      <w:r w:rsidR="00FF5C91" w:rsidRPr="00590BB6">
        <w:rPr>
          <w:rFonts w:cs="Times New Roman"/>
        </w:rPr>
        <w:t xml:space="preserve"> para a </w:t>
      </w:r>
      <w:proofErr w:type="spellStart"/>
      <w:r w:rsidR="00FF5C91" w:rsidRPr="00590BB6">
        <w:rPr>
          <w:rFonts w:cs="Times New Roman"/>
        </w:rPr>
        <w:t>Ciência</w:t>
      </w:r>
      <w:proofErr w:type="spellEnd"/>
      <w:r w:rsidR="00FF5C91" w:rsidRPr="00590BB6">
        <w:rPr>
          <w:rFonts w:cs="Times New Roman"/>
        </w:rPr>
        <w:t xml:space="preserve"> e </w:t>
      </w:r>
      <w:proofErr w:type="spellStart"/>
      <w:r w:rsidR="00FF5C91" w:rsidRPr="00590BB6">
        <w:rPr>
          <w:rFonts w:cs="Times New Roman"/>
        </w:rPr>
        <w:t>Tecnologia</w:t>
      </w:r>
      <w:proofErr w:type="spellEnd"/>
      <w:r w:rsidR="00FF5C91" w:rsidRPr="00590BB6">
        <w:rPr>
          <w:rFonts w:cs="Times New Roman"/>
        </w:rPr>
        <w:t xml:space="preserve"> within the R&amp;D Units Project Scope: UIDB/00319/2020</w:t>
      </w:r>
      <w:r w:rsidR="001301FD" w:rsidRPr="00590BB6">
        <w:rPr>
          <w:rFonts w:cs="Times New Roman"/>
        </w:rPr>
        <w:t xml:space="preserve"> and through the Ph.D. Grant 2022.11468.BD.</w:t>
      </w:r>
    </w:p>
    <w:p w14:paraId="0071B0D1" w14:textId="1F3CD349" w:rsidR="003A603E" w:rsidRPr="00590BB6" w:rsidRDefault="003A603E" w:rsidP="005C0A9B">
      <w:pPr>
        <w:pStyle w:val="Heading1"/>
        <w:numPr>
          <w:ilvl w:val="0"/>
          <w:numId w:val="0"/>
        </w:numPr>
        <w:spacing w:after="240" w:line="360" w:lineRule="auto"/>
        <w:ind w:left="432" w:hanging="432"/>
        <w:rPr>
          <w:rFonts w:cs="Times New Roman"/>
        </w:rPr>
      </w:pPr>
      <w:r w:rsidRPr="00590BB6">
        <w:rPr>
          <w:rFonts w:cs="Times New Roman"/>
          <w:sz w:val="22"/>
          <w:szCs w:val="22"/>
        </w:rPr>
        <w:t>Data availability</w:t>
      </w:r>
    </w:p>
    <w:p w14:paraId="4BFC5F51" w14:textId="149C4A0D" w:rsidR="00FA599F" w:rsidRDefault="00FA599F" w:rsidP="00FA599F">
      <w:r w:rsidRPr="00590BB6">
        <w:t xml:space="preserve">Supplementary data to this article can be found </w:t>
      </w:r>
      <w:r w:rsidR="005C5680" w:rsidRPr="00590BB6">
        <w:t xml:space="preserve">in the additional file ‘Supplementary </w:t>
      </w:r>
      <w:r w:rsidR="00F22532" w:rsidRPr="00590BB6">
        <w:t>M</w:t>
      </w:r>
      <w:r w:rsidR="005C5680" w:rsidRPr="00590BB6">
        <w:t>aterial’.</w:t>
      </w:r>
    </w:p>
    <w:p w14:paraId="2CAE159B" w14:textId="7A1DD9E1" w:rsidR="00286417" w:rsidRPr="00590BB6" w:rsidRDefault="00286417" w:rsidP="00FA599F">
      <w:r>
        <w:t xml:space="preserve">Data are available in the format used by the MUSE Model </w:t>
      </w:r>
      <w:hyperlink r:id="rId45" w:history="1">
        <w:r w:rsidRPr="00286417">
          <w:rPr>
            <w:rStyle w:val="Hyperlink"/>
          </w:rPr>
          <w:t>here</w:t>
        </w:r>
      </w:hyperlink>
      <w:r>
        <w:t>.</w:t>
      </w:r>
    </w:p>
    <w:p w14:paraId="4E00A476" w14:textId="0A9CB160" w:rsidR="00C53664" w:rsidRPr="00590BB6" w:rsidRDefault="00C53664" w:rsidP="00C53664">
      <w:pPr>
        <w:pStyle w:val="Heading1"/>
        <w:numPr>
          <w:ilvl w:val="0"/>
          <w:numId w:val="0"/>
        </w:numPr>
        <w:spacing w:after="240" w:line="360" w:lineRule="auto"/>
        <w:ind w:left="432" w:hanging="432"/>
        <w:rPr>
          <w:rFonts w:cs="Times New Roman"/>
          <w:sz w:val="22"/>
          <w:szCs w:val="22"/>
        </w:rPr>
      </w:pPr>
      <w:r w:rsidRPr="00590BB6">
        <w:rPr>
          <w:rFonts w:cs="Times New Roman"/>
          <w:sz w:val="22"/>
          <w:szCs w:val="22"/>
        </w:rPr>
        <w:t>Abbreviations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7383"/>
      </w:tblGrid>
      <w:tr w:rsidR="00934841" w:rsidRPr="00590BB6" w14:paraId="23E57200" w14:textId="77777777" w:rsidTr="00FF5C91">
        <w:tc>
          <w:tcPr>
            <w:tcW w:w="2245" w:type="dxa"/>
          </w:tcPr>
          <w:p w14:paraId="2E2171B6" w14:textId="496D25D1" w:rsidR="00934841" w:rsidRPr="00590BB6" w:rsidRDefault="00934841" w:rsidP="00934841">
            <w:pPr>
              <w:rPr>
                <w:rFonts w:cs="Times New Roman"/>
              </w:rPr>
            </w:pPr>
            <w:r w:rsidRPr="00590BB6">
              <w:rPr>
                <w:rFonts w:cs="Times New Roman"/>
              </w:rPr>
              <w:t>ACI</w:t>
            </w:r>
          </w:p>
        </w:tc>
        <w:tc>
          <w:tcPr>
            <w:tcW w:w="7383" w:type="dxa"/>
          </w:tcPr>
          <w:p w14:paraId="5414253D" w14:textId="571CD208" w:rsidR="00934841" w:rsidRPr="00590BB6" w:rsidRDefault="007D3CC7" w:rsidP="007D3CC7">
            <w:pPr>
              <w:ind w:firstLine="31"/>
              <w:rPr>
                <w:rFonts w:cs="Times New Roman"/>
              </w:rPr>
            </w:pPr>
            <w:r w:rsidRPr="00590BB6">
              <w:rPr>
                <w:rFonts w:cs="Times New Roman"/>
              </w:rPr>
              <w:t xml:space="preserve">Automobile Club </w:t>
            </w:r>
            <w:proofErr w:type="spellStart"/>
            <w:r w:rsidRPr="00590BB6">
              <w:rPr>
                <w:rFonts w:cs="Times New Roman"/>
              </w:rPr>
              <w:t>D'Italia</w:t>
            </w:r>
            <w:proofErr w:type="spellEnd"/>
          </w:p>
        </w:tc>
      </w:tr>
      <w:tr w:rsidR="002B241F" w:rsidRPr="00590BB6" w14:paraId="25327ACC" w14:textId="77777777" w:rsidTr="00FF5C91">
        <w:tc>
          <w:tcPr>
            <w:tcW w:w="2245" w:type="dxa"/>
          </w:tcPr>
          <w:p w14:paraId="7B7A3AD7" w14:textId="7683BC49" w:rsidR="002B241F" w:rsidRPr="00590BB6" w:rsidRDefault="002B241F" w:rsidP="00934841">
            <w:pPr>
              <w:rPr>
                <w:rFonts w:cs="Times New Roman"/>
              </w:rPr>
            </w:pPr>
            <w:r w:rsidRPr="00590BB6">
              <w:rPr>
                <w:rFonts w:cs="Times New Roman"/>
              </w:rPr>
              <w:t>ACEA</w:t>
            </w:r>
          </w:p>
        </w:tc>
        <w:tc>
          <w:tcPr>
            <w:tcW w:w="7383" w:type="dxa"/>
          </w:tcPr>
          <w:p w14:paraId="1B3040CB" w14:textId="299241F0" w:rsidR="002B241F" w:rsidRPr="00590BB6" w:rsidRDefault="002B241F" w:rsidP="007D3CC7">
            <w:pPr>
              <w:ind w:firstLine="31"/>
              <w:rPr>
                <w:rFonts w:cs="Times New Roman"/>
              </w:rPr>
            </w:pPr>
            <w:r w:rsidRPr="00590BB6">
              <w:rPr>
                <w:rFonts w:cs="Times New Roman"/>
              </w:rPr>
              <w:t>European Automobile Manufacturers Association</w:t>
            </w:r>
          </w:p>
        </w:tc>
      </w:tr>
      <w:tr w:rsidR="00934841" w:rsidRPr="00590BB6" w14:paraId="5F44EF87" w14:textId="77777777" w:rsidTr="00FF5C91">
        <w:tc>
          <w:tcPr>
            <w:tcW w:w="2245" w:type="dxa"/>
          </w:tcPr>
          <w:p w14:paraId="0E5AE1AA" w14:textId="32150E59" w:rsidR="00934841" w:rsidRPr="00590BB6" w:rsidRDefault="00934841" w:rsidP="00934841">
            <w:pPr>
              <w:rPr>
                <w:rFonts w:cs="Times New Roman"/>
              </w:rPr>
            </w:pPr>
            <w:r w:rsidRPr="00590BB6">
              <w:rPr>
                <w:rFonts w:cs="Times New Roman"/>
              </w:rPr>
              <w:t>ARE</w:t>
            </w:r>
            <w:r w:rsidR="002B241F" w:rsidRPr="00590BB6">
              <w:rPr>
                <w:rFonts w:cs="Times New Roman"/>
              </w:rPr>
              <w:t>R</w:t>
            </w:r>
            <w:r w:rsidRPr="00590BB6">
              <w:rPr>
                <w:rFonts w:cs="Times New Roman"/>
              </w:rPr>
              <w:t>A</w:t>
            </w:r>
          </w:p>
        </w:tc>
        <w:tc>
          <w:tcPr>
            <w:tcW w:w="7383" w:type="dxa"/>
          </w:tcPr>
          <w:p w14:paraId="4F8FEB5B" w14:textId="3F5D8CDF" w:rsidR="00934841" w:rsidRPr="00590BB6" w:rsidRDefault="00934841" w:rsidP="007D3CC7">
            <w:pPr>
              <w:ind w:firstLine="31"/>
              <w:rPr>
                <w:rFonts w:cs="Times New Roman"/>
                <w:lang w:val="it-IT"/>
              </w:rPr>
            </w:pPr>
            <w:r w:rsidRPr="00590BB6">
              <w:rPr>
                <w:rFonts w:cs="Times New Roman"/>
                <w:lang w:val="it-IT"/>
              </w:rPr>
              <w:t xml:space="preserve">Autorità </w:t>
            </w:r>
            <w:r w:rsidR="007D3CC7" w:rsidRPr="00590BB6">
              <w:rPr>
                <w:rFonts w:cs="Times New Roman"/>
                <w:lang w:val="it-IT"/>
              </w:rPr>
              <w:t xml:space="preserve">di </w:t>
            </w:r>
            <w:r w:rsidRPr="00590BB6">
              <w:rPr>
                <w:rFonts w:cs="Times New Roman"/>
                <w:lang w:val="it-IT"/>
              </w:rPr>
              <w:t xml:space="preserve">Regolazione </w:t>
            </w:r>
            <w:r w:rsidR="007D3CC7" w:rsidRPr="00590BB6">
              <w:rPr>
                <w:rFonts w:cs="Times New Roman"/>
                <w:lang w:val="it-IT"/>
              </w:rPr>
              <w:t xml:space="preserve">per </w:t>
            </w:r>
            <w:r w:rsidRPr="00590BB6">
              <w:rPr>
                <w:rFonts w:cs="Times New Roman"/>
                <w:lang w:val="it-IT"/>
              </w:rPr>
              <w:t xml:space="preserve">Energia Reti </w:t>
            </w:r>
            <w:r w:rsidR="007D3CC7" w:rsidRPr="00590BB6">
              <w:rPr>
                <w:rFonts w:cs="Times New Roman"/>
                <w:lang w:val="it-IT"/>
              </w:rPr>
              <w:t xml:space="preserve">e </w:t>
            </w:r>
            <w:r w:rsidRPr="00590BB6">
              <w:rPr>
                <w:rFonts w:cs="Times New Roman"/>
                <w:lang w:val="it-IT"/>
              </w:rPr>
              <w:t>Ambiente</w:t>
            </w:r>
          </w:p>
        </w:tc>
      </w:tr>
      <w:tr w:rsidR="007D3CC7" w:rsidRPr="00590BB6" w14:paraId="219ED62F" w14:textId="77777777" w:rsidTr="00FF5C91">
        <w:tc>
          <w:tcPr>
            <w:tcW w:w="2245" w:type="dxa"/>
          </w:tcPr>
          <w:p w14:paraId="29B74A70" w14:textId="79CA4D38" w:rsidR="007D3CC7" w:rsidRPr="00590BB6" w:rsidRDefault="007D3CC7" w:rsidP="007D3CC7">
            <w:pPr>
              <w:rPr>
                <w:rFonts w:cs="Times New Roman"/>
              </w:rPr>
            </w:pPr>
            <w:r w:rsidRPr="00590BB6">
              <w:rPr>
                <w:rFonts w:cs="Times New Roman"/>
              </w:rPr>
              <w:lastRenderedPageBreak/>
              <w:t>CH</w:t>
            </w:r>
            <w:r w:rsidRPr="00590BB6">
              <w:rPr>
                <w:rFonts w:cs="Times New Roman"/>
                <w:vertAlign w:val="subscript"/>
              </w:rPr>
              <w:t>4</w:t>
            </w:r>
          </w:p>
        </w:tc>
        <w:tc>
          <w:tcPr>
            <w:tcW w:w="7383" w:type="dxa"/>
          </w:tcPr>
          <w:p w14:paraId="77AF7816" w14:textId="254F2B04" w:rsidR="007D3CC7" w:rsidRPr="00590BB6" w:rsidRDefault="007D3CC7" w:rsidP="007D3CC7">
            <w:pPr>
              <w:ind w:firstLine="31"/>
              <w:rPr>
                <w:rFonts w:cs="Times New Roman"/>
              </w:rPr>
            </w:pPr>
            <w:r w:rsidRPr="00590BB6">
              <w:rPr>
                <w:rFonts w:cs="Times New Roman"/>
              </w:rPr>
              <w:t>Methane</w:t>
            </w:r>
          </w:p>
        </w:tc>
      </w:tr>
      <w:tr w:rsidR="007D3CC7" w:rsidRPr="00590BB6" w14:paraId="3D2CADDD" w14:textId="77777777" w:rsidTr="00FF5C91">
        <w:tc>
          <w:tcPr>
            <w:tcW w:w="2245" w:type="dxa"/>
          </w:tcPr>
          <w:p w14:paraId="1DECAEAC" w14:textId="6E6EB78A" w:rsidR="007D3CC7" w:rsidRPr="00590BB6" w:rsidRDefault="007D3CC7" w:rsidP="007D3CC7">
            <w:pPr>
              <w:rPr>
                <w:rFonts w:cs="Times New Roman"/>
              </w:rPr>
            </w:pPr>
            <w:r w:rsidRPr="00590BB6">
              <w:rPr>
                <w:rFonts w:cs="Times New Roman"/>
              </w:rPr>
              <w:t>CO</w:t>
            </w:r>
            <w:r w:rsidRPr="00590BB6">
              <w:rPr>
                <w:rFonts w:cs="Times New Roman"/>
                <w:vertAlign w:val="subscript"/>
              </w:rPr>
              <w:t>2</w:t>
            </w:r>
          </w:p>
        </w:tc>
        <w:tc>
          <w:tcPr>
            <w:tcW w:w="7383" w:type="dxa"/>
          </w:tcPr>
          <w:p w14:paraId="1BF5BBA7" w14:textId="39D47CC5" w:rsidR="007D3CC7" w:rsidRPr="00590BB6" w:rsidRDefault="007D3CC7" w:rsidP="007D3CC7">
            <w:pPr>
              <w:ind w:firstLine="31"/>
              <w:rPr>
                <w:rFonts w:cs="Times New Roman"/>
              </w:rPr>
            </w:pPr>
            <w:r w:rsidRPr="00590BB6">
              <w:rPr>
                <w:rFonts w:cs="Times New Roman"/>
              </w:rPr>
              <w:t>Carbon Dioxide</w:t>
            </w:r>
          </w:p>
        </w:tc>
      </w:tr>
      <w:tr w:rsidR="007D3CC7" w:rsidRPr="00590BB6" w14:paraId="6E9EFE74" w14:textId="77777777" w:rsidTr="00FF5C91">
        <w:tc>
          <w:tcPr>
            <w:tcW w:w="2245" w:type="dxa"/>
          </w:tcPr>
          <w:p w14:paraId="65F89125" w14:textId="0F27177A" w:rsidR="007D3CC7" w:rsidRPr="00590BB6" w:rsidRDefault="007D3CC7" w:rsidP="007D3CC7">
            <w:pPr>
              <w:rPr>
                <w:rFonts w:cs="Times New Roman"/>
              </w:rPr>
            </w:pPr>
            <w:r w:rsidRPr="00590BB6">
              <w:rPr>
                <w:rFonts w:cs="Times New Roman"/>
              </w:rPr>
              <w:t>CNG</w:t>
            </w:r>
          </w:p>
        </w:tc>
        <w:tc>
          <w:tcPr>
            <w:tcW w:w="7383" w:type="dxa"/>
          </w:tcPr>
          <w:p w14:paraId="0BE5168E" w14:textId="0B984BAC" w:rsidR="007D3CC7" w:rsidRPr="00590BB6" w:rsidRDefault="007D3CC7" w:rsidP="007D3CC7">
            <w:pPr>
              <w:ind w:firstLine="31"/>
              <w:rPr>
                <w:rFonts w:cs="Times New Roman"/>
              </w:rPr>
            </w:pPr>
            <w:r w:rsidRPr="00590BB6">
              <w:rPr>
                <w:rFonts w:cs="Times New Roman"/>
              </w:rPr>
              <w:t>Compressed Natural Gas</w:t>
            </w:r>
          </w:p>
        </w:tc>
      </w:tr>
      <w:tr w:rsidR="007D3CC7" w:rsidRPr="00590BB6" w14:paraId="065CF157" w14:textId="77777777" w:rsidTr="00FF5C91">
        <w:tc>
          <w:tcPr>
            <w:tcW w:w="2245" w:type="dxa"/>
          </w:tcPr>
          <w:p w14:paraId="187E30EE" w14:textId="77777777" w:rsidR="007D3CC7" w:rsidRDefault="007D3CC7" w:rsidP="007D3CC7">
            <w:pPr>
              <w:rPr>
                <w:rFonts w:cs="Times New Roman"/>
              </w:rPr>
            </w:pPr>
            <w:r w:rsidRPr="00590BB6">
              <w:rPr>
                <w:rFonts w:cs="Times New Roman"/>
              </w:rPr>
              <w:t>EPA</w:t>
            </w:r>
          </w:p>
          <w:p w14:paraId="418F8B01" w14:textId="1B49E97E" w:rsidR="003B705D" w:rsidRPr="00590BB6" w:rsidRDefault="003B705D" w:rsidP="007D3CC7">
            <w:pPr>
              <w:rPr>
                <w:rFonts w:cs="Times New Roman"/>
              </w:rPr>
            </w:pPr>
            <w:r>
              <w:rPr>
                <w:rFonts w:cs="Times New Roman"/>
              </w:rPr>
              <w:t>EU</w:t>
            </w:r>
          </w:p>
        </w:tc>
        <w:tc>
          <w:tcPr>
            <w:tcW w:w="7383" w:type="dxa"/>
          </w:tcPr>
          <w:p w14:paraId="4AF0FFA3" w14:textId="77777777" w:rsidR="007D3CC7" w:rsidRDefault="007D3CC7" w:rsidP="007D3CC7">
            <w:pPr>
              <w:ind w:firstLine="31"/>
              <w:rPr>
                <w:rFonts w:cs="Times New Roman"/>
              </w:rPr>
            </w:pPr>
            <w:r w:rsidRPr="00590BB6">
              <w:rPr>
                <w:rFonts w:cs="Times New Roman"/>
              </w:rPr>
              <w:t>Environmental Protection Agency</w:t>
            </w:r>
          </w:p>
          <w:p w14:paraId="3AD48772" w14:textId="11443A37" w:rsidR="003B705D" w:rsidRPr="00590BB6" w:rsidRDefault="003B705D" w:rsidP="007D3CC7">
            <w:pPr>
              <w:ind w:firstLine="31"/>
              <w:rPr>
                <w:rFonts w:cs="Times New Roman"/>
              </w:rPr>
            </w:pPr>
            <w:r>
              <w:rPr>
                <w:rFonts w:cs="Times New Roman"/>
              </w:rPr>
              <w:t>European Union</w:t>
            </w:r>
          </w:p>
        </w:tc>
      </w:tr>
      <w:tr w:rsidR="007D3CC7" w:rsidRPr="00590BB6" w14:paraId="4349C201" w14:textId="77777777" w:rsidTr="00FF5C91">
        <w:tc>
          <w:tcPr>
            <w:tcW w:w="2245" w:type="dxa"/>
          </w:tcPr>
          <w:p w14:paraId="7CE57AF0" w14:textId="0C1AEDC7" w:rsidR="007D3CC7" w:rsidRPr="00590BB6" w:rsidRDefault="007D3CC7" w:rsidP="007D3CC7">
            <w:pPr>
              <w:rPr>
                <w:rFonts w:cs="Times New Roman"/>
              </w:rPr>
            </w:pPr>
            <w:r w:rsidRPr="00590BB6">
              <w:rPr>
                <w:rFonts w:cs="Times New Roman"/>
              </w:rPr>
              <w:t>FCEV</w:t>
            </w:r>
          </w:p>
        </w:tc>
        <w:tc>
          <w:tcPr>
            <w:tcW w:w="7383" w:type="dxa"/>
          </w:tcPr>
          <w:p w14:paraId="0AAA5349" w14:textId="3CCFA748" w:rsidR="007D3CC7" w:rsidRPr="00590BB6" w:rsidRDefault="007D3CC7" w:rsidP="007D3CC7">
            <w:pPr>
              <w:ind w:firstLine="31"/>
              <w:rPr>
                <w:rFonts w:cs="Times New Roman"/>
              </w:rPr>
            </w:pPr>
            <w:r w:rsidRPr="00590BB6">
              <w:rPr>
                <w:rFonts w:cs="Times New Roman"/>
              </w:rPr>
              <w:t>Fuel-Cell Electric Vehicles</w:t>
            </w:r>
          </w:p>
        </w:tc>
      </w:tr>
      <w:tr w:rsidR="007D3CC7" w:rsidRPr="00590BB6" w14:paraId="5AF4EE17" w14:textId="77777777" w:rsidTr="00FF5C91">
        <w:tc>
          <w:tcPr>
            <w:tcW w:w="2245" w:type="dxa"/>
          </w:tcPr>
          <w:p w14:paraId="3A39DCF2" w14:textId="4C22C28F" w:rsidR="007D3CC7" w:rsidRPr="00590BB6" w:rsidRDefault="007D3CC7" w:rsidP="007D3CC7">
            <w:pPr>
              <w:rPr>
                <w:rFonts w:cs="Times New Roman"/>
              </w:rPr>
            </w:pPr>
            <w:r w:rsidRPr="00590BB6">
              <w:rPr>
                <w:rFonts w:eastAsiaTheme="minorEastAsia" w:cs="Times New Roman"/>
              </w:rPr>
              <w:t>FOM</w:t>
            </w:r>
          </w:p>
        </w:tc>
        <w:tc>
          <w:tcPr>
            <w:tcW w:w="7383" w:type="dxa"/>
          </w:tcPr>
          <w:p w14:paraId="58DE15BE" w14:textId="4936C0CA" w:rsidR="007D3CC7" w:rsidRPr="00590BB6" w:rsidRDefault="007D3CC7" w:rsidP="007D3CC7">
            <w:pPr>
              <w:ind w:firstLine="31"/>
              <w:rPr>
                <w:rFonts w:cs="Times New Roman"/>
              </w:rPr>
            </w:pPr>
            <w:r w:rsidRPr="00590BB6">
              <w:rPr>
                <w:rFonts w:eastAsiaTheme="minorEastAsia" w:cs="Times New Roman"/>
              </w:rPr>
              <w:t>Fixed Operations and Maintenance Costs</w:t>
            </w:r>
          </w:p>
        </w:tc>
      </w:tr>
      <w:tr w:rsidR="007D3CC7" w:rsidRPr="00590BB6" w14:paraId="75A77723" w14:textId="77777777" w:rsidTr="00FF5C91">
        <w:tc>
          <w:tcPr>
            <w:tcW w:w="2245" w:type="dxa"/>
          </w:tcPr>
          <w:p w14:paraId="09567761" w14:textId="548669E9" w:rsidR="007D3CC7" w:rsidRPr="00590BB6" w:rsidRDefault="007D3CC7" w:rsidP="007D3CC7">
            <w:pPr>
              <w:rPr>
                <w:rFonts w:cs="Times New Roman"/>
              </w:rPr>
            </w:pPr>
            <w:r w:rsidRPr="00590BB6">
              <w:rPr>
                <w:rFonts w:cs="Times New Roman"/>
              </w:rPr>
              <w:t>FRED</w:t>
            </w:r>
          </w:p>
        </w:tc>
        <w:tc>
          <w:tcPr>
            <w:tcW w:w="7383" w:type="dxa"/>
          </w:tcPr>
          <w:p w14:paraId="552E8B6B" w14:textId="6EBA89C6" w:rsidR="007D3CC7" w:rsidRPr="00590BB6" w:rsidRDefault="007D3CC7" w:rsidP="007D3CC7">
            <w:pPr>
              <w:ind w:firstLine="31"/>
              <w:rPr>
                <w:rFonts w:cs="Times New Roman"/>
              </w:rPr>
            </w:pPr>
            <w:r w:rsidRPr="00590BB6">
              <w:rPr>
                <w:rFonts w:cs="Times New Roman"/>
              </w:rPr>
              <w:t>Federal Reserve Bank of St. Louis Database</w:t>
            </w:r>
          </w:p>
        </w:tc>
      </w:tr>
      <w:tr w:rsidR="007D3CC7" w:rsidRPr="00590BB6" w14:paraId="2C8AC398" w14:textId="77777777" w:rsidTr="00FF5C91">
        <w:tc>
          <w:tcPr>
            <w:tcW w:w="2245" w:type="dxa"/>
          </w:tcPr>
          <w:p w14:paraId="6D1E48F8" w14:textId="633E4DE3" w:rsidR="007D3CC7" w:rsidRPr="00590BB6" w:rsidRDefault="007D3CC7" w:rsidP="007D3CC7">
            <w:pPr>
              <w:rPr>
                <w:rFonts w:cs="Times New Roman"/>
              </w:rPr>
            </w:pPr>
            <w:r w:rsidRPr="00590BB6">
              <w:rPr>
                <w:rFonts w:cs="Times New Roman"/>
              </w:rPr>
              <w:t>GDP</w:t>
            </w:r>
          </w:p>
        </w:tc>
        <w:tc>
          <w:tcPr>
            <w:tcW w:w="7383" w:type="dxa"/>
          </w:tcPr>
          <w:p w14:paraId="3DE24556" w14:textId="377AA7F9" w:rsidR="007D3CC7" w:rsidRPr="00590BB6" w:rsidRDefault="007D3CC7" w:rsidP="007D3CC7">
            <w:pPr>
              <w:ind w:firstLine="31"/>
              <w:rPr>
                <w:rFonts w:cs="Times New Roman"/>
              </w:rPr>
            </w:pPr>
            <w:r w:rsidRPr="00590BB6">
              <w:rPr>
                <w:rFonts w:cs="Times New Roman"/>
              </w:rPr>
              <w:t>Gross Domestic Product</w:t>
            </w:r>
          </w:p>
        </w:tc>
      </w:tr>
      <w:tr w:rsidR="007D3CC7" w:rsidRPr="00590BB6" w14:paraId="45DE7A51" w14:textId="77777777" w:rsidTr="00FF5C91">
        <w:tc>
          <w:tcPr>
            <w:tcW w:w="2245" w:type="dxa"/>
          </w:tcPr>
          <w:p w14:paraId="7B2D0A42" w14:textId="3AB57548" w:rsidR="007D3CC7" w:rsidRPr="00590BB6" w:rsidRDefault="007D3CC7" w:rsidP="007D3CC7">
            <w:pPr>
              <w:rPr>
                <w:rFonts w:cs="Times New Roman"/>
              </w:rPr>
            </w:pPr>
            <w:r w:rsidRPr="00590BB6">
              <w:rPr>
                <w:rFonts w:cs="Times New Roman"/>
              </w:rPr>
              <w:t>GHG</w:t>
            </w:r>
          </w:p>
        </w:tc>
        <w:tc>
          <w:tcPr>
            <w:tcW w:w="7383" w:type="dxa"/>
          </w:tcPr>
          <w:p w14:paraId="09EF8C1A" w14:textId="248D11A1" w:rsidR="007D3CC7" w:rsidRPr="00590BB6" w:rsidRDefault="007D3CC7" w:rsidP="007D3CC7">
            <w:pPr>
              <w:ind w:firstLine="31"/>
              <w:rPr>
                <w:rFonts w:cs="Times New Roman"/>
              </w:rPr>
            </w:pPr>
            <w:r w:rsidRPr="00590BB6">
              <w:rPr>
                <w:rFonts w:cs="Times New Roman"/>
              </w:rPr>
              <w:t>Greenhouse Gas</w:t>
            </w:r>
          </w:p>
        </w:tc>
      </w:tr>
      <w:tr w:rsidR="007D3CC7" w:rsidRPr="00590BB6" w14:paraId="263E1240" w14:textId="77777777" w:rsidTr="00FF5C91">
        <w:tc>
          <w:tcPr>
            <w:tcW w:w="2245" w:type="dxa"/>
          </w:tcPr>
          <w:p w14:paraId="24DBD534" w14:textId="1D7E2096" w:rsidR="007D3CC7" w:rsidRPr="00590BB6" w:rsidRDefault="007D3CC7" w:rsidP="007D3CC7">
            <w:pPr>
              <w:rPr>
                <w:rFonts w:cs="Times New Roman"/>
              </w:rPr>
            </w:pPr>
            <w:r w:rsidRPr="00590BB6">
              <w:rPr>
                <w:rFonts w:cs="Times New Roman"/>
              </w:rPr>
              <w:t>GWP</w:t>
            </w:r>
          </w:p>
        </w:tc>
        <w:tc>
          <w:tcPr>
            <w:tcW w:w="7383" w:type="dxa"/>
          </w:tcPr>
          <w:p w14:paraId="208EED9B" w14:textId="76EBCD1F" w:rsidR="007D3CC7" w:rsidRPr="00590BB6" w:rsidRDefault="007D3CC7" w:rsidP="007D3CC7">
            <w:pPr>
              <w:ind w:firstLine="31"/>
              <w:rPr>
                <w:rFonts w:cs="Times New Roman"/>
              </w:rPr>
            </w:pPr>
            <w:r w:rsidRPr="00590BB6">
              <w:rPr>
                <w:rFonts w:cs="Times New Roman"/>
              </w:rPr>
              <w:t>Global Warming Potential</w:t>
            </w:r>
          </w:p>
        </w:tc>
      </w:tr>
      <w:tr w:rsidR="007D3CC7" w:rsidRPr="00590BB6" w14:paraId="1247D1C5" w14:textId="77777777" w:rsidTr="00FF5C91">
        <w:tc>
          <w:tcPr>
            <w:tcW w:w="2245" w:type="dxa"/>
          </w:tcPr>
          <w:p w14:paraId="02B4D09A" w14:textId="3901BFC7" w:rsidR="007D3CC7" w:rsidRPr="00590BB6" w:rsidRDefault="007D3CC7" w:rsidP="007D3CC7">
            <w:pPr>
              <w:rPr>
                <w:rFonts w:cs="Times New Roman"/>
              </w:rPr>
            </w:pPr>
            <w:r w:rsidRPr="00590BB6">
              <w:rPr>
                <w:rFonts w:cs="Times New Roman"/>
              </w:rPr>
              <w:t>HDV</w:t>
            </w:r>
          </w:p>
        </w:tc>
        <w:tc>
          <w:tcPr>
            <w:tcW w:w="7383" w:type="dxa"/>
          </w:tcPr>
          <w:p w14:paraId="6DB34AC1" w14:textId="327A8D1E" w:rsidR="007D3CC7" w:rsidRPr="00590BB6" w:rsidRDefault="007D3CC7" w:rsidP="007D3CC7">
            <w:pPr>
              <w:ind w:firstLine="31"/>
              <w:rPr>
                <w:rFonts w:cs="Times New Roman"/>
              </w:rPr>
            </w:pPr>
            <w:r w:rsidRPr="00590BB6">
              <w:rPr>
                <w:rFonts w:cs="Times New Roman"/>
              </w:rPr>
              <w:t>Heavy Duty Vehicles</w:t>
            </w:r>
          </w:p>
        </w:tc>
      </w:tr>
      <w:tr w:rsidR="007D3CC7" w:rsidRPr="00590BB6" w14:paraId="76BB317A" w14:textId="77777777" w:rsidTr="00FF5C91">
        <w:tc>
          <w:tcPr>
            <w:tcW w:w="2245" w:type="dxa"/>
          </w:tcPr>
          <w:p w14:paraId="74806CD3" w14:textId="4B212CFD" w:rsidR="007D3CC7" w:rsidRPr="00590BB6" w:rsidRDefault="007D3CC7" w:rsidP="007D3CC7">
            <w:pPr>
              <w:rPr>
                <w:rFonts w:cs="Times New Roman"/>
              </w:rPr>
            </w:pPr>
            <w:r w:rsidRPr="00590BB6">
              <w:rPr>
                <w:rFonts w:cs="Times New Roman"/>
              </w:rPr>
              <w:t>HE</w:t>
            </w:r>
          </w:p>
        </w:tc>
        <w:tc>
          <w:tcPr>
            <w:tcW w:w="7383" w:type="dxa"/>
          </w:tcPr>
          <w:p w14:paraId="7DDBDD06" w14:textId="4FD86ADD" w:rsidR="007D3CC7" w:rsidRPr="00590BB6" w:rsidRDefault="007D3CC7" w:rsidP="007D3CC7">
            <w:pPr>
              <w:ind w:firstLine="31"/>
              <w:rPr>
                <w:rFonts w:cs="Times New Roman"/>
              </w:rPr>
            </w:pPr>
            <w:r w:rsidRPr="00590BB6">
              <w:t>High Efficiency</w:t>
            </w:r>
          </w:p>
        </w:tc>
      </w:tr>
      <w:tr w:rsidR="007D3CC7" w:rsidRPr="00590BB6" w14:paraId="0BA4BD06" w14:textId="77777777" w:rsidTr="00FF5C91">
        <w:tc>
          <w:tcPr>
            <w:tcW w:w="2245" w:type="dxa"/>
          </w:tcPr>
          <w:p w14:paraId="14E02E43" w14:textId="6650280E" w:rsidR="007D3CC7" w:rsidRPr="00590BB6" w:rsidRDefault="007D3CC7" w:rsidP="007D3CC7">
            <w:pPr>
              <w:rPr>
                <w:rFonts w:cs="Times New Roman"/>
              </w:rPr>
            </w:pPr>
            <w:r w:rsidRPr="00590BB6">
              <w:rPr>
                <w:rFonts w:cs="Times New Roman"/>
              </w:rPr>
              <w:t>ICE</w:t>
            </w:r>
          </w:p>
        </w:tc>
        <w:tc>
          <w:tcPr>
            <w:tcW w:w="7383" w:type="dxa"/>
          </w:tcPr>
          <w:p w14:paraId="775B7BAE" w14:textId="5D401296" w:rsidR="007D3CC7" w:rsidRPr="00590BB6" w:rsidRDefault="007D3CC7" w:rsidP="007D3CC7">
            <w:pPr>
              <w:ind w:firstLine="31"/>
              <w:rPr>
                <w:rFonts w:cs="Times New Roman"/>
              </w:rPr>
            </w:pPr>
            <w:r w:rsidRPr="00590BB6">
              <w:rPr>
                <w:rFonts w:cs="Times New Roman"/>
              </w:rPr>
              <w:t>Internal Combustion Engine</w:t>
            </w:r>
          </w:p>
        </w:tc>
      </w:tr>
      <w:tr w:rsidR="002B241F" w:rsidRPr="00590BB6" w14:paraId="24458C75" w14:textId="77777777" w:rsidTr="00FF5C91">
        <w:tc>
          <w:tcPr>
            <w:tcW w:w="2245" w:type="dxa"/>
          </w:tcPr>
          <w:p w14:paraId="54E19E35" w14:textId="4052FDB9" w:rsidR="002B241F" w:rsidRPr="00590BB6" w:rsidRDefault="002B241F" w:rsidP="007D3CC7">
            <w:pPr>
              <w:rPr>
                <w:rFonts w:cs="Times New Roman"/>
              </w:rPr>
            </w:pPr>
            <w:r w:rsidRPr="00590BB6">
              <w:rPr>
                <w:rFonts w:cs="Times New Roman"/>
              </w:rPr>
              <w:t>IEA</w:t>
            </w:r>
          </w:p>
        </w:tc>
        <w:tc>
          <w:tcPr>
            <w:tcW w:w="7383" w:type="dxa"/>
          </w:tcPr>
          <w:p w14:paraId="6E7F49F7" w14:textId="70BE18EE" w:rsidR="002B241F" w:rsidRPr="00590BB6" w:rsidRDefault="002B241F" w:rsidP="007D3CC7">
            <w:pPr>
              <w:ind w:firstLine="31"/>
              <w:rPr>
                <w:rFonts w:cs="Times New Roman"/>
              </w:rPr>
            </w:pPr>
            <w:r w:rsidRPr="00590BB6">
              <w:rPr>
                <w:rFonts w:cs="Times New Roman"/>
              </w:rPr>
              <w:t>International Energy Agency</w:t>
            </w:r>
          </w:p>
        </w:tc>
      </w:tr>
      <w:tr w:rsidR="002B241F" w:rsidRPr="00590BB6" w14:paraId="1B32DC49" w14:textId="77777777" w:rsidTr="00FF5C91">
        <w:tc>
          <w:tcPr>
            <w:tcW w:w="2245" w:type="dxa"/>
          </w:tcPr>
          <w:p w14:paraId="2D6425A0" w14:textId="51400F99" w:rsidR="002B241F" w:rsidRPr="00590BB6" w:rsidRDefault="002B241F" w:rsidP="007D3CC7">
            <w:pPr>
              <w:rPr>
                <w:rFonts w:cs="Times New Roman"/>
              </w:rPr>
            </w:pPr>
            <w:r w:rsidRPr="00590BB6">
              <w:rPr>
                <w:rFonts w:cs="Times New Roman"/>
              </w:rPr>
              <w:t>IRENA</w:t>
            </w:r>
          </w:p>
        </w:tc>
        <w:tc>
          <w:tcPr>
            <w:tcW w:w="7383" w:type="dxa"/>
          </w:tcPr>
          <w:p w14:paraId="76043A06" w14:textId="743D3C5E" w:rsidR="002B241F" w:rsidRPr="00590BB6" w:rsidRDefault="002B241F" w:rsidP="007D3CC7">
            <w:pPr>
              <w:ind w:firstLine="31"/>
              <w:rPr>
                <w:rFonts w:cs="Times New Roman"/>
              </w:rPr>
            </w:pPr>
            <w:r w:rsidRPr="00590BB6">
              <w:rPr>
                <w:rFonts w:cs="Times New Roman"/>
              </w:rPr>
              <w:t>International Renewable Energy Agency</w:t>
            </w:r>
          </w:p>
        </w:tc>
      </w:tr>
      <w:tr w:rsidR="007D3CC7" w:rsidRPr="00590BB6" w14:paraId="45832092" w14:textId="77777777" w:rsidTr="00FF5C91">
        <w:tc>
          <w:tcPr>
            <w:tcW w:w="2245" w:type="dxa"/>
          </w:tcPr>
          <w:p w14:paraId="4906D227" w14:textId="4DCBADBF" w:rsidR="007D3CC7" w:rsidRPr="00590BB6" w:rsidRDefault="007D3CC7" w:rsidP="007D3CC7">
            <w:pPr>
              <w:rPr>
                <w:rFonts w:cs="Times New Roman"/>
              </w:rPr>
            </w:pPr>
            <w:r w:rsidRPr="00590BB6">
              <w:rPr>
                <w:rFonts w:cs="Times New Roman"/>
              </w:rPr>
              <w:t>ISPRA</w:t>
            </w:r>
          </w:p>
        </w:tc>
        <w:tc>
          <w:tcPr>
            <w:tcW w:w="7383" w:type="dxa"/>
          </w:tcPr>
          <w:p w14:paraId="25B901B4" w14:textId="28B80E16" w:rsidR="007D3CC7" w:rsidRPr="00590BB6" w:rsidRDefault="007D3CC7" w:rsidP="007D3CC7">
            <w:pPr>
              <w:ind w:firstLine="31"/>
              <w:rPr>
                <w:rFonts w:cs="Times New Roman"/>
                <w:lang w:val="it-IT"/>
              </w:rPr>
            </w:pPr>
            <w:proofErr w:type="spellStart"/>
            <w:r w:rsidRPr="00590BB6">
              <w:rPr>
                <w:rFonts w:cs="Times New Roman"/>
                <w:lang w:val="it-IT"/>
              </w:rPr>
              <w:t>Instituto</w:t>
            </w:r>
            <w:proofErr w:type="spellEnd"/>
            <w:r w:rsidRPr="00590BB6">
              <w:rPr>
                <w:rFonts w:cs="Times New Roman"/>
                <w:lang w:val="it-IT"/>
              </w:rPr>
              <w:t xml:space="preserve"> Superiore per la Protezione e la Ricerca Ambientale</w:t>
            </w:r>
          </w:p>
        </w:tc>
      </w:tr>
      <w:tr w:rsidR="007D3CC7" w:rsidRPr="00590BB6" w14:paraId="32997C87" w14:textId="77777777" w:rsidTr="00FF5C91">
        <w:tc>
          <w:tcPr>
            <w:tcW w:w="2245" w:type="dxa"/>
          </w:tcPr>
          <w:p w14:paraId="0CA46458" w14:textId="0F057067" w:rsidR="007D3CC7" w:rsidRPr="00590BB6" w:rsidRDefault="007D3CC7" w:rsidP="007D3CC7">
            <w:pPr>
              <w:rPr>
                <w:rFonts w:cs="Times New Roman"/>
              </w:rPr>
            </w:pPr>
            <w:r w:rsidRPr="00590BB6">
              <w:rPr>
                <w:rFonts w:cs="Times New Roman"/>
              </w:rPr>
              <w:t>INECP</w:t>
            </w:r>
          </w:p>
        </w:tc>
        <w:tc>
          <w:tcPr>
            <w:tcW w:w="7383" w:type="dxa"/>
          </w:tcPr>
          <w:p w14:paraId="19AA3AAB" w14:textId="7C03E294" w:rsidR="007D3CC7" w:rsidRPr="00590BB6" w:rsidRDefault="007D3CC7" w:rsidP="007D3CC7">
            <w:pPr>
              <w:ind w:firstLine="31"/>
              <w:rPr>
                <w:rFonts w:cs="Times New Roman"/>
              </w:rPr>
            </w:pPr>
            <w:r w:rsidRPr="00590BB6">
              <w:rPr>
                <w:rFonts w:cs="Times New Roman"/>
              </w:rPr>
              <w:t>Integrated National Energy and Climate Plan</w:t>
            </w:r>
          </w:p>
        </w:tc>
      </w:tr>
      <w:tr w:rsidR="007D3CC7" w:rsidRPr="00590BB6" w14:paraId="1D0307C0" w14:textId="77777777" w:rsidTr="00FF5C91">
        <w:tc>
          <w:tcPr>
            <w:tcW w:w="2245" w:type="dxa"/>
          </w:tcPr>
          <w:p w14:paraId="16D4B8CA" w14:textId="31662433" w:rsidR="007D3CC7" w:rsidRPr="00590BB6" w:rsidRDefault="007D3CC7" w:rsidP="007D3CC7">
            <w:pPr>
              <w:rPr>
                <w:rFonts w:cs="Times New Roman"/>
              </w:rPr>
            </w:pPr>
            <w:r w:rsidRPr="00590BB6">
              <w:rPr>
                <w:rFonts w:cs="Times New Roman"/>
              </w:rPr>
              <w:t>ISTAT</w:t>
            </w:r>
          </w:p>
        </w:tc>
        <w:tc>
          <w:tcPr>
            <w:tcW w:w="7383" w:type="dxa"/>
          </w:tcPr>
          <w:p w14:paraId="79C1DB32" w14:textId="3452828B" w:rsidR="007D3CC7" w:rsidRPr="00590BB6" w:rsidRDefault="007D3CC7" w:rsidP="007D3CC7">
            <w:pPr>
              <w:ind w:firstLine="31"/>
              <w:rPr>
                <w:rFonts w:cs="Times New Roman"/>
              </w:rPr>
            </w:pPr>
            <w:proofErr w:type="spellStart"/>
            <w:r w:rsidRPr="00590BB6">
              <w:rPr>
                <w:rFonts w:cs="Times New Roman"/>
              </w:rPr>
              <w:t>Istituto</w:t>
            </w:r>
            <w:proofErr w:type="spellEnd"/>
            <w:r w:rsidRPr="00590BB6">
              <w:rPr>
                <w:rFonts w:cs="Times New Roman"/>
              </w:rPr>
              <w:t xml:space="preserve"> Nazionale di </w:t>
            </w:r>
            <w:proofErr w:type="spellStart"/>
            <w:r w:rsidRPr="00590BB6">
              <w:rPr>
                <w:rFonts w:cs="Times New Roman"/>
              </w:rPr>
              <w:t>Statistica</w:t>
            </w:r>
            <w:proofErr w:type="spellEnd"/>
          </w:p>
        </w:tc>
      </w:tr>
      <w:tr w:rsidR="007D3CC7" w:rsidRPr="00590BB6" w14:paraId="744A0478" w14:textId="77777777" w:rsidTr="00FF5C91">
        <w:tc>
          <w:tcPr>
            <w:tcW w:w="2245" w:type="dxa"/>
          </w:tcPr>
          <w:p w14:paraId="54FBD918" w14:textId="1C5799A1" w:rsidR="007D3CC7" w:rsidRPr="00590BB6" w:rsidRDefault="007D3CC7" w:rsidP="007D3CC7">
            <w:pPr>
              <w:rPr>
                <w:rFonts w:cs="Times New Roman"/>
              </w:rPr>
            </w:pPr>
            <w:r w:rsidRPr="00590BB6">
              <w:rPr>
                <w:rFonts w:cs="Times New Roman"/>
              </w:rPr>
              <w:t>LCOE</w:t>
            </w:r>
          </w:p>
        </w:tc>
        <w:tc>
          <w:tcPr>
            <w:tcW w:w="7383" w:type="dxa"/>
          </w:tcPr>
          <w:p w14:paraId="5CC45DA9" w14:textId="6934519B" w:rsidR="007D3CC7" w:rsidRPr="00590BB6" w:rsidRDefault="007D3CC7" w:rsidP="007D3CC7">
            <w:pPr>
              <w:ind w:firstLine="31"/>
              <w:rPr>
                <w:rFonts w:cs="Times New Roman"/>
              </w:rPr>
            </w:pPr>
            <w:proofErr w:type="spellStart"/>
            <w:r w:rsidRPr="00590BB6">
              <w:rPr>
                <w:rFonts w:cs="Times New Roman"/>
              </w:rPr>
              <w:t>Levelised</w:t>
            </w:r>
            <w:proofErr w:type="spellEnd"/>
            <w:r w:rsidRPr="00590BB6">
              <w:rPr>
                <w:rFonts w:cs="Times New Roman"/>
              </w:rPr>
              <w:t xml:space="preserve"> Cost of Energy</w:t>
            </w:r>
          </w:p>
        </w:tc>
      </w:tr>
      <w:tr w:rsidR="007D3CC7" w:rsidRPr="00590BB6" w14:paraId="2B9407C3" w14:textId="77777777" w:rsidTr="00FF5C91">
        <w:tc>
          <w:tcPr>
            <w:tcW w:w="2245" w:type="dxa"/>
          </w:tcPr>
          <w:p w14:paraId="5274B075" w14:textId="4346E429" w:rsidR="007D3CC7" w:rsidRPr="00590BB6" w:rsidRDefault="007D3CC7" w:rsidP="007D3CC7">
            <w:pPr>
              <w:rPr>
                <w:rFonts w:cs="Times New Roman"/>
              </w:rPr>
            </w:pPr>
            <w:r w:rsidRPr="00590BB6">
              <w:rPr>
                <w:rFonts w:cs="Times New Roman"/>
              </w:rPr>
              <w:t>LNG</w:t>
            </w:r>
          </w:p>
        </w:tc>
        <w:tc>
          <w:tcPr>
            <w:tcW w:w="7383" w:type="dxa"/>
          </w:tcPr>
          <w:p w14:paraId="61A25497" w14:textId="01102450" w:rsidR="007D3CC7" w:rsidRPr="00590BB6" w:rsidRDefault="007D3CC7" w:rsidP="007D3CC7">
            <w:pPr>
              <w:ind w:firstLine="31"/>
              <w:rPr>
                <w:rFonts w:cs="Times New Roman"/>
              </w:rPr>
            </w:pPr>
            <w:r w:rsidRPr="00590BB6">
              <w:rPr>
                <w:rFonts w:cs="Times New Roman"/>
              </w:rPr>
              <w:t>Liquefied Natural Gas</w:t>
            </w:r>
          </w:p>
        </w:tc>
      </w:tr>
      <w:tr w:rsidR="007D3CC7" w:rsidRPr="00590BB6" w14:paraId="3642068C" w14:textId="77777777" w:rsidTr="00FF5C91">
        <w:tc>
          <w:tcPr>
            <w:tcW w:w="2245" w:type="dxa"/>
          </w:tcPr>
          <w:p w14:paraId="0045B856" w14:textId="0692758D" w:rsidR="007D3CC7" w:rsidRPr="00590BB6" w:rsidRDefault="007D3CC7" w:rsidP="007D3CC7">
            <w:pPr>
              <w:rPr>
                <w:rFonts w:cs="Times New Roman"/>
              </w:rPr>
            </w:pPr>
            <w:r w:rsidRPr="00590BB6">
              <w:rPr>
                <w:rFonts w:cs="Times New Roman"/>
              </w:rPr>
              <w:t>LPG</w:t>
            </w:r>
          </w:p>
        </w:tc>
        <w:tc>
          <w:tcPr>
            <w:tcW w:w="7383" w:type="dxa"/>
          </w:tcPr>
          <w:p w14:paraId="0DBD67C1" w14:textId="3A5429FA" w:rsidR="007D3CC7" w:rsidRPr="00590BB6" w:rsidRDefault="007D3CC7" w:rsidP="007D3CC7">
            <w:pPr>
              <w:ind w:firstLine="31"/>
              <w:rPr>
                <w:rFonts w:cs="Times New Roman"/>
              </w:rPr>
            </w:pPr>
            <w:r w:rsidRPr="00590BB6">
              <w:rPr>
                <w:rFonts w:cs="Times New Roman"/>
              </w:rPr>
              <w:t>Liquefied Petroleum Gas</w:t>
            </w:r>
          </w:p>
        </w:tc>
      </w:tr>
      <w:tr w:rsidR="007D3CC7" w:rsidRPr="00590BB6" w14:paraId="7ECA398C" w14:textId="77777777" w:rsidTr="00FF5C91">
        <w:tc>
          <w:tcPr>
            <w:tcW w:w="2245" w:type="dxa"/>
          </w:tcPr>
          <w:p w14:paraId="1FA6F043" w14:textId="6A06DDC1" w:rsidR="007D3CC7" w:rsidRPr="00590BB6" w:rsidRDefault="007D3CC7" w:rsidP="007D3CC7">
            <w:pPr>
              <w:rPr>
                <w:rFonts w:cs="Times New Roman"/>
              </w:rPr>
            </w:pPr>
            <w:r w:rsidRPr="00590BB6">
              <w:rPr>
                <w:rFonts w:cs="Times New Roman"/>
              </w:rPr>
              <w:t>MCA</w:t>
            </w:r>
          </w:p>
        </w:tc>
        <w:tc>
          <w:tcPr>
            <w:tcW w:w="7383" w:type="dxa"/>
          </w:tcPr>
          <w:p w14:paraId="625C021F" w14:textId="7A5B7DEA" w:rsidR="007D3CC7" w:rsidRPr="00590BB6" w:rsidRDefault="007D3CC7" w:rsidP="007D3CC7">
            <w:pPr>
              <w:ind w:firstLine="31"/>
              <w:rPr>
                <w:rFonts w:cs="Times New Roman"/>
              </w:rPr>
            </w:pPr>
            <w:r w:rsidRPr="00590BB6">
              <w:rPr>
                <w:rFonts w:cs="Times New Roman"/>
              </w:rPr>
              <w:t>Market Clearing Algorithm</w:t>
            </w:r>
          </w:p>
        </w:tc>
      </w:tr>
      <w:tr w:rsidR="007D3CC7" w:rsidRPr="00590BB6" w14:paraId="067FCC35" w14:textId="77777777" w:rsidTr="00FF5C91">
        <w:tc>
          <w:tcPr>
            <w:tcW w:w="2245" w:type="dxa"/>
          </w:tcPr>
          <w:p w14:paraId="3021CBA1" w14:textId="77777777" w:rsidR="007D3CC7" w:rsidRDefault="007D3CC7" w:rsidP="007D3CC7">
            <w:pPr>
              <w:rPr>
                <w:rFonts w:cs="Times New Roman"/>
              </w:rPr>
            </w:pPr>
            <w:r w:rsidRPr="00590BB6">
              <w:rPr>
                <w:rFonts w:cs="Times New Roman"/>
              </w:rPr>
              <w:t>ME</w:t>
            </w:r>
          </w:p>
          <w:p w14:paraId="443E078A" w14:textId="7FBD8502" w:rsidR="008C455E" w:rsidRPr="00590BB6" w:rsidRDefault="008C455E" w:rsidP="007D3CC7">
            <w:pPr>
              <w:rPr>
                <w:rFonts w:cs="Times New Roman"/>
              </w:rPr>
            </w:pPr>
            <w:r w:rsidRPr="00590BB6">
              <w:t>MSIM</w:t>
            </w:r>
          </w:p>
        </w:tc>
        <w:tc>
          <w:tcPr>
            <w:tcW w:w="7383" w:type="dxa"/>
          </w:tcPr>
          <w:p w14:paraId="57541330" w14:textId="77777777" w:rsidR="007D3CC7" w:rsidRDefault="007D3CC7" w:rsidP="007D3CC7">
            <w:pPr>
              <w:ind w:firstLine="31"/>
            </w:pPr>
            <w:r w:rsidRPr="00590BB6">
              <w:t>Medium Efficiency</w:t>
            </w:r>
          </w:p>
          <w:p w14:paraId="1AB40064" w14:textId="1B8CDB7E" w:rsidR="008C455E" w:rsidRPr="00590BB6" w:rsidRDefault="008C455E" w:rsidP="007D3CC7">
            <w:pPr>
              <w:ind w:firstLine="31"/>
              <w:rPr>
                <w:rFonts w:cs="Times New Roman"/>
              </w:rPr>
            </w:pPr>
            <w:r w:rsidRPr="00590BB6">
              <w:t>Ministry of Sustainable Infrastructure and Mobility</w:t>
            </w:r>
          </w:p>
        </w:tc>
      </w:tr>
      <w:tr w:rsidR="007D3CC7" w:rsidRPr="00590BB6" w14:paraId="6D008EC7" w14:textId="77777777" w:rsidTr="00FF5C91">
        <w:tc>
          <w:tcPr>
            <w:tcW w:w="2245" w:type="dxa"/>
          </w:tcPr>
          <w:p w14:paraId="33F402E6" w14:textId="555ABC17" w:rsidR="007D3CC7" w:rsidRPr="00590BB6" w:rsidRDefault="007D3CC7" w:rsidP="007D3CC7">
            <w:pPr>
              <w:rPr>
                <w:rFonts w:cs="Times New Roman"/>
              </w:rPr>
            </w:pPr>
            <w:r w:rsidRPr="00590BB6">
              <w:rPr>
                <w:rFonts w:cs="Times New Roman"/>
              </w:rPr>
              <w:t>MUSE</w:t>
            </w:r>
          </w:p>
        </w:tc>
        <w:tc>
          <w:tcPr>
            <w:tcW w:w="7383" w:type="dxa"/>
          </w:tcPr>
          <w:p w14:paraId="331FFB83" w14:textId="2B293947" w:rsidR="007D3CC7" w:rsidRPr="00590BB6" w:rsidRDefault="007D3CC7" w:rsidP="007D3CC7">
            <w:pPr>
              <w:ind w:firstLine="31"/>
              <w:rPr>
                <w:rFonts w:cs="Times New Roman"/>
              </w:rPr>
            </w:pPr>
            <w:proofErr w:type="spellStart"/>
            <w:r w:rsidRPr="00590BB6">
              <w:rPr>
                <w:rFonts w:cs="Times New Roman"/>
              </w:rPr>
              <w:t>ModUlar</w:t>
            </w:r>
            <w:proofErr w:type="spellEnd"/>
            <w:r w:rsidRPr="00590BB6">
              <w:rPr>
                <w:rFonts w:cs="Times New Roman"/>
              </w:rPr>
              <w:t xml:space="preserve"> energy system Simulation Environment</w:t>
            </w:r>
          </w:p>
        </w:tc>
      </w:tr>
      <w:tr w:rsidR="007D3CC7" w:rsidRPr="00590BB6" w14:paraId="3FF91278" w14:textId="77777777" w:rsidTr="00FF5C91">
        <w:tc>
          <w:tcPr>
            <w:tcW w:w="2245" w:type="dxa"/>
          </w:tcPr>
          <w:p w14:paraId="45B0FC43" w14:textId="4DC46738" w:rsidR="007D3CC7" w:rsidRPr="00590BB6" w:rsidRDefault="007D3CC7" w:rsidP="007D3CC7">
            <w:pPr>
              <w:rPr>
                <w:rFonts w:cs="Times New Roman"/>
              </w:rPr>
            </w:pPr>
            <w:r w:rsidRPr="00590BB6">
              <w:rPr>
                <w:rFonts w:cs="Times New Roman"/>
              </w:rPr>
              <w:t>NGV</w:t>
            </w:r>
          </w:p>
        </w:tc>
        <w:tc>
          <w:tcPr>
            <w:tcW w:w="7383" w:type="dxa"/>
          </w:tcPr>
          <w:p w14:paraId="31CA7BB8" w14:textId="6BBD35B7" w:rsidR="007D3CC7" w:rsidRPr="00590BB6" w:rsidRDefault="007D3CC7" w:rsidP="007D3CC7">
            <w:pPr>
              <w:ind w:firstLine="31"/>
              <w:rPr>
                <w:rFonts w:cs="Times New Roman"/>
              </w:rPr>
            </w:pPr>
            <w:r w:rsidRPr="00590BB6">
              <w:rPr>
                <w:rFonts w:cs="Times New Roman"/>
              </w:rPr>
              <w:t>Natural Gas Vehicle</w:t>
            </w:r>
          </w:p>
        </w:tc>
      </w:tr>
      <w:tr w:rsidR="007D3CC7" w:rsidRPr="00590BB6" w14:paraId="22208A1C" w14:textId="77777777" w:rsidTr="00FF5C91">
        <w:tc>
          <w:tcPr>
            <w:tcW w:w="2245" w:type="dxa"/>
          </w:tcPr>
          <w:p w14:paraId="1568BB07" w14:textId="47EC1D1A" w:rsidR="007D3CC7" w:rsidRPr="00590BB6" w:rsidRDefault="007D3CC7" w:rsidP="007D3CC7">
            <w:pPr>
              <w:rPr>
                <w:rFonts w:cs="Times New Roman"/>
              </w:rPr>
            </w:pPr>
            <w:r w:rsidRPr="00590BB6">
              <w:rPr>
                <w:rFonts w:cs="Times New Roman"/>
              </w:rPr>
              <w:t>NO</w:t>
            </w:r>
            <w:r w:rsidRPr="00590BB6">
              <w:rPr>
                <w:rFonts w:cs="Times New Roman"/>
                <w:vertAlign w:val="subscript"/>
              </w:rPr>
              <w:t>x</w:t>
            </w:r>
          </w:p>
        </w:tc>
        <w:tc>
          <w:tcPr>
            <w:tcW w:w="7383" w:type="dxa"/>
          </w:tcPr>
          <w:p w14:paraId="6DDBBE4D" w14:textId="5F2506AC" w:rsidR="007D3CC7" w:rsidRPr="00590BB6" w:rsidRDefault="007D3CC7" w:rsidP="007D3CC7">
            <w:pPr>
              <w:ind w:firstLine="31"/>
              <w:rPr>
                <w:rFonts w:cs="Times New Roman"/>
              </w:rPr>
            </w:pPr>
            <w:r w:rsidRPr="00590BB6">
              <w:rPr>
                <w:rFonts w:cs="Times New Roman"/>
              </w:rPr>
              <w:t>Oxides of Nitrogen</w:t>
            </w:r>
          </w:p>
        </w:tc>
      </w:tr>
      <w:tr w:rsidR="007D3CC7" w:rsidRPr="00590BB6" w14:paraId="1ACC950E" w14:textId="77777777" w:rsidTr="00FF5C91">
        <w:tc>
          <w:tcPr>
            <w:tcW w:w="2245" w:type="dxa"/>
          </w:tcPr>
          <w:p w14:paraId="7A4981E8" w14:textId="59196CC7" w:rsidR="007D3CC7" w:rsidRPr="00590BB6" w:rsidRDefault="007D3CC7" w:rsidP="007D3CC7">
            <w:pPr>
              <w:rPr>
                <w:rFonts w:cs="Times New Roman"/>
              </w:rPr>
            </w:pPr>
            <w:r w:rsidRPr="00590BB6">
              <w:rPr>
                <w:rFonts w:cs="Times New Roman"/>
              </w:rPr>
              <w:t>N</w:t>
            </w:r>
            <w:r w:rsidRPr="00590BB6">
              <w:rPr>
                <w:rFonts w:cs="Times New Roman"/>
                <w:vertAlign w:val="subscript"/>
              </w:rPr>
              <w:t>2</w:t>
            </w:r>
            <w:r w:rsidRPr="00590BB6">
              <w:rPr>
                <w:rFonts w:cs="Times New Roman"/>
              </w:rPr>
              <w:t>O</w:t>
            </w:r>
          </w:p>
        </w:tc>
        <w:tc>
          <w:tcPr>
            <w:tcW w:w="7383" w:type="dxa"/>
          </w:tcPr>
          <w:p w14:paraId="7109AA06" w14:textId="50ECB4AA" w:rsidR="007D3CC7" w:rsidRPr="00590BB6" w:rsidRDefault="007D3CC7" w:rsidP="007D3CC7">
            <w:pPr>
              <w:ind w:firstLine="31"/>
              <w:rPr>
                <w:rFonts w:cs="Times New Roman"/>
              </w:rPr>
            </w:pPr>
            <w:r w:rsidRPr="00590BB6">
              <w:rPr>
                <w:rFonts w:cs="Times New Roman"/>
              </w:rPr>
              <w:t>Nitrous Oxide</w:t>
            </w:r>
          </w:p>
        </w:tc>
      </w:tr>
      <w:tr w:rsidR="007D3CC7" w:rsidRPr="00590BB6" w14:paraId="390ADAF7" w14:textId="77777777" w:rsidTr="00FF5C91">
        <w:tc>
          <w:tcPr>
            <w:tcW w:w="2245" w:type="dxa"/>
          </w:tcPr>
          <w:p w14:paraId="45927587" w14:textId="77777777" w:rsidR="007D3CC7" w:rsidRPr="00590BB6" w:rsidRDefault="007D3CC7" w:rsidP="007D3CC7">
            <w:pPr>
              <w:rPr>
                <w:rFonts w:cs="Times New Roman"/>
              </w:rPr>
            </w:pPr>
            <w:r w:rsidRPr="00590BB6">
              <w:rPr>
                <w:rFonts w:cs="Times New Roman"/>
              </w:rPr>
              <w:t>PM</w:t>
            </w:r>
          </w:p>
          <w:p w14:paraId="150BA7A4" w14:textId="3E881BA4" w:rsidR="008816F6" w:rsidRPr="00590BB6" w:rsidRDefault="008816F6" w:rsidP="007D3CC7">
            <w:r w:rsidRPr="00590BB6">
              <w:t>RES</w:t>
            </w:r>
          </w:p>
        </w:tc>
        <w:tc>
          <w:tcPr>
            <w:tcW w:w="7383" w:type="dxa"/>
          </w:tcPr>
          <w:p w14:paraId="242ADDF3" w14:textId="77777777" w:rsidR="007D3CC7" w:rsidRPr="00590BB6" w:rsidRDefault="007D3CC7" w:rsidP="007D3CC7">
            <w:pPr>
              <w:ind w:firstLine="31"/>
              <w:rPr>
                <w:rFonts w:cs="Times New Roman"/>
              </w:rPr>
            </w:pPr>
            <w:r w:rsidRPr="00590BB6">
              <w:rPr>
                <w:rFonts w:cs="Times New Roman"/>
              </w:rPr>
              <w:t>Particulate Matter</w:t>
            </w:r>
          </w:p>
          <w:p w14:paraId="7B2AEE74" w14:textId="58001CB9" w:rsidR="008816F6" w:rsidRPr="00590BB6" w:rsidRDefault="008816F6" w:rsidP="007D3CC7">
            <w:pPr>
              <w:ind w:firstLine="31"/>
            </w:pPr>
            <w:r w:rsidRPr="00590BB6">
              <w:t>Renewable Energy Sources</w:t>
            </w:r>
          </w:p>
        </w:tc>
      </w:tr>
      <w:tr w:rsidR="007D3CC7" w:rsidRPr="00590BB6" w14:paraId="7E9D1489" w14:textId="77777777" w:rsidTr="00FF5C91">
        <w:tc>
          <w:tcPr>
            <w:tcW w:w="2245" w:type="dxa"/>
          </w:tcPr>
          <w:p w14:paraId="74D6289A" w14:textId="041631E0" w:rsidR="007D3CC7" w:rsidRPr="00590BB6" w:rsidRDefault="007D3CC7" w:rsidP="007D3CC7">
            <w:r w:rsidRPr="00590BB6">
              <w:rPr>
                <w:rFonts w:cs="Times New Roman"/>
              </w:rPr>
              <w:t>SE</w:t>
            </w:r>
          </w:p>
        </w:tc>
        <w:tc>
          <w:tcPr>
            <w:tcW w:w="7383" w:type="dxa"/>
          </w:tcPr>
          <w:p w14:paraId="56E086B8" w14:textId="497CF1DF" w:rsidR="007D3CC7" w:rsidRPr="00590BB6" w:rsidRDefault="007D3CC7" w:rsidP="007D3CC7">
            <w:pPr>
              <w:ind w:firstLine="31"/>
            </w:pPr>
            <w:r w:rsidRPr="00590BB6">
              <w:t>Standard Efficiency</w:t>
            </w:r>
          </w:p>
        </w:tc>
      </w:tr>
      <w:tr w:rsidR="007D3CC7" w:rsidRPr="00590BB6" w14:paraId="6EBF402A" w14:textId="77777777" w:rsidTr="00FF5C91">
        <w:trPr>
          <w:trHeight w:val="70"/>
        </w:trPr>
        <w:tc>
          <w:tcPr>
            <w:tcW w:w="2245" w:type="dxa"/>
          </w:tcPr>
          <w:p w14:paraId="07E44834" w14:textId="789A24D9" w:rsidR="007D3CC7" w:rsidRPr="00590BB6" w:rsidRDefault="007D3CC7" w:rsidP="007D3CC7">
            <w:pPr>
              <w:rPr>
                <w:rFonts w:cs="Times New Roman"/>
              </w:rPr>
            </w:pPr>
            <w:proofErr w:type="spellStart"/>
            <w:r w:rsidRPr="00590BB6">
              <w:rPr>
                <w:rFonts w:cs="Times New Roman"/>
              </w:rPr>
              <w:t>SO</w:t>
            </w:r>
            <w:r w:rsidRPr="00590BB6">
              <w:rPr>
                <w:rFonts w:cs="Times New Roman"/>
                <w:vertAlign w:val="subscript"/>
              </w:rPr>
              <w:t>x</w:t>
            </w:r>
            <w:proofErr w:type="spellEnd"/>
          </w:p>
        </w:tc>
        <w:tc>
          <w:tcPr>
            <w:tcW w:w="7383" w:type="dxa"/>
          </w:tcPr>
          <w:p w14:paraId="5BB2A05F" w14:textId="7A30AC23" w:rsidR="007D3CC7" w:rsidRPr="00590BB6" w:rsidRDefault="007D3CC7" w:rsidP="007D3CC7">
            <w:pPr>
              <w:ind w:firstLine="31"/>
              <w:rPr>
                <w:rFonts w:cs="Times New Roman"/>
              </w:rPr>
            </w:pPr>
            <w:r w:rsidRPr="00590BB6">
              <w:rPr>
                <w:rFonts w:cs="Times New Roman"/>
              </w:rPr>
              <w:t>Oxides of Sulphur</w:t>
            </w:r>
          </w:p>
        </w:tc>
      </w:tr>
      <w:tr w:rsidR="007D3CC7" w:rsidRPr="00590BB6" w14:paraId="2FE2C878" w14:textId="77777777" w:rsidTr="00FF5C91">
        <w:tc>
          <w:tcPr>
            <w:tcW w:w="2245" w:type="dxa"/>
          </w:tcPr>
          <w:p w14:paraId="6D7734AF" w14:textId="092AAC84" w:rsidR="003B705D" w:rsidRDefault="003B705D" w:rsidP="007D3CC7">
            <w:pPr>
              <w:rPr>
                <w:rFonts w:cs="Times New Roman"/>
              </w:rPr>
            </w:pPr>
            <w:r>
              <w:rPr>
                <w:rFonts w:cs="Times New Roman"/>
              </w:rPr>
              <w:t>TIMES</w:t>
            </w:r>
          </w:p>
          <w:p w14:paraId="24EC48CE" w14:textId="77777777" w:rsidR="007D3CC7" w:rsidRDefault="007D3CC7" w:rsidP="007D3CC7">
            <w:pPr>
              <w:rPr>
                <w:rFonts w:cs="Times New Roman"/>
              </w:rPr>
            </w:pPr>
            <w:r w:rsidRPr="00590BB6">
              <w:rPr>
                <w:rFonts w:cs="Times New Roman"/>
              </w:rPr>
              <w:t>TCO</w:t>
            </w:r>
          </w:p>
          <w:p w14:paraId="6B29C7D9" w14:textId="7A94374A" w:rsidR="008C455E" w:rsidRPr="00590BB6" w:rsidRDefault="008C455E" w:rsidP="007D3CC7">
            <w:r>
              <w:rPr>
                <w:rFonts w:cs="Times New Roman"/>
              </w:rPr>
              <w:t>UK</w:t>
            </w:r>
          </w:p>
        </w:tc>
        <w:tc>
          <w:tcPr>
            <w:tcW w:w="7383" w:type="dxa"/>
          </w:tcPr>
          <w:p w14:paraId="77B3B913" w14:textId="0314238C" w:rsidR="003B705D" w:rsidRDefault="003B705D" w:rsidP="007D3CC7">
            <w:pPr>
              <w:ind w:firstLine="31"/>
              <w:rPr>
                <w:rFonts w:cs="Times New Roman"/>
              </w:rPr>
            </w:pPr>
            <w:r w:rsidRPr="00590BB6">
              <w:rPr>
                <w:rFonts w:cs="Times New Roman"/>
              </w:rPr>
              <w:t>The Integrated MARKAL-EFOM System</w:t>
            </w:r>
          </w:p>
          <w:p w14:paraId="40C9FE39" w14:textId="77777777" w:rsidR="007D3CC7" w:rsidRDefault="007D3CC7" w:rsidP="007D3CC7">
            <w:pPr>
              <w:ind w:firstLine="31"/>
              <w:rPr>
                <w:rFonts w:cs="Times New Roman"/>
              </w:rPr>
            </w:pPr>
            <w:r w:rsidRPr="00590BB6">
              <w:rPr>
                <w:rFonts w:cs="Times New Roman"/>
              </w:rPr>
              <w:t>Total Cost of Ownership</w:t>
            </w:r>
          </w:p>
          <w:p w14:paraId="3CE4C83E" w14:textId="6A76F957" w:rsidR="008C455E" w:rsidRPr="00590BB6" w:rsidRDefault="008C455E" w:rsidP="007D3CC7">
            <w:pPr>
              <w:ind w:firstLine="31"/>
            </w:pPr>
            <w:r>
              <w:rPr>
                <w:rFonts w:cs="Times New Roman"/>
              </w:rPr>
              <w:t>United Kingdom</w:t>
            </w:r>
          </w:p>
        </w:tc>
      </w:tr>
      <w:tr w:rsidR="007D3CC7" w:rsidRPr="00590BB6" w14:paraId="4B9D58D0" w14:textId="77777777" w:rsidTr="00FF5C91">
        <w:tc>
          <w:tcPr>
            <w:tcW w:w="2245" w:type="dxa"/>
          </w:tcPr>
          <w:p w14:paraId="10737F87" w14:textId="4504A2CD" w:rsidR="007D3CC7" w:rsidRPr="00590BB6" w:rsidRDefault="007D3CC7" w:rsidP="007D3CC7">
            <w:pPr>
              <w:rPr>
                <w:rFonts w:cs="Times New Roman"/>
              </w:rPr>
            </w:pPr>
          </w:p>
        </w:tc>
        <w:tc>
          <w:tcPr>
            <w:tcW w:w="7383" w:type="dxa"/>
          </w:tcPr>
          <w:p w14:paraId="39F01D35" w14:textId="3F69483A" w:rsidR="007D3CC7" w:rsidRPr="00590BB6" w:rsidRDefault="007D3CC7" w:rsidP="007D3CC7">
            <w:pPr>
              <w:ind w:firstLine="31"/>
            </w:pPr>
          </w:p>
        </w:tc>
      </w:tr>
      <w:tr w:rsidR="007D3CC7" w:rsidRPr="00590BB6" w14:paraId="42EA8E9F" w14:textId="77777777" w:rsidTr="00FF5C91">
        <w:tc>
          <w:tcPr>
            <w:tcW w:w="9628" w:type="dxa"/>
            <w:gridSpan w:val="2"/>
          </w:tcPr>
          <w:p w14:paraId="15DC63BA" w14:textId="2B324DB1" w:rsidR="007D3CC7" w:rsidRPr="00590BB6" w:rsidRDefault="007D3CC7" w:rsidP="007D3CC7">
            <w:pPr>
              <w:ind w:firstLine="31"/>
              <w:rPr>
                <w:b/>
              </w:rPr>
            </w:pPr>
            <w:r w:rsidRPr="00590BB6">
              <w:rPr>
                <w:rFonts w:cs="Times New Roman"/>
                <w:b/>
              </w:rPr>
              <w:t>Units</w:t>
            </w:r>
          </w:p>
        </w:tc>
      </w:tr>
      <w:tr w:rsidR="007D3CC7" w:rsidRPr="00590BB6" w14:paraId="3F37A478" w14:textId="77777777" w:rsidTr="00FF5C91">
        <w:tc>
          <w:tcPr>
            <w:tcW w:w="2245" w:type="dxa"/>
          </w:tcPr>
          <w:p w14:paraId="0E220E4E" w14:textId="156D1B49" w:rsidR="007D3CC7" w:rsidRPr="00590BB6" w:rsidRDefault="007D3CC7" w:rsidP="007D3CC7">
            <w:r w:rsidRPr="00590BB6">
              <w:t>kt</w:t>
            </w:r>
          </w:p>
        </w:tc>
        <w:tc>
          <w:tcPr>
            <w:tcW w:w="7383" w:type="dxa"/>
          </w:tcPr>
          <w:p w14:paraId="4B8B6F3F" w14:textId="08E07280" w:rsidR="007D3CC7" w:rsidRPr="00590BB6" w:rsidRDefault="007D3CC7" w:rsidP="007D3CC7">
            <w:pPr>
              <w:ind w:firstLine="31"/>
            </w:pPr>
            <w:r w:rsidRPr="00590BB6">
              <w:t>Kiloton</w:t>
            </w:r>
          </w:p>
        </w:tc>
      </w:tr>
      <w:tr w:rsidR="007D3CC7" w:rsidRPr="00590BB6" w14:paraId="1D626B81" w14:textId="77777777" w:rsidTr="00FF5C91">
        <w:tc>
          <w:tcPr>
            <w:tcW w:w="2245" w:type="dxa"/>
          </w:tcPr>
          <w:p w14:paraId="52085C9E" w14:textId="12950871" w:rsidR="007D3CC7" w:rsidRPr="00590BB6" w:rsidRDefault="007D3CC7" w:rsidP="007D3CC7">
            <w:r w:rsidRPr="00590BB6">
              <w:t>Mt</w:t>
            </w:r>
          </w:p>
        </w:tc>
        <w:tc>
          <w:tcPr>
            <w:tcW w:w="7383" w:type="dxa"/>
          </w:tcPr>
          <w:p w14:paraId="25D5FD48" w14:textId="32F2A316" w:rsidR="007D3CC7" w:rsidRPr="00590BB6" w:rsidRDefault="007D3CC7" w:rsidP="007D3CC7">
            <w:pPr>
              <w:ind w:firstLine="31"/>
            </w:pPr>
            <w:r w:rsidRPr="00590BB6">
              <w:t>Million ton</w:t>
            </w:r>
          </w:p>
        </w:tc>
      </w:tr>
      <w:tr w:rsidR="00FF5C91" w:rsidRPr="00590BB6" w14:paraId="69AD7116" w14:textId="77777777" w:rsidTr="00FF5C91">
        <w:tc>
          <w:tcPr>
            <w:tcW w:w="2245" w:type="dxa"/>
          </w:tcPr>
          <w:p w14:paraId="5369CCEA" w14:textId="79D3BCF1" w:rsidR="00FF5C91" w:rsidRPr="00590BB6" w:rsidRDefault="00FF5C91" w:rsidP="007D3CC7">
            <w:r w:rsidRPr="00590BB6">
              <w:t>Mt CO</w:t>
            </w:r>
            <w:r w:rsidRPr="00590BB6">
              <w:rPr>
                <w:vertAlign w:val="subscript"/>
              </w:rPr>
              <w:t>2</w:t>
            </w:r>
          </w:p>
        </w:tc>
        <w:tc>
          <w:tcPr>
            <w:tcW w:w="7383" w:type="dxa"/>
          </w:tcPr>
          <w:p w14:paraId="1CE71F6E" w14:textId="56CC3950" w:rsidR="00FF5C91" w:rsidRPr="00590BB6" w:rsidRDefault="00FF5C91" w:rsidP="007D3CC7">
            <w:pPr>
              <w:ind w:firstLine="31"/>
            </w:pPr>
            <w:r w:rsidRPr="00590BB6">
              <w:t>Million ton of CO</w:t>
            </w:r>
            <w:r w:rsidRPr="00590BB6">
              <w:rPr>
                <w:vertAlign w:val="subscript"/>
              </w:rPr>
              <w:t>2</w:t>
            </w:r>
            <w:r w:rsidRPr="00590BB6">
              <w:t xml:space="preserve"> equivalent</w:t>
            </w:r>
          </w:p>
        </w:tc>
      </w:tr>
      <w:tr w:rsidR="007D3CC7" w:rsidRPr="00590BB6" w14:paraId="72A97EB2" w14:textId="77777777" w:rsidTr="00FF5C91">
        <w:tc>
          <w:tcPr>
            <w:tcW w:w="2245" w:type="dxa"/>
          </w:tcPr>
          <w:p w14:paraId="1AE6EDE7" w14:textId="6B6E592A" w:rsidR="007D3CC7" w:rsidRPr="00590BB6" w:rsidRDefault="007D3CC7" w:rsidP="007D3CC7">
            <w:r w:rsidRPr="00590BB6">
              <w:t>t-km</w:t>
            </w:r>
          </w:p>
        </w:tc>
        <w:tc>
          <w:tcPr>
            <w:tcW w:w="7383" w:type="dxa"/>
          </w:tcPr>
          <w:p w14:paraId="2841781B" w14:textId="26C98741" w:rsidR="007D3CC7" w:rsidRPr="00590BB6" w:rsidRDefault="007D3CC7" w:rsidP="007D3CC7">
            <w:pPr>
              <w:ind w:firstLine="31"/>
            </w:pPr>
            <w:r w:rsidRPr="00590BB6">
              <w:t>Tonne-kilometre</w:t>
            </w:r>
          </w:p>
        </w:tc>
      </w:tr>
      <w:tr w:rsidR="007D3CC7" w:rsidRPr="00590BB6" w14:paraId="1A1A0251" w14:textId="77777777" w:rsidTr="00FF5C91">
        <w:tc>
          <w:tcPr>
            <w:tcW w:w="2245" w:type="dxa"/>
          </w:tcPr>
          <w:p w14:paraId="6D3D4243" w14:textId="72D7ADE5" w:rsidR="007D3CC7" w:rsidRPr="00590BB6" w:rsidRDefault="007D3CC7" w:rsidP="007D3CC7">
            <w:r w:rsidRPr="00590BB6">
              <w:t>v-km</w:t>
            </w:r>
          </w:p>
        </w:tc>
        <w:tc>
          <w:tcPr>
            <w:tcW w:w="7383" w:type="dxa"/>
          </w:tcPr>
          <w:p w14:paraId="6223FFD2" w14:textId="46A59153" w:rsidR="007D3CC7" w:rsidRPr="00590BB6" w:rsidRDefault="007D3CC7" w:rsidP="007D3CC7">
            <w:pPr>
              <w:ind w:firstLine="31"/>
            </w:pPr>
            <w:r w:rsidRPr="00590BB6">
              <w:t>Vehicle-kilometre</w:t>
            </w:r>
          </w:p>
        </w:tc>
      </w:tr>
      <w:tr w:rsidR="007D3CC7" w:rsidRPr="00590BB6" w14:paraId="56243055" w14:textId="77777777" w:rsidTr="00FF5C91">
        <w:tc>
          <w:tcPr>
            <w:tcW w:w="2245" w:type="dxa"/>
          </w:tcPr>
          <w:p w14:paraId="4E7D0952" w14:textId="541F957C" w:rsidR="007D3CC7" w:rsidRPr="00590BB6" w:rsidRDefault="007D3CC7" w:rsidP="007D3CC7">
            <w:r w:rsidRPr="00590BB6">
              <w:t>MJ</w:t>
            </w:r>
          </w:p>
        </w:tc>
        <w:tc>
          <w:tcPr>
            <w:tcW w:w="7383" w:type="dxa"/>
          </w:tcPr>
          <w:p w14:paraId="2DDB6E53" w14:textId="3499DEF0" w:rsidR="007D3CC7" w:rsidRPr="00590BB6" w:rsidRDefault="007D3CC7" w:rsidP="007D3CC7">
            <w:pPr>
              <w:ind w:firstLine="31"/>
            </w:pPr>
            <w:r w:rsidRPr="00590BB6">
              <w:t>Megajoule</w:t>
            </w:r>
          </w:p>
        </w:tc>
      </w:tr>
      <w:tr w:rsidR="007D3CC7" w:rsidRPr="00590BB6" w14:paraId="7B9E31F2" w14:textId="77777777" w:rsidTr="00FF5C91">
        <w:tc>
          <w:tcPr>
            <w:tcW w:w="2245" w:type="dxa"/>
          </w:tcPr>
          <w:p w14:paraId="496A89FB" w14:textId="7EEF0580" w:rsidR="007D3CC7" w:rsidRPr="00590BB6" w:rsidRDefault="007D3CC7" w:rsidP="007D3CC7">
            <w:r w:rsidRPr="00590BB6">
              <w:t>PJ</w:t>
            </w:r>
          </w:p>
        </w:tc>
        <w:tc>
          <w:tcPr>
            <w:tcW w:w="7383" w:type="dxa"/>
          </w:tcPr>
          <w:p w14:paraId="173C33DC" w14:textId="32B2F19E" w:rsidR="007D3CC7" w:rsidRPr="00590BB6" w:rsidRDefault="007D3CC7" w:rsidP="007D3CC7">
            <w:pPr>
              <w:ind w:firstLine="31"/>
            </w:pPr>
            <w:r w:rsidRPr="00590BB6">
              <w:t>Petajoule</w:t>
            </w:r>
          </w:p>
        </w:tc>
      </w:tr>
      <w:tr w:rsidR="007D3CC7" w:rsidRPr="00590BB6" w14:paraId="7E466EAD" w14:textId="77777777" w:rsidTr="00FF5C91">
        <w:tc>
          <w:tcPr>
            <w:tcW w:w="2245" w:type="dxa"/>
          </w:tcPr>
          <w:p w14:paraId="69CC770F" w14:textId="603B9DB7" w:rsidR="007D3CC7" w:rsidRPr="00590BB6" w:rsidRDefault="003B705D" w:rsidP="007D3CC7">
            <w:r>
              <w:rPr>
                <w:rFonts w:cs="Times New Roman"/>
              </w:rPr>
              <w:t>k</w:t>
            </w:r>
            <w:r w:rsidR="007D3CC7" w:rsidRPr="00590BB6">
              <w:rPr>
                <w:rFonts w:cs="Times New Roman"/>
              </w:rPr>
              <w:t>Wh</w:t>
            </w:r>
          </w:p>
        </w:tc>
        <w:tc>
          <w:tcPr>
            <w:tcW w:w="7383" w:type="dxa"/>
          </w:tcPr>
          <w:p w14:paraId="64006598" w14:textId="0A85E3AE" w:rsidR="007D3CC7" w:rsidRPr="00590BB6" w:rsidRDefault="007D3CC7" w:rsidP="007D3CC7">
            <w:pPr>
              <w:ind w:firstLine="31"/>
            </w:pPr>
            <w:r w:rsidRPr="00590BB6">
              <w:t>Kilowatt-hour</w:t>
            </w:r>
          </w:p>
        </w:tc>
      </w:tr>
      <w:tr w:rsidR="007D3CC7" w:rsidRPr="00590BB6" w14:paraId="53B490AD" w14:textId="77777777" w:rsidTr="00FF5C91">
        <w:tc>
          <w:tcPr>
            <w:tcW w:w="2245" w:type="dxa"/>
          </w:tcPr>
          <w:p w14:paraId="182594D9" w14:textId="511F23E0" w:rsidR="007D3CC7" w:rsidRPr="00590BB6" w:rsidRDefault="007D3CC7" w:rsidP="007D3CC7">
            <w:pPr>
              <w:rPr>
                <w:rFonts w:cs="Times New Roman"/>
              </w:rPr>
            </w:pPr>
            <w:r w:rsidRPr="00590BB6">
              <w:rPr>
                <w:rFonts w:cs="Times New Roman"/>
              </w:rPr>
              <w:t>GWh</w:t>
            </w:r>
          </w:p>
        </w:tc>
        <w:tc>
          <w:tcPr>
            <w:tcW w:w="7383" w:type="dxa"/>
          </w:tcPr>
          <w:p w14:paraId="74CC10FC" w14:textId="488C64D9" w:rsidR="007D3CC7" w:rsidRPr="00590BB6" w:rsidRDefault="007D3CC7" w:rsidP="007D3CC7">
            <w:pPr>
              <w:ind w:firstLine="31"/>
            </w:pPr>
            <w:r w:rsidRPr="00590BB6">
              <w:t>Gigawatt-hour</w:t>
            </w:r>
          </w:p>
        </w:tc>
      </w:tr>
      <w:tr w:rsidR="007D3CC7" w:rsidRPr="00590BB6" w14:paraId="2DBB358D" w14:textId="77777777" w:rsidTr="00FF5C91">
        <w:tc>
          <w:tcPr>
            <w:tcW w:w="2245" w:type="dxa"/>
          </w:tcPr>
          <w:p w14:paraId="6D0950B9" w14:textId="02023A7E" w:rsidR="007D3CC7" w:rsidRPr="00590BB6" w:rsidRDefault="007D3CC7" w:rsidP="007D3CC7">
            <w:pPr>
              <w:rPr>
                <w:rFonts w:cs="Times New Roman"/>
              </w:rPr>
            </w:pPr>
            <w:proofErr w:type="spellStart"/>
            <w:r w:rsidRPr="00590BB6">
              <w:rPr>
                <w:rFonts w:cs="Times New Roman"/>
              </w:rPr>
              <w:t>TWh</w:t>
            </w:r>
            <w:proofErr w:type="spellEnd"/>
          </w:p>
        </w:tc>
        <w:tc>
          <w:tcPr>
            <w:tcW w:w="7383" w:type="dxa"/>
          </w:tcPr>
          <w:p w14:paraId="196AB555" w14:textId="668A4762" w:rsidR="007D3CC7" w:rsidRPr="00590BB6" w:rsidRDefault="007D3CC7" w:rsidP="007D3CC7">
            <w:pPr>
              <w:ind w:firstLine="31"/>
            </w:pPr>
            <w:r w:rsidRPr="00590BB6">
              <w:t>Terawatt-hour</w:t>
            </w:r>
          </w:p>
        </w:tc>
      </w:tr>
      <w:tr w:rsidR="007D3CC7" w:rsidRPr="00590BB6" w14:paraId="0E76CF38" w14:textId="77777777" w:rsidTr="00FF5C91">
        <w:trPr>
          <w:trHeight w:val="70"/>
        </w:trPr>
        <w:tc>
          <w:tcPr>
            <w:tcW w:w="2245" w:type="dxa"/>
          </w:tcPr>
          <w:p w14:paraId="1B126AA9" w14:textId="7EF850CF" w:rsidR="007D3CC7" w:rsidRPr="00590BB6" w:rsidRDefault="007D3CC7" w:rsidP="007D3CC7">
            <w:pPr>
              <w:rPr>
                <w:rFonts w:cs="Times New Roman"/>
              </w:rPr>
            </w:pPr>
            <w:r w:rsidRPr="00590BB6">
              <w:rPr>
                <w:rFonts w:cs="Times New Roman"/>
              </w:rPr>
              <w:t>2010 USD</w:t>
            </w:r>
          </w:p>
        </w:tc>
        <w:tc>
          <w:tcPr>
            <w:tcW w:w="7383" w:type="dxa"/>
          </w:tcPr>
          <w:p w14:paraId="2C92954F" w14:textId="4EB01571" w:rsidR="007D3CC7" w:rsidRPr="00590BB6" w:rsidRDefault="007D3CC7" w:rsidP="007D3CC7">
            <w:pPr>
              <w:ind w:firstLine="31"/>
            </w:pPr>
            <w:r w:rsidRPr="00590BB6">
              <w:rPr>
                <w:rFonts w:cs="Times New Roman"/>
              </w:rPr>
              <w:t>2010 U.S. Dollars</w:t>
            </w:r>
          </w:p>
        </w:tc>
      </w:tr>
    </w:tbl>
    <w:p w14:paraId="4AD1A1E6" w14:textId="77777777" w:rsidR="00C53664" w:rsidRPr="00590BB6" w:rsidRDefault="00C53664" w:rsidP="00FA599F"/>
    <w:p w14:paraId="1B3FCEAE" w14:textId="085EB826" w:rsidR="004E0CDD" w:rsidRPr="00590BB6" w:rsidRDefault="004E0CDD" w:rsidP="00600286">
      <w:pPr>
        <w:pStyle w:val="Heading1"/>
        <w:numPr>
          <w:ilvl w:val="0"/>
          <w:numId w:val="0"/>
        </w:numPr>
        <w:spacing w:after="240" w:line="360" w:lineRule="auto"/>
        <w:ind w:left="432" w:hanging="432"/>
        <w:rPr>
          <w:rFonts w:cs="Times New Roman"/>
          <w:sz w:val="22"/>
          <w:szCs w:val="22"/>
        </w:rPr>
      </w:pPr>
      <w:bookmarkStart w:id="32" w:name="_Hlk122686780"/>
      <w:r w:rsidRPr="00590BB6">
        <w:rPr>
          <w:rFonts w:cs="Times New Roman"/>
          <w:sz w:val="22"/>
          <w:szCs w:val="22"/>
        </w:rPr>
        <w:t>References</w:t>
      </w:r>
    </w:p>
    <w:bookmarkEnd w:id="32"/>
    <w:p w14:paraId="6A5AFE36" w14:textId="65F7DB79" w:rsidR="006F44A7" w:rsidRPr="00590BB6" w:rsidRDefault="00B63D68" w:rsidP="006F44A7">
      <w:pPr>
        <w:widowControl w:val="0"/>
        <w:autoSpaceDE w:val="0"/>
        <w:autoSpaceDN w:val="0"/>
        <w:adjustRightInd w:val="0"/>
        <w:spacing w:line="360" w:lineRule="auto"/>
        <w:ind w:left="640" w:hanging="640"/>
        <w:rPr>
          <w:rFonts w:cs="Times New Roman"/>
          <w:noProof/>
          <w:szCs w:val="24"/>
        </w:rPr>
      </w:pPr>
      <w:r w:rsidRPr="00590BB6">
        <w:rPr>
          <w:rFonts w:cs="Times New Roman"/>
        </w:rPr>
        <w:fldChar w:fldCharType="begin" w:fldLock="1"/>
      </w:r>
      <w:r w:rsidRPr="00590BB6">
        <w:rPr>
          <w:rFonts w:cs="Times New Roman"/>
        </w:rPr>
        <w:instrText xml:space="preserve">ADDIN Mendeley Bibliography CSL_BIBLIOGRAPHY </w:instrText>
      </w:r>
      <w:r w:rsidRPr="00590BB6">
        <w:rPr>
          <w:rFonts w:cs="Times New Roman"/>
        </w:rPr>
        <w:fldChar w:fldCharType="separate"/>
      </w:r>
      <w:r w:rsidR="006F44A7" w:rsidRPr="00590BB6">
        <w:rPr>
          <w:rFonts w:cs="Times New Roman"/>
          <w:noProof/>
          <w:szCs w:val="24"/>
        </w:rPr>
        <w:t>[1]</w:t>
      </w:r>
      <w:r w:rsidR="006F44A7" w:rsidRPr="00590BB6">
        <w:rPr>
          <w:rFonts w:cs="Times New Roman"/>
          <w:noProof/>
          <w:szCs w:val="24"/>
        </w:rPr>
        <w:tab/>
        <w:t>European Climate Foundation, “Fuelling Italy’s Future,” pp. 1–32, 2019, [Online]. Available: https://europeanclimate.org/content/uploads/2019/12/fuelling-italys-future-how-the-transition-to-low-</w:t>
      </w:r>
      <w:r w:rsidR="006F44A7" w:rsidRPr="00590BB6">
        <w:rPr>
          <w:rFonts w:cs="Times New Roman"/>
          <w:noProof/>
          <w:szCs w:val="24"/>
        </w:rPr>
        <w:lastRenderedPageBreak/>
        <w:t>carbon-mobility-strengthens-the-economy-summary-report-en.pdf</w:t>
      </w:r>
    </w:p>
    <w:p w14:paraId="3FD753DB"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[2]</w:t>
      </w:r>
      <w:r w:rsidRPr="00590BB6">
        <w:rPr>
          <w:rFonts w:cs="Times New Roman"/>
          <w:noProof/>
          <w:szCs w:val="24"/>
        </w:rPr>
        <w:tab/>
        <w:t xml:space="preserve">“The Future of Trucks – Implications for Energy and the Environment,” </w:t>
      </w:r>
      <w:r w:rsidRPr="00590BB6">
        <w:rPr>
          <w:rFonts w:cs="Times New Roman"/>
          <w:i/>
          <w:iCs/>
          <w:noProof/>
          <w:szCs w:val="24"/>
        </w:rPr>
        <w:t>Int. Energy Agency</w:t>
      </w:r>
      <w:r w:rsidRPr="00590BB6">
        <w:rPr>
          <w:rFonts w:cs="Times New Roman"/>
          <w:noProof/>
          <w:szCs w:val="24"/>
        </w:rPr>
        <w:t>, 2017.</w:t>
      </w:r>
    </w:p>
    <w:p w14:paraId="42B8C429"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[3]</w:t>
      </w:r>
      <w:r w:rsidRPr="00590BB6">
        <w:rPr>
          <w:rFonts w:cs="Times New Roman"/>
          <w:noProof/>
          <w:szCs w:val="24"/>
        </w:rPr>
        <w:tab/>
        <w:t xml:space="preserve">ACEA, “Medium and Heavy Trucks (over 3.5 t): New Registrations by Fuel Type in the European Union,” </w:t>
      </w:r>
      <w:r w:rsidRPr="00590BB6">
        <w:rPr>
          <w:rFonts w:cs="Times New Roman"/>
          <w:i/>
          <w:iCs/>
          <w:noProof/>
          <w:szCs w:val="24"/>
        </w:rPr>
        <w:t>European Automobile Manufacturers’ Association</w:t>
      </w:r>
      <w:r w:rsidRPr="00590BB6">
        <w:rPr>
          <w:rFonts w:cs="Times New Roman"/>
          <w:noProof/>
          <w:szCs w:val="24"/>
        </w:rPr>
        <w:t>. ACEA, 2020. [Online]. Available: https://www.acea.be/uploads/press_releases_files/ACEA_buses_by_fuel_type_full-year_2019.pdf</w:t>
      </w:r>
    </w:p>
    <w:p w14:paraId="454A3D4C"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[4]</w:t>
      </w:r>
      <w:r w:rsidRPr="00590BB6">
        <w:rPr>
          <w:rFonts w:cs="Times New Roman"/>
          <w:noProof/>
          <w:szCs w:val="24"/>
        </w:rPr>
        <w:tab/>
        <w:t xml:space="preserve">F. Rodríguez, O. Delgado, and R. Muncrief, “Fuel consumption testing of tractortrailers in the European Union and the United States,” </w:t>
      </w:r>
      <w:r w:rsidRPr="00590BB6">
        <w:rPr>
          <w:rFonts w:cs="Times New Roman"/>
          <w:i/>
          <w:iCs/>
          <w:noProof/>
          <w:szCs w:val="24"/>
        </w:rPr>
        <w:t>Int. Counc. Cleant Transp.</w:t>
      </w:r>
      <w:r w:rsidRPr="00590BB6">
        <w:rPr>
          <w:rFonts w:cs="Times New Roman"/>
          <w:noProof/>
          <w:szCs w:val="24"/>
        </w:rPr>
        <w:t>, no. May, p. 13, 2018.</w:t>
      </w:r>
    </w:p>
    <w:p w14:paraId="4C1E75BC"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[5]</w:t>
      </w:r>
      <w:r w:rsidRPr="00590BB6">
        <w:rPr>
          <w:rFonts w:cs="Times New Roman"/>
          <w:noProof/>
          <w:szCs w:val="24"/>
        </w:rPr>
        <w:tab/>
        <w:t xml:space="preserve">M. Saglietto, L. Alberti, A. Musso, F. Vigo, and S. Geraci, “DOSSIER Trasporto merci su strada,” </w:t>
      </w:r>
      <w:r w:rsidRPr="00590BB6">
        <w:rPr>
          <w:rFonts w:cs="Times New Roman"/>
          <w:i/>
          <w:iCs/>
          <w:noProof/>
          <w:szCs w:val="24"/>
        </w:rPr>
        <w:t>Assoc. Naz. Filiera Ind. Automob.</w:t>
      </w:r>
      <w:r w:rsidRPr="00590BB6">
        <w:rPr>
          <w:rFonts w:cs="Times New Roman"/>
          <w:noProof/>
          <w:szCs w:val="24"/>
        </w:rPr>
        <w:t>, pp. 1–74, 2020.</w:t>
      </w:r>
    </w:p>
    <w:p w14:paraId="47978111"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[6]</w:t>
      </w:r>
      <w:r w:rsidRPr="00590BB6">
        <w:rPr>
          <w:rFonts w:cs="Times New Roman"/>
          <w:noProof/>
          <w:szCs w:val="24"/>
        </w:rPr>
        <w:tab/>
        <w:t xml:space="preserve">Sustainable Mobility for All, </w:t>
      </w:r>
      <w:r w:rsidRPr="00590BB6">
        <w:rPr>
          <w:rFonts w:cs="Times New Roman"/>
          <w:i/>
          <w:iCs/>
          <w:noProof/>
          <w:szCs w:val="24"/>
        </w:rPr>
        <w:t>Sustainable Mobility for All</w:t>
      </w:r>
      <w:r w:rsidRPr="00590BB6">
        <w:rPr>
          <w:rFonts w:cs="Times New Roman"/>
          <w:noProof/>
          <w:szCs w:val="24"/>
        </w:rPr>
        <w:t>. 2017.</w:t>
      </w:r>
    </w:p>
    <w:p w14:paraId="1A3F45DD"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[7]</w:t>
      </w:r>
      <w:r w:rsidRPr="00590BB6">
        <w:rPr>
          <w:rFonts w:cs="Times New Roman"/>
          <w:noProof/>
          <w:szCs w:val="24"/>
        </w:rPr>
        <w:tab/>
        <w:t xml:space="preserve">T. Meyer, “Decarbonizing road freight transportation – A bibliometric and network analysis,” </w:t>
      </w:r>
      <w:r w:rsidRPr="00590BB6">
        <w:rPr>
          <w:rFonts w:cs="Times New Roman"/>
          <w:i/>
          <w:iCs/>
          <w:noProof/>
          <w:szCs w:val="24"/>
        </w:rPr>
        <w:t>Transp. Res. Part D Transp. Environ.</w:t>
      </w:r>
      <w:r w:rsidRPr="00590BB6">
        <w:rPr>
          <w:rFonts w:cs="Times New Roman"/>
          <w:noProof/>
          <w:szCs w:val="24"/>
        </w:rPr>
        <w:t>, vol. 89, no. November, p. 102619, 2020, doi: 10.1016/j.trd.2020.102619.</w:t>
      </w:r>
    </w:p>
    <w:p w14:paraId="0867FD37"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[8]</w:t>
      </w:r>
      <w:r w:rsidRPr="00590BB6">
        <w:rPr>
          <w:rFonts w:cs="Times New Roman"/>
          <w:noProof/>
          <w:szCs w:val="24"/>
        </w:rPr>
        <w:tab/>
        <w:t>A. Bernetti, “Le emissioni dal trasporto stradale in Italia. ISPRA-Istituto Superiore per la Protezione e la Ricerca Ambientale,” 2019.</w:t>
      </w:r>
    </w:p>
    <w:p w14:paraId="1869D6DD"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[9]</w:t>
      </w:r>
      <w:r w:rsidRPr="00590BB6">
        <w:rPr>
          <w:rFonts w:cs="Times New Roman"/>
          <w:noProof/>
          <w:szCs w:val="24"/>
        </w:rPr>
        <w:tab/>
        <w:t>ISPRA - Istituto Superiore per la Protezione e la Ricerca Ambientale, “Italian Greenhouse Gas Inventory 1990-2019,” 2021. [Online]. Available: www.isprambiente.gov.it</w:t>
      </w:r>
    </w:p>
    <w:p w14:paraId="2F649262"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[10]</w:t>
      </w:r>
      <w:r w:rsidRPr="00590BB6">
        <w:rPr>
          <w:rFonts w:cs="Times New Roman"/>
          <w:noProof/>
          <w:szCs w:val="24"/>
        </w:rPr>
        <w:tab/>
        <w:t>ACI, “Open parco veicoli,” 2022.</w:t>
      </w:r>
    </w:p>
    <w:p w14:paraId="405098FC"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[11]</w:t>
      </w:r>
      <w:r w:rsidRPr="00590BB6">
        <w:rPr>
          <w:rFonts w:cs="Times New Roman"/>
          <w:noProof/>
          <w:szCs w:val="24"/>
        </w:rPr>
        <w:tab/>
        <w:t>Climate Transparency, “Brown to Green: The G20 transition towards a net-zero emissions economy - Italy.” 2019. [Online]. Available: http://www.climate-transparency.org/g20-climate-performance/g20report2019</w:t>
      </w:r>
    </w:p>
    <w:p w14:paraId="6F09DE26"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[12]</w:t>
      </w:r>
      <w:r w:rsidRPr="00590BB6">
        <w:rPr>
          <w:rFonts w:cs="Times New Roman"/>
          <w:noProof/>
          <w:szCs w:val="24"/>
        </w:rPr>
        <w:tab/>
        <w:t>European Commission, “National Energy and Climate Plan 2021-2030 - Italy.” 2019.</w:t>
      </w:r>
    </w:p>
    <w:p w14:paraId="689C5981"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[13]</w:t>
      </w:r>
      <w:r w:rsidRPr="00590BB6">
        <w:rPr>
          <w:rFonts w:cs="Times New Roman"/>
          <w:noProof/>
          <w:szCs w:val="24"/>
        </w:rPr>
        <w:tab/>
        <w:t xml:space="preserve">European Comission, “Reducing CO₂ emissions from heavy-duty vehicles,” </w:t>
      </w:r>
      <w:r w:rsidRPr="00590BB6">
        <w:rPr>
          <w:rFonts w:cs="Times New Roman"/>
          <w:i/>
          <w:iCs/>
          <w:noProof/>
          <w:szCs w:val="24"/>
        </w:rPr>
        <w:t>European Commission</w:t>
      </w:r>
      <w:r w:rsidRPr="00590BB6">
        <w:rPr>
          <w:rFonts w:cs="Times New Roman"/>
          <w:noProof/>
          <w:szCs w:val="24"/>
        </w:rPr>
        <w:t>, 2023. https://climate.ec.europa.eu/eu-action/transport-emissions/road-transport-reducing-co2-emissions-vehicles/reducing-co2-emissions-heavy-duty-vehicles_en (accessed Jun. 30, 2023).</w:t>
      </w:r>
    </w:p>
    <w:p w14:paraId="512293E3"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[14]</w:t>
      </w:r>
      <w:r w:rsidRPr="00590BB6">
        <w:rPr>
          <w:rFonts w:cs="Times New Roman"/>
          <w:noProof/>
          <w:szCs w:val="24"/>
        </w:rPr>
        <w:tab/>
        <w:t xml:space="preserve">V. Marzano </w:t>
      </w:r>
      <w:r w:rsidRPr="00590BB6">
        <w:rPr>
          <w:rFonts w:cs="Times New Roman"/>
          <w:i/>
          <w:iCs/>
          <w:noProof/>
          <w:szCs w:val="24"/>
        </w:rPr>
        <w:t>et al.</w:t>
      </w:r>
      <w:r w:rsidRPr="00590BB6">
        <w:rPr>
          <w:rFonts w:cs="Times New Roman"/>
          <w:noProof/>
          <w:szCs w:val="24"/>
        </w:rPr>
        <w:t xml:space="preserve">, “Impacts of truck platooning on the multimodal freight transport market: An exploratory assessment on a case study in Italy,” </w:t>
      </w:r>
      <w:r w:rsidRPr="00590BB6">
        <w:rPr>
          <w:rFonts w:cs="Times New Roman"/>
          <w:i/>
          <w:iCs/>
          <w:noProof/>
          <w:szCs w:val="24"/>
        </w:rPr>
        <w:t>Transp. Res. Part A Policy Pract.</w:t>
      </w:r>
      <w:r w:rsidRPr="00590BB6">
        <w:rPr>
          <w:rFonts w:cs="Times New Roman"/>
          <w:noProof/>
          <w:szCs w:val="24"/>
        </w:rPr>
        <w:t>, vol. 163, no. July, pp. 100–125, 2022, doi: 10.1016/j.tra.2022.07.001.</w:t>
      </w:r>
    </w:p>
    <w:p w14:paraId="36904621"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[15]</w:t>
      </w:r>
      <w:r w:rsidRPr="00590BB6">
        <w:rPr>
          <w:rFonts w:cs="Times New Roman"/>
          <w:noProof/>
          <w:szCs w:val="24"/>
        </w:rPr>
        <w:tab/>
        <w:t xml:space="preserve">F. Parolin, P. Colbertaldo, and S. Campanari, “Development of a multi-modality hydrogen delivery infrastructure: An optimization model for design and operation,” </w:t>
      </w:r>
      <w:r w:rsidRPr="00590BB6">
        <w:rPr>
          <w:rFonts w:cs="Times New Roman"/>
          <w:i/>
          <w:iCs/>
          <w:noProof/>
          <w:szCs w:val="24"/>
        </w:rPr>
        <w:t>Energy Convers. Manag.</w:t>
      </w:r>
      <w:r w:rsidRPr="00590BB6">
        <w:rPr>
          <w:rFonts w:cs="Times New Roman"/>
          <w:noProof/>
          <w:szCs w:val="24"/>
        </w:rPr>
        <w:t>, vol. 266, no. April, p. 115650, 2022, doi: 10.1016/j.enconman.2022.115650.</w:t>
      </w:r>
    </w:p>
    <w:p w14:paraId="57DF3196"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lastRenderedPageBreak/>
        <w:t>[16]</w:t>
      </w:r>
      <w:r w:rsidRPr="00590BB6">
        <w:rPr>
          <w:rFonts w:cs="Times New Roman"/>
          <w:noProof/>
          <w:szCs w:val="24"/>
        </w:rPr>
        <w:tab/>
        <w:t xml:space="preserve">P. Tratzi </w:t>
      </w:r>
      <w:r w:rsidRPr="00590BB6">
        <w:rPr>
          <w:rFonts w:cs="Times New Roman"/>
          <w:i/>
          <w:iCs/>
          <w:noProof/>
          <w:szCs w:val="24"/>
        </w:rPr>
        <w:t>et al.</w:t>
      </w:r>
      <w:r w:rsidRPr="00590BB6">
        <w:rPr>
          <w:rFonts w:cs="Times New Roman"/>
          <w:noProof/>
          <w:szCs w:val="24"/>
        </w:rPr>
        <w:t xml:space="preserve">, “Liquefied biomethane for heavy-duty transport in Italy: A well-to-wheels approach,” </w:t>
      </w:r>
      <w:r w:rsidRPr="00590BB6">
        <w:rPr>
          <w:rFonts w:cs="Times New Roman"/>
          <w:i/>
          <w:iCs/>
          <w:noProof/>
          <w:szCs w:val="24"/>
        </w:rPr>
        <w:t>Transp. Res. Part D Transp. Environ.</w:t>
      </w:r>
      <w:r w:rsidRPr="00590BB6">
        <w:rPr>
          <w:rFonts w:cs="Times New Roman"/>
          <w:noProof/>
          <w:szCs w:val="24"/>
        </w:rPr>
        <w:t>, vol. 107, no. April, p. 103288, 2022, doi: 10.1016/j.trd.2022.103288.</w:t>
      </w:r>
    </w:p>
    <w:p w14:paraId="287E19EA"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[17]</w:t>
      </w:r>
      <w:r w:rsidRPr="00590BB6">
        <w:rPr>
          <w:rFonts w:cs="Times New Roman"/>
          <w:noProof/>
          <w:szCs w:val="24"/>
        </w:rPr>
        <w:tab/>
        <w:t xml:space="preserve">D. Chinese, P. Patrizio, and M. Bonotto, “A Service Station Location Model to Explore Prospects and Policies for Alternative Transport Fuels: A Case of CNG Distribution in Italy,” in </w:t>
      </w:r>
      <w:r w:rsidRPr="00590BB6">
        <w:rPr>
          <w:rFonts w:cs="Times New Roman"/>
          <w:i/>
          <w:iCs/>
          <w:noProof/>
          <w:szCs w:val="24"/>
        </w:rPr>
        <w:t>Computer-based Modelling and Optimization in Transportation</w:t>
      </w:r>
      <w:r w:rsidRPr="00590BB6">
        <w:rPr>
          <w:rFonts w:cs="Times New Roman"/>
          <w:noProof/>
          <w:szCs w:val="24"/>
        </w:rPr>
        <w:t>, J. F. de Sousa and R. Rossi, Eds. Cham: Springer International Publishing, 2014, pp. 71–84. doi: 10.1007/978-3-319-04630-3_6.</w:t>
      </w:r>
    </w:p>
    <w:p w14:paraId="08B4F85C"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[18]</w:t>
      </w:r>
      <w:r w:rsidRPr="00590BB6">
        <w:rPr>
          <w:rFonts w:cs="Times New Roman"/>
          <w:noProof/>
          <w:szCs w:val="24"/>
        </w:rPr>
        <w:tab/>
        <w:t>J. Stenning, M. Caspani, and Á. Hartvig, “Potential options and technology pathways for delivering zero-carbon freight in Italy,” Cambridge, UK, 2021.</w:t>
      </w:r>
    </w:p>
    <w:p w14:paraId="21A88670"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[19]</w:t>
      </w:r>
      <w:r w:rsidRPr="00590BB6">
        <w:rPr>
          <w:rFonts w:cs="Times New Roman"/>
          <w:noProof/>
          <w:szCs w:val="24"/>
        </w:rPr>
        <w:tab/>
        <w:t xml:space="preserve">P. Kluschke, T. Gnann, P. Plötz, and M. Wietschel, “Market diffusion of alternative fuels and powertrains in heavy-duty vehicles: A literature review,” </w:t>
      </w:r>
      <w:r w:rsidRPr="00590BB6">
        <w:rPr>
          <w:rFonts w:cs="Times New Roman"/>
          <w:i/>
          <w:iCs/>
          <w:noProof/>
          <w:szCs w:val="24"/>
        </w:rPr>
        <w:t>Energy Reports</w:t>
      </w:r>
      <w:r w:rsidRPr="00590BB6">
        <w:rPr>
          <w:rFonts w:cs="Times New Roman"/>
          <w:noProof/>
          <w:szCs w:val="24"/>
        </w:rPr>
        <w:t>, vol. 5, pp. 1010–1024, 2019, doi: 10.1016/j.egyr.2019.07.017.</w:t>
      </w:r>
    </w:p>
    <w:p w14:paraId="593A462F"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[20]</w:t>
      </w:r>
      <w:r w:rsidRPr="00590BB6">
        <w:rPr>
          <w:rFonts w:cs="Times New Roman"/>
          <w:noProof/>
          <w:szCs w:val="24"/>
        </w:rPr>
        <w:tab/>
        <w:t xml:space="preserve">S. Giarola, J. Sachs, M. d’Avezac, A. Kell, and A. Hawkes, “MUSE: An open-source agent-based integrated assessment modelling framework,” </w:t>
      </w:r>
      <w:r w:rsidRPr="00590BB6">
        <w:rPr>
          <w:rFonts w:cs="Times New Roman"/>
          <w:i/>
          <w:iCs/>
          <w:noProof/>
          <w:szCs w:val="24"/>
        </w:rPr>
        <w:t>Energy Strateg. Rev.</w:t>
      </w:r>
      <w:r w:rsidRPr="00590BB6">
        <w:rPr>
          <w:rFonts w:cs="Times New Roman"/>
          <w:noProof/>
          <w:szCs w:val="24"/>
        </w:rPr>
        <w:t>, vol. 44, no. March, p. 100964, 2022, doi: 10.1016/j.esr.2022.100964.</w:t>
      </w:r>
    </w:p>
    <w:p w14:paraId="2BA36E90"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[21]</w:t>
      </w:r>
      <w:r w:rsidRPr="00590BB6">
        <w:rPr>
          <w:rFonts w:cs="Times New Roman"/>
          <w:noProof/>
          <w:szCs w:val="24"/>
        </w:rPr>
        <w:tab/>
        <w:t>J. Speirs, Paul, P. Blomerus, M. Stettler, N. Brandon, and A. Hawkes, “Can natural gas reduce emissions from transport?: Heavy goods vehicles and shipping,” no. January, 2019.</w:t>
      </w:r>
    </w:p>
    <w:p w14:paraId="37D55CF6" w14:textId="73A91F5F"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[22]</w:t>
      </w:r>
      <w:r w:rsidRPr="00590BB6">
        <w:rPr>
          <w:rFonts w:cs="Times New Roman"/>
          <w:noProof/>
          <w:szCs w:val="24"/>
        </w:rPr>
        <w:tab/>
        <w:t>“MUSE_OS.</w:t>
      </w:r>
      <w:r w:rsidR="00A92C2B">
        <w:rPr>
          <w:rFonts w:cs="Times New Roman"/>
          <w:noProof/>
          <w:szCs w:val="24"/>
        </w:rPr>
        <w:t xml:space="preserve"> Available at </w:t>
      </w:r>
      <w:r w:rsidR="00A92C2B" w:rsidRPr="00A92C2B">
        <w:rPr>
          <w:rFonts w:cs="Times New Roman"/>
          <w:noProof/>
          <w:szCs w:val="24"/>
        </w:rPr>
        <w:t>https://zenodo.org/records/6383376</w:t>
      </w:r>
      <w:r w:rsidRPr="00590BB6">
        <w:rPr>
          <w:rFonts w:cs="Times New Roman"/>
          <w:noProof/>
          <w:szCs w:val="24"/>
        </w:rPr>
        <w:t>”</w:t>
      </w:r>
    </w:p>
    <w:p w14:paraId="0F5C0A42"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[23]</w:t>
      </w:r>
      <w:r w:rsidRPr="00590BB6">
        <w:rPr>
          <w:rFonts w:cs="Times New Roman"/>
          <w:noProof/>
          <w:szCs w:val="24"/>
        </w:rPr>
        <w:tab/>
        <w:t xml:space="preserve">D. Moya, S. Budinis, S. Giarola, and A. Hawkes, “Agent-based scenarios comparison for assessing fuel-switching investment in long-term energy transitions of the India’s industry sector,” </w:t>
      </w:r>
      <w:r w:rsidRPr="00590BB6">
        <w:rPr>
          <w:rFonts w:cs="Times New Roman"/>
          <w:i/>
          <w:iCs/>
          <w:noProof/>
          <w:szCs w:val="24"/>
        </w:rPr>
        <w:t>Appl. Energy</w:t>
      </w:r>
      <w:r w:rsidRPr="00590BB6">
        <w:rPr>
          <w:rFonts w:cs="Times New Roman"/>
          <w:noProof/>
          <w:szCs w:val="24"/>
        </w:rPr>
        <w:t>, vol. 274, p. 115295, 2020, doi: 10.1016/j.apenergy.2020.115295.</w:t>
      </w:r>
    </w:p>
    <w:p w14:paraId="590244FD"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[24]</w:t>
      </w:r>
      <w:r w:rsidRPr="00590BB6">
        <w:rPr>
          <w:rFonts w:cs="Times New Roman"/>
          <w:noProof/>
          <w:szCs w:val="24"/>
        </w:rPr>
        <w:tab/>
        <w:t xml:space="preserve">J. Sachs, Y. Meng, S. Giarola, and A. Hawkes, “An agent-based model for energy investment decisions in the residential sector,” </w:t>
      </w:r>
      <w:r w:rsidRPr="00590BB6">
        <w:rPr>
          <w:rFonts w:cs="Times New Roman"/>
          <w:i/>
          <w:iCs/>
          <w:noProof/>
          <w:szCs w:val="24"/>
        </w:rPr>
        <w:t>Energy</w:t>
      </w:r>
      <w:r w:rsidRPr="00590BB6">
        <w:rPr>
          <w:rFonts w:cs="Times New Roman"/>
          <w:noProof/>
          <w:szCs w:val="24"/>
        </w:rPr>
        <w:t>, vol. 172, pp. 752–768, 2019, doi: 10.1016/j.energy.2019.01.161.</w:t>
      </w:r>
    </w:p>
    <w:p w14:paraId="471D94E5"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[25]</w:t>
      </w:r>
      <w:r w:rsidRPr="00590BB6">
        <w:rPr>
          <w:rFonts w:cs="Times New Roman"/>
          <w:noProof/>
          <w:szCs w:val="24"/>
        </w:rPr>
        <w:tab/>
        <w:t xml:space="preserve">I. García Kerdan, S. Giarola, and A. Hawkes, “A novel energy systems model to explore the role of land use and reforestation in achieving carbon mitigation targets: A Brazil case study,” </w:t>
      </w:r>
      <w:r w:rsidRPr="00590BB6">
        <w:rPr>
          <w:rFonts w:cs="Times New Roman"/>
          <w:i/>
          <w:iCs/>
          <w:noProof/>
          <w:szCs w:val="24"/>
        </w:rPr>
        <w:t>J. Clean. Prod.</w:t>
      </w:r>
      <w:r w:rsidRPr="00590BB6">
        <w:rPr>
          <w:rFonts w:cs="Times New Roman"/>
          <w:noProof/>
          <w:szCs w:val="24"/>
        </w:rPr>
        <w:t>, vol. 232, pp. 796–821, 2019, doi: 10.1016/j.jclepro.2019.05.345.</w:t>
      </w:r>
    </w:p>
    <w:p w14:paraId="54E6001D"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[26]</w:t>
      </w:r>
      <w:r w:rsidRPr="00590BB6">
        <w:rPr>
          <w:rFonts w:cs="Times New Roman"/>
          <w:noProof/>
          <w:szCs w:val="24"/>
        </w:rPr>
        <w:tab/>
        <w:t xml:space="preserve">L. Lyrio de Oliveira </w:t>
      </w:r>
      <w:r w:rsidRPr="00590BB6">
        <w:rPr>
          <w:rFonts w:cs="Times New Roman"/>
          <w:i/>
          <w:iCs/>
          <w:noProof/>
          <w:szCs w:val="24"/>
        </w:rPr>
        <w:t>et al.</w:t>
      </w:r>
      <w:r w:rsidRPr="00590BB6">
        <w:rPr>
          <w:rFonts w:cs="Times New Roman"/>
          <w:noProof/>
          <w:szCs w:val="24"/>
        </w:rPr>
        <w:t xml:space="preserve">, “Modelling the technical potential of bioelectricity production under land use constraints: A multi-region Brazil case study,” </w:t>
      </w:r>
      <w:r w:rsidRPr="00590BB6">
        <w:rPr>
          <w:rFonts w:cs="Times New Roman"/>
          <w:i/>
          <w:iCs/>
          <w:noProof/>
          <w:szCs w:val="24"/>
        </w:rPr>
        <w:t>Renew. Sustain. Energy Rev.</w:t>
      </w:r>
      <w:r w:rsidRPr="00590BB6">
        <w:rPr>
          <w:rFonts w:cs="Times New Roman"/>
          <w:noProof/>
          <w:szCs w:val="24"/>
        </w:rPr>
        <w:t>, vol. 123, no. February, 2020, doi: 10.1016/j.rser.2020.109765.</w:t>
      </w:r>
    </w:p>
    <w:p w14:paraId="169F3A18"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[27]</w:t>
      </w:r>
      <w:r w:rsidRPr="00590BB6">
        <w:rPr>
          <w:rFonts w:cs="Times New Roman"/>
          <w:noProof/>
          <w:szCs w:val="24"/>
        </w:rPr>
        <w:tab/>
        <w:t xml:space="preserve">I. García Kerdan, F. Jalil-Vega, J. Toole, S. Gulati, S. Giarola, and A. Hawkes, “Modelling cost-effective pathways for natural gas infrastructure: A southern Brazil case study,” </w:t>
      </w:r>
      <w:r w:rsidRPr="00590BB6">
        <w:rPr>
          <w:rFonts w:cs="Times New Roman"/>
          <w:i/>
          <w:iCs/>
          <w:noProof/>
          <w:szCs w:val="24"/>
        </w:rPr>
        <w:t>Appl. Energy</w:t>
      </w:r>
      <w:r w:rsidRPr="00590BB6">
        <w:rPr>
          <w:rFonts w:cs="Times New Roman"/>
          <w:noProof/>
          <w:szCs w:val="24"/>
        </w:rPr>
        <w:t>, vol. 255, no. September, p. 113799, 2019, doi: 10.1016/j.apenergy.2019.113799.</w:t>
      </w:r>
    </w:p>
    <w:p w14:paraId="75847139"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lastRenderedPageBreak/>
        <w:t>[28]</w:t>
      </w:r>
      <w:r w:rsidRPr="00590BB6">
        <w:rPr>
          <w:rFonts w:cs="Times New Roman"/>
          <w:noProof/>
          <w:szCs w:val="24"/>
        </w:rPr>
        <w:tab/>
        <w:t xml:space="preserve">O. Y. Edelenbosch, L. Miu, J. Sachs, A. Hawkes, and M. Tavoni, “Translating observed household energy behavior to agent-based technology choices in an integrated modeling framework,” </w:t>
      </w:r>
      <w:r w:rsidRPr="00590BB6">
        <w:rPr>
          <w:rFonts w:cs="Times New Roman"/>
          <w:i/>
          <w:iCs/>
          <w:noProof/>
          <w:szCs w:val="24"/>
        </w:rPr>
        <w:t>iScience</w:t>
      </w:r>
      <w:r w:rsidRPr="00590BB6">
        <w:rPr>
          <w:rFonts w:cs="Times New Roman"/>
          <w:noProof/>
          <w:szCs w:val="24"/>
        </w:rPr>
        <w:t>, vol. 25, no. 3, p. 103905, 2022, doi: 10.1016/j.isci.2022.103905.</w:t>
      </w:r>
    </w:p>
    <w:p w14:paraId="74F894FC"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[29]</w:t>
      </w:r>
      <w:r w:rsidRPr="00590BB6">
        <w:rPr>
          <w:rFonts w:cs="Times New Roman"/>
          <w:noProof/>
          <w:szCs w:val="24"/>
        </w:rPr>
        <w:tab/>
        <w:t>EUROSTAT, “Summary of annual road freight transport by type of operation and type of transport (1 000 t, Mio Tkm, Mio Veh-km),” 2022.</w:t>
      </w:r>
    </w:p>
    <w:p w14:paraId="7F787C5B"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[30]</w:t>
      </w:r>
      <w:r w:rsidRPr="00590BB6">
        <w:rPr>
          <w:rFonts w:cs="Times New Roman"/>
          <w:noProof/>
          <w:szCs w:val="24"/>
        </w:rPr>
        <w:tab/>
        <w:t>ISTAT, “Trasporto merci su strada,” 2022.</w:t>
      </w:r>
    </w:p>
    <w:p w14:paraId="4C47B627"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[31]</w:t>
      </w:r>
      <w:r w:rsidRPr="00590BB6">
        <w:rPr>
          <w:rFonts w:cs="Times New Roman"/>
          <w:noProof/>
          <w:szCs w:val="24"/>
        </w:rPr>
        <w:tab/>
        <w:t xml:space="preserve">S. Giarola </w:t>
      </w:r>
      <w:r w:rsidRPr="00590BB6">
        <w:rPr>
          <w:rFonts w:cs="Times New Roman"/>
          <w:i/>
          <w:iCs/>
          <w:noProof/>
          <w:szCs w:val="24"/>
        </w:rPr>
        <w:t>et al.</w:t>
      </w:r>
      <w:r w:rsidRPr="00590BB6">
        <w:rPr>
          <w:rFonts w:cs="Times New Roman"/>
          <w:noProof/>
          <w:szCs w:val="24"/>
        </w:rPr>
        <w:t xml:space="preserve">, “Challenges in the harmonisation of global integrated assessment models: A comprehensive methodology to reduce model response heterogeneity,” </w:t>
      </w:r>
      <w:r w:rsidRPr="00590BB6">
        <w:rPr>
          <w:rFonts w:cs="Times New Roman"/>
          <w:i/>
          <w:iCs/>
          <w:noProof/>
          <w:szCs w:val="24"/>
        </w:rPr>
        <w:t>Sci. Total Environ.</w:t>
      </w:r>
      <w:r w:rsidRPr="00590BB6">
        <w:rPr>
          <w:rFonts w:cs="Times New Roman"/>
          <w:noProof/>
          <w:szCs w:val="24"/>
        </w:rPr>
        <w:t>, vol. 783, 2021, doi: 10.1016/j.scitotenv.2021.146861.</w:t>
      </w:r>
    </w:p>
    <w:p w14:paraId="7623E330"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[32]</w:t>
      </w:r>
      <w:r w:rsidRPr="00590BB6">
        <w:rPr>
          <w:rFonts w:cs="Times New Roman"/>
          <w:noProof/>
          <w:szCs w:val="24"/>
        </w:rPr>
        <w:tab/>
        <w:t>FRED, “Population, Total for Italy [POPTOTITA647NWDB], retrieved from FRED, Federal Reserve Bank of St. Louis,” 2022.</w:t>
      </w:r>
    </w:p>
    <w:p w14:paraId="59CF8D4A"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[33]</w:t>
      </w:r>
      <w:r w:rsidRPr="00590BB6">
        <w:rPr>
          <w:rFonts w:cs="Times New Roman"/>
          <w:noProof/>
          <w:szCs w:val="24"/>
        </w:rPr>
        <w:tab/>
        <w:t>ISTAT, “Previsioni della popolazione - Anni 2020-2070,” 2020.</w:t>
      </w:r>
    </w:p>
    <w:p w14:paraId="0A6C3C9B"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[34]</w:t>
      </w:r>
      <w:r w:rsidRPr="00590BB6">
        <w:rPr>
          <w:rFonts w:cs="Times New Roman"/>
          <w:noProof/>
          <w:szCs w:val="24"/>
        </w:rPr>
        <w:tab/>
        <w:t>M. of the E. and P. of N. R. and the S. and M. of I. and T. Ministry of Economic Development, “INTEGRATED NATIONAL ENERGY AND CLIMATE PLAN,” no. December, 2019.</w:t>
      </w:r>
    </w:p>
    <w:p w14:paraId="755DCF49"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[35]</w:t>
      </w:r>
      <w:r w:rsidRPr="00590BB6">
        <w:rPr>
          <w:rFonts w:cs="Times New Roman"/>
          <w:noProof/>
          <w:szCs w:val="24"/>
        </w:rPr>
        <w:tab/>
        <w:t xml:space="preserve">S. R. </w:t>
      </w:r>
      <w:r w:rsidRPr="00590BB6">
        <w:rPr>
          <w:rFonts w:cs="Times New Roman"/>
          <w:i/>
          <w:iCs/>
          <w:noProof/>
          <w:szCs w:val="24"/>
        </w:rPr>
        <w:t>et al.</w:t>
      </w:r>
      <w:r w:rsidRPr="00590BB6">
        <w:rPr>
          <w:rFonts w:cs="Times New Roman"/>
          <w:noProof/>
          <w:szCs w:val="24"/>
        </w:rPr>
        <w:t>, “Transport. In: Climate Change 2014: Mitigation of Climate Change. Contribution of Working Group III to the Fifth Assessment Report of the Intergovern- mental Panel on Climate Change,” 2014, pp. 599–670. doi: 10.1007/978-3-319-12457-5_15.</w:t>
      </w:r>
    </w:p>
    <w:p w14:paraId="2AE62094"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[36]</w:t>
      </w:r>
      <w:r w:rsidRPr="00590BB6">
        <w:rPr>
          <w:rFonts w:cs="Times New Roman"/>
          <w:noProof/>
          <w:szCs w:val="24"/>
        </w:rPr>
        <w:tab/>
        <w:t xml:space="preserve">D. Bazzana </w:t>
      </w:r>
      <w:r w:rsidRPr="00590BB6">
        <w:rPr>
          <w:rFonts w:cs="Times New Roman"/>
          <w:i/>
          <w:iCs/>
          <w:noProof/>
          <w:szCs w:val="24"/>
        </w:rPr>
        <w:t>et al.</w:t>
      </w:r>
      <w:r w:rsidRPr="00590BB6">
        <w:rPr>
          <w:rFonts w:cs="Times New Roman"/>
          <w:noProof/>
          <w:szCs w:val="24"/>
        </w:rPr>
        <w:t xml:space="preserve">, “A multi-disciplinary approach to estimate the medium-term impact of COVID-19 on transport and energy: A case study for Italy,” </w:t>
      </w:r>
      <w:r w:rsidRPr="00590BB6">
        <w:rPr>
          <w:rFonts w:cs="Times New Roman"/>
          <w:i/>
          <w:iCs/>
          <w:noProof/>
          <w:szCs w:val="24"/>
        </w:rPr>
        <w:t>Energy</w:t>
      </w:r>
      <w:r w:rsidRPr="00590BB6">
        <w:rPr>
          <w:rFonts w:cs="Times New Roman"/>
          <w:noProof/>
          <w:szCs w:val="24"/>
        </w:rPr>
        <w:t>, vol. 238, p. 122015, Jan. 2022, doi: 10.1016/j.energy.2021.122015.</w:t>
      </w:r>
    </w:p>
    <w:p w14:paraId="597C8762"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[37]</w:t>
      </w:r>
      <w:r w:rsidRPr="00590BB6">
        <w:rPr>
          <w:rFonts w:cs="Times New Roman"/>
          <w:noProof/>
          <w:szCs w:val="24"/>
        </w:rPr>
        <w:tab/>
        <w:t>European Comission, “Questions and Answers on the Commission strategy for reducing Heavy-Duty Vehicles’ (HDVs) fuel consumption and CO2 emissions,” no. May. pp. 1–4, 2014. [Online]. Available: https://ec.europa.eu/commission/presscorner/detail/en/MEMO_14_366</w:t>
      </w:r>
    </w:p>
    <w:p w14:paraId="1962AE98"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[38]</w:t>
      </w:r>
      <w:r w:rsidRPr="00590BB6">
        <w:rPr>
          <w:rFonts w:cs="Times New Roman"/>
          <w:noProof/>
          <w:szCs w:val="24"/>
        </w:rPr>
        <w:tab/>
        <w:t xml:space="preserve">The European Parliament and the Council of the European Union, “Commission Regulation (EU) No 2017/2400,” </w:t>
      </w:r>
      <w:r w:rsidRPr="00590BB6">
        <w:rPr>
          <w:rFonts w:cs="Times New Roman"/>
          <w:i/>
          <w:iCs/>
          <w:noProof/>
          <w:szCs w:val="24"/>
        </w:rPr>
        <w:t>Off. J. Eur. Union</w:t>
      </w:r>
      <w:r w:rsidRPr="00590BB6">
        <w:rPr>
          <w:rFonts w:cs="Times New Roman"/>
          <w:noProof/>
          <w:szCs w:val="24"/>
        </w:rPr>
        <w:t>, vol. 349, no. 582, 2017, [Online]. Available: https://eur-lex.europa.eu/eli/reg/2017/2400/oj</w:t>
      </w:r>
    </w:p>
    <w:p w14:paraId="79D0B796"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[39]</w:t>
      </w:r>
      <w:r w:rsidRPr="00590BB6">
        <w:rPr>
          <w:rFonts w:cs="Times New Roman"/>
          <w:noProof/>
          <w:szCs w:val="24"/>
        </w:rPr>
        <w:tab/>
        <w:t>ANFIA and ACI, “Trasporto merci su strada. Analisi economico-statistica delle potenzialità e criticità di un settore strategico per lo sviluppo sostenibile,” 2013.</w:t>
      </w:r>
    </w:p>
    <w:p w14:paraId="571FE270"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[40]</w:t>
      </w:r>
      <w:r w:rsidRPr="00590BB6">
        <w:rPr>
          <w:rFonts w:cs="Times New Roman"/>
          <w:noProof/>
          <w:szCs w:val="24"/>
        </w:rPr>
        <w:tab/>
        <w:t xml:space="preserve">C. Le Fevre, </w:t>
      </w:r>
      <w:r w:rsidRPr="00590BB6">
        <w:rPr>
          <w:rFonts w:cs="Times New Roman"/>
          <w:i/>
          <w:iCs/>
          <w:noProof/>
          <w:szCs w:val="24"/>
        </w:rPr>
        <w:t>The Prospects for Natural Gas as a Transport Fuel in Europe</w:t>
      </w:r>
      <w:r w:rsidRPr="00590BB6">
        <w:rPr>
          <w:rFonts w:cs="Times New Roman"/>
          <w:noProof/>
          <w:szCs w:val="24"/>
        </w:rPr>
        <w:t>, no. March. 2014.</w:t>
      </w:r>
    </w:p>
    <w:p w14:paraId="7D3EC0B8"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[41]</w:t>
      </w:r>
      <w:r w:rsidRPr="00590BB6">
        <w:rPr>
          <w:rFonts w:cs="Times New Roman"/>
          <w:noProof/>
          <w:szCs w:val="24"/>
        </w:rPr>
        <w:tab/>
        <w:t>HYUNDAI, “Hyundai XCIENT fuel cell trucks,” 2022.</w:t>
      </w:r>
    </w:p>
    <w:p w14:paraId="6B745178"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[42]</w:t>
      </w:r>
      <w:r w:rsidRPr="00590BB6">
        <w:rPr>
          <w:rFonts w:cs="Times New Roman"/>
          <w:noProof/>
          <w:szCs w:val="24"/>
        </w:rPr>
        <w:tab/>
        <w:t xml:space="preserve">E. Mulholland, J. Teter, P. Cazzola, Z. McDonald, and B. P. Ó Gallachóir, “The long haul towards </w:t>
      </w:r>
      <w:r w:rsidRPr="00590BB6">
        <w:rPr>
          <w:rFonts w:cs="Times New Roman"/>
          <w:noProof/>
          <w:szCs w:val="24"/>
        </w:rPr>
        <w:lastRenderedPageBreak/>
        <w:t xml:space="preserve">decarbonising road freight – A global assessment to 2050,” </w:t>
      </w:r>
      <w:r w:rsidRPr="00590BB6">
        <w:rPr>
          <w:rFonts w:cs="Times New Roman"/>
          <w:i/>
          <w:iCs/>
          <w:noProof/>
          <w:szCs w:val="24"/>
        </w:rPr>
        <w:t>Appl. Energy</w:t>
      </w:r>
      <w:r w:rsidRPr="00590BB6">
        <w:rPr>
          <w:rFonts w:cs="Times New Roman"/>
          <w:noProof/>
          <w:szCs w:val="24"/>
        </w:rPr>
        <w:t>, vol. 216, no. January, pp. 678–693, 2018, doi: 10.1016/j.apenergy.2018.01.058.</w:t>
      </w:r>
    </w:p>
    <w:p w14:paraId="686667E5"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[43]</w:t>
      </w:r>
      <w:r w:rsidRPr="00590BB6">
        <w:rPr>
          <w:rFonts w:cs="Times New Roman"/>
          <w:noProof/>
          <w:szCs w:val="24"/>
        </w:rPr>
        <w:tab/>
        <w:t xml:space="preserve">S. K. Hoekman, “Review of Nitrous Oxide (N2O) Emissions from Motor Vehicles,” </w:t>
      </w:r>
      <w:r w:rsidRPr="00590BB6">
        <w:rPr>
          <w:rFonts w:cs="Times New Roman"/>
          <w:i/>
          <w:iCs/>
          <w:noProof/>
          <w:szCs w:val="24"/>
        </w:rPr>
        <w:t>SAE Int. J. Fuels Lubr.</w:t>
      </w:r>
      <w:r w:rsidRPr="00590BB6">
        <w:rPr>
          <w:rFonts w:cs="Times New Roman"/>
          <w:noProof/>
          <w:szCs w:val="24"/>
        </w:rPr>
        <w:t>, vol. 13, no. 1, pp. 79–98, Feb. 2020, doi: https://doi.org/10.4271/04-13-01-0005.</w:t>
      </w:r>
    </w:p>
    <w:p w14:paraId="3BACAD69"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[44]</w:t>
      </w:r>
      <w:r w:rsidRPr="00590BB6">
        <w:rPr>
          <w:rFonts w:cs="Times New Roman"/>
          <w:noProof/>
          <w:szCs w:val="24"/>
        </w:rPr>
        <w:tab/>
        <w:t>EUROPEAN COMMISSION, “REGULATION OF THE EUROPEAN PARLIAMENT AND OF THE COUNCIL on the use of renewable and low-carbon fuels in maritime transport and amending Directive 2009/16/EC,” 2021.</w:t>
      </w:r>
    </w:p>
    <w:p w14:paraId="6A855A3A"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[45]</w:t>
      </w:r>
      <w:r w:rsidRPr="00590BB6">
        <w:rPr>
          <w:rFonts w:cs="Times New Roman"/>
          <w:noProof/>
          <w:szCs w:val="24"/>
        </w:rPr>
        <w:tab/>
        <w:t>Ministero delle infrasttrutture e della mobilità sostenibili, “Tabelle recanti i valori orientativi dei costi di esercizio,” 2022.</w:t>
      </w:r>
    </w:p>
    <w:p w14:paraId="18E34F0B"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[46]</w:t>
      </w:r>
      <w:r w:rsidRPr="00590BB6">
        <w:rPr>
          <w:rFonts w:cs="Times New Roman"/>
          <w:noProof/>
          <w:szCs w:val="24"/>
        </w:rPr>
        <w:tab/>
        <w:t>Ministero della Transizione Ecologica, “Analisi e statistiche energetiche e minerari,” 2022.</w:t>
      </w:r>
    </w:p>
    <w:p w14:paraId="635C2905"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[47]</w:t>
      </w:r>
      <w:r w:rsidRPr="00590BB6">
        <w:rPr>
          <w:rFonts w:cs="Times New Roman"/>
          <w:noProof/>
          <w:szCs w:val="24"/>
        </w:rPr>
        <w:tab/>
        <w:t>Metanoauto, “Andamento storico prezzi e costi kmetrici,” 2022.</w:t>
      </w:r>
    </w:p>
    <w:p w14:paraId="619E7E5B"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[48]</w:t>
      </w:r>
      <w:r w:rsidRPr="00590BB6">
        <w:rPr>
          <w:rFonts w:cs="Times New Roman"/>
          <w:noProof/>
          <w:szCs w:val="24"/>
        </w:rPr>
        <w:tab/>
        <w:t>ARERA, “Andamento del prezzo dell’energia elettrica per il consumatore domestico tipo in maggior tutela,” 2022.</w:t>
      </w:r>
    </w:p>
    <w:p w14:paraId="18624539"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[49]</w:t>
      </w:r>
      <w:r w:rsidRPr="00590BB6">
        <w:rPr>
          <w:rFonts w:cs="Times New Roman"/>
          <w:noProof/>
          <w:szCs w:val="24"/>
        </w:rPr>
        <w:tab/>
        <w:t>“H2-South Tyrol Centro H2,” 2022.</w:t>
      </w:r>
    </w:p>
    <w:p w14:paraId="0D065F39"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[50]</w:t>
      </w:r>
      <w:r w:rsidRPr="00590BB6">
        <w:rPr>
          <w:rFonts w:cs="Times New Roman"/>
          <w:noProof/>
          <w:szCs w:val="24"/>
        </w:rPr>
        <w:tab/>
        <w:t xml:space="preserve">IRENA, </w:t>
      </w:r>
      <w:r w:rsidRPr="00590BB6">
        <w:rPr>
          <w:rFonts w:cs="Times New Roman"/>
          <w:i/>
          <w:iCs/>
          <w:noProof/>
          <w:szCs w:val="24"/>
        </w:rPr>
        <w:t>Green Hydrogen Cost Reduction: Scaling up Electrolysers to Meet the 1.5</w:t>
      </w:r>
      <w:r w:rsidRPr="00590BB6">
        <w:rPr>
          <w:rFonts w:cs="Times New Roman"/>
          <w:i/>
          <w:iCs/>
          <w:noProof/>
          <w:szCs w:val="24"/>
          <w:vertAlign w:val="superscript"/>
        </w:rPr>
        <w:t>0</w:t>
      </w:r>
      <w:r w:rsidRPr="00590BB6">
        <w:rPr>
          <w:rFonts w:cs="Times New Roman"/>
          <w:i/>
          <w:iCs/>
          <w:noProof/>
          <w:szCs w:val="24"/>
        </w:rPr>
        <w:t>C Climate Goal</w:t>
      </w:r>
      <w:r w:rsidRPr="00590BB6">
        <w:rPr>
          <w:rFonts w:cs="Times New Roman"/>
          <w:noProof/>
          <w:szCs w:val="24"/>
        </w:rPr>
        <w:t>. 2020.</w:t>
      </w:r>
    </w:p>
    <w:p w14:paraId="487FB412"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[51]</w:t>
      </w:r>
      <w:r w:rsidRPr="00590BB6">
        <w:rPr>
          <w:rFonts w:cs="Times New Roman"/>
          <w:noProof/>
          <w:szCs w:val="24"/>
        </w:rPr>
        <w:tab/>
        <w:t>U. S. EIA, “Annual Energy Outlook 2021 Table: Table 3. Energy Prices by Sector and Source Case: High economic growth | Region: United States,” 2021.</w:t>
      </w:r>
    </w:p>
    <w:p w14:paraId="662BF060"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[52]</w:t>
      </w:r>
      <w:r w:rsidRPr="00590BB6">
        <w:rPr>
          <w:rFonts w:cs="Times New Roman"/>
          <w:noProof/>
          <w:szCs w:val="24"/>
        </w:rPr>
        <w:tab/>
        <w:t>Environmental Protection Agency, “Inventory of U.S. Greenhouse Gas Emissions and Sinks: 1990-2019 (Annexes).”</w:t>
      </w:r>
    </w:p>
    <w:p w14:paraId="3EB18AE9" w14:textId="7988F598"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[53]</w:t>
      </w:r>
      <w:r w:rsidRPr="00590BB6">
        <w:rPr>
          <w:rFonts w:cs="Times New Roman"/>
          <w:noProof/>
          <w:szCs w:val="24"/>
        </w:rPr>
        <w:tab/>
        <w:t xml:space="preserve">US EPA Center for Corporate Climate Leadership, “Emission Factors for Greenhouse Gas Inventories,” no. April. pp. 1–7, 2022. </w:t>
      </w:r>
    </w:p>
    <w:p w14:paraId="3C2AE609" w14:textId="3561E59D"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[54]</w:t>
      </w:r>
      <w:r w:rsidRPr="00590BB6">
        <w:rPr>
          <w:rFonts w:cs="Times New Roman"/>
          <w:noProof/>
          <w:szCs w:val="24"/>
        </w:rPr>
        <w:tab/>
      </w:r>
      <w:r w:rsidR="00400024" w:rsidRPr="00590BB6">
        <w:rPr>
          <w:rFonts w:cs="Times New Roman"/>
          <w:noProof/>
          <w:szCs w:val="24"/>
        </w:rPr>
        <w:t>Sognnaes, I., Gambhir, A., van de Ven, DJ. </w:t>
      </w:r>
      <w:r w:rsidR="00400024" w:rsidRPr="00590BB6">
        <w:rPr>
          <w:rFonts w:cs="Times New Roman"/>
          <w:i/>
          <w:iCs/>
          <w:noProof/>
          <w:szCs w:val="24"/>
        </w:rPr>
        <w:t>et al.</w:t>
      </w:r>
      <w:r w:rsidR="00400024" w:rsidRPr="00590BB6">
        <w:rPr>
          <w:rFonts w:cs="Times New Roman"/>
          <w:noProof/>
          <w:szCs w:val="24"/>
        </w:rPr>
        <w:t> A multi-model analysis of long-term emissions and warming implications of current mitigation efforts. </w:t>
      </w:r>
      <w:r w:rsidR="00400024" w:rsidRPr="00590BB6">
        <w:rPr>
          <w:rFonts w:cs="Times New Roman"/>
          <w:i/>
          <w:iCs/>
          <w:noProof/>
          <w:szCs w:val="24"/>
        </w:rPr>
        <w:t>Nat. Clim. Chang.</w:t>
      </w:r>
      <w:r w:rsidR="00400024" w:rsidRPr="00590BB6">
        <w:rPr>
          <w:rFonts w:cs="Times New Roman"/>
          <w:noProof/>
          <w:szCs w:val="24"/>
        </w:rPr>
        <w:t> </w:t>
      </w:r>
      <w:r w:rsidR="00400024" w:rsidRPr="00590BB6">
        <w:rPr>
          <w:rFonts w:cs="Times New Roman"/>
          <w:b/>
          <w:bCs/>
          <w:noProof/>
          <w:szCs w:val="24"/>
        </w:rPr>
        <w:t>11</w:t>
      </w:r>
      <w:r w:rsidR="00400024" w:rsidRPr="00590BB6">
        <w:rPr>
          <w:rFonts w:cs="Times New Roman"/>
          <w:noProof/>
          <w:szCs w:val="24"/>
        </w:rPr>
        <w:t>, 1055–1062 (2021). https://doi.org/10.1038/s41558-021-01206-3</w:t>
      </w:r>
    </w:p>
    <w:p w14:paraId="54C7B57E"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[55]</w:t>
      </w:r>
      <w:r w:rsidRPr="00590BB6">
        <w:rPr>
          <w:rFonts w:cs="Times New Roman"/>
          <w:noProof/>
          <w:szCs w:val="24"/>
        </w:rPr>
        <w:tab/>
        <w:t xml:space="preserve">“Electricity Information: Italy,” </w:t>
      </w:r>
      <w:r w:rsidRPr="00590BB6">
        <w:rPr>
          <w:rFonts w:cs="Times New Roman"/>
          <w:i/>
          <w:iCs/>
          <w:noProof/>
          <w:szCs w:val="24"/>
        </w:rPr>
        <w:t>IEA</w:t>
      </w:r>
      <w:r w:rsidRPr="00590BB6">
        <w:rPr>
          <w:rFonts w:cs="Times New Roman"/>
          <w:noProof/>
          <w:szCs w:val="24"/>
        </w:rPr>
        <w:t>, 2021. https://www.iea.org/data-and-statistics/data-product/electricity-information (accessed Aug. 30, 2022).</w:t>
      </w:r>
    </w:p>
    <w:p w14:paraId="0C8A94E5"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[56]</w:t>
      </w:r>
      <w:r w:rsidRPr="00590BB6">
        <w:rPr>
          <w:rFonts w:cs="Times New Roman"/>
          <w:noProof/>
          <w:szCs w:val="24"/>
        </w:rPr>
        <w:tab/>
        <w:t xml:space="preserve">“Visualisation platform,” </w:t>
      </w:r>
      <w:r w:rsidRPr="00590BB6">
        <w:rPr>
          <w:rFonts w:cs="Times New Roman"/>
          <w:i/>
          <w:iCs/>
          <w:noProof/>
          <w:szCs w:val="24"/>
        </w:rPr>
        <w:t>ENTSOG /ENTSO-E</w:t>
      </w:r>
      <w:r w:rsidRPr="00590BB6">
        <w:rPr>
          <w:rFonts w:cs="Times New Roman"/>
          <w:noProof/>
          <w:szCs w:val="24"/>
        </w:rPr>
        <w:t>, 2021. https://2022.entsos-tyndp-scenarios.eu/visualisation-platform/#electricity-data (accessed Aug. 30, 2022).</w:t>
      </w:r>
    </w:p>
    <w:p w14:paraId="3B7EBACE"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[57]</w:t>
      </w:r>
      <w:r w:rsidRPr="00590BB6">
        <w:rPr>
          <w:rFonts w:cs="Times New Roman"/>
          <w:noProof/>
          <w:szCs w:val="24"/>
        </w:rPr>
        <w:tab/>
        <w:t xml:space="preserve">E. A. Piersall, “Road To Zero.,” </w:t>
      </w:r>
      <w:r w:rsidRPr="00590BB6">
        <w:rPr>
          <w:rFonts w:cs="Times New Roman"/>
          <w:i/>
          <w:iCs/>
          <w:noProof/>
          <w:szCs w:val="24"/>
        </w:rPr>
        <w:t>Min Congr J</w:t>
      </w:r>
      <w:r w:rsidRPr="00590BB6">
        <w:rPr>
          <w:rFonts w:cs="Times New Roman"/>
          <w:noProof/>
          <w:szCs w:val="24"/>
        </w:rPr>
        <w:t>, vol. 60, no. 11, pp. 18–21, 1974.</w:t>
      </w:r>
    </w:p>
    <w:p w14:paraId="07D151B9"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lastRenderedPageBreak/>
        <w:t>[58]</w:t>
      </w:r>
      <w:r w:rsidRPr="00590BB6">
        <w:rPr>
          <w:rFonts w:cs="Times New Roman"/>
          <w:noProof/>
          <w:szCs w:val="24"/>
        </w:rPr>
        <w:tab/>
        <w:t xml:space="preserve">N. Badain, T. Reinhart, C. Cooper, J. MacIsaac, and J. Whitefoot, “Heavy-Duty Vehicle Fuel Saving Technology Analysis to Support Phase 2 Regulations,” </w:t>
      </w:r>
      <w:r w:rsidRPr="00590BB6">
        <w:rPr>
          <w:rFonts w:cs="Times New Roman"/>
          <w:i/>
          <w:iCs/>
          <w:noProof/>
          <w:szCs w:val="24"/>
        </w:rPr>
        <w:t>SAE Int. J. Commer. Veh.</w:t>
      </w:r>
      <w:r w:rsidRPr="00590BB6">
        <w:rPr>
          <w:rFonts w:cs="Times New Roman"/>
          <w:noProof/>
          <w:szCs w:val="24"/>
        </w:rPr>
        <w:t>, vol. 8, no. 2, pp. 419–432, 2015, doi: 10.4271/2015-01-2775.</w:t>
      </w:r>
    </w:p>
    <w:p w14:paraId="0438D45E"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[59]</w:t>
      </w:r>
      <w:r w:rsidRPr="00590BB6">
        <w:rPr>
          <w:rFonts w:cs="Times New Roman"/>
          <w:noProof/>
          <w:szCs w:val="24"/>
        </w:rPr>
        <w:tab/>
        <w:t>K. Law, M. D. Jackson, and M. Chan, “European Union Greenhouse Gas Reduction Potential for Heavy-Duty Vehicles Prepared for: The International Council on Clean Transportation,” 2011.</w:t>
      </w:r>
    </w:p>
    <w:p w14:paraId="1337C96E"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[60]</w:t>
      </w:r>
      <w:r w:rsidRPr="00590BB6">
        <w:rPr>
          <w:rFonts w:cs="Times New Roman"/>
          <w:noProof/>
          <w:szCs w:val="24"/>
        </w:rPr>
        <w:tab/>
        <w:t xml:space="preserve">N. Hill, A. Varma, H. James, J. Norris, and D. Kay, “A review of the efficiency and cost assumptions for road transport vehicles to 2050,” </w:t>
      </w:r>
      <w:r w:rsidRPr="00590BB6">
        <w:rPr>
          <w:rFonts w:cs="Times New Roman"/>
          <w:i/>
          <w:iCs/>
          <w:noProof/>
          <w:szCs w:val="24"/>
        </w:rPr>
        <w:t>AEA Technol. plc</w:t>
      </w:r>
      <w:r w:rsidRPr="00590BB6">
        <w:rPr>
          <w:rFonts w:cs="Times New Roman"/>
          <w:noProof/>
          <w:szCs w:val="24"/>
        </w:rPr>
        <w:t>, no. 1, pp. 1–145, 2012.</w:t>
      </w:r>
    </w:p>
    <w:p w14:paraId="5E374C0A"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[61]</w:t>
      </w:r>
      <w:r w:rsidRPr="00590BB6">
        <w:rPr>
          <w:rFonts w:cs="Times New Roman"/>
          <w:noProof/>
          <w:szCs w:val="24"/>
        </w:rPr>
        <w:tab/>
        <w:t xml:space="preserve">A. Velazquez Abad, T. Cherrett, and B. Waterson, “Sim-heuristics low-carbon technologies’ selection framework for reducing costs and carbon emissions of heavy goods vehicles,” </w:t>
      </w:r>
      <w:r w:rsidRPr="00590BB6">
        <w:rPr>
          <w:rFonts w:cs="Times New Roman"/>
          <w:i/>
          <w:iCs/>
          <w:noProof/>
          <w:szCs w:val="24"/>
        </w:rPr>
        <w:t>Int. J. Logist. Res. Appl.</w:t>
      </w:r>
      <w:r w:rsidRPr="00590BB6">
        <w:rPr>
          <w:rFonts w:cs="Times New Roman"/>
          <w:noProof/>
          <w:szCs w:val="24"/>
        </w:rPr>
        <w:t>, vol. 20, no. 1, pp. 3–19, 2017, doi: 10.1080/13675567.2016.1203395.</w:t>
      </w:r>
    </w:p>
    <w:p w14:paraId="0A6CF5A0"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[62]</w:t>
      </w:r>
      <w:r w:rsidRPr="00590BB6">
        <w:rPr>
          <w:rFonts w:cs="Times New Roman"/>
          <w:noProof/>
          <w:szCs w:val="24"/>
        </w:rPr>
        <w:tab/>
        <w:t>HM Government, “Net Zero Strategy: Build Back Greener,” 2021. [Online]. Available: https://www.gov.uk/government/publications/net-zero-strategy</w:t>
      </w:r>
    </w:p>
    <w:p w14:paraId="1117B460"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[63]</w:t>
      </w:r>
      <w:r w:rsidRPr="00590BB6">
        <w:rPr>
          <w:rFonts w:cs="Times New Roman"/>
          <w:noProof/>
          <w:szCs w:val="24"/>
        </w:rPr>
        <w:tab/>
        <w:t xml:space="preserve">R. Kotze, A. C. Brent, J. Musango, I. De Kock, and L. A. Malczynski, “Investigating the Investments Required to Transition New Zealand’s Heavy-Duty Vehicles to Hydrogen,” </w:t>
      </w:r>
      <w:r w:rsidRPr="00590BB6">
        <w:rPr>
          <w:rFonts w:cs="Times New Roman"/>
          <w:i/>
          <w:iCs/>
          <w:noProof/>
          <w:szCs w:val="24"/>
        </w:rPr>
        <w:t>Energies</w:t>
      </w:r>
      <w:r w:rsidRPr="00590BB6">
        <w:rPr>
          <w:rFonts w:cs="Times New Roman"/>
          <w:noProof/>
          <w:szCs w:val="24"/>
        </w:rPr>
        <w:t>, 2021.</w:t>
      </w:r>
    </w:p>
    <w:p w14:paraId="556F71A8" w14:textId="5E62B627" w:rsidR="006F44A7" w:rsidRPr="00590BB6" w:rsidRDefault="006F44A7" w:rsidP="00F239B6">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[64]</w:t>
      </w:r>
      <w:r w:rsidRPr="00590BB6">
        <w:rPr>
          <w:rFonts w:cs="Times New Roman"/>
          <w:noProof/>
          <w:szCs w:val="24"/>
        </w:rPr>
        <w:tab/>
      </w:r>
      <w:r w:rsidR="00F239B6" w:rsidRPr="00590BB6">
        <w:rPr>
          <w:rFonts w:cs="Times New Roman"/>
          <w:noProof/>
          <w:szCs w:val="24"/>
        </w:rPr>
        <w:t xml:space="preserve">S. M. Sarathy, S. S. Nagaraja, E. Singh, E. Cenker, A. Amer, “Review of life cycle assessments (LCA) for mobility powertrains,” </w:t>
      </w:r>
      <w:r w:rsidR="00F239B6" w:rsidRPr="00590BB6">
        <w:rPr>
          <w:rFonts w:cs="Times New Roman"/>
          <w:i/>
          <w:iCs/>
          <w:noProof/>
          <w:szCs w:val="24"/>
        </w:rPr>
        <w:t>Transportation Engineering</w:t>
      </w:r>
      <w:r w:rsidR="00F239B6" w:rsidRPr="00590BB6">
        <w:rPr>
          <w:rFonts w:cs="Times New Roman"/>
          <w:noProof/>
          <w:szCs w:val="24"/>
        </w:rPr>
        <w:t>, vol. 10, 2022, 100148, ISSN 2666-691X, https://doi.org/10.1016/j.treng.2022.100148.</w:t>
      </w:r>
    </w:p>
    <w:p w14:paraId="2F682F5F"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[65]</w:t>
      </w:r>
      <w:r w:rsidRPr="00590BB6">
        <w:rPr>
          <w:rFonts w:cs="Times New Roman"/>
          <w:noProof/>
          <w:szCs w:val="24"/>
        </w:rPr>
        <w:tab/>
        <w:t xml:space="preserve">E. Çabukoglu, G. Georges, L. Küng, G. Pareschi, and K. Boulouchos, “Battery electric propulsion: an option for heavy-duty vehicles? Results from a Swiss case-study,” </w:t>
      </w:r>
      <w:r w:rsidRPr="00590BB6">
        <w:rPr>
          <w:rFonts w:cs="Times New Roman"/>
          <w:i/>
          <w:iCs/>
          <w:noProof/>
          <w:szCs w:val="24"/>
        </w:rPr>
        <w:t>Transp. Res. Part C Emerg. Technol.</w:t>
      </w:r>
      <w:r w:rsidRPr="00590BB6">
        <w:rPr>
          <w:rFonts w:cs="Times New Roman"/>
          <w:noProof/>
          <w:szCs w:val="24"/>
        </w:rPr>
        <w:t>, vol. 88, no. January, pp. 107–123, 2018, doi: 10.1016/j.trc.2018.01.013.</w:t>
      </w:r>
    </w:p>
    <w:p w14:paraId="4AEE1438" w14:textId="42A93B3B" w:rsidR="006F44A7" w:rsidRPr="00590BB6" w:rsidRDefault="006F44A7" w:rsidP="000D6A33">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[66]</w:t>
      </w:r>
      <w:r w:rsidRPr="00590BB6">
        <w:rPr>
          <w:rFonts w:cs="Times New Roman"/>
          <w:noProof/>
          <w:szCs w:val="24"/>
        </w:rPr>
        <w:tab/>
      </w:r>
      <w:r w:rsidR="000D6A33" w:rsidRPr="00590BB6">
        <w:rPr>
          <w:rFonts w:cs="Times New Roman"/>
          <w:noProof/>
          <w:szCs w:val="24"/>
        </w:rPr>
        <w:t xml:space="preserve">A. Tsakalidis, J. Krause, A. Julea, E. Peduzzi, E. Pisoni, and C. Thiel, “Electric light commercial vehicles: Are they the sleeping giant of electromobility?,” </w:t>
      </w:r>
      <w:r w:rsidR="000D6A33" w:rsidRPr="00590BB6">
        <w:rPr>
          <w:rFonts w:cs="Times New Roman"/>
          <w:i/>
          <w:iCs/>
          <w:noProof/>
          <w:szCs w:val="24"/>
        </w:rPr>
        <w:t>Transp. Res. Part D Transp. Environ.</w:t>
      </w:r>
      <w:r w:rsidR="000D6A33" w:rsidRPr="00590BB6">
        <w:rPr>
          <w:rFonts w:cs="Times New Roman"/>
          <w:noProof/>
          <w:szCs w:val="24"/>
        </w:rPr>
        <w:t>, vol. 86, no. April, p. 102421, 2020, doi: 10.1016/j.trd.2020.102421.</w:t>
      </w:r>
    </w:p>
    <w:p w14:paraId="12609C2F" w14:textId="5C1F1FAA" w:rsidR="00BC324B" w:rsidRPr="00590BB6" w:rsidRDefault="00BC324B" w:rsidP="00BC324B">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[67]</w:t>
      </w:r>
      <w:r w:rsidRPr="00590BB6">
        <w:rPr>
          <w:rFonts w:cs="Times New Roman"/>
          <w:noProof/>
          <w:szCs w:val="24"/>
        </w:rPr>
        <w:tab/>
      </w:r>
      <w:r w:rsidR="000D6A33" w:rsidRPr="00590BB6">
        <w:rPr>
          <w:rFonts w:cs="Times New Roman"/>
          <w:noProof/>
          <w:szCs w:val="24"/>
        </w:rPr>
        <w:t xml:space="preserve">A. Dall-Orsoletta, P. Ferreira, and G. Gilson Dranka, “Low-carbon technologies and just energy transition: Prospects for electric vehicles,” </w:t>
      </w:r>
      <w:r w:rsidR="000D6A33" w:rsidRPr="00590BB6">
        <w:rPr>
          <w:rFonts w:cs="Times New Roman"/>
          <w:i/>
          <w:iCs/>
          <w:noProof/>
          <w:szCs w:val="24"/>
        </w:rPr>
        <w:t>Energy Convers. Manag. X</w:t>
      </w:r>
      <w:r w:rsidR="000D6A33" w:rsidRPr="00590BB6">
        <w:rPr>
          <w:rFonts w:cs="Times New Roman"/>
          <w:noProof/>
          <w:szCs w:val="24"/>
        </w:rPr>
        <w:t>, vol. 16, no. December 2021, p. 100271, Dec. 2022, doi: 10.1016/j.ecmx.2022.100271.</w:t>
      </w:r>
    </w:p>
    <w:p w14:paraId="6B9D4DF4" w14:textId="53B82FD3" w:rsidR="000D6A33"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[6</w:t>
      </w:r>
      <w:r w:rsidR="00BC324B" w:rsidRPr="00590BB6">
        <w:rPr>
          <w:rFonts w:cs="Times New Roman"/>
          <w:noProof/>
          <w:szCs w:val="24"/>
        </w:rPr>
        <w:t>8</w:t>
      </w:r>
      <w:r w:rsidRPr="00590BB6">
        <w:rPr>
          <w:rFonts w:cs="Times New Roman"/>
          <w:noProof/>
          <w:szCs w:val="24"/>
        </w:rPr>
        <w:t>]</w:t>
      </w:r>
      <w:r w:rsidRPr="00590BB6">
        <w:rPr>
          <w:rFonts w:cs="Times New Roman"/>
          <w:noProof/>
          <w:szCs w:val="24"/>
        </w:rPr>
        <w:tab/>
      </w:r>
      <w:r w:rsidR="000D6A33" w:rsidRPr="00590BB6">
        <w:rPr>
          <w:rFonts w:cs="Times New Roman"/>
          <w:noProof/>
          <w:szCs w:val="24"/>
        </w:rPr>
        <w:t>C. D. Yvonne Ruf, Simon Lange, Johannes Pfister, “Fuel Cells and Hydrogen for Green Energy in European Cities and Regions. A Study for the Fuel Cells and Hydrogen Joint Undertaking,” p. 80, 2018, [Online]. Available: https://fch.europa.eu/sites/default/files/181123_FCHJU_Regions_Cities_Final_Report_FINAL.pdf</w:t>
      </w:r>
    </w:p>
    <w:p w14:paraId="59739725" w14:textId="77777777" w:rsidR="000D6A33" w:rsidRPr="00590BB6" w:rsidRDefault="006F44A7" w:rsidP="000D6A33">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[69]</w:t>
      </w:r>
      <w:r w:rsidRPr="00590BB6">
        <w:rPr>
          <w:rFonts w:cs="Times New Roman"/>
          <w:noProof/>
          <w:szCs w:val="24"/>
        </w:rPr>
        <w:tab/>
      </w:r>
      <w:r w:rsidR="000D6A33" w:rsidRPr="00590BB6">
        <w:rPr>
          <w:rFonts w:cs="Times New Roman"/>
          <w:noProof/>
          <w:szCs w:val="24"/>
        </w:rPr>
        <w:t xml:space="preserve">A. Burke, A. K. Sinha, D. University of California, N. C. for S. Transportation, C. D. of Transportation, and O. of the A. S. for R. and Technology, “Technology, Sustainability, and Marketing of Battery Electric and Hydrogen Fuel Cell Medium-Duty and Heavy-Duty Trucks and </w:t>
      </w:r>
      <w:r w:rsidR="000D6A33" w:rsidRPr="00590BB6">
        <w:rPr>
          <w:rFonts w:cs="Times New Roman"/>
          <w:noProof/>
          <w:szCs w:val="24"/>
        </w:rPr>
        <w:lastRenderedPageBreak/>
        <w:t>Buses in 2020-2040,” no. March, p. 63p, 2020, doi: 10.7922/G2H993FJ.</w:t>
      </w:r>
    </w:p>
    <w:p w14:paraId="1A7A091F"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[70]</w:t>
      </w:r>
      <w:r w:rsidRPr="00590BB6">
        <w:rPr>
          <w:rFonts w:cs="Times New Roman"/>
          <w:noProof/>
          <w:szCs w:val="24"/>
        </w:rPr>
        <w:tab/>
        <w:t>Climate Analytics, “Country Factsheet - 1.5</w:t>
      </w:r>
      <w:r w:rsidRPr="00590BB6">
        <w:rPr>
          <w:rFonts w:cs="Times New Roman"/>
          <w:noProof/>
          <w:szCs w:val="24"/>
          <w:vertAlign w:val="superscript"/>
        </w:rPr>
        <w:t>o</w:t>
      </w:r>
      <w:r w:rsidRPr="00590BB6">
        <w:rPr>
          <w:rFonts w:cs="Times New Roman"/>
          <w:noProof/>
          <w:szCs w:val="24"/>
        </w:rPr>
        <w:t>C Pathways for Europe - Italy.” pp. 1–8, 2022.</w:t>
      </w:r>
    </w:p>
    <w:p w14:paraId="56BCA1B5" w14:textId="77777777" w:rsidR="006F44A7" w:rsidRPr="00590BB6" w:rsidRDefault="006F44A7" w:rsidP="006F44A7">
      <w:pPr>
        <w:widowControl w:val="0"/>
        <w:autoSpaceDE w:val="0"/>
        <w:autoSpaceDN w:val="0"/>
        <w:adjustRightInd w:val="0"/>
        <w:spacing w:line="360" w:lineRule="auto"/>
        <w:ind w:left="640" w:hanging="640"/>
        <w:rPr>
          <w:rFonts w:cs="Times New Roman"/>
          <w:noProof/>
          <w:szCs w:val="24"/>
        </w:rPr>
      </w:pPr>
      <w:r w:rsidRPr="00590BB6">
        <w:rPr>
          <w:rFonts w:cs="Times New Roman"/>
          <w:noProof/>
          <w:szCs w:val="24"/>
        </w:rPr>
        <w:t>[71]</w:t>
      </w:r>
      <w:r w:rsidRPr="00590BB6">
        <w:rPr>
          <w:rFonts w:cs="Times New Roman"/>
          <w:noProof/>
          <w:szCs w:val="24"/>
        </w:rPr>
        <w:tab/>
        <w:t xml:space="preserve">Hydrogen and Fuel Cell Technologies Office (HFTO), “Hydrogen storage,” </w:t>
      </w:r>
      <w:r w:rsidRPr="00590BB6">
        <w:rPr>
          <w:rFonts w:cs="Times New Roman"/>
          <w:i/>
          <w:iCs/>
          <w:noProof/>
          <w:szCs w:val="24"/>
        </w:rPr>
        <w:t>US Department of Energy</w:t>
      </w:r>
      <w:r w:rsidRPr="00590BB6">
        <w:rPr>
          <w:rFonts w:cs="Times New Roman"/>
          <w:noProof/>
          <w:szCs w:val="24"/>
        </w:rPr>
        <w:t>, 2022. https://www.energy.gov/eere/fuelcells/hydrogen-storage (accessed Aug. 30, 2022).</w:t>
      </w:r>
    </w:p>
    <w:p w14:paraId="1D94867B" w14:textId="77777777" w:rsidR="006F44A7" w:rsidRPr="00590BB6" w:rsidRDefault="006F44A7" w:rsidP="006F44A7">
      <w:pPr>
        <w:widowControl w:val="0"/>
        <w:autoSpaceDE w:val="0"/>
        <w:autoSpaceDN w:val="0"/>
        <w:adjustRightInd w:val="0"/>
        <w:spacing w:line="360" w:lineRule="auto"/>
        <w:ind w:left="640" w:hanging="640"/>
        <w:rPr>
          <w:rFonts w:cs="Times New Roman"/>
          <w:noProof/>
        </w:rPr>
      </w:pPr>
      <w:r w:rsidRPr="00590BB6">
        <w:rPr>
          <w:rFonts w:cs="Times New Roman"/>
          <w:noProof/>
          <w:szCs w:val="24"/>
        </w:rPr>
        <w:t>[72]</w:t>
      </w:r>
      <w:r w:rsidRPr="00590BB6">
        <w:rPr>
          <w:rFonts w:cs="Times New Roman"/>
          <w:noProof/>
          <w:szCs w:val="24"/>
        </w:rPr>
        <w:tab/>
        <w:t xml:space="preserve">G. Kakoulaki, I. Kougias, N. Taylor, F. Dolci, J. Moya, and A. Jäger-Waldau, “Green hydrogen in Europe – A regional assessment: Substituting existing production with electrolysis powered by renewables,” </w:t>
      </w:r>
      <w:r w:rsidRPr="00590BB6">
        <w:rPr>
          <w:rFonts w:cs="Times New Roman"/>
          <w:i/>
          <w:iCs/>
          <w:noProof/>
          <w:szCs w:val="24"/>
        </w:rPr>
        <w:t>Energy Convers. Manag.</w:t>
      </w:r>
      <w:r w:rsidRPr="00590BB6">
        <w:rPr>
          <w:rFonts w:cs="Times New Roman"/>
          <w:noProof/>
          <w:szCs w:val="24"/>
        </w:rPr>
        <w:t>, vol. 228, no. July 2020, 2021, doi: 10.1016/j.enconman.2020.113649.</w:t>
      </w:r>
    </w:p>
    <w:p w14:paraId="50C11B44" w14:textId="4E92B022" w:rsidR="004E0CDD" w:rsidRPr="00D32CE7" w:rsidRDefault="00B63D68" w:rsidP="00600286">
      <w:pPr>
        <w:spacing w:line="360" w:lineRule="auto"/>
        <w:jc w:val="both"/>
        <w:rPr>
          <w:rFonts w:cs="Times New Roman"/>
        </w:rPr>
      </w:pPr>
      <w:r w:rsidRPr="00590BB6">
        <w:rPr>
          <w:rFonts w:cs="Times New Roman"/>
        </w:rPr>
        <w:fldChar w:fldCharType="end"/>
      </w:r>
    </w:p>
    <w:p w14:paraId="7FE6407E" w14:textId="77777777" w:rsidR="004E6282" w:rsidRPr="00D32CE7" w:rsidRDefault="004E6282">
      <w:pPr>
        <w:spacing w:line="360" w:lineRule="auto"/>
        <w:jc w:val="both"/>
        <w:rPr>
          <w:rFonts w:cs="Times New Roman"/>
        </w:rPr>
      </w:pPr>
    </w:p>
    <w:sectPr w:rsidR="004E6282" w:rsidRPr="00D32CE7" w:rsidSect="00314EDB">
      <w:footerReference w:type="default" r:id="rId46"/>
      <w:pgSz w:w="11906" w:h="16838"/>
      <w:pgMar w:top="1417" w:right="1134" w:bottom="1134" w:left="1134"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D4991" w14:textId="77777777" w:rsidR="005E1B5D" w:rsidRDefault="005E1B5D" w:rsidP="0027311A">
      <w:pPr>
        <w:spacing w:after="0" w:line="240" w:lineRule="auto"/>
      </w:pPr>
      <w:r>
        <w:separator/>
      </w:r>
    </w:p>
  </w:endnote>
  <w:endnote w:type="continuationSeparator" w:id="0">
    <w:p w14:paraId="62139BF2" w14:textId="77777777" w:rsidR="005E1B5D" w:rsidRDefault="005E1B5D" w:rsidP="00273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iberation Mono">
    <w:altName w:val="Calibri"/>
    <w:panose1 w:val="020B0604020202020204"/>
    <w:charset w:val="00"/>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imes New Roman"/>
      </w:rPr>
      <w:id w:val="-959642625"/>
      <w:docPartObj>
        <w:docPartGallery w:val="Page Numbers (Bottom of Page)"/>
        <w:docPartUnique/>
      </w:docPartObj>
    </w:sdtPr>
    <w:sdtEndPr>
      <w:rPr>
        <w:noProof/>
      </w:rPr>
    </w:sdtEndPr>
    <w:sdtContent>
      <w:p w14:paraId="7029AAF6" w14:textId="041B7619" w:rsidR="006F44A7" w:rsidRPr="0027311A" w:rsidRDefault="006F44A7">
        <w:pPr>
          <w:pStyle w:val="Footer"/>
          <w:jc w:val="right"/>
          <w:rPr>
            <w:rFonts w:cs="Times New Roman"/>
          </w:rPr>
        </w:pPr>
        <w:r w:rsidRPr="0027311A">
          <w:rPr>
            <w:rFonts w:cs="Times New Roman"/>
          </w:rPr>
          <w:fldChar w:fldCharType="begin"/>
        </w:r>
        <w:r w:rsidRPr="0027311A">
          <w:rPr>
            <w:rFonts w:cs="Times New Roman"/>
          </w:rPr>
          <w:instrText xml:space="preserve"> PAGE   \* MERGEFORMAT </w:instrText>
        </w:r>
        <w:r w:rsidRPr="0027311A">
          <w:rPr>
            <w:rFonts w:cs="Times New Roman"/>
          </w:rPr>
          <w:fldChar w:fldCharType="separate"/>
        </w:r>
        <w:r w:rsidR="00E022DA">
          <w:rPr>
            <w:rFonts w:cs="Times New Roman"/>
            <w:noProof/>
          </w:rPr>
          <w:t>25</w:t>
        </w:r>
        <w:r w:rsidRPr="0027311A">
          <w:rPr>
            <w:rFonts w:cs="Times New Roman"/>
            <w:noProof/>
          </w:rPr>
          <w:fldChar w:fldCharType="end"/>
        </w:r>
      </w:p>
    </w:sdtContent>
  </w:sdt>
  <w:p w14:paraId="773DE5EE" w14:textId="77777777" w:rsidR="006F44A7" w:rsidRDefault="006F44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BCA7E" w14:textId="77777777" w:rsidR="005E1B5D" w:rsidRDefault="005E1B5D" w:rsidP="0027311A">
      <w:pPr>
        <w:spacing w:after="0" w:line="240" w:lineRule="auto"/>
      </w:pPr>
      <w:r>
        <w:separator/>
      </w:r>
    </w:p>
  </w:footnote>
  <w:footnote w:type="continuationSeparator" w:id="0">
    <w:p w14:paraId="1E3717AE" w14:textId="77777777" w:rsidR="005E1B5D" w:rsidRDefault="005E1B5D" w:rsidP="0027311A">
      <w:pPr>
        <w:spacing w:after="0" w:line="240" w:lineRule="auto"/>
      </w:pPr>
      <w:r>
        <w:continuationSeparator/>
      </w:r>
    </w:p>
  </w:footnote>
  <w:footnote w:id="1">
    <w:p w14:paraId="7C1B0604" w14:textId="6917F316" w:rsidR="005864DB" w:rsidRDefault="005864DB">
      <w:pPr>
        <w:pStyle w:val="FootnoteText"/>
      </w:pPr>
      <w:r>
        <w:rPr>
          <w:rStyle w:val="FootnoteReference"/>
        </w:rPr>
        <w:footnoteRef/>
      </w:r>
      <w:r>
        <w:t xml:space="preserve"> </w:t>
      </w:r>
      <w:r w:rsidR="006524CA">
        <w:t>The</w:t>
      </w:r>
      <w:r>
        <w:t xml:space="preserve"> term “Heavy duty vehicles” or HDVs, according to the European Commission (</w:t>
      </w:r>
      <w:hyperlink r:id="rId1" w:history="1">
        <w:r w:rsidRPr="002E541D">
          <w:rPr>
            <w:rStyle w:val="Hyperlink"/>
          </w:rPr>
          <w:t>https://ec.europa.eu/commission/presscorner/detail/en/MEMO_14_366</w:t>
        </w:r>
      </w:hyperlink>
      <w:r>
        <w:t xml:space="preserve">) applies to either freight or passenger transport. </w:t>
      </w:r>
      <w:r w:rsidR="006524CA">
        <w:t>However, i</w:t>
      </w:r>
      <w:r>
        <w:t xml:space="preserve">n this work, the focus is on the freight transport, therefore the term HDV applies to trucks transporting more than 3.5 </w:t>
      </w:r>
      <w:r w:rsidR="006524CA">
        <w:t xml:space="preserve">t (metric </w:t>
      </w:r>
      <w:r>
        <w:t>ton</w:t>
      </w:r>
      <w:r w:rsidR="006524CA">
        <w:t>, tonne)</w:t>
      </w:r>
      <w:r>
        <w:t>.</w:t>
      </w:r>
    </w:p>
  </w:footnote>
  <w:footnote w:id="2">
    <w:p w14:paraId="729569F8" w14:textId="4CC87DF8" w:rsidR="00E85D39" w:rsidRDefault="00E85D39" w:rsidP="00E85D39">
      <w:pPr>
        <w:pStyle w:val="FootnoteText"/>
      </w:pPr>
      <w:r>
        <w:rPr>
          <w:rStyle w:val="FootnoteReference"/>
        </w:rPr>
        <w:footnoteRef/>
      </w:r>
      <w:r>
        <w:t xml:space="preserve"> Communication from the Commission to the European Parliament, the European Parliament, the European Council, the European economic and social committee of the regions. </w:t>
      </w:r>
      <w:proofErr w:type="spellStart"/>
      <w:r>
        <w:t>REPowerEU</w:t>
      </w:r>
      <w:proofErr w:type="spellEnd"/>
      <w:r>
        <w:t xml:space="preserve"> Plan. </w:t>
      </w:r>
      <w:r w:rsidR="00B83A51" w:rsidRPr="00B83A51">
        <w:t>https://eur-lex.europa.eu/legal-content/EN/TXT/?uri=CELEX%3A52022DC0230&amp;qid=1653466353078</w:t>
      </w:r>
    </w:p>
  </w:footnote>
  <w:footnote w:id="3">
    <w:p w14:paraId="7E588FE2" w14:textId="30873FB4" w:rsidR="00B83A51" w:rsidRDefault="00B83A51">
      <w:pPr>
        <w:pStyle w:val="FootnoteText"/>
      </w:pPr>
      <w:r>
        <w:rPr>
          <w:rStyle w:val="FootnoteReference"/>
        </w:rPr>
        <w:footnoteRef/>
      </w:r>
      <w:r>
        <w:t xml:space="preserve"> </w:t>
      </w:r>
      <w:hyperlink r:id="rId2" w:history="1">
        <w:r w:rsidRPr="007A54E1">
          <w:rPr>
            <w:rStyle w:val="Hyperlink"/>
          </w:rPr>
          <w:t>https://eur-lex.europa.eu/legal-content/EN/AUTO/?uri=SWD:2023:0088:FIN</w:t>
        </w:r>
      </w:hyperlink>
      <w:r>
        <w:t xml:space="preserve">, </w:t>
      </w:r>
      <w:r w:rsidRPr="00B83A51">
        <w:t>https://eur-lex.europa.eu/legal-content/EN/AUTO/?uri=SWD:2023:0089:FIN</w:t>
      </w:r>
    </w:p>
  </w:footnote>
  <w:footnote w:id="4">
    <w:p w14:paraId="1D6F08A8" w14:textId="56D57718" w:rsidR="002D2F80" w:rsidRDefault="002D2F80">
      <w:pPr>
        <w:pStyle w:val="FootnoteText"/>
      </w:pPr>
      <w:r>
        <w:rPr>
          <w:rStyle w:val="FootnoteReference"/>
        </w:rPr>
        <w:footnoteRef/>
      </w:r>
      <w:r>
        <w:t xml:space="preserve"> Bottom-up methods </w:t>
      </w:r>
      <w:r w:rsidR="00B123DF">
        <w:t>are modelling approaches where technologies are characterised with their techno-economic features, such as efficiencies (fuel consumption), emissions, capital</w:t>
      </w:r>
      <w:r w:rsidR="00B83A51">
        <w:t>,</w:t>
      </w:r>
      <w:r w:rsidR="00B123DF">
        <w:t xml:space="preserve"> and operating costs.</w:t>
      </w:r>
    </w:p>
  </w:footnote>
  <w:footnote w:id="5">
    <w:p w14:paraId="4EAAD172" w14:textId="034AC171" w:rsidR="00105699" w:rsidRDefault="00105699">
      <w:pPr>
        <w:pStyle w:val="FootnoteText"/>
      </w:pPr>
      <w:r>
        <w:rPr>
          <w:rStyle w:val="FootnoteReference"/>
        </w:rPr>
        <w:footnoteRef/>
      </w:r>
      <w:r>
        <w:t xml:space="preserve"> </w:t>
      </w:r>
      <w:r>
        <w:rPr>
          <w:rFonts w:cs="Times New Roman"/>
        </w:rPr>
        <w:t xml:space="preserve">The service offered by trucks is measured in </w:t>
      </w:r>
      <w:r w:rsidRPr="00D32CE7">
        <w:rPr>
          <w:rFonts w:cs="Times New Roman"/>
        </w:rPr>
        <w:t>t-km</w:t>
      </w:r>
      <w:r>
        <w:rPr>
          <w:rFonts w:cs="Times New Roman"/>
        </w:rPr>
        <w:t xml:space="preserve"> and</w:t>
      </w:r>
      <w:r w:rsidRPr="00D32CE7">
        <w:rPr>
          <w:rFonts w:cs="Times New Roman"/>
        </w:rPr>
        <w:t xml:space="preserve"> represents the transport of one tonne (i.e., 1,000 kg) of goods (including packaging and tare weights of intermodal transport units) by a given transport mode (road, rail, air, sea, inland waterways, pipeline, etc.) over one kilometre (km). Here, it is also called as ‘capacity’</w:t>
      </w:r>
      <w:r>
        <w:rPr>
          <w:rFonts w:cs="Times New Roman"/>
        </w:rPr>
        <w:t>, referring to the maximum transportable quantity of goods which can be moved over 1 km of distance</w:t>
      </w:r>
      <w:r w:rsidRPr="00D32CE7">
        <w:rPr>
          <w:rFonts w:cs="Times New Roman"/>
        </w:rPr>
        <w:t>. On the other hand, the v-km measures the traffic flow. It is determined by multiplying the number of vehicles on a given road by the average length of their journeys measured in km.</w:t>
      </w:r>
    </w:p>
  </w:footnote>
  <w:footnote w:id="6">
    <w:p w14:paraId="240B30C1" w14:textId="642F6509" w:rsidR="006F44A7" w:rsidRDefault="006F44A7" w:rsidP="00AD7CC5">
      <w:pPr>
        <w:pStyle w:val="FootnoteText"/>
      </w:pPr>
      <w:r>
        <w:rPr>
          <w:rStyle w:val="FootnoteReference"/>
        </w:rPr>
        <w:footnoteRef/>
      </w:r>
      <w:r>
        <w:t xml:space="preserve"> The threshold value of 3.5 t was used to distinguish between light commercial and heavy-duty vehicles</w:t>
      </w:r>
      <w:r w:rsidR="00105699">
        <w:t xml:space="preserve"> (</w:t>
      </w:r>
      <w:r>
        <w:t>HDVs</w:t>
      </w:r>
      <w:r w:rsidR="00105699">
        <w:t>)</w:t>
      </w:r>
      <w:r>
        <w:t>.</w:t>
      </w:r>
    </w:p>
  </w:footnote>
  <w:footnote w:id="7">
    <w:p w14:paraId="7FA3891E" w14:textId="0D99D68C" w:rsidR="00C30428" w:rsidRDefault="00C30428">
      <w:pPr>
        <w:pStyle w:val="FootnoteText"/>
      </w:pPr>
      <w:r>
        <w:rPr>
          <w:rStyle w:val="FootnoteReference"/>
        </w:rPr>
        <w:footnoteRef/>
      </w:r>
      <w:r>
        <w:t xml:space="preserve"> </w:t>
      </w:r>
      <w:r w:rsidRPr="00590BB6">
        <w:rPr>
          <w:rFonts w:cs="Times New Roman"/>
        </w:rPr>
        <w:t>Data refer to vehicle registrations, costs, and efficiencies retrieved from national statistics [</w:t>
      </w:r>
      <w:r w:rsidR="009F2331" w:rsidRPr="00590BB6">
        <w:rPr>
          <w:rFonts w:cs="Times New Roman"/>
        </w:rPr>
        <w:t>33</w:t>
      </w:r>
      <w:r w:rsidRPr="00590BB6">
        <w:rPr>
          <w:rFonts w:cs="Times New Roman"/>
        </w:rPr>
        <w:t>] and integrated assessment modelling harmonisation literature [31].</w:t>
      </w:r>
    </w:p>
  </w:footnote>
  <w:footnote w:id="8">
    <w:p w14:paraId="2DEC926F" w14:textId="36E4906B" w:rsidR="008C5670" w:rsidRDefault="008C5670">
      <w:pPr>
        <w:pStyle w:val="FootnoteText"/>
      </w:pPr>
      <w:r>
        <w:rPr>
          <w:rStyle w:val="FootnoteReference"/>
        </w:rPr>
        <w:footnoteRef/>
      </w:r>
      <w:r>
        <w:t xml:space="preserve"> </w:t>
      </w:r>
      <w:r>
        <w:rPr>
          <w:rFonts w:cs="Times New Roman"/>
        </w:rPr>
        <w:t xml:space="preserve">This follows the typical classification available as per the </w:t>
      </w:r>
      <w:r w:rsidRPr="00D32CE7">
        <w:rPr>
          <w:rFonts w:cs="Times New Roman"/>
        </w:rPr>
        <w:t xml:space="preserve">Automobile Club </w:t>
      </w:r>
      <w:proofErr w:type="spellStart"/>
      <w:r w:rsidRPr="00D32CE7">
        <w:rPr>
          <w:rFonts w:cs="Times New Roman"/>
        </w:rPr>
        <w:t>d'Italia</w:t>
      </w:r>
      <w:proofErr w:type="spellEnd"/>
      <w:r w:rsidRPr="00D32CE7">
        <w:rPr>
          <w:rFonts w:cs="Times New Roman"/>
        </w:rPr>
        <w:t xml:space="preserve"> (ACI)</w:t>
      </w:r>
      <w:r>
        <w:rPr>
          <w:rFonts w:cs="Times New Roman"/>
        </w:rPr>
        <w:t xml:space="preserve"> database, the most authoritative institution responsible for collecting</w:t>
      </w:r>
      <w:r w:rsidRPr="00D32CE7">
        <w:rPr>
          <w:rFonts w:cs="Times New Roman"/>
        </w:rPr>
        <w:t xml:space="preserve"> yearly data on vehicle fleet registrations </w:t>
      </w:r>
      <w:r w:rsidRPr="00D32CE7">
        <w:rPr>
          <w:rFonts w:cs="Times New Roman"/>
        </w:rPr>
        <w:fldChar w:fldCharType="begin" w:fldLock="1"/>
      </w:r>
      <w:r>
        <w:rPr>
          <w:rFonts w:cs="Times New Roman"/>
        </w:rPr>
        <w:instrText>ADDIN CSL_CITATION {"citationItems":[{"id":"ITEM-1","itemData":{"author":[{"dropping-particle":"","family":"ACI","given":"","non-dropping-particle":"","parse-names":false,"suffix":""}],"id":"ITEM-1","issued":{"date-parts":[["2022"]]},"title":"Open parco veicoli","type":"webpage"},"uris":["http://www.mendeley.com/documents/?uuid=0ee04b61-8879-45e4-a314-dcd8c3b76372","http://www.mendeley.com/documents/?uuid=33c668c6-cc3a-4fdb-a312-83717c9c59fd"]}],"mendeley":{"formattedCitation":"[10]","plainTextFormattedCitation":"[10]","previouslyFormattedCitation":"[9]"},"properties":{"noteIndex":0},"schema":"https://github.com/citation-style-language/schema/raw/master/csl-citation.json"}</w:instrText>
      </w:r>
      <w:r w:rsidRPr="00D32CE7">
        <w:rPr>
          <w:rFonts w:cs="Times New Roman"/>
        </w:rPr>
        <w:fldChar w:fldCharType="separate"/>
      </w:r>
      <w:r w:rsidRPr="006F44A7">
        <w:rPr>
          <w:rFonts w:cs="Times New Roman"/>
          <w:noProof/>
        </w:rPr>
        <w:t>[10]</w:t>
      </w:r>
      <w:r w:rsidRPr="00D32CE7">
        <w:rPr>
          <w:rFonts w:cs="Times New Roman"/>
        </w:rPr>
        <w:fldChar w:fldCharType="end"/>
      </w:r>
      <w:r w:rsidR="00A116A4">
        <w:rPr>
          <w:rFonts w:cs="Times New Roman"/>
        </w:rPr>
        <w:t>.</w:t>
      </w:r>
    </w:p>
  </w:footnote>
  <w:footnote w:id="9">
    <w:p w14:paraId="7572E7AB" w14:textId="4A518409" w:rsidR="006F44A7" w:rsidRDefault="006F44A7">
      <w:pPr>
        <w:pStyle w:val="FootnoteText"/>
      </w:pPr>
      <w:r>
        <w:rPr>
          <w:rStyle w:val="FootnoteReference"/>
        </w:rPr>
        <w:footnoteRef/>
      </w:r>
      <w:r>
        <w:t xml:space="preserve"> E</w:t>
      </w:r>
      <w:r w:rsidRPr="00D32CE7">
        <w:rPr>
          <w:rFonts w:cs="Times New Roman"/>
        </w:rPr>
        <w:t xml:space="preserve">lectricity prices </w:t>
      </w:r>
      <w:r>
        <w:rPr>
          <w:rFonts w:cs="Times New Roman"/>
        </w:rPr>
        <w:t xml:space="preserve">refer to </w:t>
      </w:r>
      <w:r w:rsidRPr="00D32CE7">
        <w:rPr>
          <w:rFonts w:cs="Times New Roman"/>
        </w:rPr>
        <w:t xml:space="preserve">supply condition </w:t>
      </w:r>
      <w:r>
        <w:rPr>
          <w:rFonts w:cs="Times New Roman"/>
        </w:rPr>
        <w:t>of</w:t>
      </w:r>
      <w:r w:rsidRPr="00D32CE7">
        <w:rPr>
          <w:rFonts w:cs="Times New Roman"/>
        </w:rPr>
        <w:t xml:space="preserve"> a household with 3 kW of power engaged and 2</w:t>
      </w:r>
      <w:r w:rsidR="004314FE">
        <w:rPr>
          <w:rFonts w:cs="Times New Roman"/>
        </w:rPr>
        <w:t>,</w:t>
      </w:r>
      <w:r w:rsidRPr="00D32CE7">
        <w:rPr>
          <w:rFonts w:cs="Times New Roman"/>
        </w:rPr>
        <w:t>700 kWh of annual consumption.</w:t>
      </w:r>
    </w:p>
  </w:footnote>
  <w:footnote w:id="10">
    <w:p w14:paraId="5801E3DD" w14:textId="01A13707" w:rsidR="00F90E91" w:rsidRDefault="00F90E91">
      <w:pPr>
        <w:pStyle w:val="FootnoteText"/>
      </w:pPr>
      <w:r>
        <w:rPr>
          <w:rStyle w:val="FootnoteReference"/>
        </w:rPr>
        <w:footnoteRef/>
      </w:r>
      <w:r>
        <w:t xml:space="preserve"> </w:t>
      </w:r>
      <w:r w:rsidRPr="00F90E91">
        <w:t>https://eur-lex.europa.eu/legal-content/EN/TXT/?uri=CELEX:52020DC0301</w:t>
      </w:r>
    </w:p>
  </w:footnote>
  <w:footnote w:id="11">
    <w:p w14:paraId="0705836A" w14:textId="36422899" w:rsidR="008C1D63" w:rsidRDefault="008C1D63">
      <w:pPr>
        <w:pStyle w:val="FootnoteText"/>
      </w:pPr>
      <w:r>
        <w:rPr>
          <w:rStyle w:val="FootnoteReference"/>
        </w:rPr>
        <w:footnoteRef/>
      </w:r>
      <w:r>
        <w:t xml:space="preserve"> Electricity mix</w:t>
      </w:r>
      <w:r w:rsidR="003E20D3">
        <w:t>es</w:t>
      </w:r>
      <w:r>
        <w:t xml:space="preserve"> were estimated using the central policy scenario from ENTSO-E, the National Trend scenario [56].</w:t>
      </w:r>
    </w:p>
  </w:footnote>
  <w:footnote w:id="12">
    <w:p w14:paraId="68DB9526" w14:textId="77777777" w:rsidR="00254AE6" w:rsidRDefault="00254AE6" w:rsidP="00254AE6">
      <w:pPr>
        <w:pStyle w:val="FootnoteText"/>
      </w:pPr>
      <w:r>
        <w:rPr>
          <w:rStyle w:val="FootnoteReference"/>
        </w:rPr>
        <w:footnoteRef/>
      </w:r>
      <w:r>
        <w:t xml:space="preserve"> Power sector carbon intensities were </w:t>
      </w:r>
      <w:r w:rsidRPr="00D32CE7">
        <w:rPr>
          <w:rFonts w:cs="Times New Roman"/>
          <w:color w:val="000000"/>
        </w:rPr>
        <w:t>297.3</w:t>
      </w:r>
      <w:r>
        <w:rPr>
          <w:rFonts w:cs="Times New Roman"/>
          <w:color w:val="000000"/>
        </w:rPr>
        <w:t xml:space="preserve">, </w:t>
      </w:r>
      <w:r w:rsidRPr="00D32CE7">
        <w:rPr>
          <w:rFonts w:cs="Times New Roman"/>
          <w:color w:val="000000"/>
        </w:rPr>
        <w:t>194.6</w:t>
      </w:r>
      <w:r>
        <w:rPr>
          <w:rFonts w:cs="Times New Roman"/>
          <w:color w:val="000000"/>
        </w:rPr>
        <w:t xml:space="preserve">, </w:t>
      </w:r>
      <w:r w:rsidRPr="00D32CE7">
        <w:rPr>
          <w:rFonts w:cs="Times New Roman"/>
          <w:color w:val="000000"/>
        </w:rPr>
        <w:t>157.1</w:t>
      </w:r>
      <w:r>
        <w:rPr>
          <w:rFonts w:cs="Times New Roman"/>
          <w:color w:val="000000"/>
        </w:rPr>
        <w:t xml:space="preserve"> </w:t>
      </w:r>
      <w:r w:rsidRPr="00FD5950">
        <w:rPr>
          <w:rFonts w:cs="Times New Roman"/>
          <w:color w:val="000000"/>
        </w:rPr>
        <w:t>gCO</w:t>
      </w:r>
      <w:r w:rsidRPr="00FD5950">
        <w:rPr>
          <w:rFonts w:cs="Times New Roman"/>
          <w:color w:val="000000"/>
          <w:vertAlign w:val="subscript"/>
        </w:rPr>
        <w:t>2</w:t>
      </w:r>
      <w:r w:rsidRPr="00FD5950">
        <w:rPr>
          <w:rFonts w:cs="Times New Roman"/>
          <w:color w:val="000000"/>
        </w:rPr>
        <w:t>/kWh</w:t>
      </w:r>
      <w:r>
        <w:rPr>
          <w:rFonts w:cs="Times New Roman"/>
          <w:color w:val="000000"/>
        </w:rPr>
        <w:t xml:space="preserve"> for year 2020, 2030, and 2040.</w:t>
      </w:r>
    </w:p>
  </w:footnote>
  <w:footnote w:id="13">
    <w:p w14:paraId="39A6EAD0" w14:textId="7E16FF46" w:rsidR="002A52CA" w:rsidRDefault="002A52CA">
      <w:pPr>
        <w:pStyle w:val="FootnoteText"/>
      </w:pPr>
      <w:r>
        <w:rPr>
          <w:rStyle w:val="FootnoteReference"/>
        </w:rPr>
        <w:footnoteRef/>
      </w:r>
      <w:r>
        <w:t xml:space="preserve"> </w:t>
      </w:r>
      <w:r w:rsidR="00860ABA" w:rsidRPr="00860ABA">
        <w:t>https://www.energymonitor.ai/policy/carbon-markets/carbon-markets-forecast-to-weather-short-term-price-dips/#:~:text=European%20respondents%20expect%20EU%20Allowance,2025%20from%20last%20year's%20survey</w:t>
      </w:r>
    </w:p>
  </w:footnote>
  <w:footnote w:id="14">
    <w:p w14:paraId="386CD884" w14:textId="2D64A5CF" w:rsidR="00F34968" w:rsidRDefault="00F34968">
      <w:pPr>
        <w:pStyle w:val="FootnoteText"/>
      </w:pPr>
      <w:r>
        <w:rPr>
          <w:rStyle w:val="FootnoteReference"/>
        </w:rPr>
        <w:footnoteRef/>
      </w:r>
      <w:r>
        <w:t xml:space="preserve"> </w:t>
      </w:r>
      <w:r w:rsidRPr="00F34968">
        <w:t>https://eur-lex.europa.eu/legal-content/EN/AUTO/?uri=SWD:2023:0088:FIN, https://eur-lex.europa.eu/legal-content/EN/AUTO/?uri=SWD:2023:0089:FIN</w:t>
      </w:r>
    </w:p>
  </w:footnote>
  <w:footnote w:id="15">
    <w:p w14:paraId="4AD2C0E6" w14:textId="14A39A57" w:rsidR="00C94933" w:rsidRDefault="00C94933">
      <w:pPr>
        <w:pStyle w:val="FootnoteText"/>
      </w:pPr>
      <w:r>
        <w:rPr>
          <w:rStyle w:val="FootnoteReference"/>
        </w:rPr>
        <w:footnoteRef/>
      </w:r>
      <w:r>
        <w:t xml:space="preserve"> </w:t>
      </w:r>
      <w:r w:rsidRPr="00C94933">
        <w:t xml:space="preserve">The fleet composition, represented as the number of trucks per technology, is reported for all scenarios and years in the </w:t>
      </w:r>
      <w:r w:rsidRPr="00FF2427">
        <w:rPr>
          <w:bCs/>
        </w:rPr>
        <w:t>Supplementary Material</w:t>
      </w:r>
      <w:r w:rsidRPr="00C94933">
        <w:t xml:space="preserve"> (Figures S.2, S.3, and S.4, for heavy, medium, and light weight categories, respectively).</w:t>
      </w:r>
    </w:p>
  </w:footnote>
  <w:footnote w:id="16">
    <w:p w14:paraId="1D0DB764" w14:textId="77777777" w:rsidR="005C0F4D" w:rsidRDefault="005C0F4D" w:rsidP="005C0F4D">
      <w:pPr>
        <w:pStyle w:val="FootnoteText"/>
      </w:pPr>
      <w:r>
        <w:rPr>
          <w:rStyle w:val="FootnoteReference"/>
        </w:rPr>
        <w:footnoteRef/>
      </w:r>
      <w:r>
        <w:t xml:space="preserve"> </w:t>
      </w:r>
      <w:r w:rsidRPr="00CA7EEF">
        <w:t>https://theicct.org/eu-co2-hdv-standards-explained-feb23/</w:t>
      </w:r>
    </w:p>
  </w:footnote>
  <w:footnote w:id="17">
    <w:p w14:paraId="36D57601" w14:textId="6BC41E01" w:rsidR="00C677C8" w:rsidRDefault="00C677C8">
      <w:pPr>
        <w:pStyle w:val="FootnoteText"/>
      </w:pPr>
      <w:r>
        <w:rPr>
          <w:rStyle w:val="FootnoteReference"/>
        </w:rPr>
        <w:footnoteRef/>
      </w:r>
      <w:r>
        <w:t xml:space="preserve"> In t</w:t>
      </w:r>
      <w:r w:rsidR="005B0D10">
        <w:t>he new proposal from the European Commission</w:t>
      </w:r>
      <w:r>
        <w:t>, truck manufacturers could benefit from a “</w:t>
      </w:r>
      <w:r w:rsidRPr="00C677C8">
        <w:t>credit and debt</w:t>
      </w:r>
      <w:r>
        <w:t>”</w:t>
      </w:r>
      <w:r w:rsidRPr="00C677C8">
        <w:t xml:space="preserve"> system </w:t>
      </w:r>
      <w:r>
        <w:t xml:space="preserve">until </w:t>
      </w:r>
      <w:r w:rsidRPr="00C677C8">
        <w:t>2040</w:t>
      </w:r>
      <w:r w:rsidR="005B0D10">
        <w:t xml:space="preserve"> (rather than 2030)</w:t>
      </w:r>
      <w:r>
        <w:t>;</w:t>
      </w:r>
      <w:r w:rsidRPr="00C677C8">
        <w:t xml:space="preserve"> </w:t>
      </w:r>
      <w:r>
        <w:t>this</w:t>
      </w:r>
      <w:r w:rsidRPr="00C677C8">
        <w:t xml:space="preserve"> allows manufacturers to earn credits by reducing their fleet emissions below an emissions trajectory line</w:t>
      </w:r>
      <w:r>
        <w:t xml:space="preserve"> drawn in the intermediate dates between targets.</w:t>
      </w:r>
      <w:r w:rsidR="005B0D10">
        <w:t xml:space="preserve"> Such a mechanism is not modelled in the present study.</w:t>
      </w:r>
    </w:p>
  </w:footnote>
  <w:footnote w:id="18">
    <w:p w14:paraId="28FCE9DD" w14:textId="3FC757AB" w:rsidR="00E06461" w:rsidRDefault="00E06461">
      <w:pPr>
        <w:pStyle w:val="FootnoteText"/>
      </w:pPr>
      <w:r>
        <w:rPr>
          <w:rStyle w:val="FootnoteReference"/>
        </w:rPr>
        <w:footnoteRef/>
      </w:r>
      <w:r>
        <w:t xml:space="preserve"> </w:t>
      </w:r>
      <w:r>
        <w:rPr>
          <w:rFonts w:cs="Times New Roman"/>
        </w:rPr>
        <w:t>The estimates c</w:t>
      </w:r>
      <w:r w:rsidRPr="00590BB6">
        <w:rPr>
          <w:rFonts w:cs="Times New Roman"/>
        </w:rPr>
        <w:t>onsider</w:t>
      </w:r>
      <w:r>
        <w:rPr>
          <w:rFonts w:cs="Times New Roman"/>
        </w:rPr>
        <w:t>s</w:t>
      </w:r>
      <w:r w:rsidRPr="00590BB6">
        <w:rPr>
          <w:rFonts w:cs="Times New Roman"/>
        </w:rPr>
        <w:t xml:space="preserve"> an electrolyser efficiency value of 48kWh/kg in lower heating values </w:t>
      </w:r>
      <w:r w:rsidRPr="00590BB6">
        <w:rPr>
          <w:rFonts w:cs="Times New Roman"/>
        </w:rPr>
        <w:fldChar w:fldCharType="begin" w:fldLock="1"/>
      </w:r>
      <w:r w:rsidRPr="00590BB6">
        <w:rPr>
          <w:rFonts w:cs="Times New Roman"/>
        </w:rPr>
        <w:instrText>ADDIN CSL_CITATION {"citationItems":[{"id":"ITEM-1","itemData":{"URL":"https://www.iea.org/data-and-statistics/data-product/electricity-information","accessed":{"date-parts":[["2022","8","30"]]},"container-title":"IEA","id":"ITEM-1","issued":{"date-parts":[["2021"]]},"title":"Electricity Information: Italy","type":"webpage"},"uris":["http://www.mendeley.com/documents/?uuid=43b4b894-ffdd-4ee2-88d4-f90cb538801f"]}],"mendeley":{"formattedCitation":"[55]","plainTextFormattedCitation":"[55]","previouslyFormattedCitation":"[54]"},"properties":{"noteIndex":0},"schema":"https://github.com/citation-style-language/schema/raw/master/csl-citation.json"}</w:instrText>
      </w:r>
      <w:r w:rsidRPr="00590BB6">
        <w:rPr>
          <w:rFonts w:cs="Times New Roman"/>
        </w:rPr>
        <w:fldChar w:fldCharType="separate"/>
      </w:r>
      <w:r w:rsidRPr="00590BB6">
        <w:rPr>
          <w:rFonts w:cs="Times New Roman"/>
          <w:noProof/>
        </w:rPr>
        <w:t>[55]</w:t>
      </w:r>
      <w:r w:rsidRPr="00590BB6">
        <w:rPr>
          <w:rFonts w:cs="Times New Roman"/>
        </w:rPr>
        <w:fldChar w:fldCharType="end"/>
      </w:r>
      <w:r w:rsidRPr="00590BB6">
        <w:rPr>
          <w:rFonts w:cs="Times New Roman"/>
        </w:rPr>
        <w:t xml:space="preserve"> and a lower heating value for hydrogen of 120 MJ/kg </w:t>
      </w:r>
      <w:r w:rsidRPr="00590BB6">
        <w:rPr>
          <w:rFonts w:cs="Times New Roman"/>
        </w:rPr>
        <w:fldChar w:fldCharType="begin" w:fldLock="1"/>
      </w:r>
      <w:r w:rsidRPr="00590BB6">
        <w:rPr>
          <w:rFonts w:cs="Times New Roman"/>
        </w:rPr>
        <w:instrText>ADDIN CSL_CITATION {"citationItems":[{"id":"ITEM-1","itemData":{"URL":"https://www.energy.gov/eere/fuelcells/hydrogen-storage","accessed":{"date-parts":[["2022","8","30"]]},"author":[{"dropping-particle":"","family":"Hydrogen and Fuel Cell Technologies Office (HFTO)","given":"","non-dropping-particle":"","parse-names":false,"suffix":""}],"container-title":"US Department of Energy","id":"ITEM-1","issued":{"date-parts":[["2022"]]},"title":"Hydrogen storage","type":"webpage"},"uris":["http://www.mendeley.com/documents/?uuid=eff0cef1-3834-4ed9-8dc9-a45100d16c27"]}],"mendeley":{"formattedCitation":"[71]","plainTextFormattedCitation":"[71]","previouslyFormattedCitation":"[70]"},"properties":{"noteIndex":0},"schema":"https://github.com/citation-style-language/schema/raw/master/csl-citation.json"}</w:instrText>
      </w:r>
      <w:r w:rsidRPr="00590BB6">
        <w:rPr>
          <w:rFonts w:cs="Times New Roman"/>
        </w:rPr>
        <w:fldChar w:fldCharType="separate"/>
      </w:r>
      <w:r w:rsidRPr="00590BB6">
        <w:rPr>
          <w:rFonts w:cs="Times New Roman"/>
          <w:noProof/>
        </w:rPr>
        <w:t>[71]</w:t>
      </w:r>
      <w:r w:rsidRPr="00590BB6">
        <w:rPr>
          <w:rFonts w:cs="Times New Roman"/>
        </w:rPr>
        <w:fldChar w:fldCharType="end"/>
      </w:r>
      <w:r>
        <w:rPr>
          <w:rFonts w:cs="Times New Roman"/>
        </w:rPr>
        <w:t>.</w:t>
      </w:r>
    </w:p>
  </w:footnote>
  <w:footnote w:id="19">
    <w:p w14:paraId="574B9A39" w14:textId="77777777" w:rsidR="005B0D10" w:rsidRDefault="005B0D10" w:rsidP="005B0D10">
      <w:pPr>
        <w:pStyle w:val="FootnoteText"/>
      </w:pPr>
      <w:r>
        <w:rPr>
          <w:rStyle w:val="FootnoteReference"/>
        </w:rPr>
        <w:footnoteRef/>
      </w:r>
      <w:r>
        <w:t xml:space="preserve"> </w:t>
      </w:r>
      <w:r w:rsidRPr="0083086F">
        <w:t>https://www.iea.org/reports/global-ev-outlook-2022/trends-in-electric-heavy-duty-vehicles</w:t>
      </w:r>
    </w:p>
  </w:footnote>
  <w:footnote w:id="20">
    <w:p w14:paraId="6E91D110" w14:textId="6D436FDA" w:rsidR="00C0033B" w:rsidRDefault="00C0033B">
      <w:pPr>
        <w:pStyle w:val="FootnoteText"/>
      </w:pPr>
      <w:r>
        <w:rPr>
          <w:rStyle w:val="FootnoteReference"/>
        </w:rPr>
        <w:footnoteRef/>
      </w:r>
      <w:r>
        <w:t xml:space="preserve"> The </w:t>
      </w:r>
      <w:r w:rsidR="000360B7">
        <w:t xml:space="preserve">medium and long-term stabilisation of natural gas is accompanied in these projections by a growing price of incumbent fossil fuels, in line with the US EIA projections [51].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50166"/>
    <w:multiLevelType w:val="hybridMultilevel"/>
    <w:tmpl w:val="ACB87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684C67"/>
    <w:multiLevelType w:val="hybridMultilevel"/>
    <w:tmpl w:val="71D6BF72"/>
    <w:lvl w:ilvl="0" w:tplc="CEA87F9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B07D27"/>
    <w:multiLevelType w:val="hybridMultilevel"/>
    <w:tmpl w:val="3606CCF4"/>
    <w:lvl w:ilvl="0" w:tplc="0809000F">
      <w:start w:val="1"/>
      <w:numFmt w:val="decimal"/>
      <w:lvlText w:val="%1."/>
      <w:lvlJc w:val="left"/>
      <w:pPr>
        <w:ind w:left="720" w:hanging="360"/>
      </w:pPr>
      <w:rPr>
        <w:rFonts w:cs="Times New Roman"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DF1249"/>
    <w:multiLevelType w:val="hybridMultilevel"/>
    <w:tmpl w:val="E13C5E7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95E162F"/>
    <w:multiLevelType w:val="hybridMultilevel"/>
    <w:tmpl w:val="B13CE5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19642A"/>
    <w:multiLevelType w:val="hybridMultilevel"/>
    <w:tmpl w:val="FCF25DAC"/>
    <w:lvl w:ilvl="0" w:tplc="FDBCB94A">
      <w:start w:val="1"/>
      <w:numFmt w:val="decimal"/>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E47061"/>
    <w:multiLevelType w:val="hybridMultilevel"/>
    <w:tmpl w:val="349EE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A678A4"/>
    <w:multiLevelType w:val="hybridMultilevel"/>
    <w:tmpl w:val="DFECF7B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0D158AD"/>
    <w:multiLevelType w:val="multilevel"/>
    <w:tmpl w:val="8C7ACC6E"/>
    <w:lvl w:ilvl="0">
      <w:start w:val="1"/>
      <w:numFmt w:val="decimal"/>
      <w:pStyle w:val="Heading1"/>
      <w:lvlText w:val="%1"/>
      <w:lvlJc w:val="left"/>
      <w:pPr>
        <w:ind w:left="7362" w:hanging="432"/>
      </w:pPr>
      <w:rPr>
        <w:rFonts w:ascii="Times New Roman" w:hAnsi="Times New Roman" w:cs="Times New Roman" w:hint="default"/>
      </w:rPr>
    </w:lvl>
    <w:lvl w:ilvl="1">
      <w:start w:val="1"/>
      <w:numFmt w:val="decimal"/>
      <w:pStyle w:val="Heading2"/>
      <w:lvlText w:val="%1.%2"/>
      <w:lvlJc w:val="left"/>
      <w:pPr>
        <w:ind w:left="5962"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12DB1E8A"/>
    <w:multiLevelType w:val="hybridMultilevel"/>
    <w:tmpl w:val="256270C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5520C76"/>
    <w:multiLevelType w:val="hybridMultilevel"/>
    <w:tmpl w:val="3C9C7A6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7793541"/>
    <w:multiLevelType w:val="hybridMultilevel"/>
    <w:tmpl w:val="7F20878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B5C4F98"/>
    <w:multiLevelType w:val="multilevel"/>
    <w:tmpl w:val="9F4A877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74351B"/>
    <w:multiLevelType w:val="hybridMultilevel"/>
    <w:tmpl w:val="1C2408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0DB1BD1"/>
    <w:multiLevelType w:val="hybridMultilevel"/>
    <w:tmpl w:val="5298FB3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81A1A33"/>
    <w:multiLevelType w:val="hybridMultilevel"/>
    <w:tmpl w:val="9E86F4EC"/>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CC37FBD"/>
    <w:multiLevelType w:val="hybridMultilevel"/>
    <w:tmpl w:val="DFECF7B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E291E0D"/>
    <w:multiLevelType w:val="hybridMultilevel"/>
    <w:tmpl w:val="E13C5E7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3EE66AB"/>
    <w:multiLevelType w:val="hybridMultilevel"/>
    <w:tmpl w:val="E90E7BF6"/>
    <w:lvl w:ilvl="0" w:tplc="0E042118">
      <w:start w:val="9"/>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5A1EBD"/>
    <w:multiLevelType w:val="multilevel"/>
    <w:tmpl w:val="3DF6784A"/>
    <w:lvl w:ilvl="0">
      <w:start w:val="1"/>
      <w:numFmt w:val="decimal"/>
      <w:lvlText w:val="%1."/>
      <w:lvlJc w:val="right"/>
      <w:pPr>
        <w:ind w:left="360" w:hanging="360"/>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44792740"/>
    <w:multiLevelType w:val="hybridMultilevel"/>
    <w:tmpl w:val="DE3E963C"/>
    <w:lvl w:ilvl="0" w:tplc="FDE6E4D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B53DE6"/>
    <w:multiLevelType w:val="hybridMultilevel"/>
    <w:tmpl w:val="BA3052A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EC52E40"/>
    <w:multiLevelType w:val="multilevel"/>
    <w:tmpl w:val="9F4A877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F396617"/>
    <w:multiLevelType w:val="hybridMultilevel"/>
    <w:tmpl w:val="01C2D0A6"/>
    <w:lvl w:ilvl="0" w:tplc="8DCC6DA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4F6908"/>
    <w:multiLevelType w:val="hybridMultilevel"/>
    <w:tmpl w:val="CC0EDD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91A4FB2"/>
    <w:multiLevelType w:val="multilevel"/>
    <w:tmpl w:val="9F4A877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2E50C39"/>
    <w:multiLevelType w:val="hybridMultilevel"/>
    <w:tmpl w:val="EF58964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34E5885"/>
    <w:multiLevelType w:val="hybridMultilevel"/>
    <w:tmpl w:val="66DEAC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497161B"/>
    <w:multiLevelType w:val="hybridMultilevel"/>
    <w:tmpl w:val="5796979A"/>
    <w:lvl w:ilvl="0" w:tplc="7AD6055E">
      <w:start w:val="3"/>
      <w:numFmt w:val="bullet"/>
      <w:lvlText w:val="-"/>
      <w:lvlJc w:val="left"/>
      <w:pPr>
        <w:ind w:left="720" w:hanging="360"/>
      </w:pPr>
      <w:rPr>
        <w:rFonts w:ascii="Segoe UI" w:eastAsia="Times New Roman" w:hAnsi="Segoe UI" w:cs="Segoe U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B11030"/>
    <w:multiLevelType w:val="hybridMultilevel"/>
    <w:tmpl w:val="9494765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7C4527DD"/>
    <w:multiLevelType w:val="hybridMultilevel"/>
    <w:tmpl w:val="5298FB3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50853165">
    <w:abstractNumId w:val="15"/>
  </w:num>
  <w:num w:numId="2" w16cid:durableId="494032660">
    <w:abstractNumId w:val="9"/>
  </w:num>
  <w:num w:numId="3" w16cid:durableId="1345277734">
    <w:abstractNumId w:val="21"/>
  </w:num>
  <w:num w:numId="4" w16cid:durableId="1277567684">
    <w:abstractNumId w:val="30"/>
  </w:num>
  <w:num w:numId="5" w16cid:durableId="1899707826">
    <w:abstractNumId w:val="17"/>
  </w:num>
  <w:num w:numId="6" w16cid:durableId="1365863266">
    <w:abstractNumId w:val="26"/>
  </w:num>
  <w:num w:numId="7" w16cid:durableId="1296448445">
    <w:abstractNumId w:val="14"/>
  </w:num>
  <w:num w:numId="8" w16cid:durableId="235239844">
    <w:abstractNumId w:val="29"/>
  </w:num>
  <w:num w:numId="9" w16cid:durableId="1533221896">
    <w:abstractNumId w:val="7"/>
  </w:num>
  <w:num w:numId="10" w16cid:durableId="2129085448">
    <w:abstractNumId w:val="16"/>
  </w:num>
  <w:num w:numId="11" w16cid:durableId="1504398677">
    <w:abstractNumId w:val="11"/>
  </w:num>
  <w:num w:numId="12" w16cid:durableId="1449154619">
    <w:abstractNumId w:val="3"/>
  </w:num>
  <w:num w:numId="13" w16cid:durableId="795874063">
    <w:abstractNumId w:val="12"/>
  </w:num>
  <w:num w:numId="14" w16cid:durableId="1156650235">
    <w:abstractNumId w:val="24"/>
  </w:num>
  <w:num w:numId="15" w16cid:durableId="1086270107">
    <w:abstractNumId w:val="27"/>
  </w:num>
  <w:num w:numId="16" w16cid:durableId="294913240">
    <w:abstractNumId w:val="13"/>
  </w:num>
  <w:num w:numId="17" w16cid:durableId="763574743">
    <w:abstractNumId w:val="25"/>
  </w:num>
  <w:num w:numId="18" w16cid:durableId="768040359">
    <w:abstractNumId w:val="22"/>
  </w:num>
  <w:num w:numId="19" w16cid:durableId="325212922">
    <w:abstractNumId w:val="19"/>
  </w:num>
  <w:num w:numId="20" w16cid:durableId="1153252804">
    <w:abstractNumId w:val="19"/>
  </w:num>
  <w:num w:numId="21" w16cid:durableId="8528606">
    <w:abstractNumId w:val="1"/>
  </w:num>
  <w:num w:numId="22" w16cid:durableId="1714035661">
    <w:abstractNumId w:val="19"/>
  </w:num>
  <w:num w:numId="23" w16cid:durableId="2069916998">
    <w:abstractNumId w:val="8"/>
  </w:num>
  <w:num w:numId="24" w16cid:durableId="1234271765">
    <w:abstractNumId w:val="8"/>
  </w:num>
  <w:num w:numId="25" w16cid:durableId="410855530">
    <w:abstractNumId w:val="8"/>
  </w:num>
  <w:num w:numId="26" w16cid:durableId="812141885">
    <w:abstractNumId w:val="8"/>
  </w:num>
  <w:num w:numId="27" w16cid:durableId="1431003158">
    <w:abstractNumId w:val="8"/>
  </w:num>
  <w:num w:numId="28" w16cid:durableId="1002388902">
    <w:abstractNumId w:val="8"/>
  </w:num>
  <w:num w:numId="29" w16cid:durableId="2006475123">
    <w:abstractNumId w:val="8"/>
  </w:num>
  <w:num w:numId="30" w16cid:durableId="934433853">
    <w:abstractNumId w:val="8"/>
  </w:num>
  <w:num w:numId="31" w16cid:durableId="283736974">
    <w:abstractNumId w:val="8"/>
  </w:num>
  <w:num w:numId="32" w16cid:durableId="1064256537">
    <w:abstractNumId w:val="8"/>
  </w:num>
  <w:num w:numId="33" w16cid:durableId="1526288525">
    <w:abstractNumId w:val="8"/>
  </w:num>
  <w:num w:numId="34" w16cid:durableId="1737048755">
    <w:abstractNumId w:val="8"/>
  </w:num>
  <w:num w:numId="35" w16cid:durableId="1177160815">
    <w:abstractNumId w:val="8"/>
  </w:num>
  <w:num w:numId="36" w16cid:durableId="1100758597">
    <w:abstractNumId w:val="8"/>
  </w:num>
  <w:num w:numId="37" w16cid:durableId="658657876">
    <w:abstractNumId w:val="6"/>
  </w:num>
  <w:num w:numId="38" w16cid:durableId="536623404">
    <w:abstractNumId w:val="8"/>
  </w:num>
  <w:num w:numId="39" w16cid:durableId="829752138">
    <w:abstractNumId w:val="8"/>
  </w:num>
  <w:num w:numId="40" w16cid:durableId="503670551">
    <w:abstractNumId w:val="8"/>
  </w:num>
  <w:num w:numId="41" w16cid:durableId="614097419">
    <w:abstractNumId w:val="8"/>
  </w:num>
  <w:num w:numId="42" w16cid:durableId="1255625317">
    <w:abstractNumId w:val="8"/>
  </w:num>
  <w:num w:numId="43" w16cid:durableId="1898347554">
    <w:abstractNumId w:val="20"/>
  </w:num>
  <w:num w:numId="44" w16cid:durableId="1134300126">
    <w:abstractNumId w:val="0"/>
  </w:num>
  <w:num w:numId="45" w16cid:durableId="594748641">
    <w:abstractNumId w:val="8"/>
  </w:num>
  <w:num w:numId="46" w16cid:durableId="1798645743">
    <w:abstractNumId w:val="10"/>
  </w:num>
  <w:num w:numId="47" w16cid:durableId="2058973235">
    <w:abstractNumId w:val="2"/>
  </w:num>
  <w:num w:numId="48" w16cid:durableId="1837651129">
    <w:abstractNumId w:val="23"/>
  </w:num>
  <w:num w:numId="49" w16cid:durableId="2143305229">
    <w:abstractNumId w:val="8"/>
  </w:num>
  <w:num w:numId="50" w16cid:durableId="1055546095">
    <w:abstractNumId w:val="8"/>
  </w:num>
  <w:num w:numId="51" w16cid:durableId="1052582318">
    <w:abstractNumId w:val="4"/>
  </w:num>
  <w:num w:numId="52" w16cid:durableId="302589526">
    <w:abstractNumId w:val="5"/>
  </w:num>
  <w:num w:numId="53" w16cid:durableId="855002640">
    <w:abstractNumId w:val="18"/>
  </w:num>
  <w:num w:numId="54" w16cid:durableId="14752195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doNotDisplayPageBoundaries/>
  <w:proofState w:spelling="clean" w:grammar="clean"/>
  <w:doNotTrackFormatting/>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E1MTOwtDQ2MLQwNzFQ0lEKTi0uzszPAykwMa4FALQuFz0tAAAA"/>
  </w:docVars>
  <w:rsids>
    <w:rsidRoot w:val="00A55B25"/>
    <w:rsid w:val="000000AA"/>
    <w:rsid w:val="00000435"/>
    <w:rsid w:val="00002817"/>
    <w:rsid w:val="000073B4"/>
    <w:rsid w:val="00010974"/>
    <w:rsid w:val="00012C0B"/>
    <w:rsid w:val="00013C39"/>
    <w:rsid w:val="000175A4"/>
    <w:rsid w:val="000177CF"/>
    <w:rsid w:val="00021F01"/>
    <w:rsid w:val="00022598"/>
    <w:rsid w:val="00023191"/>
    <w:rsid w:val="00024180"/>
    <w:rsid w:val="00025DE0"/>
    <w:rsid w:val="00025F9D"/>
    <w:rsid w:val="00026B49"/>
    <w:rsid w:val="00026FAD"/>
    <w:rsid w:val="0003174F"/>
    <w:rsid w:val="000331A6"/>
    <w:rsid w:val="00033D9F"/>
    <w:rsid w:val="000360B7"/>
    <w:rsid w:val="00037F4C"/>
    <w:rsid w:val="00040929"/>
    <w:rsid w:val="000421F0"/>
    <w:rsid w:val="00043BF9"/>
    <w:rsid w:val="00045B5F"/>
    <w:rsid w:val="00045FAE"/>
    <w:rsid w:val="00046FFF"/>
    <w:rsid w:val="00047772"/>
    <w:rsid w:val="00050B3A"/>
    <w:rsid w:val="0005617E"/>
    <w:rsid w:val="0005714B"/>
    <w:rsid w:val="00062B10"/>
    <w:rsid w:val="00062C95"/>
    <w:rsid w:val="00065917"/>
    <w:rsid w:val="0006598F"/>
    <w:rsid w:val="00066841"/>
    <w:rsid w:val="00066FF3"/>
    <w:rsid w:val="00067BD2"/>
    <w:rsid w:val="00072156"/>
    <w:rsid w:val="000739FE"/>
    <w:rsid w:val="00075C33"/>
    <w:rsid w:val="00080491"/>
    <w:rsid w:val="00082EF1"/>
    <w:rsid w:val="00086DD1"/>
    <w:rsid w:val="00087680"/>
    <w:rsid w:val="00091E69"/>
    <w:rsid w:val="000966AB"/>
    <w:rsid w:val="00097187"/>
    <w:rsid w:val="00097E72"/>
    <w:rsid w:val="000A738A"/>
    <w:rsid w:val="000A77EE"/>
    <w:rsid w:val="000B0ADE"/>
    <w:rsid w:val="000B4E1E"/>
    <w:rsid w:val="000C3A4B"/>
    <w:rsid w:val="000C4843"/>
    <w:rsid w:val="000C5DDA"/>
    <w:rsid w:val="000D06A8"/>
    <w:rsid w:val="000D170B"/>
    <w:rsid w:val="000D2CC7"/>
    <w:rsid w:val="000D44A6"/>
    <w:rsid w:val="000D4D8D"/>
    <w:rsid w:val="000D4F45"/>
    <w:rsid w:val="000D6A33"/>
    <w:rsid w:val="000E4EAD"/>
    <w:rsid w:val="000E4F6B"/>
    <w:rsid w:val="000F05AF"/>
    <w:rsid w:val="000F07B6"/>
    <w:rsid w:val="000F267C"/>
    <w:rsid w:val="000F2F2E"/>
    <w:rsid w:val="000F4C64"/>
    <w:rsid w:val="000F59DC"/>
    <w:rsid w:val="000F6DC9"/>
    <w:rsid w:val="000F70D5"/>
    <w:rsid w:val="00100026"/>
    <w:rsid w:val="001017B6"/>
    <w:rsid w:val="00105699"/>
    <w:rsid w:val="00113AAA"/>
    <w:rsid w:val="00114CF2"/>
    <w:rsid w:val="00116A2C"/>
    <w:rsid w:val="00116F38"/>
    <w:rsid w:val="0012078E"/>
    <w:rsid w:val="00121BA6"/>
    <w:rsid w:val="00121E14"/>
    <w:rsid w:val="00122B2D"/>
    <w:rsid w:val="00122F53"/>
    <w:rsid w:val="001276F5"/>
    <w:rsid w:val="001301FD"/>
    <w:rsid w:val="001352AA"/>
    <w:rsid w:val="00135956"/>
    <w:rsid w:val="001377C5"/>
    <w:rsid w:val="001417F9"/>
    <w:rsid w:val="00142794"/>
    <w:rsid w:val="00143022"/>
    <w:rsid w:val="0015109F"/>
    <w:rsid w:val="00151543"/>
    <w:rsid w:val="001537B6"/>
    <w:rsid w:val="00153A4E"/>
    <w:rsid w:val="00157A40"/>
    <w:rsid w:val="00160220"/>
    <w:rsid w:val="00161800"/>
    <w:rsid w:val="00162000"/>
    <w:rsid w:val="00162B8C"/>
    <w:rsid w:val="0016321D"/>
    <w:rsid w:val="00170068"/>
    <w:rsid w:val="001705D6"/>
    <w:rsid w:val="00170711"/>
    <w:rsid w:val="00173D58"/>
    <w:rsid w:val="0017556F"/>
    <w:rsid w:val="001763A8"/>
    <w:rsid w:val="00180278"/>
    <w:rsid w:val="00183565"/>
    <w:rsid w:val="00184DD6"/>
    <w:rsid w:val="001850A7"/>
    <w:rsid w:val="00185828"/>
    <w:rsid w:val="00192C6F"/>
    <w:rsid w:val="001A41CE"/>
    <w:rsid w:val="001A5DE1"/>
    <w:rsid w:val="001A65A7"/>
    <w:rsid w:val="001B0FD8"/>
    <w:rsid w:val="001B21BA"/>
    <w:rsid w:val="001B24F2"/>
    <w:rsid w:val="001B3A3F"/>
    <w:rsid w:val="001B6483"/>
    <w:rsid w:val="001C016E"/>
    <w:rsid w:val="001C0DAB"/>
    <w:rsid w:val="001C1384"/>
    <w:rsid w:val="001C18A1"/>
    <w:rsid w:val="001C1D2E"/>
    <w:rsid w:val="001C4AEC"/>
    <w:rsid w:val="001C50CB"/>
    <w:rsid w:val="001D0DA1"/>
    <w:rsid w:val="001D1B68"/>
    <w:rsid w:val="001D3638"/>
    <w:rsid w:val="001D4034"/>
    <w:rsid w:val="001D6E76"/>
    <w:rsid w:val="001E181B"/>
    <w:rsid w:val="001E1F17"/>
    <w:rsid w:val="001E20B8"/>
    <w:rsid w:val="001E32EA"/>
    <w:rsid w:val="001E747B"/>
    <w:rsid w:val="001F1682"/>
    <w:rsid w:val="001F1C25"/>
    <w:rsid w:val="001F2501"/>
    <w:rsid w:val="001F3512"/>
    <w:rsid w:val="001F5B1E"/>
    <w:rsid w:val="001F6D6E"/>
    <w:rsid w:val="0020243B"/>
    <w:rsid w:val="00203A84"/>
    <w:rsid w:val="00203D00"/>
    <w:rsid w:val="00204CAA"/>
    <w:rsid w:val="00210F50"/>
    <w:rsid w:val="00212A11"/>
    <w:rsid w:val="002137F1"/>
    <w:rsid w:val="0021653C"/>
    <w:rsid w:val="00217201"/>
    <w:rsid w:val="0021736F"/>
    <w:rsid w:val="00222BA5"/>
    <w:rsid w:val="002232CF"/>
    <w:rsid w:val="00224C38"/>
    <w:rsid w:val="0022626B"/>
    <w:rsid w:val="0022791A"/>
    <w:rsid w:val="002316E9"/>
    <w:rsid w:val="00231EC6"/>
    <w:rsid w:val="0023413D"/>
    <w:rsid w:val="00235FA4"/>
    <w:rsid w:val="0023681B"/>
    <w:rsid w:val="0024118B"/>
    <w:rsid w:val="002416DF"/>
    <w:rsid w:val="00244DFF"/>
    <w:rsid w:val="00245830"/>
    <w:rsid w:val="002466B5"/>
    <w:rsid w:val="00246CB9"/>
    <w:rsid w:val="00247682"/>
    <w:rsid w:val="00247E88"/>
    <w:rsid w:val="00254AE6"/>
    <w:rsid w:val="00255107"/>
    <w:rsid w:val="00256128"/>
    <w:rsid w:val="00265ABA"/>
    <w:rsid w:val="00265EF6"/>
    <w:rsid w:val="00270CEE"/>
    <w:rsid w:val="002710FB"/>
    <w:rsid w:val="002713D3"/>
    <w:rsid w:val="0027311A"/>
    <w:rsid w:val="002774F7"/>
    <w:rsid w:val="00280014"/>
    <w:rsid w:val="00282D2F"/>
    <w:rsid w:val="00282F1D"/>
    <w:rsid w:val="00283971"/>
    <w:rsid w:val="00286417"/>
    <w:rsid w:val="00287FE2"/>
    <w:rsid w:val="0029252D"/>
    <w:rsid w:val="00292F32"/>
    <w:rsid w:val="0029E31A"/>
    <w:rsid w:val="002A0E92"/>
    <w:rsid w:val="002A0F58"/>
    <w:rsid w:val="002A2BA5"/>
    <w:rsid w:val="002A3046"/>
    <w:rsid w:val="002A3F24"/>
    <w:rsid w:val="002A433A"/>
    <w:rsid w:val="002A52CA"/>
    <w:rsid w:val="002B241F"/>
    <w:rsid w:val="002B38CC"/>
    <w:rsid w:val="002B64C8"/>
    <w:rsid w:val="002B700A"/>
    <w:rsid w:val="002B7214"/>
    <w:rsid w:val="002C10EF"/>
    <w:rsid w:val="002C14D3"/>
    <w:rsid w:val="002C1EDC"/>
    <w:rsid w:val="002C2D6F"/>
    <w:rsid w:val="002C5D44"/>
    <w:rsid w:val="002C78CF"/>
    <w:rsid w:val="002C7EA3"/>
    <w:rsid w:val="002D11D3"/>
    <w:rsid w:val="002D1C66"/>
    <w:rsid w:val="002D2B52"/>
    <w:rsid w:val="002D2F80"/>
    <w:rsid w:val="002D69F4"/>
    <w:rsid w:val="002E1A8B"/>
    <w:rsid w:val="002E62B6"/>
    <w:rsid w:val="002E6582"/>
    <w:rsid w:val="002E73C3"/>
    <w:rsid w:val="002F00BF"/>
    <w:rsid w:val="002F2128"/>
    <w:rsid w:val="002F2CCB"/>
    <w:rsid w:val="002F3622"/>
    <w:rsid w:val="002F54CD"/>
    <w:rsid w:val="00304EB3"/>
    <w:rsid w:val="00305FBA"/>
    <w:rsid w:val="003062AE"/>
    <w:rsid w:val="00311F18"/>
    <w:rsid w:val="00314EDB"/>
    <w:rsid w:val="003151FE"/>
    <w:rsid w:val="003173F3"/>
    <w:rsid w:val="00320748"/>
    <w:rsid w:val="00322A9F"/>
    <w:rsid w:val="0032371D"/>
    <w:rsid w:val="0032522B"/>
    <w:rsid w:val="00325AA4"/>
    <w:rsid w:val="0032708E"/>
    <w:rsid w:val="003277B5"/>
    <w:rsid w:val="0033108A"/>
    <w:rsid w:val="00331E1A"/>
    <w:rsid w:val="003336C3"/>
    <w:rsid w:val="00337C51"/>
    <w:rsid w:val="00337D85"/>
    <w:rsid w:val="00340098"/>
    <w:rsid w:val="003461BC"/>
    <w:rsid w:val="00347A56"/>
    <w:rsid w:val="00350FE8"/>
    <w:rsid w:val="003518AB"/>
    <w:rsid w:val="00352C0B"/>
    <w:rsid w:val="00353738"/>
    <w:rsid w:val="00361B0B"/>
    <w:rsid w:val="0036232D"/>
    <w:rsid w:val="00365478"/>
    <w:rsid w:val="00366D51"/>
    <w:rsid w:val="00372D29"/>
    <w:rsid w:val="0037440B"/>
    <w:rsid w:val="00374DAB"/>
    <w:rsid w:val="00376657"/>
    <w:rsid w:val="00380858"/>
    <w:rsid w:val="00382D64"/>
    <w:rsid w:val="00383C88"/>
    <w:rsid w:val="00384CBB"/>
    <w:rsid w:val="00386765"/>
    <w:rsid w:val="00386FA8"/>
    <w:rsid w:val="00387562"/>
    <w:rsid w:val="00392D5F"/>
    <w:rsid w:val="00394BD5"/>
    <w:rsid w:val="00396242"/>
    <w:rsid w:val="003A139C"/>
    <w:rsid w:val="003A1790"/>
    <w:rsid w:val="003A38FC"/>
    <w:rsid w:val="003A4185"/>
    <w:rsid w:val="003A4F21"/>
    <w:rsid w:val="003A603E"/>
    <w:rsid w:val="003A706E"/>
    <w:rsid w:val="003B02D7"/>
    <w:rsid w:val="003B0C1A"/>
    <w:rsid w:val="003B1D7B"/>
    <w:rsid w:val="003B5183"/>
    <w:rsid w:val="003B6AC3"/>
    <w:rsid w:val="003B705D"/>
    <w:rsid w:val="003B72B9"/>
    <w:rsid w:val="003B75BE"/>
    <w:rsid w:val="003B7B10"/>
    <w:rsid w:val="003B7E94"/>
    <w:rsid w:val="003C0932"/>
    <w:rsid w:val="003C0CD0"/>
    <w:rsid w:val="003C5E0C"/>
    <w:rsid w:val="003C699C"/>
    <w:rsid w:val="003D00E7"/>
    <w:rsid w:val="003D2DF4"/>
    <w:rsid w:val="003D3769"/>
    <w:rsid w:val="003D56FE"/>
    <w:rsid w:val="003E0108"/>
    <w:rsid w:val="003E20D3"/>
    <w:rsid w:val="003E36AC"/>
    <w:rsid w:val="003E4573"/>
    <w:rsid w:val="003E4D23"/>
    <w:rsid w:val="003F0D6F"/>
    <w:rsid w:val="003F16B4"/>
    <w:rsid w:val="003F2924"/>
    <w:rsid w:val="003F355A"/>
    <w:rsid w:val="003F48B6"/>
    <w:rsid w:val="00400024"/>
    <w:rsid w:val="00403AC2"/>
    <w:rsid w:val="00411036"/>
    <w:rsid w:val="004111F8"/>
    <w:rsid w:val="004122C1"/>
    <w:rsid w:val="00412DF9"/>
    <w:rsid w:val="00413514"/>
    <w:rsid w:val="00413E70"/>
    <w:rsid w:val="00417DA4"/>
    <w:rsid w:val="00420738"/>
    <w:rsid w:val="00426BED"/>
    <w:rsid w:val="004314FB"/>
    <w:rsid w:val="004314FE"/>
    <w:rsid w:val="004320F4"/>
    <w:rsid w:val="004361ED"/>
    <w:rsid w:val="004363E8"/>
    <w:rsid w:val="004405F1"/>
    <w:rsid w:val="0044327C"/>
    <w:rsid w:val="004442D4"/>
    <w:rsid w:val="00445680"/>
    <w:rsid w:val="0044777D"/>
    <w:rsid w:val="00447F21"/>
    <w:rsid w:val="00450862"/>
    <w:rsid w:val="0045494F"/>
    <w:rsid w:val="004565A9"/>
    <w:rsid w:val="00460DC3"/>
    <w:rsid w:val="00467CBC"/>
    <w:rsid w:val="00470E3A"/>
    <w:rsid w:val="00471871"/>
    <w:rsid w:val="00471F71"/>
    <w:rsid w:val="00475C32"/>
    <w:rsid w:val="00476F45"/>
    <w:rsid w:val="00477F37"/>
    <w:rsid w:val="00480891"/>
    <w:rsid w:val="004829F2"/>
    <w:rsid w:val="00483033"/>
    <w:rsid w:val="00483330"/>
    <w:rsid w:val="00487024"/>
    <w:rsid w:val="00487B80"/>
    <w:rsid w:val="00492E38"/>
    <w:rsid w:val="004930FE"/>
    <w:rsid w:val="00495B42"/>
    <w:rsid w:val="00496190"/>
    <w:rsid w:val="004A16CD"/>
    <w:rsid w:val="004A2B8B"/>
    <w:rsid w:val="004A3609"/>
    <w:rsid w:val="004A6093"/>
    <w:rsid w:val="004B2818"/>
    <w:rsid w:val="004B3FB5"/>
    <w:rsid w:val="004B7B42"/>
    <w:rsid w:val="004C0754"/>
    <w:rsid w:val="004C0F78"/>
    <w:rsid w:val="004C11B6"/>
    <w:rsid w:val="004C2B51"/>
    <w:rsid w:val="004C2BDD"/>
    <w:rsid w:val="004C2EC7"/>
    <w:rsid w:val="004C5BBE"/>
    <w:rsid w:val="004C610A"/>
    <w:rsid w:val="004C7678"/>
    <w:rsid w:val="004D3DD4"/>
    <w:rsid w:val="004D5221"/>
    <w:rsid w:val="004D5C82"/>
    <w:rsid w:val="004D5DFE"/>
    <w:rsid w:val="004D6E69"/>
    <w:rsid w:val="004E0CDD"/>
    <w:rsid w:val="004E6282"/>
    <w:rsid w:val="004E7E67"/>
    <w:rsid w:val="004F6C86"/>
    <w:rsid w:val="00500498"/>
    <w:rsid w:val="00500C9D"/>
    <w:rsid w:val="00500CFE"/>
    <w:rsid w:val="005013EE"/>
    <w:rsid w:val="00501A17"/>
    <w:rsid w:val="00501F9B"/>
    <w:rsid w:val="00504825"/>
    <w:rsid w:val="005114AA"/>
    <w:rsid w:val="0051217E"/>
    <w:rsid w:val="00512318"/>
    <w:rsid w:val="00513350"/>
    <w:rsid w:val="005148F5"/>
    <w:rsid w:val="00517171"/>
    <w:rsid w:val="005207DD"/>
    <w:rsid w:val="00520B26"/>
    <w:rsid w:val="00531669"/>
    <w:rsid w:val="005340C7"/>
    <w:rsid w:val="005348F5"/>
    <w:rsid w:val="005379FF"/>
    <w:rsid w:val="00537EBB"/>
    <w:rsid w:val="00540614"/>
    <w:rsid w:val="005408D7"/>
    <w:rsid w:val="00541F30"/>
    <w:rsid w:val="00542598"/>
    <w:rsid w:val="00543058"/>
    <w:rsid w:val="005434C9"/>
    <w:rsid w:val="00544294"/>
    <w:rsid w:val="00545806"/>
    <w:rsid w:val="00547CAF"/>
    <w:rsid w:val="00552C29"/>
    <w:rsid w:val="00553659"/>
    <w:rsid w:val="00561DF9"/>
    <w:rsid w:val="00561EE4"/>
    <w:rsid w:val="0056226E"/>
    <w:rsid w:val="00563E7A"/>
    <w:rsid w:val="005666FC"/>
    <w:rsid w:val="00571133"/>
    <w:rsid w:val="00572920"/>
    <w:rsid w:val="00572FE8"/>
    <w:rsid w:val="00574369"/>
    <w:rsid w:val="005749EE"/>
    <w:rsid w:val="00575293"/>
    <w:rsid w:val="00575E9C"/>
    <w:rsid w:val="0057691A"/>
    <w:rsid w:val="00580A34"/>
    <w:rsid w:val="00582662"/>
    <w:rsid w:val="00583779"/>
    <w:rsid w:val="00583A51"/>
    <w:rsid w:val="0058609A"/>
    <w:rsid w:val="005864DB"/>
    <w:rsid w:val="00586A6C"/>
    <w:rsid w:val="00586A96"/>
    <w:rsid w:val="00586C21"/>
    <w:rsid w:val="00590BB6"/>
    <w:rsid w:val="00591386"/>
    <w:rsid w:val="00593A97"/>
    <w:rsid w:val="005967F2"/>
    <w:rsid w:val="00596BF4"/>
    <w:rsid w:val="00596C4D"/>
    <w:rsid w:val="00597BD9"/>
    <w:rsid w:val="005A43BC"/>
    <w:rsid w:val="005A6801"/>
    <w:rsid w:val="005B0D10"/>
    <w:rsid w:val="005B3540"/>
    <w:rsid w:val="005B41E1"/>
    <w:rsid w:val="005B4FA6"/>
    <w:rsid w:val="005B5D9C"/>
    <w:rsid w:val="005B60C9"/>
    <w:rsid w:val="005B67BE"/>
    <w:rsid w:val="005C0A9B"/>
    <w:rsid w:val="005C0D4D"/>
    <w:rsid w:val="005C0F4D"/>
    <w:rsid w:val="005C231A"/>
    <w:rsid w:val="005C3BBB"/>
    <w:rsid w:val="005C51EC"/>
    <w:rsid w:val="005C54BB"/>
    <w:rsid w:val="005C5680"/>
    <w:rsid w:val="005C63DD"/>
    <w:rsid w:val="005D05A9"/>
    <w:rsid w:val="005D1ACC"/>
    <w:rsid w:val="005D3D17"/>
    <w:rsid w:val="005D590A"/>
    <w:rsid w:val="005D7266"/>
    <w:rsid w:val="005E1B5D"/>
    <w:rsid w:val="005E22BD"/>
    <w:rsid w:val="005E26CA"/>
    <w:rsid w:val="005E27F3"/>
    <w:rsid w:val="005E2A60"/>
    <w:rsid w:val="005E35B8"/>
    <w:rsid w:val="005E3D2A"/>
    <w:rsid w:val="005E55D1"/>
    <w:rsid w:val="005F2389"/>
    <w:rsid w:val="005F3D63"/>
    <w:rsid w:val="005F40D9"/>
    <w:rsid w:val="005F440C"/>
    <w:rsid w:val="0060010D"/>
    <w:rsid w:val="00600286"/>
    <w:rsid w:val="006002B8"/>
    <w:rsid w:val="00602221"/>
    <w:rsid w:val="00603186"/>
    <w:rsid w:val="006039BC"/>
    <w:rsid w:val="00603E61"/>
    <w:rsid w:val="00607076"/>
    <w:rsid w:val="00612010"/>
    <w:rsid w:val="0061554D"/>
    <w:rsid w:val="006170B6"/>
    <w:rsid w:val="00617328"/>
    <w:rsid w:val="0062184D"/>
    <w:rsid w:val="00623357"/>
    <w:rsid w:val="00625CB7"/>
    <w:rsid w:val="00625F25"/>
    <w:rsid w:val="00626844"/>
    <w:rsid w:val="006269C7"/>
    <w:rsid w:val="00640E69"/>
    <w:rsid w:val="00641470"/>
    <w:rsid w:val="006429C7"/>
    <w:rsid w:val="00644C5F"/>
    <w:rsid w:val="006524CA"/>
    <w:rsid w:val="00654DE8"/>
    <w:rsid w:val="006557B4"/>
    <w:rsid w:val="00655E1E"/>
    <w:rsid w:val="00656583"/>
    <w:rsid w:val="0066030A"/>
    <w:rsid w:val="006648A3"/>
    <w:rsid w:val="00666206"/>
    <w:rsid w:val="0067309A"/>
    <w:rsid w:val="006751BE"/>
    <w:rsid w:val="00677710"/>
    <w:rsid w:val="00681114"/>
    <w:rsid w:val="00681348"/>
    <w:rsid w:val="00681EA6"/>
    <w:rsid w:val="00682735"/>
    <w:rsid w:val="00685B1A"/>
    <w:rsid w:val="00686B57"/>
    <w:rsid w:val="006916DE"/>
    <w:rsid w:val="006932B7"/>
    <w:rsid w:val="00693635"/>
    <w:rsid w:val="0069634D"/>
    <w:rsid w:val="00696415"/>
    <w:rsid w:val="006A0170"/>
    <w:rsid w:val="006A15F8"/>
    <w:rsid w:val="006A2B28"/>
    <w:rsid w:val="006A3806"/>
    <w:rsid w:val="006A443B"/>
    <w:rsid w:val="006A5778"/>
    <w:rsid w:val="006A61AB"/>
    <w:rsid w:val="006A6261"/>
    <w:rsid w:val="006B2962"/>
    <w:rsid w:val="006B399E"/>
    <w:rsid w:val="006B456C"/>
    <w:rsid w:val="006B6DD5"/>
    <w:rsid w:val="006B7DA6"/>
    <w:rsid w:val="006C20E5"/>
    <w:rsid w:val="006C25BE"/>
    <w:rsid w:val="006C25C0"/>
    <w:rsid w:val="006C33D5"/>
    <w:rsid w:val="006C5006"/>
    <w:rsid w:val="006C5A20"/>
    <w:rsid w:val="006D2681"/>
    <w:rsid w:val="006D464A"/>
    <w:rsid w:val="006D5369"/>
    <w:rsid w:val="006D79D0"/>
    <w:rsid w:val="006E1B73"/>
    <w:rsid w:val="006E377A"/>
    <w:rsid w:val="006E3841"/>
    <w:rsid w:val="006E4321"/>
    <w:rsid w:val="006E5475"/>
    <w:rsid w:val="006E67DB"/>
    <w:rsid w:val="006E6C27"/>
    <w:rsid w:val="006EAEAA"/>
    <w:rsid w:val="006F16AE"/>
    <w:rsid w:val="006F44A7"/>
    <w:rsid w:val="006F7B40"/>
    <w:rsid w:val="007049D6"/>
    <w:rsid w:val="00706A22"/>
    <w:rsid w:val="007073CC"/>
    <w:rsid w:val="00710B56"/>
    <w:rsid w:val="0072125C"/>
    <w:rsid w:val="00722ABE"/>
    <w:rsid w:val="00725135"/>
    <w:rsid w:val="00726D6A"/>
    <w:rsid w:val="00726F6E"/>
    <w:rsid w:val="0073017F"/>
    <w:rsid w:val="007316C4"/>
    <w:rsid w:val="00732468"/>
    <w:rsid w:val="007339AE"/>
    <w:rsid w:val="00733BA3"/>
    <w:rsid w:val="00733FFE"/>
    <w:rsid w:val="007344DF"/>
    <w:rsid w:val="00734CD3"/>
    <w:rsid w:val="00742FCB"/>
    <w:rsid w:val="00744ECE"/>
    <w:rsid w:val="0075181D"/>
    <w:rsid w:val="0075313B"/>
    <w:rsid w:val="00754B5B"/>
    <w:rsid w:val="0075761F"/>
    <w:rsid w:val="00762011"/>
    <w:rsid w:val="00762608"/>
    <w:rsid w:val="007634F0"/>
    <w:rsid w:val="007648B0"/>
    <w:rsid w:val="007720F4"/>
    <w:rsid w:val="00775036"/>
    <w:rsid w:val="007772B7"/>
    <w:rsid w:val="0077777E"/>
    <w:rsid w:val="00777CEA"/>
    <w:rsid w:val="007874AB"/>
    <w:rsid w:val="00790B8D"/>
    <w:rsid w:val="00790C83"/>
    <w:rsid w:val="00796C78"/>
    <w:rsid w:val="007971A5"/>
    <w:rsid w:val="007A2D1F"/>
    <w:rsid w:val="007A4390"/>
    <w:rsid w:val="007A5F6E"/>
    <w:rsid w:val="007B0592"/>
    <w:rsid w:val="007B0F90"/>
    <w:rsid w:val="007B195B"/>
    <w:rsid w:val="007B3A89"/>
    <w:rsid w:val="007B6E18"/>
    <w:rsid w:val="007C4882"/>
    <w:rsid w:val="007C5173"/>
    <w:rsid w:val="007C59F3"/>
    <w:rsid w:val="007D05A9"/>
    <w:rsid w:val="007D2BFC"/>
    <w:rsid w:val="007D3CC7"/>
    <w:rsid w:val="007D53B3"/>
    <w:rsid w:val="007D5A9E"/>
    <w:rsid w:val="007E0855"/>
    <w:rsid w:val="007E37D6"/>
    <w:rsid w:val="007E4671"/>
    <w:rsid w:val="007F19B6"/>
    <w:rsid w:val="007F383A"/>
    <w:rsid w:val="007F407C"/>
    <w:rsid w:val="007F4F7B"/>
    <w:rsid w:val="007F51A7"/>
    <w:rsid w:val="007F786C"/>
    <w:rsid w:val="008031A3"/>
    <w:rsid w:val="00805100"/>
    <w:rsid w:val="0081038D"/>
    <w:rsid w:val="008143AA"/>
    <w:rsid w:val="00814767"/>
    <w:rsid w:val="00814A40"/>
    <w:rsid w:val="008243A1"/>
    <w:rsid w:val="008253F6"/>
    <w:rsid w:val="00825A1F"/>
    <w:rsid w:val="00827BBE"/>
    <w:rsid w:val="0083086F"/>
    <w:rsid w:val="0083092C"/>
    <w:rsid w:val="0083266F"/>
    <w:rsid w:val="008333F9"/>
    <w:rsid w:val="008339D4"/>
    <w:rsid w:val="00837101"/>
    <w:rsid w:val="008409C9"/>
    <w:rsid w:val="008412B5"/>
    <w:rsid w:val="008417B2"/>
    <w:rsid w:val="00844016"/>
    <w:rsid w:val="008442A3"/>
    <w:rsid w:val="00847DD9"/>
    <w:rsid w:val="008521AD"/>
    <w:rsid w:val="0085392F"/>
    <w:rsid w:val="008544FC"/>
    <w:rsid w:val="0085733A"/>
    <w:rsid w:val="00860003"/>
    <w:rsid w:val="00860ABA"/>
    <w:rsid w:val="00861A19"/>
    <w:rsid w:val="0086615A"/>
    <w:rsid w:val="008719C8"/>
    <w:rsid w:val="0087695D"/>
    <w:rsid w:val="00876EF6"/>
    <w:rsid w:val="008802EF"/>
    <w:rsid w:val="0088160D"/>
    <w:rsid w:val="008816B6"/>
    <w:rsid w:val="008816F6"/>
    <w:rsid w:val="008834BF"/>
    <w:rsid w:val="00883E9E"/>
    <w:rsid w:val="00891C48"/>
    <w:rsid w:val="00893E1D"/>
    <w:rsid w:val="008947B1"/>
    <w:rsid w:val="00895743"/>
    <w:rsid w:val="008968A4"/>
    <w:rsid w:val="008A1CCD"/>
    <w:rsid w:val="008A27CF"/>
    <w:rsid w:val="008A2CBE"/>
    <w:rsid w:val="008A3285"/>
    <w:rsid w:val="008A3A4A"/>
    <w:rsid w:val="008A57CF"/>
    <w:rsid w:val="008A58DE"/>
    <w:rsid w:val="008A73A8"/>
    <w:rsid w:val="008B30C0"/>
    <w:rsid w:val="008B3E3C"/>
    <w:rsid w:val="008B432C"/>
    <w:rsid w:val="008B4355"/>
    <w:rsid w:val="008B67A9"/>
    <w:rsid w:val="008B7268"/>
    <w:rsid w:val="008C1D63"/>
    <w:rsid w:val="008C2A2D"/>
    <w:rsid w:val="008C2D20"/>
    <w:rsid w:val="008C2F17"/>
    <w:rsid w:val="008C38B3"/>
    <w:rsid w:val="008C455E"/>
    <w:rsid w:val="008C4772"/>
    <w:rsid w:val="008C5239"/>
    <w:rsid w:val="008C5375"/>
    <w:rsid w:val="008C5670"/>
    <w:rsid w:val="008D1133"/>
    <w:rsid w:val="008D35E1"/>
    <w:rsid w:val="008D3EF9"/>
    <w:rsid w:val="008D46B0"/>
    <w:rsid w:val="008D533B"/>
    <w:rsid w:val="008D7198"/>
    <w:rsid w:val="008E3CF9"/>
    <w:rsid w:val="008F35FC"/>
    <w:rsid w:val="008F3BE1"/>
    <w:rsid w:val="008F528C"/>
    <w:rsid w:val="008F5C7C"/>
    <w:rsid w:val="008F6CA3"/>
    <w:rsid w:val="0090134D"/>
    <w:rsid w:val="00901EE7"/>
    <w:rsid w:val="00902082"/>
    <w:rsid w:val="00903B41"/>
    <w:rsid w:val="00904672"/>
    <w:rsid w:val="00904A91"/>
    <w:rsid w:val="00905896"/>
    <w:rsid w:val="00906314"/>
    <w:rsid w:val="0091095B"/>
    <w:rsid w:val="009117F8"/>
    <w:rsid w:val="00912BB5"/>
    <w:rsid w:val="00912EAE"/>
    <w:rsid w:val="009143D6"/>
    <w:rsid w:val="00915FCC"/>
    <w:rsid w:val="00916FC2"/>
    <w:rsid w:val="0091728B"/>
    <w:rsid w:val="0091768B"/>
    <w:rsid w:val="00922F6D"/>
    <w:rsid w:val="00923D9E"/>
    <w:rsid w:val="00925B6C"/>
    <w:rsid w:val="0092645E"/>
    <w:rsid w:val="00931115"/>
    <w:rsid w:val="0093464F"/>
    <w:rsid w:val="00934841"/>
    <w:rsid w:val="00935195"/>
    <w:rsid w:val="0093582F"/>
    <w:rsid w:val="00937AF5"/>
    <w:rsid w:val="00937E7A"/>
    <w:rsid w:val="0094169F"/>
    <w:rsid w:val="009464E7"/>
    <w:rsid w:val="009527EA"/>
    <w:rsid w:val="009528EE"/>
    <w:rsid w:val="009554F2"/>
    <w:rsid w:val="00955F4E"/>
    <w:rsid w:val="00960FCC"/>
    <w:rsid w:val="00961046"/>
    <w:rsid w:val="00961EEF"/>
    <w:rsid w:val="009631CC"/>
    <w:rsid w:val="0096451A"/>
    <w:rsid w:val="0096490F"/>
    <w:rsid w:val="00970242"/>
    <w:rsid w:val="009741FB"/>
    <w:rsid w:val="00975FEA"/>
    <w:rsid w:val="009775A8"/>
    <w:rsid w:val="009804C0"/>
    <w:rsid w:val="0098129F"/>
    <w:rsid w:val="0098272A"/>
    <w:rsid w:val="00985C59"/>
    <w:rsid w:val="00986E97"/>
    <w:rsid w:val="00987DA6"/>
    <w:rsid w:val="009908E9"/>
    <w:rsid w:val="00990BED"/>
    <w:rsid w:val="00991E40"/>
    <w:rsid w:val="00995A93"/>
    <w:rsid w:val="0099615E"/>
    <w:rsid w:val="009A46A2"/>
    <w:rsid w:val="009A4853"/>
    <w:rsid w:val="009A524F"/>
    <w:rsid w:val="009A6622"/>
    <w:rsid w:val="009B0000"/>
    <w:rsid w:val="009B12BA"/>
    <w:rsid w:val="009B2EBD"/>
    <w:rsid w:val="009B302A"/>
    <w:rsid w:val="009B4520"/>
    <w:rsid w:val="009B5E93"/>
    <w:rsid w:val="009C621E"/>
    <w:rsid w:val="009C6B84"/>
    <w:rsid w:val="009C7609"/>
    <w:rsid w:val="009D14BF"/>
    <w:rsid w:val="009D35E2"/>
    <w:rsid w:val="009D7879"/>
    <w:rsid w:val="009E09C2"/>
    <w:rsid w:val="009E0B67"/>
    <w:rsid w:val="009E14E3"/>
    <w:rsid w:val="009E4602"/>
    <w:rsid w:val="009E6ECE"/>
    <w:rsid w:val="009F2331"/>
    <w:rsid w:val="009F2DF7"/>
    <w:rsid w:val="009F5642"/>
    <w:rsid w:val="00A0051B"/>
    <w:rsid w:val="00A035F5"/>
    <w:rsid w:val="00A04E65"/>
    <w:rsid w:val="00A116A4"/>
    <w:rsid w:val="00A11D85"/>
    <w:rsid w:val="00A16650"/>
    <w:rsid w:val="00A2137E"/>
    <w:rsid w:val="00A22022"/>
    <w:rsid w:val="00A23660"/>
    <w:rsid w:val="00A23F19"/>
    <w:rsid w:val="00A261F2"/>
    <w:rsid w:val="00A302AF"/>
    <w:rsid w:val="00A3563E"/>
    <w:rsid w:val="00A36C3D"/>
    <w:rsid w:val="00A37221"/>
    <w:rsid w:val="00A40469"/>
    <w:rsid w:val="00A40919"/>
    <w:rsid w:val="00A41275"/>
    <w:rsid w:val="00A41D57"/>
    <w:rsid w:val="00A4246D"/>
    <w:rsid w:val="00A43176"/>
    <w:rsid w:val="00A44A6C"/>
    <w:rsid w:val="00A4760C"/>
    <w:rsid w:val="00A51313"/>
    <w:rsid w:val="00A5246B"/>
    <w:rsid w:val="00A55B25"/>
    <w:rsid w:val="00A564B2"/>
    <w:rsid w:val="00A5756A"/>
    <w:rsid w:val="00A60086"/>
    <w:rsid w:val="00A61C16"/>
    <w:rsid w:val="00A630B4"/>
    <w:rsid w:val="00A63599"/>
    <w:rsid w:val="00A644B3"/>
    <w:rsid w:val="00A70196"/>
    <w:rsid w:val="00A70F82"/>
    <w:rsid w:val="00A7187A"/>
    <w:rsid w:val="00A80C8C"/>
    <w:rsid w:val="00A86E5E"/>
    <w:rsid w:val="00A912D9"/>
    <w:rsid w:val="00A9133C"/>
    <w:rsid w:val="00A92A3A"/>
    <w:rsid w:val="00A92C2B"/>
    <w:rsid w:val="00A93B30"/>
    <w:rsid w:val="00A9460D"/>
    <w:rsid w:val="00A95379"/>
    <w:rsid w:val="00A96B22"/>
    <w:rsid w:val="00A9787A"/>
    <w:rsid w:val="00AA0931"/>
    <w:rsid w:val="00AA0F08"/>
    <w:rsid w:val="00AA24B0"/>
    <w:rsid w:val="00AA24CB"/>
    <w:rsid w:val="00AA2ABC"/>
    <w:rsid w:val="00AA6FFC"/>
    <w:rsid w:val="00AB0013"/>
    <w:rsid w:val="00AB1388"/>
    <w:rsid w:val="00AB274D"/>
    <w:rsid w:val="00AB4052"/>
    <w:rsid w:val="00AB4DF4"/>
    <w:rsid w:val="00AB62BD"/>
    <w:rsid w:val="00AB74FA"/>
    <w:rsid w:val="00AB78CD"/>
    <w:rsid w:val="00AC026D"/>
    <w:rsid w:val="00AC0281"/>
    <w:rsid w:val="00AC186B"/>
    <w:rsid w:val="00AC1CEC"/>
    <w:rsid w:val="00AC2A1E"/>
    <w:rsid w:val="00AC2C41"/>
    <w:rsid w:val="00AC3552"/>
    <w:rsid w:val="00AC3D31"/>
    <w:rsid w:val="00AC643C"/>
    <w:rsid w:val="00AC6B03"/>
    <w:rsid w:val="00AD2080"/>
    <w:rsid w:val="00AD43C2"/>
    <w:rsid w:val="00AD5A8C"/>
    <w:rsid w:val="00AD69C1"/>
    <w:rsid w:val="00AD7C24"/>
    <w:rsid w:val="00AD7CC5"/>
    <w:rsid w:val="00AE64C0"/>
    <w:rsid w:val="00AE718B"/>
    <w:rsid w:val="00AF25F7"/>
    <w:rsid w:val="00AF4AA5"/>
    <w:rsid w:val="00AF65DC"/>
    <w:rsid w:val="00AF79AD"/>
    <w:rsid w:val="00AF7C08"/>
    <w:rsid w:val="00B022B6"/>
    <w:rsid w:val="00B0247B"/>
    <w:rsid w:val="00B043CC"/>
    <w:rsid w:val="00B05609"/>
    <w:rsid w:val="00B05DA2"/>
    <w:rsid w:val="00B06814"/>
    <w:rsid w:val="00B104B3"/>
    <w:rsid w:val="00B123DF"/>
    <w:rsid w:val="00B14051"/>
    <w:rsid w:val="00B14FBB"/>
    <w:rsid w:val="00B16FEA"/>
    <w:rsid w:val="00B20625"/>
    <w:rsid w:val="00B209AB"/>
    <w:rsid w:val="00B23982"/>
    <w:rsid w:val="00B23990"/>
    <w:rsid w:val="00B26C41"/>
    <w:rsid w:val="00B303F1"/>
    <w:rsid w:val="00B31238"/>
    <w:rsid w:val="00B31A46"/>
    <w:rsid w:val="00B35DBE"/>
    <w:rsid w:val="00B36677"/>
    <w:rsid w:val="00B376F0"/>
    <w:rsid w:val="00B42271"/>
    <w:rsid w:val="00B43337"/>
    <w:rsid w:val="00B47DCE"/>
    <w:rsid w:val="00B5142B"/>
    <w:rsid w:val="00B52B5D"/>
    <w:rsid w:val="00B5337C"/>
    <w:rsid w:val="00B53F07"/>
    <w:rsid w:val="00B55FCB"/>
    <w:rsid w:val="00B57EBF"/>
    <w:rsid w:val="00B63D4A"/>
    <w:rsid w:val="00B63D68"/>
    <w:rsid w:val="00B66A1A"/>
    <w:rsid w:val="00B66EE9"/>
    <w:rsid w:val="00B7057F"/>
    <w:rsid w:val="00B70C56"/>
    <w:rsid w:val="00B71AF5"/>
    <w:rsid w:val="00B73A0D"/>
    <w:rsid w:val="00B73B9F"/>
    <w:rsid w:val="00B74CE9"/>
    <w:rsid w:val="00B74F9B"/>
    <w:rsid w:val="00B76937"/>
    <w:rsid w:val="00B80B94"/>
    <w:rsid w:val="00B8131B"/>
    <w:rsid w:val="00B824D0"/>
    <w:rsid w:val="00B837BA"/>
    <w:rsid w:val="00B83A51"/>
    <w:rsid w:val="00B83B21"/>
    <w:rsid w:val="00B87C02"/>
    <w:rsid w:val="00B9045F"/>
    <w:rsid w:val="00B90C9D"/>
    <w:rsid w:val="00B90ECE"/>
    <w:rsid w:val="00B91DEE"/>
    <w:rsid w:val="00B963F2"/>
    <w:rsid w:val="00BA14C0"/>
    <w:rsid w:val="00BA3051"/>
    <w:rsid w:val="00BA52B6"/>
    <w:rsid w:val="00BA70D0"/>
    <w:rsid w:val="00BB06DD"/>
    <w:rsid w:val="00BB0D5F"/>
    <w:rsid w:val="00BB1D63"/>
    <w:rsid w:val="00BB2164"/>
    <w:rsid w:val="00BB38AB"/>
    <w:rsid w:val="00BB3F2A"/>
    <w:rsid w:val="00BB6766"/>
    <w:rsid w:val="00BC0481"/>
    <w:rsid w:val="00BC190D"/>
    <w:rsid w:val="00BC324B"/>
    <w:rsid w:val="00BC368D"/>
    <w:rsid w:val="00BC3C15"/>
    <w:rsid w:val="00BC43A6"/>
    <w:rsid w:val="00BC65EB"/>
    <w:rsid w:val="00BD4CD4"/>
    <w:rsid w:val="00BE041D"/>
    <w:rsid w:val="00BE066A"/>
    <w:rsid w:val="00BE06C4"/>
    <w:rsid w:val="00BE0FB7"/>
    <w:rsid w:val="00BE1B76"/>
    <w:rsid w:val="00BE48CD"/>
    <w:rsid w:val="00BE7167"/>
    <w:rsid w:val="00BF05BD"/>
    <w:rsid w:val="00BF1464"/>
    <w:rsid w:val="00BF1E98"/>
    <w:rsid w:val="00BF26ED"/>
    <w:rsid w:val="00BF2B18"/>
    <w:rsid w:val="00BF42E3"/>
    <w:rsid w:val="00BF4726"/>
    <w:rsid w:val="00BF5F2C"/>
    <w:rsid w:val="00BF6ABF"/>
    <w:rsid w:val="00BF7C3A"/>
    <w:rsid w:val="00C0033B"/>
    <w:rsid w:val="00C01704"/>
    <w:rsid w:val="00C047D8"/>
    <w:rsid w:val="00C060C8"/>
    <w:rsid w:val="00C06E80"/>
    <w:rsid w:val="00C07169"/>
    <w:rsid w:val="00C07828"/>
    <w:rsid w:val="00C12231"/>
    <w:rsid w:val="00C1360F"/>
    <w:rsid w:val="00C15FBF"/>
    <w:rsid w:val="00C2424D"/>
    <w:rsid w:val="00C24283"/>
    <w:rsid w:val="00C261A6"/>
    <w:rsid w:val="00C263B9"/>
    <w:rsid w:val="00C269B9"/>
    <w:rsid w:val="00C27CD5"/>
    <w:rsid w:val="00C30428"/>
    <w:rsid w:val="00C31366"/>
    <w:rsid w:val="00C35F80"/>
    <w:rsid w:val="00C4188C"/>
    <w:rsid w:val="00C505D7"/>
    <w:rsid w:val="00C52CC0"/>
    <w:rsid w:val="00C53664"/>
    <w:rsid w:val="00C574C3"/>
    <w:rsid w:val="00C611CE"/>
    <w:rsid w:val="00C628F1"/>
    <w:rsid w:val="00C6778F"/>
    <w:rsid w:val="00C677C8"/>
    <w:rsid w:val="00C7085C"/>
    <w:rsid w:val="00C72395"/>
    <w:rsid w:val="00C727CB"/>
    <w:rsid w:val="00C8135B"/>
    <w:rsid w:val="00C81A85"/>
    <w:rsid w:val="00C83319"/>
    <w:rsid w:val="00C85615"/>
    <w:rsid w:val="00C86FEE"/>
    <w:rsid w:val="00C901B8"/>
    <w:rsid w:val="00C94933"/>
    <w:rsid w:val="00C95FD0"/>
    <w:rsid w:val="00C97235"/>
    <w:rsid w:val="00C97DDF"/>
    <w:rsid w:val="00C97E4B"/>
    <w:rsid w:val="00CA338E"/>
    <w:rsid w:val="00CA6EB8"/>
    <w:rsid w:val="00CA7EEF"/>
    <w:rsid w:val="00CB093A"/>
    <w:rsid w:val="00CB0FBE"/>
    <w:rsid w:val="00CB262F"/>
    <w:rsid w:val="00CB58E6"/>
    <w:rsid w:val="00CB65CC"/>
    <w:rsid w:val="00CC149D"/>
    <w:rsid w:val="00CC430A"/>
    <w:rsid w:val="00CC6C1C"/>
    <w:rsid w:val="00CD2047"/>
    <w:rsid w:val="00CD2FE3"/>
    <w:rsid w:val="00CD7E53"/>
    <w:rsid w:val="00CE179C"/>
    <w:rsid w:val="00CE3320"/>
    <w:rsid w:val="00CE46FD"/>
    <w:rsid w:val="00CE5789"/>
    <w:rsid w:val="00CE5D05"/>
    <w:rsid w:val="00CE7770"/>
    <w:rsid w:val="00CF2A32"/>
    <w:rsid w:val="00CF355F"/>
    <w:rsid w:val="00CF4F34"/>
    <w:rsid w:val="00CF5635"/>
    <w:rsid w:val="00CF5D3F"/>
    <w:rsid w:val="00CF64F8"/>
    <w:rsid w:val="00CF7CAB"/>
    <w:rsid w:val="00D01A8D"/>
    <w:rsid w:val="00D0232D"/>
    <w:rsid w:val="00D02DA9"/>
    <w:rsid w:val="00D04700"/>
    <w:rsid w:val="00D0493E"/>
    <w:rsid w:val="00D05F98"/>
    <w:rsid w:val="00D079BD"/>
    <w:rsid w:val="00D11418"/>
    <w:rsid w:val="00D114AB"/>
    <w:rsid w:val="00D118E2"/>
    <w:rsid w:val="00D15234"/>
    <w:rsid w:val="00D153DC"/>
    <w:rsid w:val="00D21879"/>
    <w:rsid w:val="00D25DFD"/>
    <w:rsid w:val="00D278FF"/>
    <w:rsid w:val="00D32CE7"/>
    <w:rsid w:val="00D367F5"/>
    <w:rsid w:val="00D36EC5"/>
    <w:rsid w:val="00D36F24"/>
    <w:rsid w:val="00D3746A"/>
    <w:rsid w:val="00D377C6"/>
    <w:rsid w:val="00D40BC1"/>
    <w:rsid w:val="00D40D44"/>
    <w:rsid w:val="00D41877"/>
    <w:rsid w:val="00D42BE2"/>
    <w:rsid w:val="00D44032"/>
    <w:rsid w:val="00D44E74"/>
    <w:rsid w:val="00D45CC6"/>
    <w:rsid w:val="00D479B4"/>
    <w:rsid w:val="00D51C9A"/>
    <w:rsid w:val="00D55CDD"/>
    <w:rsid w:val="00D563C2"/>
    <w:rsid w:val="00D60746"/>
    <w:rsid w:val="00D6372F"/>
    <w:rsid w:val="00D64A5A"/>
    <w:rsid w:val="00D71646"/>
    <w:rsid w:val="00D763B6"/>
    <w:rsid w:val="00D81A86"/>
    <w:rsid w:val="00D822DC"/>
    <w:rsid w:val="00D82AA5"/>
    <w:rsid w:val="00D86900"/>
    <w:rsid w:val="00D86AC1"/>
    <w:rsid w:val="00D87648"/>
    <w:rsid w:val="00D952C3"/>
    <w:rsid w:val="00D96F48"/>
    <w:rsid w:val="00DA0D13"/>
    <w:rsid w:val="00DA0E2B"/>
    <w:rsid w:val="00DA4D4C"/>
    <w:rsid w:val="00DA4E7C"/>
    <w:rsid w:val="00DA5430"/>
    <w:rsid w:val="00DA680F"/>
    <w:rsid w:val="00DA7DCD"/>
    <w:rsid w:val="00DB24C1"/>
    <w:rsid w:val="00DB3A9E"/>
    <w:rsid w:val="00DB52C8"/>
    <w:rsid w:val="00DB6B7E"/>
    <w:rsid w:val="00DC045A"/>
    <w:rsid w:val="00DC13A5"/>
    <w:rsid w:val="00DC15DD"/>
    <w:rsid w:val="00DD02BA"/>
    <w:rsid w:val="00DD0478"/>
    <w:rsid w:val="00DD34E9"/>
    <w:rsid w:val="00DD5B5D"/>
    <w:rsid w:val="00DD6DDC"/>
    <w:rsid w:val="00DD7842"/>
    <w:rsid w:val="00DE5BD2"/>
    <w:rsid w:val="00DF040E"/>
    <w:rsid w:val="00DF3CCB"/>
    <w:rsid w:val="00DF7F03"/>
    <w:rsid w:val="00E022DA"/>
    <w:rsid w:val="00E02E4B"/>
    <w:rsid w:val="00E06461"/>
    <w:rsid w:val="00E075A9"/>
    <w:rsid w:val="00E07EFA"/>
    <w:rsid w:val="00E10C46"/>
    <w:rsid w:val="00E118EE"/>
    <w:rsid w:val="00E12EA9"/>
    <w:rsid w:val="00E14008"/>
    <w:rsid w:val="00E328FD"/>
    <w:rsid w:val="00E32F63"/>
    <w:rsid w:val="00E37317"/>
    <w:rsid w:val="00E40CC5"/>
    <w:rsid w:val="00E47284"/>
    <w:rsid w:val="00E53913"/>
    <w:rsid w:val="00E5597D"/>
    <w:rsid w:val="00E55EBF"/>
    <w:rsid w:val="00E566D8"/>
    <w:rsid w:val="00E6134F"/>
    <w:rsid w:val="00E6136A"/>
    <w:rsid w:val="00E65A27"/>
    <w:rsid w:val="00E65A88"/>
    <w:rsid w:val="00E67C05"/>
    <w:rsid w:val="00E72CA0"/>
    <w:rsid w:val="00E74385"/>
    <w:rsid w:val="00E74724"/>
    <w:rsid w:val="00E755EE"/>
    <w:rsid w:val="00E77E3A"/>
    <w:rsid w:val="00E85D39"/>
    <w:rsid w:val="00E8683E"/>
    <w:rsid w:val="00E86DE0"/>
    <w:rsid w:val="00E8762B"/>
    <w:rsid w:val="00E9004F"/>
    <w:rsid w:val="00E90368"/>
    <w:rsid w:val="00E923B3"/>
    <w:rsid w:val="00E92C54"/>
    <w:rsid w:val="00E92D2E"/>
    <w:rsid w:val="00E93245"/>
    <w:rsid w:val="00E93276"/>
    <w:rsid w:val="00E9361B"/>
    <w:rsid w:val="00E9395C"/>
    <w:rsid w:val="00E947B6"/>
    <w:rsid w:val="00E95BB0"/>
    <w:rsid w:val="00E95C8A"/>
    <w:rsid w:val="00E97956"/>
    <w:rsid w:val="00E97EBA"/>
    <w:rsid w:val="00EA06A5"/>
    <w:rsid w:val="00EA11E8"/>
    <w:rsid w:val="00EA23AC"/>
    <w:rsid w:val="00EA27A8"/>
    <w:rsid w:val="00EA57CB"/>
    <w:rsid w:val="00EA72AD"/>
    <w:rsid w:val="00EB78DD"/>
    <w:rsid w:val="00EC04B5"/>
    <w:rsid w:val="00EC2A6A"/>
    <w:rsid w:val="00EC2D6A"/>
    <w:rsid w:val="00EC33B0"/>
    <w:rsid w:val="00EC5769"/>
    <w:rsid w:val="00EC5FA8"/>
    <w:rsid w:val="00ED41B8"/>
    <w:rsid w:val="00EE109F"/>
    <w:rsid w:val="00EE27E4"/>
    <w:rsid w:val="00EE3026"/>
    <w:rsid w:val="00EE34F1"/>
    <w:rsid w:val="00EE41C3"/>
    <w:rsid w:val="00EE49D5"/>
    <w:rsid w:val="00EE57EF"/>
    <w:rsid w:val="00EF0800"/>
    <w:rsid w:val="00EF1DE7"/>
    <w:rsid w:val="00EF2302"/>
    <w:rsid w:val="00EF4C10"/>
    <w:rsid w:val="00F004C7"/>
    <w:rsid w:val="00F0167C"/>
    <w:rsid w:val="00F04A19"/>
    <w:rsid w:val="00F05D46"/>
    <w:rsid w:val="00F0661D"/>
    <w:rsid w:val="00F1196D"/>
    <w:rsid w:val="00F12EFC"/>
    <w:rsid w:val="00F15EC7"/>
    <w:rsid w:val="00F22237"/>
    <w:rsid w:val="00F22255"/>
    <w:rsid w:val="00F22532"/>
    <w:rsid w:val="00F23758"/>
    <w:rsid w:val="00F239B6"/>
    <w:rsid w:val="00F24A18"/>
    <w:rsid w:val="00F32466"/>
    <w:rsid w:val="00F34968"/>
    <w:rsid w:val="00F361CA"/>
    <w:rsid w:val="00F371DC"/>
    <w:rsid w:val="00F42B0B"/>
    <w:rsid w:val="00F452FE"/>
    <w:rsid w:val="00F45738"/>
    <w:rsid w:val="00F461AC"/>
    <w:rsid w:val="00F46B87"/>
    <w:rsid w:val="00F5514C"/>
    <w:rsid w:val="00F564DD"/>
    <w:rsid w:val="00F57017"/>
    <w:rsid w:val="00F61ED2"/>
    <w:rsid w:val="00F63221"/>
    <w:rsid w:val="00F643B5"/>
    <w:rsid w:val="00F64456"/>
    <w:rsid w:val="00F66CA6"/>
    <w:rsid w:val="00F67207"/>
    <w:rsid w:val="00F7577B"/>
    <w:rsid w:val="00F80A05"/>
    <w:rsid w:val="00F835A5"/>
    <w:rsid w:val="00F83C9E"/>
    <w:rsid w:val="00F85E5D"/>
    <w:rsid w:val="00F90E91"/>
    <w:rsid w:val="00F957C5"/>
    <w:rsid w:val="00F96F29"/>
    <w:rsid w:val="00FA0332"/>
    <w:rsid w:val="00FA1B07"/>
    <w:rsid w:val="00FA2424"/>
    <w:rsid w:val="00FA2F57"/>
    <w:rsid w:val="00FA599F"/>
    <w:rsid w:val="00FB43A3"/>
    <w:rsid w:val="00FB4580"/>
    <w:rsid w:val="00FC344A"/>
    <w:rsid w:val="00FC416E"/>
    <w:rsid w:val="00FC55DF"/>
    <w:rsid w:val="00FD42C3"/>
    <w:rsid w:val="00FD5950"/>
    <w:rsid w:val="00FE1169"/>
    <w:rsid w:val="00FE23F4"/>
    <w:rsid w:val="00FE4584"/>
    <w:rsid w:val="00FE463B"/>
    <w:rsid w:val="00FE6180"/>
    <w:rsid w:val="00FE65D4"/>
    <w:rsid w:val="00FE66C8"/>
    <w:rsid w:val="00FE6ADF"/>
    <w:rsid w:val="00FF0FA2"/>
    <w:rsid w:val="00FF2427"/>
    <w:rsid w:val="00FF26E0"/>
    <w:rsid w:val="00FF39F7"/>
    <w:rsid w:val="00FF4392"/>
    <w:rsid w:val="00FF5C91"/>
    <w:rsid w:val="00FF5E26"/>
    <w:rsid w:val="00FF6FA7"/>
    <w:rsid w:val="013905BF"/>
    <w:rsid w:val="020A7F0B"/>
    <w:rsid w:val="043829D5"/>
    <w:rsid w:val="047A53A5"/>
    <w:rsid w:val="04B19171"/>
    <w:rsid w:val="05C61513"/>
    <w:rsid w:val="0617AADD"/>
    <w:rsid w:val="065FD5BA"/>
    <w:rsid w:val="074B7951"/>
    <w:rsid w:val="08E749B2"/>
    <w:rsid w:val="0A215C4A"/>
    <w:rsid w:val="0AE99529"/>
    <w:rsid w:val="0BAC0893"/>
    <w:rsid w:val="0C62A30A"/>
    <w:rsid w:val="0C874343"/>
    <w:rsid w:val="0C9A37C9"/>
    <w:rsid w:val="0CB0C4DD"/>
    <w:rsid w:val="0CE89392"/>
    <w:rsid w:val="0D03AD7B"/>
    <w:rsid w:val="0E2135EB"/>
    <w:rsid w:val="0E36082A"/>
    <w:rsid w:val="102FAABB"/>
    <w:rsid w:val="111E1258"/>
    <w:rsid w:val="13ACE72D"/>
    <w:rsid w:val="13E413E3"/>
    <w:rsid w:val="1445E642"/>
    <w:rsid w:val="15990CA1"/>
    <w:rsid w:val="16B93960"/>
    <w:rsid w:val="16E6B6F5"/>
    <w:rsid w:val="175FE246"/>
    <w:rsid w:val="17CFDE50"/>
    <w:rsid w:val="17ECAC1D"/>
    <w:rsid w:val="1871C50C"/>
    <w:rsid w:val="18BC7C10"/>
    <w:rsid w:val="19761F88"/>
    <w:rsid w:val="19B8C42A"/>
    <w:rsid w:val="1A5575A5"/>
    <w:rsid w:val="1AA46033"/>
    <w:rsid w:val="1AD87255"/>
    <w:rsid w:val="1BCFCA85"/>
    <w:rsid w:val="1BEF25C8"/>
    <w:rsid w:val="1C6A65BB"/>
    <w:rsid w:val="1DB1DB8E"/>
    <w:rsid w:val="1E330A96"/>
    <w:rsid w:val="1E5C7F0F"/>
    <w:rsid w:val="20E4DB8F"/>
    <w:rsid w:val="21989362"/>
    <w:rsid w:val="22A8A5E0"/>
    <w:rsid w:val="23813C9B"/>
    <w:rsid w:val="23952EB1"/>
    <w:rsid w:val="24447641"/>
    <w:rsid w:val="247924E8"/>
    <w:rsid w:val="24874221"/>
    <w:rsid w:val="2491AA0F"/>
    <w:rsid w:val="2559EF31"/>
    <w:rsid w:val="258DA0B1"/>
    <w:rsid w:val="259DF594"/>
    <w:rsid w:val="26231282"/>
    <w:rsid w:val="266749C0"/>
    <w:rsid w:val="266FF957"/>
    <w:rsid w:val="2682376E"/>
    <w:rsid w:val="272F655F"/>
    <w:rsid w:val="2799D3FF"/>
    <w:rsid w:val="27BEE2E3"/>
    <w:rsid w:val="27F09DB2"/>
    <w:rsid w:val="2917E764"/>
    <w:rsid w:val="298C6E13"/>
    <w:rsid w:val="2A0A15C5"/>
    <w:rsid w:val="2A64E526"/>
    <w:rsid w:val="2B89FC3D"/>
    <w:rsid w:val="2C0D3718"/>
    <w:rsid w:val="2D0E436B"/>
    <w:rsid w:val="2E7F5B8F"/>
    <w:rsid w:val="2E9A22D6"/>
    <w:rsid w:val="2EC19CFF"/>
    <w:rsid w:val="3003725C"/>
    <w:rsid w:val="3030AD47"/>
    <w:rsid w:val="3157B99A"/>
    <w:rsid w:val="31B6A4B2"/>
    <w:rsid w:val="31CC7DA8"/>
    <w:rsid w:val="32AEE1F9"/>
    <w:rsid w:val="3781D417"/>
    <w:rsid w:val="384CCD6F"/>
    <w:rsid w:val="3863CAE0"/>
    <w:rsid w:val="38D291C3"/>
    <w:rsid w:val="3A78D100"/>
    <w:rsid w:val="3B03030C"/>
    <w:rsid w:val="3BA1DD90"/>
    <w:rsid w:val="3BAEC090"/>
    <w:rsid w:val="3C203F14"/>
    <w:rsid w:val="3CAAEAE0"/>
    <w:rsid w:val="3CB79B83"/>
    <w:rsid w:val="3E7BFF5D"/>
    <w:rsid w:val="3ED6396F"/>
    <w:rsid w:val="3EDC16E7"/>
    <w:rsid w:val="3F651675"/>
    <w:rsid w:val="4035963A"/>
    <w:rsid w:val="4055FA35"/>
    <w:rsid w:val="414E2BC0"/>
    <w:rsid w:val="41AEE55A"/>
    <w:rsid w:val="436D36FC"/>
    <w:rsid w:val="4521F156"/>
    <w:rsid w:val="459D9AA5"/>
    <w:rsid w:val="45BC0146"/>
    <w:rsid w:val="462F70ED"/>
    <w:rsid w:val="46B7E395"/>
    <w:rsid w:val="477D423A"/>
    <w:rsid w:val="4822E1A3"/>
    <w:rsid w:val="49593DA5"/>
    <w:rsid w:val="49C554CC"/>
    <w:rsid w:val="4B30A9A2"/>
    <w:rsid w:val="4BE5B3F6"/>
    <w:rsid w:val="4C0085BD"/>
    <w:rsid w:val="4C0A7D59"/>
    <w:rsid w:val="4CC67C93"/>
    <w:rsid w:val="4CD25FDA"/>
    <w:rsid w:val="4CFF4703"/>
    <w:rsid w:val="4D1CB550"/>
    <w:rsid w:val="4D929825"/>
    <w:rsid w:val="4DDCD4B9"/>
    <w:rsid w:val="4F14BAF7"/>
    <w:rsid w:val="5166D1A7"/>
    <w:rsid w:val="5181CE05"/>
    <w:rsid w:val="5332E7FF"/>
    <w:rsid w:val="5368C70B"/>
    <w:rsid w:val="53F3E2DE"/>
    <w:rsid w:val="54A3DDD2"/>
    <w:rsid w:val="57B0AA0D"/>
    <w:rsid w:val="57C25637"/>
    <w:rsid w:val="583DA38C"/>
    <w:rsid w:val="5973B78D"/>
    <w:rsid w:val="59E784C3"/>
    <w:rsid w:val="5B7D31D4"/>
    <w:rsid w:val="5C527E54"/>
    <w:rsid w:val="5C5727C3"/>
    <w:rsid w:val="5C95C75A"/>
    <w:rsid w:val="5D18F7CD"/>
    <w:rsid w:val="5D190235"/>
    <w:rsid w:val="5D7A8D62"/>
    <w:rsid w:val="5E76FEE4"/>
    <w:rsid w:val="5F6BAA53"/>
    <w:rsid w:val="5F6E235F"/>
    <w:rsid w:val="602E21B6"/>
    <w:rsid w:val="61DC1E75"/>
    <w:rsid w:val="6365C278"/>
    <w:rsid w:val="638B42AE"/>
    <w:rsid w:val="64741926"/>
    <w:rsid w:val="64AD34A5"/>
    <w:rsid w:val="650192D9"/>
    <w:rsid w:val="652789DF"/>
    <w:rsid w:val="6541D756"/>
    <w:rsid w:val="65553FC4"/>
    <w:rsid w:val="658C5B0B"/>
    <w:rsid w:val="65DAEBD7"/>
    <w:rsid w:val="67450169"/>
    <w:rsid w:val="682320A5"/>
    <w:rsid w:val="6B180849"/>
    <w:rsid w:val="6B74886B"/>
    <w:rsid w:val="6C03DDB6"/>
    <w:rsid w:val="6C89A0B1"/>
    <w:rsid w:val="6CE0FFF2"/>
    <w:rsid w:val="6E052276"/>
    <w:rsid w:val="6E938DF2"/>
    <w:rsid w:val="6EB62421"/>
    <w:rsid w:val="6F3627E6"/>
    <w:rsid w:val="7051F482"/>
    <w:rsid w:val="713CC338"/>
    <w:rsid w:val="7242786A"/>
    <w:rsid w:val="728A29D9"/>
    <w:rsid w:val="72DD31B8"/>
    <w:rsid w:val="73899544"/>
    <w:rsid w:val="73984AFD"/>
    <w:rsid w:val="73BAA636"/>
    <w:rsid w:val="744E2413"/>
    <w:rsid w:val="7468AD36"/>
    <w:rsid w:val="74FE1F07"/>
    <w:rsid w:val="75D6FEC8"/>
    <w:rsid w:val="76047D97"/>
    <w:rsid w:val="779959F5"/>
    <w:rsid w:val="7921B1A8"/>
    <w:rsid w:val="7A84F4D3"/>
    <w:rsid w:val="7AE5F806"/>
    <w:rsid w:val="7B276D7D"/>
    <w:rsid w:val="7B381C6F"/>
    <w:rsid w:val="7B5A6ADF"/>
    <w:rsid w:val="7B9A7F1D"/>
    <w:rsid w:val="7C00D923"/>
    <w:rsid w:val="7C73BF1B"/>
    <w:rsid w:val="7D0930EC"/>
    <w:rsid w:val="7D3AEBBB"/>
    <w:rsid w:val="7DBBA175"/>
    <w:rsid w:val="7EC1D5DD"/>
    <w:rsid w:val="7F2610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375160"/>
  <w15:chartTrackingRefBased/>
  <w15:docId w15:val="{FECC52B5-721C-498E-B4FF-5DABD2F00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EDB"/>
    <w:rPr>
      <w:rFonts w:ascii="Times New Roman" w:hAnsi="Times New Roman"/>
      <w:lang w:val="en-GB"/>
    </w:rPr>
  </w:style>
  <w:style w:type="paragraph" w:styleId="Heading1">
    <w:name w:val="heading 1"/>
    <w:basedOn w:val="Normal"/>
    <w:next w:val="Normal"/>
    <w:link w:val="Heading1Char"/>
    <w:uiPriority w:val="9"/>
    <w:qFormat/>
    <w:rsid w:val="00B53F07"/>
    <w:pPr>
      <w:keepNext/>
      <w:numPr>
        <w:numId w:val="23"/>
      </w:numPr>
      <w:spacing w:before="240" w:after="0"/>
      <w:ind w:left="432"/>
      <w:jc w:val="both"/>
      <w:outlineLvl w:val="0"/>
    </w:pPr>
    <w:rPr>
      <w:rFonts w:eastAsiaTheme="majorEastAsia" w:cstheme="majorBidi"/>
      <w:b/>
      <w:caps/>
      <w:sz w:val="24"/>
      <w:szCs w:val="32"/>
    </w:rPr>
  </w:style>
  <w:style w:type="paragraph" w:styleId="Heading2">
    <w:name w:val="heading 2"/>
    <w:basedOn w:val="Normal"/>
    <w:next w:val="Normal"/>
    <w:link w:val="Heading2Char"/>
    <w:uiPriority w:val="9"/>
    <w:unhideWhenUsed/>
    <w:qFormat/>
    <w:rsid w:val="00893E1D"/>
    <w:pPr>
      <w:keepNext/>
      <w:numPr>
        <w:ilvl w:val="1"/>
        <w:numId w:val="23"/>
      </w:numPr>
      <w:spacing w:before="40" w:after="0"/>
      <w:ind w:left="578" w:hanging="578"/>
      <w:outlineLvl w:val="1"/>
    </w:pPr>
    <w:rPr>
      <w:rFonts w:eastAsiaTheme="majorEastAsia" w:cstheme="majorBidi"/>
      <w:b/>
      <w:bCs/>
      <w:sz w:val="24"/>
      <w:szCs w:val="24"/>
    </w:rPr>
  </w:style>
  <w:style w:type="paragraph" w:styleId="Heading3">
    <w:name w:val="heading 3"/>
    <w:basedOn w:val="Normal"/>
    <w:next w:val="Normal"/>
    <w:link w:val="Heading3Char"/>
    <w:uiPriority w:val="9"/>
    <w:unhideWhenUsed/>
    <w:qFormat/>
    <w:rsid w:val="009F2DF7"/>
    <w:pPr>
      <w:keepNext/>
      <w:numPr>
        <w:ilvl w:val="2"/>
        <w:numId w:val="23"/>
      </w:numPr>
      <w:spacing w:before="40" w:after="0"/>
      <w:outlineLvl w:val="2"/>
    </w:pPr>
    <w:rPr>
      <w:rFonts w:eastAsiaTheme="majorEastAsia" w:cstheme="majorBidi"/>
      <w:bCs/>
      <w:i/>
      <w:color w:val="000000" w:themeColor="text1"/>
      <w:sz w:val="24"/>
      <w:szCs w:val="24"/>
    </w:rPr>
  </w:style>
  <w:style w:type="paragraph" w:styleId="Heading4">
    <w:name w:val="heading 4"/>
    <w:basedOn w:val="Normal"/>
    <w:next w:val="Normal"/>
    <w:link w:val="Heading4Char"/>
    <w:uiPriority w:val="9"/>
    <w:unhideWhenUsed/>
    <w:qFormat/>
    <w:rsid w:val="65DAEBD7"/>
    <w:pPr>
      <w:keepNext/>
      <w:numPr>
        <w:ilvl w:val="3"/>
        <w:numId w:val="2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65DAEBD7"/>
    <w:pPr>
      <w:keepNext/>
      <w:numPr>
        <w:ilvl w:val="4"/>
        <w:numId w:val="2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65DAEBD7"/>
    <w:pPr>
      <w:keepNext/>
      <w:numPr>
        <w:ilvl w:val="5"/>
        <w:numId w:val="23"/>
      </w:numPr>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65DAEBD7"/>
    <w:pPr>
      <w:keepNext/>
      <w:numPr>
        <w:ilvl w:val="6"/>
        <w:numId w:val="23"/>
      </w:numPr>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65DAEBD7"/>
    <w:pPr>
      <w:keepNext/>
      <w:numPr>
        <w:ilvl w:val="7"/>
        <w:numId w:val="23"/>
      </w:numPr>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65DAEBD7"/>
    <w:pPr>
      <w:keepNext/>
      <w:numPr>
        <w:ilvl w:val="8"/>
        <w:numId w:val="23"/>
      </w:numPr>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65DAEBD7"/>
    <w:pPr>
      <w:ind w:left="720"/>
      <w:contextualSpacing/>
    </w:pPr>
  </w:style>
  <w:style w:type="character" w:styleId="CommentReference">
    <w:name w:val="annotation reference"/>
    <w:basedOn w:val="DefaultParagraphFont"/>
    <w:uiPriority w:val="99"/>
    <w:semiHidden/>
    <w:unhideWhenUsed/>
    <w:rsid w:val="006A0170"/>
    <w:rPr>
      <w:sz w:val="16"/>
      <w:szCs w:val="16"/>
    </w:rPr>
  </w:style>
  <w:style w:type="paragraph" w:styleId="CommentText">
    <w:name w:val="annotation text"/>
    <w:basedOn w:val="Normal"/>
    <w:link w:val="CommentTextChar"/>
    <w:uiPriority w:val="99"/>
    <w:unhideWhenUsed/>
    <w:rsid w:val="65DAEBD7"/>
    <w:rPr>
      <w:sz w:val="20"/>
      <w:szCs w:val="20"/>
    </w:rPr>
  </w:style>
  <w:style w:type="character" w:customStyle="1" w:styleId="CommentTextChar">
    <w:name w:val="Comment Text Char"/>
    <w:basedOn w:val="DefaultParagraphFont"/>
    <w:link w:val="CommentText"/>
    <w:uiPriority w:val="99"/>
    <w:rsid w:val="65DAEBD7"/>
    <w:rPr>
      <w:noProof w:val="0"/>
      <w:sz w:val="20"/>
      <w:szCs w:val="20"/>
      <w:lang w:val="en-GB"/>
    </w:rPr>
  </w:style>
  <w:style w:type="paragraph" w:styleId="CommentSubject">
    <w:name w:val="annotation subject"/>
    <w:basedOn w:val="CommentText"/>
    <w:next w:val="CommentText"/>
    <w:link w:val="CommentSubjectChar"/>
    <w:uiPriority w:val="99"/>
    <w:semiHidden/>
    <w:unhideWhenUsed/>
    <w:rsid w:val="65DAEBD7"/>
    <w:rPr>
      <w:b/>
      <w:bCs/>
    </w:rPr>
  </w:style>
  <w:style w:type="character" w:customStyle="1" w:styleId="CommentSubjectChar">
    <w:name w:val="Comment Subject Char"/>
    <w:basedOn w:val="CommentTextChar"/>
    <w:link w:val="CommentSubject"/>
    <w:uiPriority w:val="99"/>
    <w:semiHidden/>
    <w:rsid w:val="65DAEBD7"/>
    <w:rPr>
      <w:b/>
      <w:bCs/>
      <w:noProof w:val="0"/>
      <w:sz w:val="20"/>
      <w:szCs w:val="20"/>
      <w:lang w:val="en-GB"/>
    </w:rPr>
  </w:style>
  <w:style w:type="character" w:customStyle="1" w:styleId="Heading1Char">
    <w:name w:val="Heading 1 Char"/>
    <w:basedOn w:val="DefaultParagraphFont"/>
    <w:link w:val="Heading1"/>
    <w:uiPriority w:val="9"/>
    <w:rsid w:val="00B53F07"/>
    <w:rPr>
      <w:rFonts w:ascii="Times New Roman" w:eastAsiaTheme="majorEastAsia" w:hAnsi="Times New Roman" w:cstheme="majorBidi"/>
      <w:b/>
      <w:caps/>
      <w:sz w:val="24"/>
      <w:szCs w:val="32"/>
      <w:lang w:val="en-GB"/>
    </w:rPr>
  </w:style>
  <w:style w:type="character" w:customStyle="1" w:styleId="Heading2Char">
    <w:name w:val="Heading 2 Char"/>
    <w:basedOn w:val="DefaultParagraphFont"/>
    <w:link w:val="Heading2"/>
    <w:uiPriority w:val="9"/>
    <w:rsid w:val="00893E1D"/>
    <w:rPr>
      <w:rFonts w:ascii="Times New Roman" w:eastAsiaTheme="majorEastAsia" w:hAnsi="Times New Roman" w:cstheme="majorBidi"/>
      <w:b/>
      <w:bCs/>
      <w:sz w:val="24"/>
      <w:szCs w:val="24"/>
      <w:lang w:val="en-GB"/>
    </w:rPr>
  </w:style>
  <w:style w:type="paragraph" w:styleId="Caption">
    <w:name w:val="caption"/>
    <w:basedOn w:val="Normal"/>
    <w:next w:val="Normal"/>
    <w:uiPriority w:val="35"/>
    <w:unhideWhenUsed/>
    <w:qFormat/>
    <w:rsid w:val="0023413D"/>
    <w:pPr>
      <w:spacing w:after="200"/>
      <w:jc w:val="both"/>
    </w:pPr>
    <w:rPr>
      <w:iCs/>
      <w:szCs w:val="18"/>
    </w:rPr>
  </w:style>
  <w:style w:type="table" w:styleId="TableGrid">
    <w:name w:val="Table Grid"/>
    <w:basedOn w:val="TableNormal"/>
    <w:uiPriority w:val="39"/>
    <w:rsid w:val="00BF0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65DAEBD7"/>
    <w:pPr>
      <w:spacing w:after="0"/>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65DAEBD7"/>
    <w:rPr>
      <w:rFonts w:ascii="Segoe UI" w:eastAsiaTheme="minorEastAsia" w:hAnsi="Segoe UI" w:cs="Segoe UI"/>
      <w:noProof w:val="0"/>
      <w:sz w:val="18"/>
      <w:szCs w:val="18"/>
      <w:lang w:val="en-GB"/>
    </w:rPr>
  </w:style>
  <w:style w:type="character" w:styleId="Hyperlink">
    <w:name w:val="Hyperlink"/>
    <w:basedOn w:val="DefaultParagraphFont"/>
    <w:uiPriority w:val="99"/>
    <w:unhideWhenUsed/>
    <w:rsid w:val="00C85615"/>
    <w:rPr>
      <w:color w:val="0563C1" w:themeColor="hyperlink"/>
      <w:u w:val="single"/>
    </w:rPr>
  </w:style>
  <w:style w:type="paragraph" w:customStyle="1" w:styleId="PreformattedText">
    <w:name w:val="Preformatted Text"/>
    <w:basedOn w:val="Normal"/>
    <w:uiPriority w:val="1"/>
    <w:rsid w:val="65DAEBD7"/>
    <w:pPr>
      <w:spacing w:after="0"/>
    </w:pPr>
    <w:rPr>
      <w:rFonts w:ascii="Liberation Mono" w:eastAsia="NSimSun" w:hAnsi="Liberation Mono" w:cs="Liberation Mono"/>
      <w:sz w:val="20"/>
      <w:szCs w:val="20"/>
      <w:lang w:val="en-US" w:eastAsia="zh-CN" w:bidi="hi-IN"/>
    </w:rPr>
  </w:style>
  <w:style w:type="character" w:styleId="PlaceholderText">
    <w:name w:val="Placeholder Text"/>
    <w:basedOn w:val="DefaultParagraphFont"/>
    <w:uiPriority w:val="99"/>
    <w:semiHidden/>
    <w:rsid w:val="00903B41"/>
    <w:rPr>
      <w:color w:val="808080"/>
    </w:rPr>
  </w:style>
  <w:style w:type="paragraph" w:customStyle="1" w:styleId="CETBodytext">
    <w:name w:val="CET Body text"/>
    <w:link w:val="CETBodytextCarattere"/>
    <w:qFormat/>
    <w:rsid w:val="00903B41"/>
    <w:pPr>
      <w:tabs>
        <w:tab w:val="right" w:pos="7100"/>
      </w:tabs>
      <w:spacing w:after="0" w:line="264" w:lineRule="auto"/>
      <w:jc w:val="both"/>
    </w:pPr>
    <w:rPr>
      <w:rFonts w:ascii="Arial" w:eastAsia="Times New Roman" w:hAnsi="Arial" w:cs="Times New Roman"/>
      <w:sz w:val="18"/>
      <w:szCs w:val="20"/>
      <w:lang w:val="en-US"/>
    </w:rPr>
  </w:style>
  <w:style w:type="character" w:customStyle="1" w:styleId="CETBodytextCarattere">
    <w:name w:val="CET Body text Carattere"/>
    <w:link w:val="CETBodytext"/>
    <w:rsid w:val="00903B41"/>
    <w:rPr>
      <w:rFonts w:ascii="Arial" w:eastAsia="Times New Roman" w:hAnsi="Arial" w:cs="Times New Roman"/>
      <w:sz w:val="18"/>
      <w:szCs w:val="20"/>
      <w:lang w:val="en-US"/>
    </w:rPr>
  </w:style>
  <w:style w:type="paragraph" w:styleId="NormalWeb">
    <w:name w:val="Normal (Web)"/>
    <w:basedOn w:val="Normal"/>
    <w:uiPriority w:val="99"/>
    <w:semiHidden/>
    <w:unhideWhenUsed/>
    <w:rsid w:val="65DAEBD7"/>
    <w:pPr>
      <w:spacing w:beforeAutospacing="1" w:afterAutospacing="1"/>
    </w:pPr>
    <w:rPr>
      <w:rFonts w:eastAsiaTheme="minorEastAsia" w:cs="Times New Roman"/>
      <w:sz w:val="24"/>
      <w:szCs w:val="24"/>
      <w:lang w:eastAsia="it-IT"/>
    </w:rPr>
  </w:style>
  <w:style w:type="paragraph" w:styleId="Revision">
    <w:name w:val="Revision"/>
    <w:hidden/>
    <w:uiPriority w:val="99"/>
    <w:semiHidden/>
    <w:rsid w:val="00655E1E"/>
    <w:pPr>
      <w:spacing w:after="0" w:line="240" w:lineRule="auto"/>
    </w:pPr>
  </w:style>
  <w:style w:type="table" w:styleId="TableGridLight">
    <w:name w:val="Grid Table Light"/>
    <w:basedOn w:val="TableNormal"/>
    <w:uiPriority w:val="40"/>
    <w:rsid w:val="00BF2B1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3Char">
    <w:name w:val="Heading 3 Char"/>
    <w:basedOn w:val="DefaultParagraphFont"/>
    <w:link w:val="Heading3"/>
    <w:uiPriority w:val="9"/>
    <w:rsid w:val="009F2DF7"/>
    <w:rPr>
      <w:rFonts w:ascii="Times New Roman" w:eastAsiaTheme="majorEastAsia" w:hAnsi="Times New Roman" w:cstheme="majorBidi"/>
      <w:bCs/>
      <w:i/>
      <w:color w:val="000000" w:themeColor="text1"/>
      <w:sz w:val="24"/>
      <w:szCs w:val="24"/>
      <w:lang w:val="en-GB"/>
    </w:rPr>
  </w:style>
  <w:style w:type="paragraph" w:styleId="Title">
    <w:name w:val="Title"/>
    <w:basedOn w:val="Normal"/>
    <w:next w:val="Normal"/>
    <w:link w:val="TitleChar"/>
    <w:uiPriority w:val="10"/>
    <w:qFormat/>
    <w:rsid w:val="65DAEBD7"/>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65DAEBD7"/>
    <w:rPr>
      <w:rFonts w:eastAsiaTheme="minorEastAsia"/>
      <w:color w:val="5A5A5A"/>
    </w:rPr>
  </w:style>
  <w:style w:type="paragraph" w:styleId="Quote">
    <w:name w:val="Quote"/>
    <w:basedOn w:val="Normal"/>
    <w:next w:val="Normal"/>
    <w:link w:val="QuoteChar"/>
    <w:uiPriority w:val="29"/>
    <w:qFormat/>
    <w:rsid w:val="65DAEBD7"/>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65DAEBD7"/>
    <w:pPr>
      <w:spacing w:before="360" w:after="360"/>
      <w:ind w:left="864" w:right="864"/>
      <w:jc w:val="center"/>
    </w:pPr>
    <w:rPr>
      <w:i/>
      <w:iCs/>
      <w:color w:val="4472C4" w:themeColor="accent1"/>
    </w:rPr>
  </w:style>
  <w:style w:type="character" w:customStyle="1" w:styleId="Heading4Char">
    <w:name w:val="Heading 4 Char"/>
    <w:basedOn w:val="DefaultParagraphFont"/>
    <w:link w:val="Heading4"/>
    <w:uiPriority w:val="9"/>
    <w:rsid w:val="65DAEBD7"/>
    <w:rPr>
      <w:rFonts w:asciiTheme="majorHAnsi" w:eastAsiaTheme="majorEastAsia" w:hAnsiTheme="majorHAnsi" w:cstheme="majorBidi"/>
      <w:i/>
      <w:iCs/>
      <w:noProof w:val="0"/>
      <w:color w:val="2F5496" w:themeColor="accent1" w:themeShade="BF"/>
      <w:lang w:val="en-GB"/>
    </w:rPr>
  </w:style>
  <w:style w:type="character" w:customStyle="1" w:styleId="Heading5Char">
    <w:name w:val="Heading 5 Char"/>
    <w:basedOn w:val="DefaultParagraphFont"/>
    <w:link w:val="Heading5"/>
    <w:uiPriority w:val="9"/>
    <w:rsid w:val="65DAEBD7"/>
    <w:rPr>
      <w:rFonts w:asciiTheme="majorHAnsi" w:eastAsiaTheme="majorEastAsia" w:hAnsiTheme="majorHAnsi" w:cstheme="majorBidi"/>
      <w:noProof w:val="0"/>
      <w:color w:val="2F5496" w:themeColor="accent1" w:themeShade="BF"/>
      <w:lang w:val="en-GB"/>
    </w:rPr>
  </w:style>
  <w:style w:type="character" w:customStyle="1" w:styleId="Heading6Char">
    <w:name w:val="Heading 6 Char"/>
    <w:basedOn w:val="DefaultParagraphFont"/>
    <w:link w:val="Heading6"/>
    <w:uiPriority w:val="9"/>
    <w:rsid w:val="65DAEBD7"/>
    <w:rPr>
      <w:rFonts w:asciiTheme="majorHAnsi" w:eastAsiaTheme="majorEastAsia" w:hAnsiTheme="majorHAnsi" w:cstheme="majorBidi"/>
      <w:noProof w:val="0"/>
      <w:color w:val="1F3763"/>
      <w:lang w:val="en-GB"/>
    </w:rPr>
  </w:style>
  <w:style w:type="character" w:customStyle="1" w:styleId="Heading7Char">
    <w:name w:val="Heading 7 Char"/>
    <w:basedOn w:val="DefaultParagraphFont"/>
    <w:link w:val="Heading7"/>
    <w:uiPriority w:val="9"/>
    <w:rsid w:val="65DAEBD7"/>
    <w:rPr>
      <w:rFonts w:asciiTheme="majorHAnsi" w:eastAsiaTheme="majorEastAsia" w:hAnsiTheme="majorHAnsi" w:cstheme="majorBidi"/>
      <w:i/>
      <w:iCs/>
      <w:noProof w:val="0"/>
      <w:color w:val="1F3763"/>
      <w:lang w:val="en-GB"/>
    </w:rPr>
  </w:style>
  <w:style w:type="character" w:customStyle="1" w:styleId="Heading8Char">
    <w:name w:val="Heading 8 Char"/>
    <w:basedOn w:val="DefaultParagraphFont"/>
    <w:link w:val="Heading8"/>
    <w:uiPriority w:val="9"/>
    <w:rsid w:val="65DAEBD7"/>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65DAEBD7"/>
    <w:rPr>
      <w:rFonts w:asciiTheme="majorHAnsi" w:eastAsiaTheme="majorEastAsia" w:hAnsiTheme="majorHAnsi" w:cstheme="majorBidi"/>
      <w:i/>
      <w:iCs/>
      <w:noProof w:val="0"/>
      <w:color w:val="272727"/>
      <w:sz w:val="21"/>
      <w:szCs w:val="21"/>
      <w:lang w:val="en-GB"/>
    </w:rPr>
  </w:style>
  <w:style w:type="character" w:customStyle="1" w:styleId="TitleChar">
    <w:name w:val="Title Char"/>
    <w:basedOn w:val="DefaultParagraphFont"/>
    <w:link w:val="Title"/>
    <w:uiPriority w:val="10"/>
    <w:rsid w:val="65DAEBD7"/>
    <w:rPr>
      <w:rFonts w:asciiTheme="majorHAnsi" w:eastAsiaTheme="majorEastAsia" w:hAnsiTheme="majorHAnsi" w:cstheme="majorBidi"/>
      <w:noProof w:val="0"/>
      <w:sz w:val="56"/>
      <w:szCs w:val="56"/>
      <w:lang w:val="en-GB"/>
    </w:rPr>
  </w:style>
  <w:style w:type="character" w:customStyle="1" w:styleId="SubtitleChar">
    <w:name w:val="Subtitle Char"/>
    <w:basedOn w:val="DefaultParagraphFont"/>
    <w:link w:val="Subtitle"/>
    <w:uiPriority w:val="11"/>
    <w:rsid w:val="65DAEBD7"/>
    <w:rPr>
      <w:rFonts w:asciiTheme="minorHAnsi" w:eastAsiaTheme="minorEastAsia" w:hAnsiTheme="minorHAnsi" w:cstheme="minorBidi"/>
      <w:noProof w:val="0"/>
      <w:color w:val="5A5A5A"/>
      <w:lang w:val="en-GB"/>
    </w:rPr>
  </w:style>
  <w:style w:type="character" w:customStyle="1" w:styleId="QuoteChar">
    <w:name w:val="Quote Char"/>
    <w:basedOn w:val="DefaultParagraphFont"/>
    <w:link w:val="Quote"/>
    <w:uiPriority w:val="29"/>
    <w:rsid w:val="65DAEBD7"/>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65DAEBD7"/>
    <w:rPr>
      <w:i/>
      <w:iCs/>
      <w:noProof w:val="0"/>
      <w:color w:val="4472C4" w:themeColor="accent1"/>
      <w:lang w:val="en-GB"/>
    </w:rPr>
  </w:style>
  <w:style w:type="paragraph" w:styleId="TOC1">
    <w:name w:val="toc 1"/>
    <w:basedOn w:val="Normal"/>
    <w:next w:val="Normal"/>
    <w:uiPriority w:val="39"/>
    <w:unhideWhenUsed/>
    <w:rsid w:val="65DAEBD7"/>
    <w:pPr>
      <w:spacing w:after="100"/>
    </w:pPr>
  </w:style>
  <w:style w:type="paragraph" w:styleId="TOC2">
    <w:name w:val="toc 2"/>
    <w:basedOn w:val="Normal"/>
    <w:next w:val="Normal"/>
    <w:uiPriority w:val="39"/>
    <w:unhideWhenUsed/>
    <w:rsid w:val="65DAEBD7"/>
    <w:pPr>
      <w:spacing w:after="100"/>
      <w:ind w:left="220"/>
    </w:pPr>
  </w:style>
  <w:style w:type="paragraph" w:styleId="TOC3">
    <w:name w:val="toc 3"/>
    <w:basedOn w:val="Normal"/>
    <w:next w:val="Normal"/>
    <w:uiPriority w:val="39"/>
    <w:unhideWhenUsed/>
    <w:rsid w:val="65DAEBD7"/>
    <w:pPr>
      <w:spacing w:after="100"/>
      <w:ind w:left="440"/>
    </w:pPr>
  </w:style>
  <w:style w:type="paragraph" w:styleId="TOC4">
    <w:name w:val="toc 4"/>
    <w:basedOn w:val="Normal"/>
    <w:next w:val="Normal"/>
    <w:uiPriority w:val="39"/>
    <w:unhideWhenUsed/>
    <w:rsid w:val="65DAEBD7"/>
    <w:pPr>
      <w:spacing w:after="100"/>
      <w:ind w:left="660"/>
    </w:pPr>
  </w:style>
  <w:style w:type="paragraph" w:styleId="TOC5">
    <w:name w:val="toc 5"/>
    <w:basedOn w:val="Normal"/>
    <w:next w:val="Normal"/>
    <w:uiPriority w:val="39"/>
    <w:unhideWhenUsed/>
    <w:rsid w:val="65DAEBD7"/>
    <w:pPr>
      <w:spacing w:after="100"/>
      <w:ind w:left="880"/>
    </w:pPr>
  </w:style>
  <w:style w:type="paragraph" w:styleId="TOC6">
    <w:name w:val="toc 6"/>
    <w:basedOn w:val="Normal"/>
    <w:next w:val="Normal"/>
    <w:uiPriority w:val="39"/>
    <w:unhideWhenUsed/>
    <w:rsid w:val="65DAEBD7"/>
    <w:pPr>
      <w:spacing w:after="100"/>
      <w:ind w:left="1100"/>
    </w:pPr>
  </w:style>
  <w:style w:type="paragraph" w:styleId="TOC7">
    <w:name w:val="toc 7"/>
    <w:basedOn w:val="Normal"/>
    <w:next w:val="Normal"/>
    <w:uiPriority w:val="39"/>
    <w:unhideWhenUsed/>
    <w:rsid w:val="65DAEBD7"/>
    <w:pPr>
      <w:spacing w:after="100"/>
      <w:ind w:left="1320"/>
    </w:pPr>
  </w:style>
  <w:style w:type="paragraph" w:styleId="TOC8">
    <w:name w:val="toc 8"/>
    <w:basedOn w:val="Normal"/>
    <w:next w:val="Normal"/>
    <w:uiPriority w:val="39"/>
    <w:unhideWhenUsed/>
    <w:rsid w:val="65DAEBD7"/>
    <w:pPr>
      <w:spacing w:after="100"/>
      <w:ind w:left="1540"/>
    </w:pPr>
  </w:style>
  <w:style w:type="paragraph" w:styleId="TOC9">
    <w:name w:val="toc 9"/>
    <w:basedOn w:val="Normal"/>
    <w:next w:val="Normal"/>
    <w:uiPriority w:val="39"/>
    <w:unhideWhenUsed/>
    <w:rsid w:val="65DAEBD7"/>
    <w:pPr>
      <w:spacing w:after="100"/>
      <w:ind w:left="1760"/>
    </w:pPr>
  </w:style>
  <w:style w:type="paragraph" w:styleId="EndnoteText">
    <w:name w:val="endnote text"/>
    <w:basedOn w:val="Normal"/>
    <w:link w:val="EndnoteTextChar"/>
    <w:uiPriority w:val="99"/>
    <w:semiHidden/>
    <w:unhideWhenUsed/>
    <w:rsid w:val="65DAEBD7"/>
    <w:pPr>
      <w:spacing w:after="0"/>
    </w:pPr>
    <w:rPr>
      <w:sz w:val="20"/>
      <w:szCs w:val="20"/>
    </w:rPr>
  </w:style>
  <w:style w:type="character" w:customStyle="1" w:styleId="EndnoteTextChar">
    <w:name w:val="Endnote Text Char"/>
    <w:basedOn w:val="DefaultParagraphFont"/>
    <w:link w:val="EndnoteText"/>
    <w:uiPriority w:val="99"/>
    <w:semiHidden/>
    <w:rsid w:val="65DAEBD7"/>
    <w:rPr>
      <w:noProof w:val="0"/>
      <w:sz w:val="20"/>
      <w:szCs w:val="20"/>
      <w:lang w:val="en-GB"/>
    </w:rPr>
  </w:style>
  <w:style w:type="paragraph" w:styleId="Footer">
    <w:name w:val="footer"/>
    <w:basedOn w:val="Normal"/>
    <w:link w:val="FooterChar"/>
    <w:uiPriority w:val="99"/>
    <w:unhideWhenUsed/>
    <w:rsid w:val="65DAEBD7"/>
    <w:pPr>
      <w:tabs>
        <w:tab w:val="center" w:pos="4680"/>
        <w:tab w:val="right" w:pos="9360"/>
      </w:tabs>
      <w:spacing w:after="0"/>
    </w:pPr>
  </w:style>
  <w:style w:type="character" w:customStyle="1" w:styleId="FooterChar">
    <w:name w:val="Footer Char"/>
    <w:basedOn w:val="DefaultParagraphFont"/>
    <w:link w:val="Footer"/>
    <w:uiPriority w:val="99"/>
    <w:rsid w:val="65DAEBD7"/>
    <w:rPr>
      <w:noProof w:val="0"/>
      <w:lang w:val="en-GB"/>
    </w:rPr>
  </w:style>
  <w:style w:type="paragraph" w:styleId="FootnoteText">
    <w:name w:val="footnote text"/>
    <w:basedOn w:val="Normal"/>
    <w:link w:val="FootnoteTextChar"/>
    <w:uiPriority w:val="99"/>
    <w:semiHidden/>
    <w:unhideWhenUsed/>
    <w:rsid w:val="65DAEBD7"/>
    <w:pPr>
      <w:spacing w:after="0"/>
    </w:pPr>
    <w:rPr>
      <w:sz w:val="20"/>
      <w:szCs w:val="20"/>
    </w:rPr>
  </w:style>
  <w:style w:type="character" w:customStyle="1" w:styleId="FootnoteTextChar">
    <w:name w:val="Footnote Text Char"/>
    <w:basedOn w:val="DefaultParagraphFont"/>
    <w:link w:val="FootnoteText"/>
    <w:uiPriority w:val="99"/>
    <w:semiHidden/>
    <w:rsid w:val="65DAEBD7"/>
    <w:rPr>
      <w:noProof w:val="0"/>
      <w:sz w:val="20"/>
      <w:szCs w:val="20"/>
      <w:lang w:val="en-GB"/>
    </w:rPr>
  </w:style>
  <w:style w:type="paragraph" w:styleId="Header">
    <w:name w:val="header"/>
    <w:basedOn w:val="Normal"/>
    <w:link w:val="HeaderChar"/>
    <w:uiPriority w:val="99"/>
    <w:unhideWhenUsed/>
    <w:rsid w:val="65DAEBD7"/>
    <w:pPr>
      <w:tabs>
        <w:tab w:val="center" w:pos="4680"/>
        <w:tab w:val="right" w:pos="9360"/>
      </w:tabs>
      <w:spacing w:after="0"/>
    </w:pPr>
  </w:style>
  <w:style w:type="character" w:customStyle="1" w:styleId="HeaderChar">
    <w:name w:val="Header Char"/>
    <w:basedOn w:val="DefaultParagraphFont"/>
    <w:link w:val="Header"/>
    <w:uiPriority w:val="99"/>
    <w:rsid w:val="65DAEBD7"/>
    <w:rPr>
      <w:noProof w:val="0"/>
      <w:lang w:val="en-GB"/>
    </w:rPr>
  </w:style>
  <w:style w:type="paragraph" w:customStyle="1" w:styleId="Texto">
    <w:name w:val="Texto"/>
    <w:basedOn w:val="Normal"/>
    <w:link w:val="TextoChar"/>
    <w:qFormat/>
    <w:rsid w:val="002A2BA5"/>
    <w:pPr>
      <w:spacing w:before="160" w:line="360" w:lineRule="auto"/>
      <w:contextualSpacing/>
      <w:jc w:val="both"/>
    </w:pPr>
    <w:rPr>
      <w:rFonts w:ascii="Arial" w:hAnsi="Arial" w:cs="Arial"/>
      <w:lang w:val="en-US"/>
    </w:rPr>
  </w:style>
  <w:style w:type="character" w:customStyle="1" w:styleId="TextoChar">
    <w:name w:val="Texto Char"/>
    <w:basedOn w:val="DefaultParagraphFont"/>
    <w:link w:val="Texto"/>
    <w:rsid w:val="002A2BA5"/>
    <w:rPr>
      <w:rFonts w:ascii="Arial" w:hAnsi="Arial" w:cs="Arial"/>
      <w:lang w:val="en-US"/>
    </w:rPr>
  </w:style>
  <w:style w:type="character" w:styleId="FollowedHyperlink">
    <w:name w:val="FollowedHyperlink"/>
    <w:basedOn w:val="DefaultParagraphFont"/>
    <w:uiPriority w:val="99"/>
    <w:semiHidden/>
    <w:unhideWhenUsed/>
    <w:rsid w:val="00B23990"/>
    <w:rPr>
      <w:color w:val="954F72" w:themeColor="followedHyperlink"/>
      <w:u w:val="single"/>
    </w:rPr>
  </w:style>
  <w:style w:type="character" w:styleId="LineNumber">
    <w:name w:val="line number"/>
    <w:basedOn w:val="DefaultParagraphFont"/>
    <w:uiPriority w:val="99"/>
    <w:semiHidden/>
    <w:unhideWhenUsed/>
    <w:rsid w:val="00314EDB"/>
  </w:style>
  <w:style w:type="character" w:customStyle="1" w:styleId="Menzionenonrisolta1">
    <w:name w:val="Menzione non risolta1"/>
    <w:basedOn w:val="DefaultParagraphFont"/>
    <w:uiPriority w:val="99"/>
    <w:semiHidden/>
    <w:unhideWhenUsed/>
    <w:rsid w:val="006002B8"/>
    <w:rPr>
      <w:color w:val="605E5C"/>
      <w:shd w:val="clear" w:color="auto" w:fill="E1DFDD"/>
    </w:rPr>
  </w:style>
  <w:style w:type="character" w:customStyle="1" w:styleId="Menzionenonrisolta2">
    <w:name w:val="Menzione non risolta2"/>
    <w:basedOn w:val="DefaultParagraphFont"/>
    <w:uiPriority w:val="99"/>
    <w:semiHidden/>
    <w:unhideWhenUsed/>
    <w:rsid w:val="00311F18"/>
    <w:rPr>
      <w:color w:val="605E5C"/>
      <w:shd w:val="clear" w:color="auto" w:fill="E1DFDD"/>
    </w:rPr>
  </w:style>
  <w:style w:type="character" w:styleId="FootnoteReference">
    <w:name w:val="footnote reference"/>
    <w:basedOn w:val="DefaultParagraphFont"/>
    <w:uiPriority w:val="99"/>
    <w:semiHidden/>
    <w:unhideWhenUsed/>
    <w:rsid w:val="00480891"/>
    <w:rPr>
      <w:vertAlign w:val="superscript"/>
    </w:rPr>
  </w:style>
  <w:style w:type="character" w:customStyle="1" w:styleId="UnresolvedMention1">
    <w:name w:val="Unresolved Mention1"/>
    <w:basedOn w:val="DefaultParagraphFont"/>
    <w:uiPriority w:val="99"/>
    <w:semiHidden/>
    <w:unhideWhenUsed/>
    <w:rsid w:val="0003174F"/>
    <w:rPr>
      <w:color w:val="605E5C"/>
      <w:shd w:val="clear" w:color="auto" w:fill="E1DFDD"/>
    </w:rPr>
  </w:style>
  <w:style w:type="character" w:styleId="UnresolvedMention">
    <w:name w:val="Unresolved Mention"/>
    <w:basedOn w:val="DefaultParagraphFont"/>
    <w:uiPriority w:val="99"/>
    <w:semiHidden/>
    <w:unhideWhenUsed/>
    <w:rsid w:val="005864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893989">
      <w:bodyDiv w:val="1"/>
      <w:marLeft w:val="0"/>
      <w:marRight w:val="0"/>
      <w:marTop w:val="0"/>
      <w:marBottom w:val="0"/>
      <w:divBdr>
        <w:top w:val="none" w:sz="0" w:space="0" w:color="auto"/>
        <w:left w:val="none" w:sz="0" w:space="0" w:color="auto"/>
        <w:bottom w:val="none" w:sz="0" w:space="0" w:color="auto"/>
        <w:right w:val="none" w:sz="0" w:space="0" w:color="auto"/>
      </w:divBdr>
    </w:div>
    <w:div w:id="459154368">
      <w:bodyDiv w:val="1"/>
      <w:marLeft w:val="0"/>
      <w:marRight w:val="0"/>
      <w:marTop w:val="0"/>
      <w:marBottom w:val="0"/>
      <w:divBdr>
        <w:top w:val="none" w:sz="0" w:space="0" w:color="auto"/>
        <w:left w:val="none" w:sz="0" w:space="0" w:color="auto"/>
        <w:bottom w:val="none" w:sz="0" w:space="0" w:color="auto"/>
        <w:right w:val="none" w:sz="0" w:space="0" w:color="auto"/>
      </w:divBdr>
    </w:div>
    <w:div w:id="811337464">
      <w:bodyDiv w:val="1"/>
      <w:marLeft w:val="0"/>
      <w:marRight w:val="0"/>
      <w:marTop w:val="0"/>
      <w:marBottom w:val="0"/>
      <w:divBdr>
        <w:top w:val="none" w:sz="0" w:space="0" w:color="auto"/>
        <w:left w:val="none" w:sz="0" w:space="0" w:color="auto"/>
        <w:bottom w:val="none" w:sz="0" w:space="0" w:color="auto"/>
        <w:right w:val="none" w:sz="0" w:space="0" w:color="auto"/>
      </w:divBdr>
    </w:div>
    <w:div w:id="820272317">
      <w:bodyDiv w:val="1"/>
      <w:marLeft w:val="0"/>
      <w:marRight w:val="0"/>
      <w:marTop w:val="0"/>
      <w:marBottom w:val="0"/>
      <w:divBdr>
        <w:top w:val="none" w:sz="0" w:space="0" w:color="auto"/>
        <w:left w:val="none" w:sz="0" w:space="0" w:color="auto"/>
        <w:bottom w:val="none" w:sz="0" w:space="0" w:color="auto"/>
        <w:right w:val="none" w:sz="0" w:space="0" w:color="auto"/>
      </w:divBdr>
    </w:div>
    <w:div w:id="854273444">
      <w:bodyDiv w:val="1"/>
      <w:marLeft w:val="0"/>
      <w:marRight w:val="0"/>
      <w:marTop w:val="0"/>
      <w:marBottom w:val="0"/>
      <w:divBdr>
        <w:top w:val="none" w:sz="0" w:space="0" w:color="auto"/>
        <w:left w:val="none" w:sz="0" w:space="0" w:color="auto"/>
        <w:bottom w:val="none" w:sz="0" w:space="0" w:color="auto"/>
        <w:right w:val="none" w:sz="0" w:space="0" w:color="auto"/>
      </w:divBdr>
    </w:div>
    <w:div w:id="1018847533">
      <w:bodyDiv w:val="1"/>
      <w:marLeft w:val="0"/>
      <w:marRight w:val="0"/>
      <w:marTop w:val="0"/>
      <w:marBottom w:val="0"/>
      <w:divBdr>
        <w:top w:val="none" w:sz="0" w:space="0" w:color="auto"/>
        <w:left w:val="none" w:sz="0" w:space="0" w:color="auto"/>
        <w:bottom w:val="none" w:sz="0" w:space="0" w:color="auto"/>
        <w:right w:val="none" w:sz="0" w:space="0" w:color="auto"/>
      </w:divBdr>
    </w:div>
    <w:div w:id="1171260768">
      <w:bodyDiv w:val="1"/>
      <w:marLeft w:val="0"/>
      <w:marRight w:val="0"/>
      <w:marTop w:val="0"/>
      <w:marBottom w:val="0"/>
      <w:divBdr>
        <w:top w:val="none" w:sz="0" w:space="0" w:color="auto"/>
        <w:left w:val="none" w:sz="0" w:space="0" w:color="auto"/>
        <w:bottom w:val="none" w:sz="0" w:space="0" w:color="auto"/>
        <w:right w:val="none" w:sz="0" w:space="0" w:color="auto"/>
      </w:divBdr>
    </w:div>
    <w:div w:id="1391340030">
      <w:bodyDiv w:val="1"/>
      <w:marLeft w:val="0"/>
      <w:marRight w:val="0"/>
      <w:marTop w:val="0"/>
      <w:marBottom w:val="0"/>
      <w:divBdr>
        <w:top w:val="none" w:sz="0" w:space="0" w:color="auto"/>
        <w:left w:val="none" w:sz="0" w:space="0" w:color="auto"/>
        <w:bottom w:val="none" w:sz="0" w:space="0" w:color="auto"/>
        <w:right w:val="none" w:sz="0" w:space="0" w:color="auto"/>
      </w:divBdr>
    </w:div>
    <w:div w:id="1419014503">
      <w:bodyDiv w:val="1"/>
      <w:marLeft w:val="0"/>
      <w:marRight w:val="0"/>
      <w:marTop w:val="0"/>
      <w:marBottom w:val="0"/>
      <w:divBdr>
        <w:top w:val="none" w:sz="0" w:space="0" w:color="auto"/>
        <w:left w:val="none" w:sz="0" w:space="0" w:color="auto"/>
        <w:bottom w:val="none" w:sz="0" w:space="0" w:color="auto"/>
        <w:right w:val="none" w:sz="0" w:space="0" w:color="auto"/>
      </w:divBdr>
    </w:div>
    <w:div w:id="1702970021">
      <w:bodyDiv w:val="1"/>
      <w:marLeft w:val="0"/>
      <w:marRight w:val="0"/>
      <w:marTop w:val="0"/>
      <w:marBottom w:val="0"/>
      <w:divBdr>
        <w:top w:val="none" w:sz="0" w:space="0" w:color="auto"/>
        <w:left w:val="none" w:sz="0" w:space="0" w:color="auto"/>
        <w:bottom w:val="none" w:sz="0" w:space="0" w:color="auto"/>
        <w:right w:val="none" w:sz="0" w:space="0" w:color="auto"/>
      </w:divBdr>
    </w:div>
    <w:div w:id="1783652401">
      <w:bodyDiv w:val="1"/>
      <w:marLeft w:val="0"/>
      <w:marRight w:val="0"/>
      <w:marTop w:val="0"/>
      <w:marBottom w:val="0"/>
      <w:divBdr>
        <w:top w:val="none" w:sz="0" w:space="0" w:color="auto"/>
        <w:left w:val="none" w:sz="0" w:space="0" w:color="auto"/>
        <w:bottom w:val="none" w:sz="0" w:space="0" w:color="auto"/>
        <w:right w:val="none" w:sz="0" w:space="0" w:color="auto"/>
      </w:divBdr>
    </w:div>
    <w:div w:id="1801071110">
      <w:bodyDiv w:val="1"/>
      <w:marLeft w:val="0"/>
      <w:marRight w:val="0"/>
      <w:marTop w:val="0"/>
      <w:marBottom w:val="0"/>
      <w:divBdr>
        <w:top w:val="none" w:sz="0" w:space="0" w:color="auto"/>
        <w:left w:val="none" w:sz="0" w:space="0" w:color="auto"/>
        <w:bottom w:val="none" w:sz="0" w:space="0" w:color="auto"/>
        <w:right w:val="none" w:sz="0" w:space="0" w:color="auto"/>
      </w:divBdr>
    </w:div>
    <w:div w:id="1862934534">
      <w:bodyDiv w:val="1"/>
      <w:marLeft w:val="0"/>
      <w:marRight w:val="0"/>
      <w:marTop w:val="0"/>
      <w:marBottom w:val="0"/>
      <w:divBdr>
        <w:top w:val="none" w:sz="0" w:space="0" w:color="auto"/>
        <w:left w:val="none" w:sz="0" w:space="0" w:color="auto"/>
        <w:bottom w:val="none" w:sz="0" w:space="0" w:color="auto"/>
        <w:right w:val="none" w:sz="0" w:space="0" w:color="auto"/>
      </w:divBdr>
    </w:div>
    <w:div w:id="1996491161">
      <w:bodyDiv w:val="1"/>
      <w:marLeft w:val="0"/>
      <w:marRight w:val="0"/>
      <w:marTop w:val="0"/>
      <w:marBottom w:val="0"/>
      <w:divBdr>
        <w:top w:val="none" w:sz="0" w:space="0" w:color="auto"/>
        <w:left w:val="none" w:sz="0" w:space="0" w:color="auto"/>
        <w:bottom w:val="none" w:sz="0" w:space="0" w:color="auto"/>
        <w:right w:val="none" w:sz="0" w:space="0" w:color="auto"/>
      </w:divBdr>
    </w:div>
    <w:div w:id="2114128048">
      <w:bodyDiv w:val="1"/>
      <w:marLeft w:val="0"/>
      <w:marRight w:val="0"/>
      <w:marTop w:val="0"/>
      <w:marBottom w:val="0"/>
      <w:divBdr>
        <w:top w:val="none" w:sz="0" w:space="0" w:color="auto"/>
        <w:left w:val="none" w:sz="0" w:space="0" w:color="auto"/>
        <w:bottom w:val="none" w:sz="0" w:space="0" w:color="auto"/>
        <w:right w:val="none" w:sz="0" w:space="0" w:color="auto"/>
      </w:divBdr>
    </w:div>
    <w:div w:id="2124180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oleObject" Target="embeddings/oleObject4.bin"/><Relationship Id="rId26" Type="http://schemas.openxmlformats.org/officeDocument/2006/relationships/oleObject" Target="embeddings/oleObject8.bin"/><Relationship Id="rId39" Type="http://schemas.openxmlformats.org/officeDocument/2006/relationships/chart" Target="charts/chart6.xml"/><Relationship Id="rId21" Type="http://schemas.openxmlformats.org/officeDocument/2006/relationships/image" Target="media/image8.wmf"/><Relationship Id="rId34" Type="http://schemas.openxmlformats.org/officeDocument/2006/relationships/oleObject" Target="embeddings/oleObject12.bin"/><Relationship Id="rId42" Type="http://schemas.openxmlformats.org/officeDocument/2006/relationships/chart" Target="charts/chart8.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3.bin"/><Relationship Id="rId29" Type="http://schemas.openxmlformats.org/officeDocument/2006/relationships/image" Target="media/image12.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oleObject" Target="embeddings/oleObject7.bin"/><Relationship Id="rId32" Type="http://schemas.openxmlformats.org/officeDocument/2006/relationships/oleObject" Target="embeddings/oleObject11.bin"/><Relationship Id="rId37" Type="http://schemas.openxmlformats.org/officeDocument/2006/relationships/chart" Target="charts/chart4.xml"/><Relationship Id="rId40" Type="http://schemas.openxmlformats.org/officeDocument/2006/relationships/image" Target="media/image15.png"/><Relationship Id="rId45" Type="http://schemas.openxmlformats.org/officeDocument/2006/relationships/hyperlink" Target="https://github.com/EnergySystemsModellingLab/MUSE_Lab" TargetMode="Externa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9.bin"/><Relationship Id="rId36" Type="http://schemas.openxmlformats.org/officeDocument/2006/relationships/chart" Target="charts/chart3.xml"/><Relationship Id="rId10" Type="http://schemas.openxmlformats.org/officeDocument/2006/relationships/oleObject" Target="embeddings/oleObject1.bin"/><Relationship Id="rId19" Type="http://schemas.openxmlformats.org/officeDocument/2006/relationships/image" Target="media/image7.wmf"/><Relationship Id="rId31" Type="http://schemas.openxmlformats.org/officeDocument/2006/relationships/image" Target="media/image13.wmf"/><Relationship Id="rId44" Type="http://schemas.openxmlformats.org/officeDocument/2006/relationships/chart" Target="charts/chart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chart" Target="charts/chart1.xml"/><Relationship Id="rId22" Type="http://schemas.openxmlformats.org/officeDocument/2006/relationships/oleObject" Target="embeddings/oleObject6.bin"/><Relationship Id="rId27" Type="http://schemas.openxmlformats.org/officeDocument/2006/relationships/image" Target="media/image11.wmf"/><Relationship Id="rId30" Type="http://schemas.openxmlformats.org/officeDocument/2006/relationships/oleObject" Target="embeddings/oleObject10.bin"/><Relationship Id="rId35" Type="http://schemas.openxmlformats.org/officeDocument/2006/relationships/chart" Target="charts/chart2.xml"/><Relationship Id="rId43" Type="http://schemas.openxmlformats.org/officeDocument/2006/relationships/chart" Target="charts/chart9.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chart" Target="charts/chart5.xml"/><Relationship Id="rId46" Type="http://schemas.openxmlformats.org/officeDocument/2006/relationships/footer" Target="footer1.xml"/><Relationship Id="rId20" Type="http://schemas.openxmlformats.org/officeDocument/2006/relationships/oleObject" Target="embeddings/oleObject5.bin"/><Relationship Id="rId41" Type="http://schemas.openxmlformats.org/officeDocument/2006/relationships/chart" Target="charts/chart7.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N/AUTO/?uri=SWD:2023:0088:FIN" TargetMode="External"/><Relationship Id="rId1" Type="http://schemas.openxmlformats.org/officeDocument/2006/relationships/hyperlink" Target="https://ec.europa.eu/commission/presscorner/detail/en/MEMO_14_366"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laizeDall'Orsoletta\OneDrive\&#193;rea%20de%20Trabalho\PHD\PUBLICA&#199;&#213;ES\JOURNALS\2022%20ECM%20-%20Mattia%20(Submitted)\Models%20-%20MUSE\Analysis\5%20-%20ENTSO%20(Electricity%20generation%20by%20sourc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laizeDall'Orsoletta\OneDrive\&#193;rea%20de%20Trabalho\PHD\PUBLICA&#199;&#213;ES\JOURNALS\2022%20ECM%20-%20Mattia%20(Submitted)\Models%20-%20MUSE\Analysis\1b%20-%20Capacity_Charts_v3.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AlaizeDall'Orsoletta\OneDrive\&#193;rea%20de%20Trabalho\PHD\PUBLICA&#199;&#213;ES\JOURNALS\2022%20ECM%20-%20Mattia%20(Submitted)\Models%20-%20MUSE\Analysis\1b%20-%20Capacity_Charts_v3.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AlaizeDall'Orsoletta\OneDrive\&#193;rea%20de%20Trabalho\PHD\PUBLICA&#199;&#213;ES\JOURNALS\2022%20ECM%20-%20Mattia%20(Submitted)\Models%20-%20MUSE\Analysis\1b%20-%20Capacity_Charts_v3.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AlaizeDall'Orsoletta\OneDrive\&#193;rea%20de%20Trabalho\PHD\PUBLICA&#199;&#213;ES\JOURNALS\2022%20ECM%20-%20Mattia%20(Submitted)\Models%20-%20MUSE\Analysis\1b%20-%20Capacity_Charts_v3.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AlaizeDall'Orsoletta\OneDrive\&#193;rea%20de%20Trabalho\PHD\PUBLICA&#199;&#213;ES\JOURNALS\2022%20ECM%20-%20Mattia%20(Submitted)\Models%20-%20MUSE\Analysis\2%20-%20Consumption_Chart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Users/sara/Downloads/MattiaCarboni_papers/Analysis/Excel%20files%20with%20results/4b%20-%20Emissions%20(CH4,%20NOX,%20CO2)_Chart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Users/sara/Downloads/MattiaCarboni_papers/Analysis/Excel%20files%20with%20results/4b%20-%20Emissions%20(CH4,%20NOX,%20CO2)_Chart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Users/sara/Downloads/MattiaCarboni_papers/Analysis/Excel%20files%20with%20results/4b%20-%20Emissions%20(CH4,%20NOX,%20CO2)_Charts.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Sheet1!$B$2</c:f>
              <c:strCache>
                <c:ptCount val="1"/>
                <c:pt idx="0">
                  <c:v>Light</c:v>
                </c:pt>
              </c:strCache>
            </c:strRef>
          </c:tx>
          <c:spPr>
            <a:solidFill>
              <a:srgbClr val="515151">
                <a:alpha val="62000"/>
              </a:srgbClr>
            </a:solidFill>
            <a:ln>
              <a:noFill/>
            </a:ln>
            <a:effectLst/>
          </c:spPr>
          <c:invertIfNegative val="0"/>
          <c:cat>
            <c:numRef>
              <c:f>Sheet1!$A$3:$A$9</c:f>
              <c:numCache>
                <c:formatCode>General</c:formatCode>
                <c:ptCount val="7"/>
                <c:pt idx="0">
                  <c:v>2020</c:v>
                </c:pt>
                <c:pt idx="1">
                  <c:v>2025</c:v>
                </c:pt>
                <c:pt idx="2">
                  <c:v>2030</c:v>
                </c:pt>
                <c:pt idx="3">
                  <c:v>2035</c:v>
                </c:pt>
                <c:pt idx="4">
                  <c:v>2040</c:v>
                </c:pt>
                <c:pt idx="5">
                  <c:v>2045</c:v>
                </c:pt>
                <c:pt idx="6">
                  <c:v>2050</c:v>
                </c:pt>
              </c:numCache>
            </c:numRef>
          </c:cat>
          <c:val>
            <c:numRef>
              <c:f>Sheet1!$B$3:$B$9</c:f>
              <c:numCache>
                <c:formatCode>General</c:formatCode>
                <c:ptCount val="7"/>
                <c:pt idx="0">
                  <c:v>40.812600000000003</c:v>
                </c:pt>
                <c:pt idx="1">
                  <c:v>41.061599999999999</c:v>
                </c:pt>
                <c:pt idx="2">
                  <c:v>42.742600000000003</c:v>
                </c:pt>
                <c:pt idx="3">
                  <c:v>44.367699999999999</c:v>
                </c:pt>
                <c:pt idx="4">
                  <c:v>47.658500000000004</c:v>
                </c:pt>
                <c:pt idx="5">
                  <c:v>51.054900000000004</c:v>
                </c:pt>
                <c:pt idx="6">
                  <c:v>50.837499999999999</c:v>
                </c:pt>
              </c:numCache>
            </c:numRef>
          </c:val>
          <c:extLst>
            <c:ext xmlns:c16="http://schemas.microsoft.com/office/drawing/2014/chart" uri="{C3380CC4-5D6E-409C-BE32-E72D297353CC}">
              <c16:uniqueId val="{00000000-5325-4848-BC62-77D40A19C2F2}"/>
            </c:ext>
          </c:extLst>
        </c:ser>
        <c:ser>
          <c:idx val="1"/>
          <c:order val="1"/>
          <c:tx>
            <c:strRef>
              <c:f>Sheet1!$C$2</c:f>
              <c:strCache>
                <c:ptCount val="1"/>
                <c:pt idx="0">
                  <c:v>Medium</c:v>
                </c:pt>
              </c:strCache>
            </c:strRef>
          </c:tx>
          <c:spPr>
            <a:solidFill>
              <a:srgbClr val="F14040">
                <a:alpha val="62000"/>
              </a:srgbClr>
            </a:solidFill>
            <a:ln>
              <a:noFill/>
            </a:ln>
            <a:effectLst/>
          </c:spPr>
          <c:invertIfNegative val="0"/>
          <c:cat>
            <c:numRef>
              <c:f>Sheet1!$A$3:$A$9</c:f>
              <c:numCache>
                <c:formatCode>General</c:formatCode>
                <c:ptCount val="7"/>
                <c:pt idx="0">
                  <c:v>2020</c:v>
                </c:pt>
                <c:pt idx="1">
                  <c:v>2025</c:v>
                </c:pt>
                <c:pt idx="2">
                  <c:v>2030</c:v>
                </c:pt>
                <c:pt idx="3">
                  <c:v>2035</c:v>
                </c:pt>
                <c:pt idx="4">
                  <c:v>2040</c:v>
                </c:pt>
                <c:pt idx="5">
                  <c:v>2045</c:v>
                </c:pt>
                <c:pt idx="6">
                  <c:v>2050</c:v>
                </c:pt>
              </c:numCache>
            </c:numRef>
          </c:cat>
          <c:val>
            <c:numRef>
              <c:f>Sheet1!$C$3:$C$9</c:f>
              <c:numCache>
                <c:formatCode>General</c:formatCode>
                <c:ptCount val="7"/>
                <c:pt idx="0">
                  <c:v>118.71319999999999</c:v>
                </c:pt>
                <c:pt idx="1">
                  <c:v>143.4605</c:v>
                </c:pt>
                <c:pt idx="2">
                  <c:v>149.33339999999998</c:v>
                </c:pt>
                <c:pt idx="3">
                  <c:v>155.0112</c:v>
                </c:pt>
                <c:pt idx="4">
                  <c:v>166.50880000000001</c:v>
                </c:pt>
                <c:pt idx="5">
                  <c:v>178.375</c:v>
                </c:pt>
                <c:pt idx="6">
                  <c:v>177.61539999999999</c:v>
                </c:pt>
              </c:numCache>
            </c:numRef>
          </c:val>
          <c:extLst>
            <c:ext xmlns:c16="http://schemas.microsoft.com/office/drawing/2014/chart" uri="{C3380CC4-5D6E-409C-BE32-E72D297353CC}">
              <c16:uniqueId val="{00000001-5325-4848-BC62-77D40A19C2F2}"/>
            </c:ext>
          </c:extLst>
        </c:ser>
        <c:ser>
          <c:idx val="2"/>
          <c:order val="2"/>
          <c:tx>
            <c:strRef>
              <c:f>Sheet1!$D$2</c:f>
              <c:strCache>
                <c:ptCount val="1"/>
                <c:pt idx="0">
                  <c:v>Heavy</c:v>
                </c:pt>
              </c:strCache>
            </c:strRef>
          </c:tx>
          <c:spPr>
            <a:solidFill>
              <a:srgbClr val="1A6FDF">
                <a:alpha val="62000"/>
              </a:srgbClr>
            </a:solidFill>
            <a:ln>
              <a:noFill/>
            </a:ln>
            <a:effectLst/>
          </c:spPr>
          <c:invertIfNegative val="0"/>
          <c:cat>
            <c:numRef>
              <c:f>Sheet1!$A$3:$A$9</c:f>
              <c:numCache>
                <c:formatCode>General</c:formatCode>
                <c:ptCount val="7"/>
                <c:pt idx="0">
                  <c:v>2020</c:v>
                </c:pt>
                <c:pt idx="1">
                  <c:v>2025</c:v>
                </c:pt>
                <c:pt idx="2">
                  <c:v>2030</c:v>
                </c:pt>
                <c:pt idx="3">
                  <c:v>2035</c:v>
                </c:pt>
                <c:pt idx="4">
                  <c:v>2040</c:v>
                </c:pt>
                <c:pt idx="5">
                  <c:v>2045</c:v>
                </c:pt>
                <c:pt idx="6">
                  <c:v>2050</c:v>
                </c:pt>
              </c:numCache>
            </c:numRef>
          </c:cat>
          <c:val>
            <c:numRef>
              <c:f>Sheet1!$D$3:$D$9</c:f>
              <c:numCache>
                <c:formatCode>General</c:formatCode>
                <c:ptCount val="7"/>
                <c:pt idx="0">
                  <c:v>145.71670000000003</c:v>
                </c:pt>
                <c:pt idx="1">
                  <c:v>207.28579999999997</c:v>
                </c:pt>
                <c:pt idx="2">
                  <c:v>215.7578</c:v>
                </c:pt>
                <c:pt idx="3">
                  <c:v>223.94830000000002</c:v>
                </c:pt>
                <c:pt idx="4">
                  <c:v>240.5369</c:v>
                </c:pt>
                <c:pt idx="5">
                  <c:v>257.6567</c:v>
                </c:pt>
                <c:pt idx="6">
                  <c:v>256.55590000000001</c:v>
                </c:pt>
              </c:numCache>
            </c:numRef>
          </c:val>
          <c:extLst>
            <c:ext xmlns:c16="http://schemas.microsoft.com/office/drawing/2014/chart" uri="{C3380CC4-5D6E-409C-BE32-E72D297353CC}">
              <c16:uniqueId val="{00000002-5325-4848-BC62-77D40A19C2F2}"/>
            </c:ext>
          </c:extLst>
        </c:ser>
        <c:dLbls>
          <c:showLegendKey val="0"/>
          <c:showVal val="0"/>
          <c:showCatName val="0"/>
          <c:showSerName val="0"/>
          <c:showPercent val="0"/>
          <c:showBubbleSize val="0"/>
        </c:dLbls>
        <c:gapWidth val="150"/>
        <c:overlap val="100"/>
        <c:axId val="1334143519"/>
        <c:axId val="1334147679"/>
      </c:barChart>
      <c:catAx>
        <c:axId val="1334143519"/>
        <c:scaling>
          <c:orientation val="minMax"/>
        </c:scaling>
        <c:delete val="0"/>
        <c:axPos val="b"/>
        <c:numFmt formatCode="General" sourceLinked="1"/>
        <c:majorTickMark val="none"/>
        <c:minorTickMark val="out"/>
        <c:tickLblPos val="nextTo"/>
        <c:spPr>
          <a:noFill/>
          <a:ln w="9525" cap="flat" cmpd="sng" algn="ctr">
            <a:solidFill>
              <a:schemeClr val="bg2">
                <a:lumMod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334147679"/>
        <c:crosses val="autoZero"/>
        <c:auto val="1"/>
        <c:lblAlgn val="ctr"/>
        <c:lblOffset val="100"/>
        <c:noMultiLvlLbl val="0"/>
      </c:catAx>
      <c:valAx>
        <c:axId val="1334147679"/>
        <c:scaling>
          <c:orientation val="minMax"/>
          <c:max val="500"/>
        </c:scaling>
        <c:delete val="0"/>
        <c:axPos val="l"/>
        <c:majorGridlines>
          <c:spPr>
            <a:ln w="6350" cap="flat" cmpd="sng" algn="ctr">
              <a:solidFill>
                <a:schemeClr val="bg2">
                  <a:lumMod val="7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800" b="0"/>
                  <a:t>Transport freight demand</a:t>
                </a:r>
                <a:r>
                  <a:rPr lang="en-US" sz="800" b="0" baseline="0"/>
                  <a:t> (billion t-km)</a:t>
                </a:r>
                <a:endParaRPr lang="en-US" sz="800" b="0"/>
              </a:p>
            </c:rich>
          </c:tx>
          <c:layout>
            <c:manualLayout>
              <c:xMode val="edge"/>
              <c:yMode val="edge"/>
              <c:x val="1.6666666666666666E-2"/>
              <c:y val="7.5232575094779791E-2"/>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334143519"/>
        <c:crosses val="autoZero"/>
        <c:crossBetween val="between"/>
        <c:majorUnit val="100"/>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'Electricity generation by sourc'!$A$18</c:f>
              <c:strCache>
                <c:ptCount val="1"/>
                <c:pt idx="0">
                  <c:v>2020</c:v>
                </c:pt>
              </c:strCache>
            </c:strRef>
          </c:tx>
          <c:spPr>
            <a:solidFill>
              <a:schemeClr val="accent1"/>
            </a:solidFill>
            <a:ln>
              <a:noFill/>
            </a:ln>
            <a:effectLst/>
          </c:spPr>
          <c:invertIfNegative val="0"/>
          <c:cat>
            <c:strRef>
              <c:f>'Electricity generation by sourc'!$B$17:$G$17</c:f>
              <c:strCache>
                <c:ptCount val="6"/>
                <c:pt idx="0">
                  <c:v>Natural gas</c:v>
                </c:pt>
                <c:pt idx="1">
                  <c:v>Hydro</c:v>
                </c:pt>
                <c:pt idx="2">
                  <c:v>Solar PV</c:v>
                </c:pt>
                <c:pt idx="3">
                  <c:v>Wind</c:v>
                </c:pt>
                <c:pt idx="4">
                  <c:v>Other non-RES</c:v>
                </c:pt>
                <c:pt idx="5">
                  <c:v>Other RES</c:v>
                </c:pt>
              </c:strCache>
            </c:strRef>
          </c:cat>
          <c:val>
            <c:numRef>
              <c:f>'Electricity generation by sourc'!$B$18:$G$18</c:f>
              <c:numCache>
                <c:formatCode>General</c:formatCode>
                <c:ptCount val="6"/>
                <c:pt idx="0">
                  <c:v>137649</c:v>
                </c:pt>
                <c:pt idx="1">
                  <c:v>48558</c:v>
                </c:pt>
                <c:pt idx="2">
                  <c:v>24942</c:v>
                </c:pt>
                <c:pt idx="3">
                  <c:v>18702</c:v>
                </c:pt>
                <c:pt idx="4">
                  <c:v>23439</c:v>
                </c:pt>
                <c:pt idx="5">
                  <c:v>28197</c:v>
                </c:pt>
              </c:numCache>
            </c:numRef>
          </c:val>
          <c:extLst>
            <c:ext xmlns:c16="http://schemas.microsoft.com/office/drawing/2014/chart" uri="{C3380CC4-5D6E-409C-BE32-E72D297353CC}">
              <c16:uniqueId val="{00000000-9BA1-47ED-8146-7EEEB7CE32AF}"/>
            </c:ext>
          </c:extLst>
        </c:ser>
        <c:ser>
          <c:idx val="1"/>
          <c:order val="1"/>
          <c:tx>
            <c:strRef>
              <c:f>'Electricity generation by sourc'!$A$19</c:f>
              <c:strCache>
                <c:ptCount val="1"/>
                <c:pt idx="0">
                  <c:v>2030</c:v>
                </c:pt>
              </c:strCache>
            </c:strRef>
          </c:tx>
          <c:spPr>
            <a:solidFill>
              <a:schemeClr val="accent3"/>
            </a:solidFill>
            <a:ln>
              <a:noFill/>
            </a:ln>
            <a:effectLst/>
          </c:spPr>
          <c:invertIfNegative val="0"/>
          <c:cat>
            <c:strRef>
              <c:f>'Electricity generation by sourc'!$B$17:$G$17</c:f>
              <c:strCache>
                <c:ptCount val="6"/>
                <c:pt idx="0">
                  <c:v>Natural gas</c:v>
                </c:pt>
                <c:pt idx="1">
                  <c:v>Hydro</c:v>
                </c:pt>
                <c:pt idx="2">
                  <c:v>Solar PV</c:v>
                </c:pt>
                <c:pt idx="3">
                  <c:v>Wind</c:v>
                </c:pt>
                <c:pt idx="4">
                  <c:v>Other non-RES</c:v>
                </c:pt>
                <c:pt idx="5">
                  <c:v>Other RES</c:v>
                </c:pt>
              </c:strCache>
            </c:strRef>
          </c:cat>
          <c:val>
            <c:numRef>
              <c:f>'Electricity generation by sourc'!$B$19:$G$19</c:f>
              <c:numCache>
                <c:formatCode>General</c:formatCode>
                <c:ptCount val="6"/>
                <c:pt idx="0">
                  <c:v>99277.33</c:v>
                </c:pt>
                <c:pt idx="1">
                  <c:v>51381.96</c:v>
                </c:pt>
                <c:pt idx="2">
                  <c:v>71318.179999999993</c:v>
                </c:pt>
                <c:pt idx="3">
                  <c:v>42787.420000000006</c:v>
                </c:pt>
                <c:pt idx="4">
                  <c:v>15429.11</c:v>
                </c:pt>
                <c:pt idx="5">
                  <c:v>21744.29</c:v>
                </c:pt>
              </c:numCache>
            </c:numRef>
          </c:val>
          <c:extLst>
            <c:ext xmlns:c16="http://schemas.microsoft.com/office/drawing/2014/chart" uri="{C3380CC4-5D6E-409C-BE32-E72D297353CC}">
              <c16:uniqueId val="{00000001-9BA1-47ED-8146-7EEEB7CE32AF}"/>
            </c:ext>
          </c:extLst>
        </c:ser>
        <c:ser>
          <c:idx val="2"/>
          <c:order val="2"/>
          <c:tx>
            <c:strRef>
              <c:f>'Electricity generation by sourc'!$A$20</c:f>
              <c:strCache>
                <c:ptCount val="1"/>
                <c:pt idx="0">
                  <c:v>2040</c:v>
                </c:pt>
              </c:strCache>
            </c:strRef>
          </c:tx>
          <c:spPr>
            <a:solidFill>
              <a:schemeClr val="accent5"/>
            </a:solidFill>
            <a:ln>
              <a:noFill/>
            </a:ln>
            <a:effectLst/>
          </c:spPr>
          <c:invertIfNegative val="0"/>
          <c:cat>
            <c:strRef>
              <c:f>'Electricity generation by sourc'!$B$17:$G$17</c:f>
              <c:strCache>
                <c:ptCount val="6"/>
                <c:pt idx="0">
                  <c:v>Natural gas</c:v>
                </c:pt>
                <c:pt idx="1">
                  <c:v>Hydro</c:v>
                </c:pt>
                <c:pt idx="2">
                  <c:v>Solar PV</c:v>
                </c:pt>
                <c:pt idx="3">
                  <c:v>Wind</c:v>
                </c:pt>
                <c:pt idx="4">
                  <c:v>Other non-RES</c:v>
                </c:pt>
                <c:pt idx="5">
                  <c:v>Other RES</c:v>
                </c:pt>
              </c:strCache>
            </c:strRef>
          </c:cat>
          <c:val>
            <c:numRef>
              <c:f>'Electricity generation by sourc'!$B$20:$G$20</c:f>
              <c:numCache>
                <c:formatCode>General</c:formatCode>
                <c:ptCount val="6"/>
                <c:pt idx="0">
                  <c:v>93109.15</c:v>
                </c:pt>
                <c:pt idx="1">
                  <c:v>58664.62</c:v>
                </c:pt>
                <c:pt idx="2">
                  <c:v>87722.18</c:v>
                </c:pt>
                <c:pt idx="3">
                  <c:v>59456.53</c:v>
                </c:pt>
                <c:pt idx="4">
                  <c:v>12081.96</c:v>
                </c:pt>
                <c:pt idx="5">
                  <c:v>23031.41</c:v>
                </c:pt>
              </c:numCache>
            </c:numRef>
          </c:val>
          <c:extLst>
            <c:ext xmlns:c16="http://schemas.microsoft.com/office/drawing/2014/chart" uri="{C3380CC4-5D6E-409C-BE32-E72D297353CC}">
              <c16:uniqueId val="{00000002-9BA1-47ED-8146-7EEEB7CE32AF}"/>
            </c:ext>
          </c:extLst>
        </c:ser>
        <c:dLbls>
          <c:showLegendKey val="0"/>
          <c:showVal val="0"/>
          <c:showCatName val="0"/>
          <c:showSerName val="0"/>
          <c:showPercent val="0"/>
          <c:showBubbleSize val="0"/>
        </c:dLbls>
        <c:gapWidth val="219"/>
        <c:overlap val="-27"/>
        <c:axId val="2033847631"/>
        <c:axId val="2033850959"/>
      </c:barChart>
      <c:catAx>
        <c:axId val="20338476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33850959"/>
        <c:crosses val="autoZero"/>
        <c:auto val="1"/>
        <c:lblAlgn val="ctr"/>
        <c:lblOffset val="100"/>
        <c:noMultiLvlLbl val="0"/>
      </c:catAx>
      <c:valAx>
        <c:axId val="2033850959"/>
        <c:scaling>
          <c:orientation val="minMax"/>
          <c:max val="150000"/>
          <c:min val="0"/>
        </c:scaling>
        <c:delete val="0"/>
        <c:axPos val="l"/>
        <c:majorGridlines>
          <c:spPr>
            <a:ln w="9525" cap="flat" cmpd="sng" algn="ctr">
              <a:solidFill>
                <a:schemeClr val="bg2">
                  <a:lumMod val="7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800"/>
                  <a:t>Electricity generation (TWh)</a:t>
                </a:r>
              </a:p>
            </c:rich>
          </c:tx>
          <c:layout>
            <c:manualLayout>
              <c:xMode val="edge"/>
              <c:yMode val="edge"/>
              <c:x val="2.1978090563663691E-2"/>
              <c:y val="0.16429287033127168"/>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33847631"/>
        <c:crosses val="autoZero"/>
        <c:crossBetween val="between"/>
        <c:dispUnits>
          <c:builtInUnit val="thousands"/>
        </c:dispUnits>
      </c:valAx>
      <c:spPr>
        <a:noFill/>
        <a:ln>
          <a:noFill/>
        </a:ln>
        <a:effectLst/>
      </c:spPr>
    </c:plotArea>
    <c:legend>
      <c:legendPos val="tr"/>
      <c:layout>
        <c:manualLayout>
          <c:xMode val="edge"/>
          <c:yMode val="edge"/>
          <c:x val="0.88750867680001533"/>
          <c:y val="2.3391812865497075E-2"/>
          <c:w val="9.7839308547969961E-2"/>
          <c:h val="0.22163190127549845"/>
        </c:manualLayout>
      </c:layout>
      <c:overlay val="1"/>
      <c:spPr>
        <a:solidFill>
          <a:schemeClr val="bg1"/>
        </a:solidFill>
        <a:ln>
          <a:solidFill>
            <a:schemeClr val="bg2">
              <a:lumMod val="75000"/>
            </a:schemeClr>
          </a:solid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900" b="1"/>
              <a:t>Heavy</a:t>
            </a:r>
          </a:p>
        </c:rich>
      </c:tx>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percentStacked"/>
        <c:varyColors val="0"/>
        <c:ser>
          <c:idx val="0"/>
          <c:order val="0"/>
          <c:tx>
            <c:strRef>
              <c:f>'2050_v2 (2)'!$B$15</c:f>
              <c:strCache>
                <c:ptCount val="1"/>
                <c:pt idx="0">
                  <c:v>Diesel</c:v>
                </c:pt>
              </c:strCache>
            </c:strRef>
          </c:tx>
          <c:spPr>
            <a:solidFill>
              <a:schemeClr val="accent3"/>
            </a:solidFill>
            <a:ln>
              <a:noFill/>
            </a:ln>
            <a:effectLst/>
          </c:spPr>
          <c:invertIfNegative val="0"/>
          <c:cat>
            <c:strRef>
              <c:f>'2050_v2 (2)'!$A$16:$A$22</c:f>
              <c:strCache>
                <c:ptCount val="7"/>
                <c:pt idx="0">
                  <c:v>Reference</c:v>
                </c:pt>
                <c:pt idx="1">
                  <c:v>Efficiency</c:v>
                </c:pt>
                <c:pt idx="2">
                  <c:v>Tech Costs</c:v>
                </c:pt>
                <c:pt idx="3">
                  <c:v>Fuel Projections</c:v>
                </c:pt>
                <c:pt idx="4">
                  <c:v>Carbon Price</c:v>
                </c:pt>
                <c:pt idx="5">
                  <c:v>2040 ICE Ban</c:v>
                </c:pt>
                <c:pt idx="6">
                  <c:v>2030 ICE Ban</c:v>
                </c:pt>
              </c:strCache>
            </c:strRef>
          </c:cat>
          <c:val>
            <c:numRef>
              <c:f>'2050_v2 (2)'!$B$16:$B$22</c:f>
              <c:numCache>
                <c:formatCode>General</c:formatCode>
                <c:ptCount val="7"/>
                <c:pt idx="0">
                  <c:v>0</c:v>
                </c:pt>
                <c:pt idx="1">
                  <c:v>0</c:v>
                </c:pt>
                <c:pt idx="2">
                  <c:v>246688.36538461543</c:v>
                </c:pt>
                <c:pt idx="3">
                  <c:v>0</c:v>
                </c:pt>
                <c:pt idx="4">
                  <c:v>0</c:v>
                </c:pt>
                <c:pt idx="5">
                  <c:v>0</c:v>
                </c:pt>
                <c:pt idx="6">
                  <c:v>0</c:v>
                </c:pt>
              </c:numCache>
            </c:numRef>
          </c:val>
          <c:extLst>
            <c:ext xmlns:c16="http://schemas.microsoft.com/office/drawing/2014/chart" uri="{C3380CC4-5D6E-409C-BE32-E72D297353CC}">
              <c16:uniqueId val="{00000000-2758-4BD6-AE22-E760F616B7B2}"/>
            </c:ext>
          </c:extLst>
        </c:ser>
        <c:ser>
          <c:idx val="1"/>
          <c:order val="1"/>
          <c:tx>
            <c:strRef>
              <c:f>'2050_v2 (2)'!$E$15</c:f>
              <c:strCache>
                <c:ptCount val="1"/>
                <c:pt idx="0">
                  <c:v>FCEV</c:v>
                </c:pt>
              </c:strCache>
            </c:strRef>
          </c:tx>
          <c:spPr>
            <a:solidFill>
              <a:srgbClr val="F1A78A"/>
            </a:solidFill>
            <a:ln>
              <a:noFill/>
            </a:ln>
            <a:effectLst/>
          </c:spPr>
          <c:invertIfNegative val="0"/>
          <c:cat>
            <c:strRef>
              <c:f>'2050_v2 (2)'!$A$16:$A$22</c:f>
              <c:strCache>
                <c:ptCount val="7"/>
                <c:pt idx="0">
                  <c:v>Reference</c:v>
                </c:pt>
                <c:pt idx="1">
                  <c:v>Efficiency</c:v>
                </c:pt>
                <c:pt idx="2">
                  <c:v>Tech Costs</c:v>
                </c:pt>
                <c:pt idx="3">
                  <c:v>Fuel Projections</c:v>
                </c:pt>
                <c:pt idx="4">
                  <c:v>Carbon Price</c:v>
                </c:pt>
                <c:pt idx="5">
                  <c:v>2040 ICE Ban</c:v>
                </c:pt>
                <c:pt idx="6">
                  <c:v>2030 ICE Ban</c:v>
                </c:pt>
              </c:strCache>
            </c:strRef>
          </c:cat>
          <c:val>
            <c:numRef>
              <c:f>'2050_v2 (2)'!$E$16:$E$22</c:f>
              <c:numCache>
                <c:formatCode>General</c:formatCode>
                <c:ptCount val="7"/>
                <c:pt idx="0">
                  <c:v>0</c:v>
                </c:pt>
                <c:pt idx="1">
                  <c:v>0</c:v>
                </c:pt>
                <c:pt idx="2">
                  <c:v>0</c:v>
                </c:pt>
                <c:pt idx="3">
                  <c:v>0</c:v>
                </c:pt>
                <c:pt idx="4">
                  <c:v>0</c:v>
                </c:pt>
                <c:pt idx="5">
                  <c:v>113814.90384615386</c:v>
                </c:pt>
                <c:pt idx="6">
                  <c:v>246688.36538461543</c:v>
                </c:pt>
              </c:numCache>
            </c:numRef>
          </c:val>
          <c:extLst>
            <c:ext xmlns:c16="http://schemas.microsoft.com/office/drawing/2014/chart" uri="{C3380CC4-5D6E-409C-BE32-E72D297353CC}">
              <c16:uniqueId val="{00000001-2758-4BD6-AE22-E760F616B7B2}"/>
            </c:ext>
          </c:extLst>
        </c:ser>
        <c:ser>
          <c:idx val="2"/>
          <c:order val="2"/>
          <c:tx>
            <c:strRef>
              <c:f>'2050_v2 (2)'!$C$15</c:f>
              <c:strCache>
                <c:ptCount val="1"/>
                <c:pt idx="0">
                  <c:v>LPG</c:v>
                </c:pt>
              </c:strCache>
            </c:strRef>
          </c:tx>
          <c:spPr>
            <a:solidFill>
              <a:schemeClr val="accent6"/>
            </a:solidFill>
            <a:ln>
              <a:noFill/>
            </a:ln>
            <a:effectLst/>
          </c:spPr>
          <c:invertIfNegative val="0"/>
          <c:val>
            <c:numRef>
              <c:f>'2050_v2 (2)'!$C$16:$C$22</c:f>
              <c:numCache>
                <c:formatCode>General</c:formatCode>
                <c:ptCount val="7"/>
                <c:pt idx="0">
                  <c:v>246688.36538461543</c:v>
                </c:pt>
                <c:pt idx="1">
                  <c:v>246688.36538461543</c:v>
                </c:pt>
                <c:pt idx="2">
                  <c:v>0</c:v>
                </c:pt>
                <c:pt idx="3">
                  <c:v>0</c:v>
                </c:pt>
                <c:pt idx="4">
                  <c:v>0</c:v>
                </c:pt>
                <c:pt idx="5">
                  <c:v>0</c:v>
                </c:pt>
                <c:pt idx="6">
                  <c:v>0</c:v>
                </c:pt>
              </c:numCache>
            </c:numRef>
          </c:val>
          <c:extLst>
            <c:ext xmlns:c16="http://schemas.microsoft.com/office/drawing/2014/chart" uri="{C3380CC4-5D6E-409C-BE32-E72D297353CC}">
              <c16:uniqueId val="{00000002-2758-4BD6-AE22-E760F616B7B2}"/>
            </c:ext>
          </c:extLst>
        </c:ser>
        <c:ser>
          <c:idx val="3"/>
          <c:order val="3"/>
          <c:tx>
            <c:strRef>
              <c:f>'2050_v2 (2)'!$D$15</c:f>
              <c:strCache>
                <c:ptCount val="1"/>
                <c:pt idx="0">
                  <c:v>Natural gas</c:v>
                </c:pt>
              </c:strCache>
            </c:strRef>
          </c:tx>
          <c:spPr>
            <a:solidFill>
              <a:srgbClr val="7030A0"/>
            </a:solidFill>
            <a:ln>
              <a:noFill/>
            </a:ln>
            <a:effectLst/>
          </c:spPr>
          <c:invertIfNegative val="0"/>
          <c:val>
            <c:numRef>
              <c:f>'2050_v2 (2)'!$D$16:$D$22</c:f>
              <c:numCache>
                <c:formatCode>General</c:formatCode>
                <c:ptCount val="7"/>
                <c:pt idx="0">
                  <c:v>0</c:v>
                </c:pt>
                <c:pt idx="1">
                  <c:v>0</c:v>
                </c:pt>
                <c:pt idx="2">
                  <c:v>0</c:v>
                </c:pt>
                <c:pt idx="3">
                  <c:v>246688.36538461543</c:v>
                </c:pt>
                <c:pt idx="4">
                  <c:v>246688.36538461543</c:v>
                </c:pt>
                <c:pt idx="5">
                  <c:v>132873.46153846156</c:v>
                </c:pt>
                <c:pt idx="6">
                  <c:v>0</c:v>
                </c:pt>
              </c:numCache>
            </c:numRef>
          </c:val>
          <c:extLst>
            <c:ext xmlns:c16="http://schemas.microsoft.com/office/drawing/2014/chart" uri="{C3380CC4-5D6E-409C-BE32-E72D297353CC}">
              <c16:uniqueId val="{00000003-2758-4BD6-AE22-E760F616B7B2}"/>
            </c:ext>
          </c:extLst>
        </c:ser>
        <c:dLbls>
          <c:showLegendKey val="0"/>
          <c:showVal val="0"/>
          <c:showCatName val="0"/>
          <c:showSerName val="0"/>
          <c:showPercent val="0"/>
          <c:showBubbleSize val="0"/>
        </c:dLbls>
        <c:gapWidth val="150"/>
        <c:overlap val="100"/>
        <c:axId val="377662879"/>
        <c:axId val="377664543"/>
      </c:barChart>
      <c:catAx>
        <c:axId val="3776628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77664543"/>
        <c:crosses val="autoZero"/>
        <c:auto val="1"/>
        <c:lblAlgn val="ctr"/>
        <c:lblOffset val="100"/>
        <c:noMultiLvlLbl val="0"/>
      </c:catAx>
      <c:valAx>
        <c:axId val="37766454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77662879"/>
        <c:crosses val="autoZero"/>
        <c:crossBetween val="between"/>
        <c:majorUnit val="0.2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900" b="1"/>
              <a:t>Medium</a:t>
            </a:r>
          </a:p>
        </c:rich>
      </c:tx>
      <c:layout>
        <c:manualLayout>
          <c:xMode val="edge"/>
          <c:yMode val="edge"/>
          <c:x val="0.4011596675415573"/>
          <c:y val="2.7777777777777776E-2"/>
        </c:manualLayout>
      </c:layout>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percentStacked"/>
        <c:varyColors val="0"/>
        <c:ser>
          <c:idx val="0"/>
          <c:order val="0"/>
          <c:tx>
            <c:strRef>
              <c:f>'2050_v2 (2)'!$F$15</c:f>
              <c:strCache>
                <c:ptCount val="1"/>
                <c:pt idx="0">
                  <c:v>Natural gas</c:v>
                </c:pt>
              </c:strCache>
            </c:strRef>
          </c:tx>
          <c:spPr>
            <a:solidFill>
              <a:srgbClr val="7030A0"/>
            </a:solidFill>
            <a:ln>
              <a:noFill/>
            </a:ln>
            <a:effectLst/>
          </c:spPr>
          <c:invertIfNegative val="0"/>
          <c:cat>
            <c:strRef>
              <c:f>'2050_v2 (2)'!$A$16:$A$22</c:f>
              <c:strCache>
                <c:ptCount val="7"/>
                <c:pt idx="0">
                  <c:v>Reference</c:v>
                </c:pt>
                <c:pt idx="1">
                  <c:v>Efficiency</c:v>
                </c:pt>
                <c:pt idx="2">
                  <c:v>Tech Costs</c:v>
                </c:pt>
                <c:pt idx="3">
                  <c:v>Fuel Projections</c:v>
                </c:pt>
                <c:pt idx="4">
                  <c:v>Carbon Price</c:v>
                </c:pt>
                <c:pt idx="5">
                  <c:v>2040 ICE Ban</c:v>
                </c:pt>
                <c:pt idx="6">
                  <c:v>2030 ICE Ban</c:v>
                </c:pt>
              </c:strCache>
            </c:strRef>
          </c:cat>
          <c:val>
            <c:numRef>
              <c:f>'2050_v2 (2)'!$F$16:$F$22</c:f>
              <c:numCache>
                <c:formatCode>General</c:formatCode>
                <c:ptCount val="7"/>
                <c:pt idx="0">
                  <c:v>1376863.5658914731</c:v>
                </c:pt>
                <c:pt idx="1">
                  <c:v>1376863.5658914731</c:v>
                </c:pt>
                <c:pt idx="2">
                  <c:v>1376863.5658914731</c:v>
                </c:pt>
                <c:pt idx="3">
                  <c:v>1376863.5658914731</c:v>
                </c:pt>
                <c:pt idx="4">
                  <c:v>1376863.5658914731</c:v>
                </c:pt>
                <c:pt idx="5">
                  <c:v>944162.7906976745</c:v>
                </c:pt>
                <c:pt idx="6">
                  <c:v>0</c:v>
                </c:pt>
              </c:numCache>
            </c:numRef>
          </c:val>
          <c:extLst>
            <c:ext xmlns:c16="http://schemas.microsoft.com/office/drawing/2014/chart" uri="{C3380CC4-5D6E-409C-BE32-E72D297353CC}">
              <c16:uniqueId val="{00000000-3F27-4345-AA65-66474D3C0C37}"/>
            </c:ext>
          </c:extLst>
        </c:ser>
        <c:ser>
          <c:idx val="1"/>
          <c:order val="1"/>
          <c:tx>
            <c:strRef>
              <c:f>'2050_v2 (2)'!$G$15</c:f>
              <c:strCache>
                <c:ptCount val="1"/>
                <c:pt idx="0">
                  <c:v>FCEV</c:v>
                </c:pt>
              </c:strCache>
            </c:strRef>
          </c:tx>
          <c:spPr>
            <a:solidFill>
              <a:srgbClr val="F1A78A"/>
            </a:solidFill>
            <a:ln>
              <a:noFill/>
            </a:ln>
            <a:effectLst/>
          </c:spPr>
          <c:invertIfNegative val="0"/>
          <c:cat>
            <c:strRef>
              <c:f>'2050_v2 (2)'!$A$16:$A$22</c:f>
              <c:strCache>
                <c:ptCount val="7"/>
                <c:pt idx="0">
                  <c:v>Reference</c:v>
                </c:pt>
                <c:pt idx="1">
                  <c:v>Efficiency</c:v>
                </c:pt>
                <c:pt idx="2">
                  <c:v>Tech Costs</c:v>
                </c:pt>
                <c:pt idx="3">
                  <c:v>Fuel Projections</c:v>
                </c:pt>
                <c:pt idx="4">
                  <c:v>Carbon Price</c:v>
                </c:pt>
                <c:pt idx="5">
                  <c:v>2040 ICE Ban</c:v>
                </c:pt>
                <c:pt idx="6">
                  <c:v>2030 ICE Ban</c:v>
                </c:pt>
              </c:strCache>
            </c:strRef>
          </c:cat>
          <c:val>
            <c:numRef>
              <c:f>'2050_v2 (2)'!$G$16:$G$22</c:f>
              <c:numCache>
                <c:formatCode>General</c:formatCode>
                <c:ptCount val="7"/>
                <c:pt idx="0">
                  <c:v>0</c:v>
                </c:pt>
                <c:pt idx="1">
                  <c:v>0</c:v>
                </c:pt>
                <c:pt idx="2">
                  <c:v>0</c:v>
                </c:pt>
                <c:pt idx="3">
                  <c:v>0</c:v>
                </c:pt>
                <c:pt idx="4">
                  <c:v>0</c:v>
                </c:pt>
                <c:pt idx="5">
                  <c:v>432700.77519379847</c:v>
                </c:pt>
                <c:pt idx="6">
                  <c:v>1376863.5658914731</c:v>
                </c:pt>
              </c:numCache>
            </c:numRef>
          </c:val>
          <c:extLst>
            <c:ext xmlns:c16="http://schemas.microsoft.com/office/drawing/2014/chart" uri="{C3380CC4-5D6E-409C-BE32-E72D297353CC}">
              <c16:uniqueId val="{00000001-3F27-4345-AA65-66474D3C0C37}"/>
            </c:ext>
          </c:extLst>
        </c:ser>
        <c:dLbls>
          <c:showLegendKey val="0"/>
          <c:showVal val="0"/>
          <c:showCatName val="0"/>
          <c:showSerName val="0"/>
          <c:showPercent val="0"/>
          <c:showBubbleSize val="0"/>
        </c:dLbls>
        <c:gapWidth val="150"/>
        <c:overlap val="100"/>
        <c:axId val="377674527"/>
        <c:axId val="377680351"/>
      </c:barChart>
      <c:catAx>
        <c:axId val="3776745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77680351"/>
        <c:crosses val="autoZero"/>
        <c:auto val="1"/>
        <c:lblAlgn val="ctr"/>
        <c:lblOffset val="100"/>
        <c:noMultiLvlLbl val="0"/>
      </c:catAx>
      <c:valAx>
        <c:axId val="37768035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77674527"/>
        <c:crosses val="autoZero"/>
        <c:crossBetween val="between"/>
        <c:majorUnit val="0.2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900" b="1"/>
              <a:t>Light</a:t>
            </a:r>
          </a:p>
        </c:rich>
      </c:tx>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percentStacked"/>
        <c:varyColors val="0"/>
        <c:ser>
          <c:idx val="0"/>
          <c:order val="0"/>
          <c:tx>
            <c:strRef>
              <c:f>'2050_v2 (2)'!$H$15</c:f>
              <c:strCache>
                <c:ptCount val="1"/>
                <c:pt idx="0">
                  <c:v>Diesel</c:v>
                </c:pt>
              </c:strCache>
            </c:strRef>
          </c:tx>
          <c:spPr>
            <a:solidFill>
              <a:schemeClr val="accent3"/>
            </a:solidFill>
            <a:ln>
              <a:noFill/>
            </a:ln>
            <a:effectLst/>
          </c:spPr>
          <c:invertIfNegative val="0"/>
          <c:cat>
            <c:strRef>
              <c:f>'2050_v2 (2)'!$A$16:$A$22</c:f>
              <c:strCache>
                <c:ptCount val="7"/>
                <c:pt idx="0">
                  <c:v>Reference</c:v>
                </c:pt>
                <c:pt idx="1">
                  <c:v>Efficiency</c:v>
                </c:pt>
                <c:pt idx="2">
                  <c:v>Tech Costs</c:v>
                </c:pt>
                <c:pt idx="3">
                  <c:v>Fuel Projections</c:v>
                </c:pt>
                <c:pt idx="4">
                  <c:v>Carbon Price</c:v>
                </c:pt>
                <c:pt idx="5">
                  <c:v>2040 ICE Ban</c:v>
                </c:pt>
                <c:pt idx="6">
                  <c:v>2030 ICE Ban</c:v>
                </c:pt>
              </c:strCache>
            </c:strRef>
          </c:cat>
          <c:val>
            <c:numRef>
              <c:f>'2050_v2 (2)'!$H$16:$H$22</c:f>
              <c:numCache>
                <c:formatCode>General</c:formatCode>
                <c:ptCount val="7"/>
                <c:pt idx="0">
                  <c:v>5091897.0352564109</c:v>
                </c:pt>
                <c:pt idx="1">
                  <c:v>3886568.509615385</c:v>
                </c:pt>
                <c:pt idx="2">
                  <c:v>0</c:v>
                </c:pt>
                <c:pt idx="3">
                  <c:v>0</c:v>
                </c:pt>
                <c:pt idx="4">
                  <c:v>0</c:v>
                </c:pt>
                <c:pt idx="5">
                  <c:v>0</c:v>
                </c:pt>
                <c:pt idx="6">
                  <c:v>0</c:v>
                </c:pt>
              </c:numCache>
            </c:numRef>
          </c:val>
          <c:extLst>
            <c:ext xmlns:c16="http://schemas.microsoft.com/office/drawing/2014/chart" uri="{C3380CC4-5D6E-409C-BE32-E72D297353CC}">
              <c16:uniqueId val="{00000000-28B1-4A23-92AB-1A5A99A93B2E}"/>
            </c:ext>
          </c:extLst>
        </c:ser>
        <c:ser>
          <c:idx val="1"/>
          <c:order val="1"/>
          <c:tx>
            <c:strRef>
              <c:f>'2050_v2 (2)'!$J$15</c:f>
              <c:strCache>
                <c:ptCount val="1"/>
                <c:pt idx="0">
                  <c:v>EV</c:v>
                </c:pt>
              </c:strCache>
            </c:strRef>
          </c:tx>
          <c:spPr>
            <a:solidFill>
              <a:schemeClr val="accent1"/>
            </a:solidFill>
            <a:ln>
              <a:noFill/>
            </a:ln>
            <a:effectLst/>
          </c:spPr>
          <c:invertIfNegative val="0"/>
          <c:cat>
            <c:strRef>
              <c:f>'2050_v2 (2)'!$A$16:$A$22</c:f>
              <c:strCache>
                <c:ptCount val="7"/>
                <c:pt idx="0">
                  <c:v>Reference</c:v>
                </c:pt>
                <c:pt idx="1">
                  <c:v>Efficiency</c:v>
                </c:pt>
                <c:pt idx="2">
                  <c:v>Tech Costs</c:v>
                </c:pt>
                <c:pt idx="3">
                  <c:v>Fuel Projections</c:v>
                </c:pt>
                <c:pt idx="4">
                  <c:v>Carbon Price</c:v>
                </c:pt>
                <c:pt idx="5">
                  <c:v>2040 ICE Ban</c:v>
                </c:pt>
                <c:pt idx="6">
                  <c:v>2030 ICE Ban</c:v>
                </c:pt>
              </c:strCache>
            </c:strRef>
          </c:cat>
          <c:val>
            <c:numRef>
              <c:f>'2050_v2 (2)'!$J$16:$J$22</c:f>
              <c:numCache>
                <c:formatCode>General</c:formatCode>
                <c:ptCount val="7"/>
                <c:pt idx="0">
                  <c:v>0</c:v>
                </c:pt>
                <c:pt idx="1">
                  <c:v>0</c:v>
                </c:pt>
                <c:pt idx="2">
                  <c:v>5091897.0352564109</c:v>
                </c:pt>
                <c:pt idx="3">
                  <c:v>5091897.0352564109</c:v>
                </c:pt>
                <c:pt idx="4">
                  <c:v>5091897.0352564109</c:v>
                </c:pt>
                <c:pt idx="5">
                  <c:v>5091897.0352564109</c:v>
                </c:pt>
                <c:pt idx="6">
                  <c:v>5091897.0352564109</c:v>
                </c:pt>
              </c:numCache>
            </c:numRef>
          </c:val>
          <c:extLst>
            <c:ext xmlns:c16="http://schemas.microsoft.com/office/drawing/2014/chart" uri="{C3380CC4-5D6E-409C-BE32-E72D297353CC}">
              <c16:uniqueId val="{00000001-28B1-4A23-92AB-1A5A99A93B2E}"/>
            </c:ext>
          </c:extLst>
        </c:ser>
        <c:ser>
          <c:idx val="2"/>
          <c:order val="2"/>
          <c:tx>
            <c:strRef>
              <c:f>'2050_v2 (2)'!$I$15</c:f>
              <c:strCache>
                <c:ptCount val="1"/>
                <c:pt idx="0">
                  <c:v>Gasoline</c:v>
                </c:pt>
              </c:strCache>
            </c:strRef>
          </c:tx>
          <c:spPr>
            <a:solidFill>
              <a:schemeClr val="tx1"/>
            </a:solidFill>
            <a:ln>
              <a:noFill/>
            </a:ln>
            <a:effectLst/>
          </c:spPr>
          <c:invertIfNegative val="0"/>
          <c:val>
            <c:numRef>
              <c:f>'2050_v2 (2)'!$I$16:$I$22</c:f>
              <c:numCache>
                <c:formatCode>General</c:formatCode>
                <c:ptCount val="7"/>
                <c:pt idx="0">
                  <c:v>0</c:v>
                </c:pt>
                <c:pt idx="1">
                  <c:v>1205328.5256410257</c:v>
                </c:pt>
                <c:pt idx="2">
                  <c:v>0</c:v>
                </c:pt>
                <c:pt idx="3">
                  <c:v>0</c:v>
                </c:pt>
                <c:pt idx="4">
                  <c:v>0</c:v>
                </c:pt>
                <c:pt idx="5">
                  <c:v>0</c:v>
                </c:pt>
                <c:pt idx="6">
                  <c:v>0</c:v>
                </c:pt>
              </c:numCache>
            </c:numRef>
          </c:val>
          <c:extLst>
            <c:ext xmlns:c16="http://schemas.microsoft.com/office/drawing/2014/chart" uri="{C3380CC4-5D6E-409C-BE32-E72D297353CC}">
              <c16:uniqueId val="{00000002-28B1-4A23-92AB-1A5A99A93B2E}"/>
            </c:ext>
          </c:extLst>
        </c:ser>
        <c:dLbls>
          <c:showLegendKey val="0"/>
          <c:showVal val="0"/>
          <c:showCatName val="0"/>
          <c:showSerName val="0"/>
          <c:showPercent val="0"/>
          <c:showBubbleSize val="0"/>
        </c:dLbls>
        <c:gapWidth val="150"/>
        <c:overlap val="100"/>
        <c:axId val="377672031"/>
        <c:axId val="377665791"/>
      </c:barChart>
      <c:catAx>
        <c:axId val="3776720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77665791"/>
        <c:crosses val="autoZero"/>
        <c:auto val="1"/>
        <c:lblAlgn val="ctr"/>
        <c:lblOffset val="100"/>
        <c:noMultiLvlLbl val="0"/>
      </c:catAx>
      <c:valAx>
        <c:axId val="37766579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77672031"/>
        <c:crosses val="autoZero"/>
        <c:crossBetween val="between"/>
        <c:majorUnit val="0.2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900" b="1"/>
              <a:t>Total</a:t>
            </a:r>
          </a:p>
        </c:rich>
      </c:tx>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percentStacked"/>
        <c:varyColors val="0"/>
        <c:ser>
          <c:idx val="0"/>
          <c:order val="0"/>
          <c:tx>
            <c:strRef>
              <c:f>'2050_v2 (2)'!$B$25</c:f>
              <c:strCache>
                <c:ptCount val="1"/>
                <c:pt idx="0">
                  <c:v>Diesel</c:v>
                </c:pt>
              </c:strCache>
            </c:strRef>
          </c:tx>
          <c:spPr>
            <a:solidFill>
              <a:schemeClr val="accent3"/>
            </a:solidFill>
            <a:ln>
              <a:noFill/>
            </a:ln>
            <a:effectLst/>
          </c:spPr>
          <c:invertIfNegative val="0"/>
          <c:cat>
            <c:strRef>
              <c:f>'2050_v2 (2)'!$A$26:$A$32</c:f>
              <c:strCache>
                <c:ptCount val="7"/>
                <c:pt idx="0">
                  <c:v>Reference</c:v>
                </c:pt>
                <c:pt idx="1">
                  <c:v>Efficiency</c:v>
                </c:pt>
                <c:pt idx="2">
                  <c:v>Tech Costs</c:v>
                </c:pt>
                <c:pt idx="3">
                  <c:v>Fuel Projections</c:v>
                </c:pt>
                <c:pt idx="4">
                  <c:v>Carbon Price</c:v>
                </c:pt>
                <c:pt idx="5">
                  <c:v>2040 ICE Ban</c:v>
                </c:pt>
                <c:pt idx="6">
                  <c:v>2030 ICE Ban</c:v>
                </c:pt>
              </c:strCache>
            </c:strRef>
          </c:cat>
          <c:val>
            <c:numRef>
              <c:f>'2050_v2 (2)'!$B$26:$B$32</c:f>
              <c:numCache>
                <c:formatCode>General</c:formatCode>
                <c:ptCount val="7"/>
                <c:pt idx="0">
                  <c:v>5091897.0352564109</c:v>
                </c:pt>
                <c:pt idx="1">
                  <c:v>3886568.509615385</c:v>
                </c:pt>
                <c:pt idx="2">
                  <c:v>246688.36538461543</c:v>
                </c:pt>
                <c:pt idx="3">
                  <c:v>0</c:v>
                </c:pt>
                <c:pt idx="4">
                  <c:v>0</c:v>
                </c:pt>
                <c:pt idx="5">
                  <c:v>0</c:v>
                </c:pt>
                <c:pt idx="6">
                  <c:v>0</c:v>
                </c:pt>
              </c:numCache>
            </c:numRef>
          </c:val>
          <c:extLst>
            <c:ext xmlns:c16="http://schemas.microsoft.com/office/drawing/2014/chart" uri="{C3380CC4-5D6E-409C-BE32-E72D297353CC}">
              <c16:uniqueId val="{00000000-F7F1-4FF5-BAAF-8E25A5FFDC80}"/>
            </c:ext>
          </c:extLst>
        </c:ser>
        <c:ser>
          <c:idx val="1"/>
          <c:order val="1"/>
          <c:tx>
            <c:strRef>
              <c:f>'2050_v2 (2)'!$F$25</c:f>
              <c:strCache>
                <c:ptCount val="1"/>
                <c:pt idx="0">
                  <c:v>FCEV</c:v>
                </c:pt>
              </c:strCache>
            </c:strRef>
          </c:tx>
          <c:spPr>
            <a:solidFill>
              <a:srgbClr val="F1A78A"/>
            </a:solidFill>
            <a:ln>
              <a:noFill/>
            </a:ln>
            <a:effectLst/>
          </c:spPr>
          <c:invertIfNegative val="0"/>
          <c:cat>
            <c:strRef>
              <c:f>'2050_v2 (2)'!$A$26:$A$32</c:f>
              <c:strCache>
                <c:ptCount val="7"/>
                <c:pt idx="0">
                  <c:v>Reference</c:v>
                </c:pt>
                <c:pt idx="1">
                  <c:v>Efficiency</c:v>
                </c:pt>
                <c:pt idx="2">
                  <c:v>Tech Costs</c:v>
                </c:pt>
                <c:pt idx="3">
                  <c:v>Fuel Projections</c:v>
                </c:pt>
                <c:pt idx="4">
                  <c:v>Carbon Price</c:v>
                </c:pt>
                <c:pt idx="5">
                  <c:v>2040 ICE Ban</c:v>
                </c:pt>
                <c:pt idx="6">
                  <c:v>2030 ICE Ban</c:v>
                </c:pt>
              </c:strCache>
            </c:strRef>
          </c:cat>
          <c:val>
            <c:numRef>
              <c:f>'2050_v2 (2)'!$F$26:$F$32</c:f>
              <c:numCache>
                <c:formatCode>General</c:formatCode>
                <c:ptCount val="7"/>
                <c:pt idx="0">
                  <c:v>0</c:v>
                </c:pt>
                <c:pt idx="1">
                  <c:v>0</c:v>
                </c:pt>
                <c:pt idx="2">
                  <c:v>0</c:v>
                </c:pt>
                <c:pt idx="3">
                  <c:v>0</c:v>
                </c:pt>
                <c:pt idx="4">
                  <c:v>0</c:v>
                </c:pt>
                <c:pt idx="5">
                  <c:v>546515.67903995235</c:v>
                </c:pt>
                <c:pt idx="6">
                  <c:v>1623551.9312760886</c:v>
                </c:pt>
              </c:numCache>
            </c:numRef>
          </c:val>
          <c:extLst>
            <c:ext xmlns:c16="http://schemas.microsoft.com/office/drawing/2014/chart" uri="{C3380CC4-5D6E-409C-BE32-E72D297353CC}">
              <c16:uniqueId val="{00000001-F7F1-4FF5-BAAF-8E25A5FFDC80}"/>
            </c:ext>
          </c:extLst>
        </c:ser>
        <c:ser>
          <c:idx val="2"/>
          <c:order val="2"/>
          <c:tx>
            <c:strRef>
              <c:f>'2050_v2 (2)'!$G$25</c:f>
              <c:strCache>
                <c:ptCount val="1"/>
                <c:pt idx="0">
                  <c:v>EV</c:v>
                </c:pt>
              </c:strCache>
            </c:strRef>
          </c:tx>
          <c:spPr>
            <a:solidFill>
              <a:schemeClr val="accent1"/>
            </a:solidFill>
            <a:ln>
              <a:noFill/>
            </a:ln>
            <a:effectLst/>
          </c:spPr>
          <c:invertIfNegative val="0"/>
          <c:cat>
            <c:strRef>
              <c:f>'2050_v2 (2)'!$A$26:$A$32</c:f>
              <c:strCache>
                <c:ptCount val="7"/>
                <c:pt idx="0">
                  <c:v>Reference</c:v>
                </c:pt>
                <c:pt idx="1">
                  <c:v>Efficiency</c:v>
                </c:pt>
                <c:pt idx="2">
                  <c:v>Tech Costs</c:v>
                </c:pt>
                <c:pt idx="3">
                  <c:v>Fuel Projections</c:v>
                </c:pt>
                <c:pt idx="4">
                  <c:v>Carbon Price</c:v>
                </c:pt>
                <c:pt idx="5">
                  <c:v>2040 ICE Ban</c:v>
                </c:pt>
                <c:pt idx="6">
                  <c:v>2030 ICE Ban</c:v>
                </c:pt>
              </c:strCache>
            </c:strRef>
          </c:cat>
          <c:val>
            <c:numRef>
              <c:f>'2050_v2 (2)'!$G$26:$G$32</c:f>
              <c:numCache>
                <c:formatCode>General</c:formatCode>
                <c:ptCount val="7"/>
                <c:pt idx="0">
                  <c:v>0</c:v>
                </c:pt>
                <c:pt idx="1">
                  <c:v>0</c:v>
                </c:pt>
                <c:pt idx="2">
                  <c:v>5091897.0352564109</c:v>
                </c:pt>
                <c:pt idx="3">
                  <c:v>5091897.0352564109</c:v>
                </c:pt>
                <c:pt idx="4">
                  <c:v>5091897.0352564109</c:v>
                </c:pt>
                <c:pt idx="5">
                  <c:v>5091897.0352564109</c:v>
                </c:pt>
                <c:pt idx="6">
                  <c:v>5091897.0352564109</c:v>
                </c:pt>
              </c:numCache>
            </c:numRef>
          </c:val>
          <c:extLst>
            <c:ext xmlns:c16="http://schemas.microsoft.com/office/drawing/2014/chart" uri="{C3380CC4-5D6E-409C-BE32-E72D297353CC}">
              <c16:uniqueId val="{00000002-F7F1-4FF5-BAAF-8E25A5FFDC80}"/>
            </c:ext>
          </c:extLst>
        </c:ser>
        <c:ser>
          <c:idx val="3"/>
          <c:order val="3"/>
          <c:tx>
            <c:strRef>
              <c:f>'2050_v2 (2)'!$E$25</c:f>
              <c:strCache>
                <c:ptCount val="1"/>
                <c:pt idx="0">
                  <c:v>Gasoline</c:v>
                </c:pt>
              </c:strCache>
            </c:strRef>
          </c:tx>
          <c:spPr>
            <a:solidFill>
              <a:schemeClr val="tx1"/>
            </a:solidFill>
            <a:ln>
              <a:noFill/>
            </a:ln>
            <a:effectLst/>
          </c:spPr>
          <c:invertIfNegative val="0"/>
          <c:val>
            <c:numRef>
              <c:f>'2050_v2 (2)'!$E$26:$E$32</c:f>
              <c:numCache>
                <c:formatCode>General</c:formatCode>
                <c:ptCount val="7"/>
                <c:pt idx="0">
                  <c:v>0</c:v>
                </c:pt>
                <c:pt idx="1">
                  <c:v>1205328.5256410257</c:v>
                </c:pt>
                <c:pt idx="2">
                  <c:v>0</c:v>
                </c:pt>
                <c:pt idx="3">
                  <c:v>0</c:v>
                </c:pt>
                <c:pt idx="4">
                  <c:v>0</c:v>
                </c:pt>
                <c:pt idx="5">
                  <c:v>0</c:v>
                </c:pt>
                <c:pt idx="6">
                  <c:v>0</c:v>
                </c:pt>
              </c:numCache>
            </c:numRef>
          </c:val>
          <c:extLst>
            <c:ext xmlns:c16="http://schemas.microsoft.com/office/drawing/2014/chart" uri="{C3380CC4-5D6E-409C-BE32-E72D297353CC}">
              <c16:uniqueId val="{00000003-F7F1-4FF5-BAAF-8E25A5FFDC80}"/>
            </c:ext>
          </c:extLst>
        </c:ser>
        <c:ser>
          <c:idx val="4"/>
          <c:order val="4"/>
          <c:tx>
            <c:strRef>
              <c:f>'2050_v2 (2)'!$C$25</c:f>
              <c:strCache>
                <c:ptCount val="1"/>
                <c:pt idx="0">
                  <c:v>LPG</c:v>
                </c:pt>
              </c:strCache>
            </c:strRef>
          </c:tx>
          <c:spPr>
            <a:solidFill>
              <a:schemeClr val="accent6"/>
            </a:solidFill>
            <a:ln>
              <a:noFill/>
            </a:ln>
            <a:effectLst/>
          </c:spPr>
          <c:invertIfNegative val="0"/>
          <c:val>
            <c:numRef>
              <c:f>'2050_v2 (2)'!$C$26:$C$32</c:f>
              <c:numCache>
                <c:formatCode>General</c:formatCode>
                <c:ptCount val="7"/>
                <c:pt idx="0">
                  <c:v>246688.36538461543</c:v>
                </c:pt>
                <c:pt idx="1">
                  <c:v>246688.36538461543</c:v>
                </c:pt>
                <c:pt idx="2">
                  <c:v>0</c:v>
                </c:pt>
                <c:pt idx="3">
                  <c:v>0</c:v>
                </c:pt>
                <c:pt idx="4">
                  <c:v>0</c:v>
                </c:pt>
                <c:pt idx="5">
                  <c:v>0</c:v>
                </c:pt>
                <c:pt idx="6">
                  <c:v>0</c:v>
                </c:pt>
              </c:numCache>
            </c:numRef>
          </c:val>
          <c:extLst>
            <c:ext xmlns:c16="http://schemas.microsoft.com/office/drawing/2014/chart" uri="{C3380CC4-5D6E-409C-BE32-E72D297353CC}">
              <c16:uniqueId val="{00000004-F7F1-4FF5-BAAF-8E25A5FFDC80}"/>
            </c:ext>
          </c:extLst>
        </c:ser>
        <c:ser>
          <c:idx val="5"/>
          <c:order val="5"/>
          <c:tx>
            <c:strRef>
              <c:f>'2050_v2 (2)'!$D$25</c:f>
              <c:strCache>
                <c:ptCount val="1"/>
                <c:pt idx="0">
                  <c:v>Natural gas</c:v>
                </c:pt>
              </c:strCache>
            </c:strRef>
          </c:tx>
          <c:spPr>
            <a:solidFill>
              <a:srgbClr val="7030A0"/>
            </a:solidFill>
            <a:ln>
              <a:noFill/>
            </a:ln>
            <a:effectLst/>
          </c:spPr>
          <c:invertIfNegative val="0"/>
          <c:val>
            <c:numRef>
              <c:f>'2050_v2 (2)'!$D$26:$D$32</c:f>
              <c:numCache>
                <c:formatCode>General</c:formatCode>
                <c:ptCount val="7"/>
                <c:pt idx="0">
                  <c:v>1376863.5658914731</c:v>
                </c:pt>
                <c:pt idx="1">
                  <c:v>1376863.5658914731</c:v>
                </c:pt>
                <c:pt idx="2">
                  <c:v>1376863.5658914731</c:v>
                </c:pt>
                <c:pt idx="3">
                  <c:v>1376863.5658914731</c:v>
                </c:pt>
                <c:pt idx="4">
                  <c:v>1376863.5658914731</c:v>
                </c:pt>
                <c:pt idx="5">
                  <c:v>944162.7906976745</c:v>
                </c:pt>
                <c:pt idx="6">
                  <c:v>0</c:v>
                </c:pt>
              </c:numCache>
            </c:numRef>
          </c:val>
          <c:extLst>
            <c:ext xmlns:c16="http://schemas.microsoft.com/office/drawing/2014/chart" uri="{C3380CC4-5D6E-409C-BE32-E72D297353CC}">
              <c16:uniqueId val="{00000005-F7F1-4FF5-BAAF-8E25A5FFDC80}"/>
            </c:ext>
          </c:extLst>
        </c:ser>
        <c:dLbls>
          <c:showLegendKey val="0"/>
          <c:showVal val="0"/>
          <c:showCatName val="0"/>
          <c:showSerName val="0"/>
          <c:showPercent val="0"/>
          <c:showBubbleSize val="0"/>
        </c:dLbls>
        <c:gapWidth val="150"/>
        <c:overlap val="100"/>
        <c:axId val="357758815"/>
        <c:axId val="357759647"/>
      </c:barChart>
      <c:catAx>
        <c:axId val="3577588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57759647"/>
        <c:crosses val="autoZero"/>
        <c:auto val="1"/>
        <c:lblAlgn val="ctr"/>
        <c:lblOffset val="100"/>
        <c:noMultiLvlLbl val="0"/>
      </c:catAx>
      <c:valAx>
        <c:axId val="35775964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57758815"/>
        <c:crosses val="autoZero"/>
        <c:crossBetween val="between"/>
        <c:majorUnit val="0.2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Total!$A$4</c:f>
              <c:strCache>
                <c:ptCount val="1"/>
                <c:pt idx="0">
                  <c:v>2020</c:v>
                </c:pt>
              </c:strCache>
            </c:strRef>
          </c:tx>
          <c:spPr>
            <a:solidFill>
              <a:schemeClr val="accent1"/>
            </a:solidFill>
            <a:ln>
              <a:noFill/>
            </a:ln>
            <a:effectLst/>
          </c:spPr>
          <c:invertIfNegative val="0"/>
          <c:cat>
            <c:strRef>
              <c:f>Total!$B$3:$I$3</c:f>
              <c:strCache>
                <c:ptCount val="7"/>
                <c:pt idx="0">
                  <c:v>Reference</c:v>
                </c:pt>
                <c:pt idx="1">
                  <c:v>Efficiency</c:v>
                </c:pt>
                <c:pt idx="2">
                  <c:v>Tech Costs</c:v>
                </c:pt>
                <c:pt idx="3">
                  <c:v>Fuel Projections</c:v>
                </c:pt>
                <c:pt idx="4">
                  <c:v>Carbon Price</c:v>
                </c:pt>
                <c:pt idx="5">
                  <c:v>2040 ICE Ban</c:v>
                </c:pt>
                <c:pt idx="6">
                  <c:v>2030 ICE Ban</c:v>
                </c:pt>
              </c:strCache>
            </c:strRef>
          </c:cat>
          <c:val>
            <c:numRef>
              <c:f>Total!$B$4:$I$4</c:f>
              <c:numCache>
                <c:formatCode>General</c:formatCode>
                <c:ptCount val="7"/>
                <c:pt idx="0">
                  <c:v>343.14514816716002</c:v>
                </c:pt>
                <c:pt idx="1">
                  <c:v>343.14514816716002</c:v>
                </c:pt>
                <c:pt idx="2">
                  <c:v>343.14514816716002</c:v>
                </c:pt>
                <c:pt idx="3">
                  <c:v>343.14514816716002</c:v>
                </c:pt>
                <c:pt idx="4">
                  <c:v>343.14514816716002</c:v>
                </c:pt>
                <c:pt idx="5">
                  <c:v>343.14514816716002</c:v>
                </c:pt>
                <c:pt idx="6">
                  <c:v>343.14514816716002</c:v>
                </c:pt>
              </c:numCache>
            </c:numRef>
          </c:val>
          <c:extLst>
            <c:ext xmlns:c16="http://schemas.microsoft.com/office/drawing/2014/chart" uri="{C3380CC4-5D6E-409C-BE32-E72D297353CC}">
              <c16:uniqueId val="{00000000-AB78-3448-84EF-89DB47812CA0}"/>
            </c:ext>
          </c:extLst>
        </c:ser>
        <c:ser>
          <c:idx val="2"/>
          <c:order val="2"/>
          <c:tx>
            <c:strRef>
              <c:f>Total!$A$6</c:f>
              <c:strCache>
                <c:ptCount val="1"/>
                <c:pt idx="0">
                  <c:v>2030</c:v>
                </c:pt>
              </c:strCache>
            </c:strRef>
          </c:tx>
          <c:spPr>
            <a:solidFill>
              <a:schemeClr val="accent3"/>
            </a:solidFill>
            <a:ln>
              <a:noFill/>
            </a:ln>
            <a:effectLst/>
          </c:spPr>
          <c:invertIfNegative val="0"/>
          <c:cat>
            <c:strRef>
              <c:f>Total!$B$3:$I$3</c:f>
              <c:strCache>
                <c:ptCount val="7"/>
                <c:pt idx="0">
                  <c:v>Reference</c:v>
                </c:pt>
                <c:pt idx="1">
                  <c:v>Efficiency</c:v>
                </c:pt>
                <c:pt idx="2">
                  <c:v>Tech Costs</c:v>
                </c:pt>
                <c:pt idx="3">
                  <c:v>Fuel Projections</c:v>
                </c:pt>
                <c:pt idx="4">
                  <c:v>Carbon Price</c:v>
                </c:pt>
                <c:pt idx="5">
                  <c:v>2040 ICE Ban</c:v>
                </c:pt>
                <c:pt idx="6">
                  <c:v>2030 ICE Ban</c:v>
                </c:pt>
              </c:strCache>
            </c:strRef>
          </c:cat>
          <c:val>
            <c:numRef>
              <c:f>Total!$B$6:$I$6</c:f>
              <c:numCache>
                <c:formatCode>General</c:formatCode>
                <c:ptCount val="7"/>
                <c:pt idx="0">
                  <c:v>243.94713984335999</c:v>
                </c:pt>
                <c:pt idx="1">
                  <c:v>243.59747882333994</c:v>
                </c:pt>
                <c:pt idx="2">
                  <c:v>237.32424131165996</c:v>
                </c:pt>
                <c:pt idx="3">
                  <c:v>237.32424131165996</c:v>
                </c:pt>
                <c:pt idx="4">
                  <c:v>237.32424131165996</c:v>
                </c:pt>
                <c:pt idx="5">
                  <c:v>237.32424131165996</c:v>
                </c:pt>
                <c:pt idx="6">
                  <c:v>237.32424131165996</c:v>
                </c:pt>
              </c:numCache>
            </c:numRef>
          </c:val>
          <c:extLst>
            <c:ext xmlns:c16="http://schemas.microsoft.com/office/drawing/2014/chart" uri="{C3380CC4-5D6E-409C-BE32-E72D297353CC}">
              <c16:uniqueId val="{00000001-AB78-3448-84EF-89DB47812CA0}"/>
            </c:ext>
          </c:extLst>
        </c:ser>
        <c:ser>
          <c:idx val="4"/>
          <c:order val="4"/>
          <c:tx>
            <c:strRef>
              <c:f>Total!$A$8</c:f>
              <c:strCache>
                <c:ptCount val="1"/>
                <c:pt idx="0">
                  <c:v>2040</c:v>
                </c:pt>
              </c:strCache>
            </c:strRef>
          </c:tx>
          <c:spPr>
            <a:solidFill>
              <a:schemeClr val="accent5"/>
            </a:solidFill>
            <a:ln>
              <a:noFill/>
            </a:ln>
            <a:effectLst/>
          </c:spPr>
          <c:invertIfNegative val="0"/>
          <c:cat>
            <c:strRef>
              <c:f>Total!$B$3:$I$3</c:f>
              <c:strCache>
                <c:ptCount val="7"/>
                <c:pt idx="0">
                  <c:v>Reference</c:v>
                </c:pt>
                <c:pt idx="1">
                  <c:v>Efficiency</c:v>
                </c:pt>
                <c:pt idx="2">
                  <c:v>Tech Costs</c:v>
                </c:pt>
                <c:pt idx="3">
                  <c:v>Fuel Projections</c:v>
                </c:pt>
                <c:pt idx="4">
                  <c:v>Carbon Price</c:v>
                </c:pt>
                <c:pt idx="5">
                  <c:v>2040 ICE Ban</c:v>
                </c:pt>
                <c:pt idx="6">
                  <c:v>2030 ICE Ban</c:v>
                </c:pt>
              </c:strCache>
            </c:strRef>
          </c:cat>
          <c:val>
            <c:numRef>
              <c:f>Total!$B$8:$I$8</c:f>
              <c:numCache>
                <c:formatCode>General</c:formatCode>
                <c:ptCount val="7"/>
                <c:pt idx="0">
                  <c:v>242.42860817969998</c:v>
                </c:pt>
                <c:pt idx="1">
                  <c:v>228.78106789457993</c:v>
                </c:pt>
                <c:pt idx="2">
                  <c:v>137.74347275754005</c:v>
                </c:pt>
                <c:pt idx="3">
                  <c:v>115.68141622901999</c:v>
                </c:pt>
                <c:pt idx="4">
                  <c:v>115.68141622901999</c:v>
                </c:pt>
                <c:pt idx="5">
                  <c:v>115.68141622901999</c:v>
                </c:pt>
                <c:pt idx="6">
                  <c:v>163.97028310284</c:v>
                </c:pt>
              </c:numCache>
            </c:numRef>
          </c:val>
          <c:extLst>
            <c:ext xmlns:c16="http://schemas.microsoft.com/office/drawing/2014/chart" uri="{C3380CC4-5D6E-409C-BE32-E72D297353CC}">
              <c16:uniqueId val="{00000002-AB78-3448-84EF-89DB47812CA0}"/>
            </c:ext>
          </c:extLst>
        </c:ser>
        <c:ser>
          <c:idx val="6"/>
          <c:order val="6"/>
          <c:tx>
            <c:strRef>
              <c:f>Total!$A$10</c:f>
              <c:strCache>
                <c:ptCount val="1"/>
                <c:pt idx="0">
                  <c:v>2050</c:v>
                </c:pt>
              </c:strCache>
            </c:strRef>
          </c:tx>
          <c:spPr>
            <a:solidFill>
              <a:schemeClr val="accent1">
                <a:lumMod val="60000"/>
              </a:schemeClr>
            </a:solidFill>
            <a:ln>
              <a:noFill/>
            </a:ln>
            <a:effectLst/>
          </c:spPr>
          <c:invertIfNegative val="0"/>
          <c:cat>
            <c:strRef>
              <c:f>Total!$B$3:$I$3</c:f>
              <c:strCache>
                <c:ptCount val="7"/>
                <c:pt idx="0">
                  <c:v>Reference</c:v>
                </c:pt>
                <c:pt idx="1">
                  <c:v>Efficiency</c:v>
                </c:pt>
                <c:pt idx="2">
                  <c:v>Tech Costs</c:v>
                </c:pt>
                <c:pt idx="3">
                  <c:v>Fuel Projections</c:v>
                </c:pt>
                <c:pt idx="4">
                  <c:v>Carbon Price</c:v>
                </c:pt>
                <c:pt idx="5">
                  <c:v>2040 ICE Ban</c:v>
                </c:pt>
                <c:pt idx="6">
                  <c:v>2030 ICE Ban</c:v>
                </c:pt>
              </c:strCache>
            </c:strRef>
          </c:cat>
          <c:val>
            <c:numRef>
              <c:f>Total!$B$10:$I$10</c:f>
              <c:numCache>
                <c:formatCode>General</c:formatCode>
                <c:ptCount val="7"/>
                <c:pt idx="0">
                  <c:v>258.59375921771999</c:v>
                </c:pt>
                <c:pt idx="1">
                  <c:v>241.94034186917992</c:v>
                </c:pt>
                <c:pt idx="2">
                  <c:v>142.7376897597</c:v>
                </c:pt>
                <c:pt idx="3">
                  <c:v>118.19247226337998</c:v>
                </c:pt>
                <c:pt idx="4">
                  <c:v>118.19247226337998</c:v>
                </c:pt>
                <c:pt idx="5">
                  <c:v>133.58165951951997</c:v>
                </c:pt>
                <c:pt idx="6">
                  <c:v>173.35040788110007</c:v>
                </c:pt>
              </c:numCache>
            </c:numRef>
          </c:val>
          <c:extLst>
            <c:ext xmlns:c16="http://schemas.microsoft.com/office/drawing/2014/chart" uri="{C3380CC4-5D6E-409C-BE32-E72D297353CC}">
              <c16:uniqueId val="{00000003-AB78-3448-84EF-89DB47812CA0}"/>
            </c:ext>
          </c:extLst>
        </c:ser>
        <c:dLbls>
          <c:showLegendKey val="0"/>
          <c:showVal val="0"/>
          <c:showCatName val="0"/>
          <c:showSerName val="0"/>
          <c:showPercent val="0"/>
          <c:showBubbleSize val="0"/>
        </c:dLbls>
        <c:gapWidth val="220"/>
        <c:overlap val="-23"/>
        <c:axId val="684062095"/>
        <c:axId val="684063759"/>
        <c:extLst>
          <c:ext xmlns:c15="http://schemas.microsoft.com/office/drawing/2012/chart" uri="{02D57815-91ED-43cb-92C2-25804820EDAC}">
            <c15:filteredBarSeries>
              <c15:ser>
                <c:idx val="1"/>
                <c:order val="1"/>
                <c:tx>
                  <c:strRef>
                    <c:extLst>
                      <c:ext uri="{02D57815-91ED-43cb-92C2-25804820EDAC}">
                        <c15:formulaRef>
                          <c15:sqref>Total!$A$5</c15:sqref>
                        </c15:formulaRef>
                      </c:ext>
                    </c:extLst>
                    <c:strCache>
                      <c:ptCount val="1"/>
                      <c:pt idx="0">
                        <c:v>2025</c:v>
                      </c:pt>
                    </c:strCache>
                  </c:strRef>
                </c:tx>
                <c:spPr>
                  <a:solidFill>
                    <a:schemeClr val="accent2"/>
                  </a:solidFill>
                  <a:ln>
                    <a:noFill/>
                  </a:ln>
                  <a:effectLst/>
                </c:spPr>
                <c:invertIfNegative val="0"/>
                <c:cat>
                  <c:strRef>
                    <c:extLst>
                      <c:ext uri="{02D57815-91ED-43cb-92C2-25804820EDAC}">
                        <c15:formulaRef>
                          <c15:sqref>Total!$B$3:$I$3</c15:sqref>
                        </c15:formulaRef>
                      </c:ext>
                    </c:extLst>
                    <c:strCache>
                      <c:ptCount val="7"/>
                      <c:pt idx="0">
                        <c:v>Reference</c:v>
                      </c:pt>
                      <c:pt idx="1">
                        <c:v>Efficiency</c:v>
                      </c:pt>
                      <c:pt idx="2">
                        <c:v>Tech Costs</c:v>
                      </c:pt>
                      <c:pt idx="3">
                        <c:v>Fuel Projections</c:v>
                      </c:pt>
                      <c:pt idx="4">
                        <c:v>Carbon Price</c:v>
                      </c:pt>
                      <c:pt idx="5">
                        <c:v>2040 ICE Ban</c:v>
                      </c:pt>
                      <c:pt idx="6">
                        <c:v>2030 ICE Ban</c:v>
                      </c:pt>
                    </c:strCache>
                  </c:strRef>
                </c:cat>
                <c:val>
                  <c:numRef>
                    <c:extLst>
                      <c:ext uri="{02D57815-91ED-43cb-92C2-25804820EDAC}">
                        <c15:formulaRef>
                          <c15:sqref>Total!$B$5:$I$5</c15:sqref>
                        </c15:formulaRef>
                      </c:ext>
                    </c:extLst>
                    <c:numCache>
                      <c:formatCode>General</c:formatCode>
                      <c:ptCount val="7"/>
                      <c:pt idx="0">
                        <c:v>238.51439957045997</c:v>
                      </c:pt>
                      <c:pt idx="1">
                        <c:v>238.51439957045997</c:v>
                      </c:pt>
                      <c:pt idx="2">
                        <c:v>238.51439957045997</c:v>
                      </c:pt>
                      <c:pt idx="3">
                        <c:v>238.51439957045997</c:v>
                      </c:pt>
                      <c:pt idx="4">
                        <c:v>238.51439957045997</c:v>
                      </c:pt>
                      <c:pt idx="5">
                        <c:v>238.51439957045997</c:v>
                      </c:pt>
                      <c:pt idx="6">
                        <c:v>238.51439957045997</c:v>
                      </c:pt>
                    </c:numCache>
                  </c:numRef>
                </c:val>
                <c:extLst>
                  <c:ext xmlns:c16="http://schemas.microsoft.com/office/drawing/2014/chart" uri="{C3380CC4-5D6E-409C-BE32-E72D297353CC}">
                    <c16:uniqueId val="{00000004-AB78-3448-84EF-89DB47812CA0}"/>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Total!$A$7</c15:sqref>
                        </c15:formulaRef>
                      </c:ext>
                    </c:extLst>
                    <c:strCache>
                      <c:ptCount val="1"/>
                      <c:pt idx="0">
                        <c:v>2035</c:v>
                      </c:pt>
                    </c:strCache>
                  </c:strRef>
                </c:tx>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Total!$B$3:$I$3</c15:sqref>
                        </c15:formulaRef>
                      </c:ext>
                    </c:extLst>
                    <c:strCache>
                      <c:ptCount val="7"/>
                      <c:pt idx="0">
                        <c:v>Reference</c:v>
                      </c:pt>
                      <c:pt idx="1">
                        <c:v>Efficiency</c:v>
                      </c:pt>
                      <c:pt idx="2">
                        <c:v>Tech Costs</c:v>
                      </c:pt>
                      <c:pt idx="3">
                        <c:v>Fuel Projections</c:v>
                      </c:pt>
                      <c:pt idx="4">
                        <c:v>Carbon Price</c:v>
                      </c:pt>
                      <c:pt idx="5">
                        <c:v>2040 ICE Ban</c:v>
                      </c:pt>
                      <c:pt idx="6">
                        <c:v>2030 ICE Ban</c:v>
                      </c:pt>
                    </c:strCache>
                  </c:strRef>
                </c:cat>
                <c:val>
                  <c:numRef>
                    <c:extLst xmlns:c15="http://schemas.microsoft.com/office/drawing/2012/chart">
                      <c:ext xmlns:c15="http://schemas.microsoft.com/office/drawing/2012/chart" uri="{02D57815-91ED-43cb-92C2-25804820EDAC}">
                        <c15:formulaRef>
                          <c15:sqref>Total!$B$7:$I$7</c15:sqref>
                        </c15:formulaRef>
                      </c:ext>
                    </c:extLst>
                    <c:numCache>
                      <c:formatCode>General</c:formatCode>
                      <c:ptCount val="7"/>
                      <c:pt idx="0">
                        <c:v>229.03753558025997</c:v>
                      </c:pt>
                      <c:pt idx="1">
                        <c:v>225.79171788863991</c:v>
                      </c:pt>
                      <c:pt idx="2">
                        <c:v>196.81067717363996</c:v>
                      </c:pt>
                      <c:pt idx="3">
                        <c:v>188.24004895764</c:v>
                      </c:pt>
                      <c:pt idx="4">
                        <c:v>188.24004895764</c:v>
                      </c:pt>
                      <c:pt idx="5">
                        <c:v>188.24004895764</c:v>
                      </c:pt>
                      <c:pt idx="6">
                        <c:v>196.76016746987992</c:v>
                      </c:pt>
                    </c:numCache>
                  </c:numRef>
                </c:val>
                <c:extLst xmlns:c15="http://schemas.microsoft.com/office/drawing/2012/chart">
                  <c:ext xmlns:c16="http://schemas.microsoft.com/office/drawing/2014/chart" uri="{C3380CC4-5D6E-409C-BE32-E72D297353CC}">
                    <c16:uniqueId val="{00000005-AB78-3448-84EF-89DB47812CA0}"/>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Total!$A$9</c15:sqref>
                        </c15:formulaRef>
                      </c:ext>
                    </c:extLst>
                    <c:strCache>
                      <c:ptCount val="1"/>
                      <c:pt idx="0">
                        <c:v>2045</c:v>
                      </c:pt>
                    </c:strCache>
                  </c:strRef>
                </c:tx>
                <c:spPr>
                  <a:solidFill>
                    <a:schemeClr val="accent6"/>
                  </a:solidFill>
                  <a:ln>
                    <a:noFill/>
                  </a:ln>
                  <a:effectLst/>
                </c:spPr>
                <c:invertIfNegative val="0"/>
                <c:cat>
                  <c:strRef>
                    <c:extLst xmlns:c15="http://schemas.microsoft.com/office/drawing/2012/chart">
                      <c:ext xmlns:c15="http://schemas.microsoft.com/office/drawing/2012/chart" uri="{02D57815-91ED-43cb-92C2-25804820EDAC}">
                        <c15:formulaRef>
                          <c15:sqref>Total!$B$3:$I$3</c15:sqref>
                        </c15:formulaRef>
                      </c:ext>
                    </c:extLst>
                    <c:strCache>
                      <c:ptCount val="7"/>
                      <c:pt idx="0">
                        <c:v>Reference</c:v>
                      </c:pt>
                      <c:pt idx="1">
                        <c:v>Efficiency</c:v>
                      </c:pt>
                      <c:pt idx="2">
                        <c:v>Tech Costs</c:v>
                      </c:pt>
                      <c:pt idx="3">
                        <c:v>Fuel Projections</c:v>
                      </c:pt>
                      <c:pt idx="4">
                        <c:v>Carbon Price</c:v>
                      </c:pt>
                      <c:pt idx="5">
                        <c:v>2040 ICE Ban</c:v>
                      </c:pt>
                      <c:pt idx="6">
                        <c:v>2030 ICE Ban</c:v>
                      </c:pt>
                    </c:strCache>
                  </c:strRef>
                </c:cat>
                <c:val>
                  <c:numRef>
                    <c:extLst xmlns:c15="http://schemas.microsoft.com/office/drawing/2012/chart">
                      <c:ext xmlns:c15="http://schemas.microsoft.com/office/drawing/2012/chart" uri="{02D57815-91ED-43cb-92C2-25804820EDAC}">
                        <c15:formulaRef>
                          <c15:sqref>Total!$B$9:$I$9</c15:sqref>
                        </c15:formulaRef>
                      </c:ext>
                    </c:extLst>
                    <c:numCache>
                      <c:formatCode>General</c:formatCode>
                      <c:ptCount val="7"/>
                      <c:pt idx="0">
                        <c:v>259.70037297941997</c:v>
                      </c:pt>
                      <c:pt idx="1">
                        <c:v>243.60829173431998</c:v>
                      </c:pt>
                      <c:pt idx="2">
                        <c:v>146.62559944098004</c:v>
                      </c:pt>
                      <c:pt idx="3">
                        <c:v>121.33716798642</c:v>
                      </c:pt>
                      <c:pt idx="4">
                        <c:v>121.33716798642</c:v>
                      </c:pt>
                      <c:pt idx="5">
                        <c:v>127.88110629305997</c:v>
                      </c:pt>
                      <c:pt idx="6">
                        <c:v>176.16997316688006</c:v>
                      </c:pt>
                    </c:numCache>
                  </c:numRef>
                </c:val>
                <c:extLst xmlns:c15="http://schemas.microsoft.com/office/drawing/2012/chart">
                  <c:ext xmlns:c16="http://schemas.microsoft.com/office/drawing/2014/chart" uri="{C3380CC4-5D6E-409C-BE32-E72D297353CC}">
                    <c16:uniqueId val="{00000006-AB78-3448-84EF-89DB47812CA0}"/>
                  </c:ext>
                </c:extLst>
              </c15:ser>
            </c15:filteredBarSeries>
          </c:ext>
        </c:extLst>
      </c:barChart>
      <c:catAx>
        <c:axId val="6840620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84063759"/>
        <c:crosses val="autoZero"/>
        <c:auto val="1"/>
        <c:lblAlgn val="ctr"/>
        <c:lblOffset val="100"/>
        <c:noMultiLvlLbl val="0"/>
      </c:catAx>
      <c:valAx>
        <c:axId val="684063759"/>
        <c:scaling>
          <c:orientation val="minMax"/>
          <c:max val="3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0"/>
                  <a:t>Total consumption</a:t>
                </a:r>
                <a:r>
                  <a:rPr lang="en-US" sz="900" b="0" baseline="0"/>
                  <a:t> [PJ]</a:t>
                </a:r>
                <a:endParaRPr lang="en-US" sz="900" b="0"/>
              </a:p>
            </c:rich>
          </c:tx>
          <c:layout>
            <c:manualLayout>
              <c:xMode val="edge"/>
              <c:yMode val="edge"/>
              <c:x val="1.282051282051282E-2"/>
              <c:y val="0.28197872918122951"/>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84062095"/>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887367240512184"/>
          <c:y val="3.5740070170268048E-2"/>
          <c:w val="0.80220833254890134"/>
          <c:h val="0.89609386872316621"/>
        </c:manualLayout>
      </c:layout>
      <c:barChart>
        <c:barDir val="col"/>
        <c:grouping val="clustered"/>
        <c:varyColors val="0"/>
        <c:ser>
          <c:idx val="0"/>
          <c:order val="0"/>
          <c:tx>
            <c:strRef>
              <c:f>GWP!$M$15</c:f>
              <c:strCache>
                <c:ptCount val="1"/>
                <c:pt idx="0">
                  <c:v>2020</c:v>
                </c:pt>
              </c:strCache>
            </c:strRef>
          </c:tx>
          <c:spPr>
            <a:solidFill>
              <a:schemeClr val="accent1"/>
            </a:solidFill>
            <a:ln>
              <a:noFill/>
            </a:ln>
            <a:effectLst/>
          </c:spPr>
          <c:invertIfNegative val="0"/>
          <c:cat>
            <c:strRef>
              <c:f>GWP!$N$14:$T$14</c:f>
              <c:strCache>
                <c:ptCount val="7"/>
                <c:pt idx="0">
                  <c:v>Reference</c:v>
                </c:pt>
                <c:pt idx="1">
                  <c:v>Efficiency</c:v>
                </c:pt>
                <c:pt idx="2">
                  <c:v>Tech Costs</c:v>
                </c:pt>
                <c:pt idx="3">
                  <c:v>Fuel Projections</c:v>
                </c:pt>
                <c:pt idx="4">
                  <c:v>Carbon Price</c:v>
                </c:pt>
                <c:pt idx="5">
                  <c:v>2040 ICE Ban</c:v>
                </c:pt>
                <c:pt idx="6">
                  <c:v>2030 ICE Ban</c:v>
                </c:pt>
              </c:strCache>
            </c:strRef>
          </c:cat>
          <c:val>
            <c:numRef>
              <c:f>GWP!$N$15:$T$15</c:f>
              <c:numCache>
                <c:formatCode>General</c:formatCode>
                <c:ptCount val="7"/>
                <c:pt idx="0">
                  <c:v>25500.03580405251</c:v>
                </c:pt>
                <c:pt idx="1">
                  <c:v>25500.03580405251</c:v>
                </c:pt>
                <c:pt idx="2">
                  <c:v>25500.03580405251</c:v>
                </c:pt>
                <c:pt idx="3">
                  <c:v>25500.03580405251</c:v>
                </c:pt>
                <c:pt idx="4">
                  <c:v>25500.03580405251</c:v>
                </c:pt>
                <c:pt idx="5">
                  <c:v>25500.03580405251</c:v>
                </c:pt>
                <c:pt idx="6">
                  <c:v>25500.03580405251</c:v>
                </c:pt>
              </c:numCache>
            </c:numRef>
          </c:val>
          <c:extLst>
            <c:ext xmlns:c16="http://schemas.microsoft.com/office/drawing/2014/chart" uri="{C3380CC4-5D6E-409C-BE32-E72D297353CC}">
              <c16:uniqueId val="{00000000-0275-4340-86A0-CC15345102F9}"/>
            </c:ext>
          </c:extLst>
        </c:ser>
        <c:ser>
          <c:idx val="2"/>
          <c:order val="2"/>
          <c:tx>
            <c:strRef>
              <c:f>GWP!$M$17</c:f>
              <c:strCache>
                <c:ptCount val="1"/>
                <c:pt idx="0">
                  <c:v>2030</c:v>
                </c:pt>
              </c:strCache>
            </c:strRef>
          </c:tx>
          <c:spPr>
            <a:solidFill>
              <a:schemeClr val="accent3"/>
            </a:solidFill>
            <a:ln>
              <a:noFill/>
            </a:ln>
            <a:effectLst/>
          </c:spPr>
          <c:invertIfNegative val="0"/>
          <c:cat>
            <c:strRef>
              <c:f>GWP!$N$14:$T$14</c:f>
              <c:strCache>
                <c:ptCount val="7"/>
                <c:pt idx="0">
                  <c:v>Reference</c:v>
                </c:pt>
                <c:pt idx="1">
                  <c:v>Efficiency</c:v>
                </c:pt>
                <c:pt idx="2">
                  <c:v>Tech Costs</c:v>
                </c:pt>
                <c:pt idx="3">
                  <c:v>Fuel Projections</c:v>
                </c:pt>
                <c:pt idx="4">
                  <c:v>Carbon Price</c:v>
                </c:pt>
                <c:pt idx="5">
                  <c:v>2040 ICE Ban</c:v>
                </c:pt>
                <c:pt idx="6">
                  <c:v>2030 ICE Ban</c:v>
                </c:pt>
              </c:strCache>
            </c:strRef>
          </c:cat>
          <c:val>
            <c:numRef>
              <c:f>GWP!$N$17:$T$17</c:f>
              <c:numCache>
                <c:formatCode>General</c:formatCode>
                <c:ptCount val="7"/>
                <c:pt idx="0">
                  <c:v>18685.24705069726</c:v>
                </c:pt>
                <c:pt idx="1">
                  <c:v>18658.945635670294</c:v>
                </c:pt>
                <c:pt idx="2">
                  <c:v>17950.490885375948</c:v>
                </c:pt>
                <c:pt idx="3">
                  <c:v>17950.490885375948</c:v>
                </c:pt>
                <c:pt idx="4">
                  <c:v>17950.490885375948</c:v>
                </c:pt>
                <c:pt idx="5">
                  <c:v>17950.490885375948</c:v>
                </c:pt>
                <c:pt idx="6">
                  <c:v>17950.490885375948</c:v>
                </c:pt>
              </c:numCache>
            </c:numRef>
          </c:val>
          <c:extLst>
            <c:ext xmlns:c16="http://schemas.microsoft.com/office/drawing/2014/chart" uri="{C3380CC4-5D6E-409C-BE32-E72D297353CC}">
              <c16:uniqueId val="{00000001-0275-4340-86A0-CC15345102F9}"/>
            </c:ext>
          </c:extLst>
        </c:ser>
        <c:ser>
          <c:idx val="4"/>
          <c:order val="4"/>
          <c:tx>
            <c:strRef>
              <c:f>GWP!$M$19</c:f>
              <c:strCache>
                <c:ptCount val="1"/>
                <c:pt idx="0">
                  <c:v>2040</c:v>
                </c:pt>
              </c:strCache>
            </c:strRef>
          </c:tx>
          <c:spPr>
            <a:solidFill>
              <a:schemeClr val="accent5"/>
            </a:solidFill>
            <a:ln>
              <a:noFill/>
            </a:ln>
            <a:effectLst/>
          </c:spPr>
          <c:invertIfNegative val="0"/>
          <c:cat>
            <c:strRef>
              <c:f>GWP!$N$14:$T$14</c:f>
              <c:strCache>
                <c:ptCount val="7"/>
                <c:pt idx="0">
                  <c:v>Reference</c:v>
                </c:pt>
                <c:pt idx="1">
                  <c:v>Efficiency</c:v>
                </c:pt>
                <c:pt idx="2">
                  <c:v>Tech Costs</c:v>
                </c:pt>
                <c:pt idx="3">
                  <c:v>Fuel Projections</c:v>
                </c:pt>
                <c:pt idx="4">
                  <c:v>Carbon Price</c:v>
                </c:pt>
                <c:pt idx="5">
                  <c:v>2040 ICE Ban</c:v>
                </c:pt>
                <c:pt idx="6">
                  <c:v>2030 ICE Ban</c:v>
                </c:pt>
              </c:strCache>
            </c:strRef>
          </c:cat>
          <c:val>
            <c:numRef>
              <c:f>GWP!$N$19:$T$19</c:f>
              <c:numCache>
                <c:formatCode>General</c:formatCode>
                <c:ptCount val="7"/>
                <c:pt idx="0">
                  <c:v>18325.211170086459</c:v>
                </c:pt>
                <c:pt idx="1">
                  <c:v>17286.486836484568</c:v>
                </c:pt>
                <c:pt idx="2">
                  <c:v>7599.9137576144321</c:v>
                </c:pt>
                <c:pt idx="3">
                  <c:v>5666.934903810763</c:v>
                </c:pt>
                <c:pt idx="4">
                  <c:v>5666.934903810763</c:v>
                </c:pt>
                <c:pt idx="5">
                  <c:v>5666.934903810763</c:v>
                </c:pt>
                <c:pt idx="6">
                  <c:v>451.82977119190502</c:v>
                </c:pt>
              </c:numCache>
            </c:numRef>
          </c:val>
          <c:extLst>
            <c:ext xmlns:c16="http://schemas.microsoft.com/office/drawing/2014/chart" uri="{C3380CC4-5D6E-409C-BE32-E72D297353CC}">
              <c16:uniqueId val="{00000002-0275-4340-86A0-CC15345102F9}"/>
            </c:ext>
          </c:extLst>
        </c:ser>
        <c:ser>
          <c:idx val="6"/>
          <c:order val="6"/>
          <c:tx>
            <c:strRef>
              <c:f>GWP!$M$21</c:f>
              <c:strCache>
                <c:ptCount val="1"/>
                <c:pt idx="0">
                  <c:v>2050</c:v>
                </c:pt>
              </c:strCache>
            </c:strRef>
          </c:tx>
          <c:spPr>
            <a:solidFill>
              <a:schemeClr val="accent1">
                <a:lumMod val="60000"/>
              </a:schemeClr>
            </a:solidFill>
            <a:ln>
              <a:noFill/>
            </a:ln>
            <a:effectLst/>
          </c:spPr>
          <c:invertIfNegative val="0"/>
          <c:cat>
            <c:strRef>
              <c:f>GWP!$N$14:$T$14</c:f>
              <c:strCache>
                <c:ptCount val="7"/>
                <c:pt idx="0">
                  <c:v>Reference</c:v>
                </c:pt>
                <c:pt idx="1">
                  <c:v>Efficiency</c:v>
                </c:pt>
                <c:pt idx="2">
                  <c:v>Tech Costs</c:v>
                </c:pt>
                <c:pt idx="3">
                  <c:v>Fuel Projections</c:v>
                </c:pt>
                <c:pt idx="4">
                  <c:v>Carbon Price</c:v>
                </c:pt>
                <c:pt idx="5">
                  <c:v>2040 ICE Ban</c:v>
                </c:pt>
                <c:pt idx="6">
                  <c:v>2030 ICE Ban</c:v>
                </c:pt>
              </c:strCache>
            </c:strRef>
          </c:cat>
          <c:val>
            <c:numRef>
              <c:f>GWP!$N$21:$T$21</c:f>
              <c:numCache>
                <c:formatCode>General</c:formatCode>
                <c:ptCount val="7"/>
                <c:pt idx="0">
                  <c:v>19628.04144596458</c:v>
                </c:pt>
                <c:pt idx="1">
                  <c:v>18161.4518687161</c:v>
                </c:pt>
                <c:pt idx="2">
                  <c:v>8040.6968076172452</c:v>
                </c:pt>
                <c:pt idx="3">
                  <c:v>5902.4775367072662</c:v>
                </c:pt>
                <c:pt idx="4">
                  <c:v>5902.4775367072662</c:v>
                </c:pt>
                <c:pt idx="5">
                  <c:v>3777.9337748022722</c:v>
                </c:pt>
                <c:pt idx="6">
                  <c:v>0</c:v>
                </c:pt>
              </c:numCache>
            </c:numRef>
          </c:val>
          <c:extLst>
            <c:ext xmlns:c16="http://schemas.microsoft.com/office/drawing/2014/chart" uri="{C3380CC4-5D6E-409C-BE32-E72D297353CC}">
              <c16:uniqueId val="{00000003-0275-4340-86A0-CC15345102F9}"/>
            </c:ext>
          </c:extLst>
        </c:ser>
        <c:dLbls>
          <c:showLegendKey val="0"/>
          <c:showVal val="0"/>
          <c:showCatName val="0"/>
          <c:showSerName val="0"/>
          <c:showPercent val="0"/>
          <c:showBubbleSize val="0"/>
        </c:dLbls>
        <c:gapWidth val="150"/>
        <c:axId val="2097205039"/>
        <c:axId val="2097205455"/>
        <c:extLst>
          <c:ext xmlns:c15="http://schemas.microsoft.com/office/drawing/2012/chart" uri="{02D57815-91ED-43cb-92C2-25804820EDAC}">
            <c15:filteredBarSeries>
              <c15:ser>
                <c:idx val="1"/>
                <c:order val="1"/>
                <c:tx>
                  <c:strRef>
                    <c:extLst>
                      <c:ext uri="{02D57815-91ED-43cb-92C2-25804820EDAC}">
                        <c15:formulaRef>
                          <c15:sqref>GWP!$M$16</c15:sqref>
                        </c15:formulaRef>
                      </c:ext>
                    </c:extLst>
                    <c:strCache>
                      <c:ptCount val="1"/>
                      <c:pt idx="0">
                        <c:v>2025</c:v>
                      </c:pt>
                    </c:strCache>
                  </c:strRef>
                </c:tx>
                <c:spPr>
                  <a:solidFill>
                    <a:schemeClr val="accent2"/>
                  </a:solidFill>
                  <a:ln>
                    <a:noFill/>
                  </a:ln>
                  <a:effectLst/>
                </c:spPr>
                <c:invertIfNegative val="0"/>
                <c:cat>
                  <c:strRef>
                    <c:extLst>
                      <c:ext uri="{02D57815-91ED-43cb-92C2-25804820EDAC}">
                        <c15:formulaRef>
                          <c15:sqref>GWP!$N$14:$T$14</c15:sqref>
                        </c15:formulaRef>
                      </c:ext>
                    </c:extLst>
                    <c:strCache>
                      <c:ptCount val="7"/>
                      <c:pt idx="0">
                        <c:v>Reference</c:v>
                      </c:pt>
                      <c:pt idx="1">
                        <c:v>Efficiency</c:v>
                      </c:pt>
                      <c:pt idx="2">
                        <c:v>Tech Costs</c:v>
                      </c:pt>
                      <c:pt idx="3">
                        <c:v>Fuel Projections</c:v>
                      </c:pt>
                      <c:pt idx="4">
                        <c:v>Carbon Price</c:v>
                      </c:pt>
                      <c:pt idx="5">
                        <c:v>2040 ICE Ban</c:v>
                      </c:pt>
                      <c:pt idx="6">
                        <c:v>2030 ICE Ban</c:v>
                      </c:pt>
                    </c:strCache>
                  </c:strRef>
                </c:cat>
                <c:val>
                  <c:numRef>
                    <c:extLst>
                      <c:ext uri="{02D57815-91ED-43cb-92C2-25804820EDAC}">
                        <c15:formulaRef>
                          <c15:sqref>GWP!$N$16:$T$16</c15:sqref>
                        </c15:formulaRef>
                      </c:ext>
                    </c:extLst>
                    <c:numCache>
                      <c:formatCode>General</c:formatCode>
                      <c:ptCount val="7"/>
                      <c:pt idx="0">
                        <c:v>18213.902328221986</c:v>
                      </c:pt>
                      <c:pt idx="1">
                        <c:v>18213.902328221986</c:v>
                      </c:pt>
                      <c:pt idx="2">
                        <c:v>18213.902328221986</c:v>
                      </c:pt>
                      <c:pt idx="3">
                        <c:v>18213.902328221986</c:v>
                      </c:pt>
                      <c:pt idx="4">
                        <c:v>18213.902328221986</c:v>
                      </c:pt>
                      <c:pt idx="5">
                        <c:v>18213.902328221986</c:v>
                      </c:pt>
                      <c:pt idx="6">
                        <c:v>18213.902328221986</c:v>
                      </c:pt>
                    </c:numCache>
                  </c:numRef>
                </c:val>
                <c:extLst>
                  <c:ext xmlns:c16="http://schemas.microsoft.com/office/drawing/2014/chart" uri="{C3380CC4-5D6E-409C-BE32-E72D297353CC}">
                    <c16:uniqueId val="{00000004-0275-4340-86A0-CC15345102F9}"/>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GWP!$M$18</c15:sqref>
                        </c15:formulaRef>
                      </c:ext>
                    </c:extLst>
                    <c:strCache>
                      <c:ptCount val="1"/>
                      <c:pt idx="0">
                        <c:v>2035</c:v>
                      </c:pt>
                    </c:strCache>
                  </c:strRef>
                </c:tx>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GWP!$N$14:$T$14</c15:sqref>
                        </c15:formulaRef>
                      </c:ext>
                    </c:extLst>
                    <c:strCache>
                      <c:ptCount val="7"/>
                      <c:pt idx="0">
                        <c:v>Reference</c:v>
                      </c:pt>
                      <c:pt idx="1">
                        <c:v>Efficiency</c:v>
                      </c:pt>
                      <c:pt idx="2">
                        <c:v>Tech Costs</c:v>
                      </c:pt>
                      <c:pt idx="3">
                        <c:v>Fuel Projections</c:v>
                      </c:pt>
                      <c:pt idx="4">
                        <c:v>Carbon Price</c:v>
                      </c:pt>
                      <c:pt idx="5">
                        <c:v>2040 ICE Ban</c:v>
                      </c:pt>
                      <c:pt idx="6">
                        <c:v>2030 ICE Ban</c:v>
                      </c:pt>
                    </c:strCache>
                  </c:strRef>
                </c:cat>
                <c:val>
                  <c:numRef>
                    <c:extLst xmlns:c15="http://schemas.microsoft.com/office/drawing/2012/chart">
                      <c:ext xmlns:c15="http://schemas.microsoft.com/office/drawing/2012/chart" uri="{02D57815-91ED-43cb-92C2-25804820EDAC}">
                        <c15:formulaRef>
                          <c15:sqref>GWP!$N$18:$T$18</c15:sqref>
                        </c15:formulaRef>
                      </c:ext>
                    </c:extLst>
                    <c:numCache>
                      <c:formatCode>General</c:formatCode>
                      <c:ptCount val="7"/>
                      <c:pt idx="0">
                        <c:v>17514.074907406033</c:v>
                      </c:pt>
                      <c:pt idx="1">
                        <c:v>17273.179177409009</c:v>
                      </c:pt>
                      <c:pt idx="2">
                        <c:v>14169.538332093087</c:v>
                      </c:pt>
                      <c:pt idx="3">
                        <c:v>13414.232734977153</c:v>
                      </c:pt>
                      <c:pt idx="4">
                        <c:v>13414.232734977153</c:v>
                      </c:pt>
                      <c:pt idx="5">
                        <c:v>13414.232734977153</c:v>
                      </c:pt>
                      <c:pt idx="6">
                        <c:v>11940.29566150507</c:v>
                      </c:pt>
                    </c:numCache>
                  </c:numRef>
                </c:val>
                <c:extLst xmlns:c15="http://schemas.microsoft.com/office/drawing/2012/chart">
                  <c:ext xmlns:c16="http://schemas.microsoft.com/office/drawing/2014/chart" uri="{C3380CC4-5D6E-409C-BE32-E72D297353CC}">
                    <c16:uniqueId val="{00000005-0275-4340-86A0-CC15345102F9}"/>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GWP!$M$20</c15:sqref>
                        </c15:formulaRef>
                      </c:ext>
                    </c:extLst>
                    <c:strCache>
                      <c:ptCount val="1"/>
                      <c:pt idx="0">
                        <c:v>2045</c:v>
                      </c:pt>
                    </c:strCache>
                  </c:strRef>
                </c:tx>
                <c:spPr>
                  <a:solidFill>
                    <a:schemeClr val="accent6"/>
                  </a:solidFill>
                  <a:ln>
                    <a:noFill/>
                  </a:ln>
                  <a:effectLst/>
                </c:spPr>
                <c:invertIfNegative val="0"/>
                <c:cat>
                  <c:strRef>
                    <c:extLst xmlns:c15="http://schemas.microsoft.com/office/drawing/2012/chart">
                      <c:ext xmlns:c15="http://schemas.microsoft.com/office/drawing/2012/chart" uri="{02D57815-91ED-43cb-92C2-25804820EDAC}">
                        <c15:formulaRef>
                          <c15:sqref>GWP!$N$14:$T$14</c15:sqref>
                        </c15:formulaRef>
                      </c:ext>
                    </c:extLst>
                    <c:strCache>
                      <c:ptCount val="7"/>
                      <c:pt idx="0">
                        <c:v>Reference</c:v>
                      </c:pt>
                      <c:pt idx="1">
                        <c:v>Efficiency</c:v>
                      </c:pt>
                      <c:pt idx="2">
                        <c:v>Tech Costs</c:v>
                      </c:pt>
                      <c:pt idx="3">
                        <c:v>Fuel Projections</c:v>
                      </c:pt>
                      <c:pt idx="4">
                        <c:v>Carbon Price</c:v>
                      </c:pt>
                      <c:pt idx="5">
                        <c:v>2040 ICE Ban</c:v>
                      </c:pt>
                      <c:pt idx="6">
                        <c:v>2030 ICE Ban</c:v>
                      </c:pt>
                    </c:strCache>
                  </c:strRef>
                </c:cat>
                <c:val>
                  <c:numRef>
                    <c:extLst xmlns:c15="http://schemas.microsoft.com/office/drawing/2012/chart">
                      <c:ext xmlns:c15="http://schemas.microsoft.com/office/drawing/2012/chart" uri="{02D57815-91ED-43cb-92C2-25804820EDAC}">
                        <c15:formulaRef>
                          <c15:sqref>GWP!$N$20:$T$20</c15:sqref>
                        </c15:formulaRef>
                      </c:ext>
                    </c:extLst>
                    <c:numCache>
                      <c:formatCode>General</c:formatCode>
                      <c:ptCount val="7"/>
                      <c:pt idx="0">
                        <c:v>19630.844081029431</c:v>
                      </c:pt>
                      <c:pt idx="1">
                        <c:v>18406.872257133167</c:v>
                      </c:pt>
                      <c:pt idx="2">
                        <c:v>8163.7616615419365</c:v>
                      </c:pt>
                      <c:pt idx="3">
                        <c:v>5948.0058370548777</c:v>
                      </c:pt>
                      <c:pt idx="4">
                        <c:v>5948.0058370548777</c:v>
                      </c:pt>
                      <c:pt idx="5">
                        <c:v>5215.1051326188599</c:v>
                      </c:pt>
                      <c:pt idx="6">
                        <c:v>0</c:v>
                      </c:pt>
                    </c:numCache>
                  </c:numRef>
                </c:val>
                <c:extLst xmlns:c15="http://schemas.microsoft.com/office/drawing/2012/chart">
                  <c:ext xmlns:c16="http://schemas.microsoft.com/office/drawing/2014/chart" uri="{C3380CC4-5D6E-409C-BE32-E72D297353CC}">
                    <c16:uniqueId val="{00000006-0275-4340-86A0-CC15345102F9}"/>
                  </c:ext>
                </c:extLst>
              </c15:ser>
            </c15:filteredBarSeries>
          </c:ext>
        </c:extLst>
      </c:barChart>
      <c:catAx>
        <c:axId val="20972050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97205455"/>
        <c:crosses val="autoZero"/>
        <c:auto val="1"/>
        <c:lblAlgn val="ctr"/>
        <c:lblOffset val="100"/>
        <c:noMultiLvlLbl val="0"/>
      </c:catAx>
      <c:valAx>
        <c:axId val="209720545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800"/>
                  <a:t>Emissions, kt CO</a:t>
                </a:r>
                <a:r>
                  <a:rPr lang="en-US" sz="800" baseline="-25000"/>
                  <a:t>2</a:t>
                </a:r>
                <a:r>
                  <a:rPr lang="en-US" sz="800"/>
                  <a:t>-eq</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97205039"/>
        <c:crosses val="autoZero"/>
        <c:crossBetween val="between"/>
        <c:dispUnits>
          <c:builtInUnit val="thousands"/>
        </c:dispUnits>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table5!$D$4</c:f>
              <c:strCache>
                <c:ptCount val="1"/>
                <c:pt idx="0">
                  <c:v>Reference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table5!$B$5:$B$7</c:f>
              <c:numCache>
                <c:formatCode>General</c:formatCode>
                <c:ptCount val="3"/>
                <c:pt idx="0">
                  <c:v>2020</c:v>
                </c:pt>
                <c:pt idx="1">
                  <c:v>2030</c:v>
                </c:pt>
                <c:pt idx="2">
                  <c:v>2040</c:v>
                </c:pt>
              </c:numCache>
            </c:numRef>
          </c:cat>
          <c:val>
            <c:numRef>
              <c:f>table5!$D$5:$D$7</c:f>
              <c:numCache>
                <c:formatCode>General</c:formatCode>
                <c:ptCount val="3"/>
                <c:pt idx="0">
                  <c:v>8.9999999999999993E-3</c:v>
                </c:pt>
                <c:pt idx="1">
                  <c:v>3.0000000000000001E-3</c:v>
                </c:pt>
                <c:pt idx="2">
                  <c:v>0</c:v>
                </c:pt>
              </c:numCache>
            </c:numRef>
          </c:val>
          <c:smooth val="0"/>
          <c:extLst>
            <c:ext xmlns:c16="http://schemas.microsoft.com/office/drawing/2014/chart" uri="{C3380CC4-5D6E-409C-BE32-E72D297353CC}">
              <c16:uniqueId val="{00000000-C6FA-E641-BB6B-9AD6422E1AF1}"/>
            </c:ext>
          </c:extLst>
        </c:ser>
        <c:ser>
          <c:idx val="1"/>
          <c:order val="1"/>
          <c:tx>
            <c:strRef>
              <c:f>table5!$E$4</c:f>
              <c:strCache>
                <c:ptCount val="1"/>
                <c:pt idx="0">
                  <c:v>Efficiency</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table5!$B$5:$B$7</c:f>
              <c:numCache>
                <c:formatCode>General</c:formatCode>
                <c:ptCount val="3"/>
                <c:pt idx="0">
                  <c:v>2020</c:v>
                </c:pt>
                <c:pt idx="1">
                  <c:v>2030</c:v>
                </c:pt>
                <c:pt idx="2">
                  <c:v>2040</c:v>
                </c:pt>
              </c:numCache>
            </c:numRef>
          </c:cat>
          <c:val>
            <c:numRef>
              <c:f>table5!$E$5:$E$7</c:f>
              <c:numCache>
                <c:formatCode>General</c:formatCode>
                <c:ptCount val="3"/>
                <c:pt idx="0">
                  <c:v>8.9999999999999993E-3</c:v>
                </c:pt>
                <c:pt idx="1">
                  <c:v>3.0000000000000001E-3</c:v>
                </c:pt>
                <c:pt idx="2">
                  <c:v>0</c:v>
                </c:pt>
              </c:numCache>
            </c:numRef>
          </c:val>
          <c:smooth val="0"/>
          <c:extLst>
            <c:ext xmlns:c16="http://schemas.microsoft.com/office/drawing/2014/chart" uri="{C3380CC4-5D6E-409C-BE32-E72D297353CC}">
              <c16:uniqueId val="{00000001-C6FA-E641-BB6B-9AD6422E1AF1}"/>
            </c:ext>
          </c:extLst>
        </c:ser>
        <c:ser>
          <c:idx val="2"/>
          <c:order val="2"/>
          <c:tx>
            <c:strRef>
              <c:f>table5!$F$4</c:f>
              <c:strCache>
                <c:ptCount val="1"/>
                <c:pt idx="0">
                  <c:v>Tech Costs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table5!$B$5:$B$7</c:f>
              <c:numCache>
                <c:formatCode>General</c:formatCode>
                <c:ptCount val="3"/>
                <c:pt idx="0">
                  <c:v>2020</c:v>
                </c:pt>
                <c:pt idx="1">
                  <c:v>2030</c:v>
                </c:pt>
                <c:pt idx="2">
                  <c:v>2040</c:v>
                </c:pt>
              </c:numCache>
            </c:numRef>
          </c:cat>
          <c:val>
            <c:numRef>
              <c:f>table5!$F$5:$F$7</c:f>
              <c:numCache>
                <c:formatCode>General</c:formatCode>
                <c:ptCount val="3"/>
                <c:pt idx="0">
                  <c:v>8.9999999999999993E-3</c:v>
                </c:pt>
                <c:pt idx="1">
                  <c:v>0.17199999999999999</c:v>
                </c:pt>
                <c:pt idx="2">
                  <c:v>1.9330000000000001</c:v>
                </c:pt>
              </c:numCache>
            </c:numRef>
          </c:val>
          <c:smooth val="0"/>
          <c:extLst>
            <c:ext xmlns:c16="http://schemas.microsoft.com/office/drawing/2014/chart" uri="{C3380CC4-5D6E-409C-BE32-E72D297353CC}">
              <c16:uniqueId val="{00000002-C6FA-E641-BB6B-9AD6422E1AF1}"/>
            </c:ext>
          </c:extLst>
        </c:ser>
        <c:ser>
          <c:idx val="3"/>
          <c:order val="3"/>
          <c:tx>
            <c:strRef>
              <c:f>table5!$G$4</c:f>
              <c:strCache>
                <c:ptCount val="1"/>
                <c:pt idx="0">
                  <c:v>Fuel Projections</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table5!$B$5:$B$7</c:f>
              <c:numCache>
                <c:formatCode>General</c:formatCode>
                <c:ptCount val="3"/>
                <c:pt idx="0">
                  <c:v>2020</c:v>
                </c:pt>
                <c:pt idx="1">
                  <c:v>2030</c:v>
                </c:pt>
                <c:pt idx="2">
                  <c:v>2040</c:v>
                </c:pt>
              </c:numCache>
            </c:numRef>
          </c:cat>
          <c:val>
            <c:numRef>
              <c:f>table5!$G$5:$G$7</c:f>
              <c:numCache>
                <c:formatCode>General</c:formatCode>
                <c:ptCount val="3"/>
                <c:pt idx="0">
                  <c:v>8.9999999999999993E-3</c:v>
                </c:pt>
                <c:pt idx="1">
                  <c:v>0.17199999999999999</c:v>
                </c:pt>
                <c:pt idx="2">
                  <c:v>1.9330000000000001</c:v>
                </c:pt>
              </c:numCache>
            </c:numRef>
          </c:val>
          <c:smooth val="0"/>
          <c:extLst>
            <c:ext xmlns:c16="http://schemas.microsoft.com/office/drawing/2014/chart" uri="{C3380CC4-5D6E-409C-BE32-E72D297353CC}">
              <c16:uniqueId val="{00000003-C6FA-E641-BB6B-9AD6422E1AF1}"/>
            </c:ext>
          </c:extLst>
        </c:ser>
        <c:ser>
          <c:idx val="4"/>
          <c:order val="4"/>
          <c:tx>
            <c:strRef>
              <c:f>table5!$H$4</c:f>
              <c:strCache>
                <c:ptCount val="1"/>
                <c:pt idx="0">
                  <c:v>Carbon Price</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numRef>
              <c:f>table5!$B$5:$B$7</c:f>
              <c:numCache>
                <c:formatCode>General</c:formatCode>
                <c:ptCount val="3"/>
                <c:pt idx="0">
                  <c:v>2020</c:v>
                </c:pt>
                <c:pt idx="1">
                  <c:v>2030</c:v>
                </c:pt>
                <c:pt idx="2">
                  <c:v>2040</c:v>
                </c:pt>
              </c:numCache>
            </c:numRef>
          </c:cat>
          <c:val>
            <c:numRef>
              <c:f>table5!$H$5:$H$7</c:f>
              <c:numCache>
                <c:formatCode>General</c:formatCode>
                <c:ptCount val="3"/>
                <c:pt idx="0">
                  <c:v>8.9999999999999993E-3</c:v>
                </c:pt>
                <c:pt idx="1">
                  <c:v>0.17199999999999999</c:v>
                </c:pt>
                <c:pt idx="2">
                  <c:v>1.9330000000000001</c:v>
                </c:pt>
              </c:numCache>
            </c:numRef>
          </c:val>
          <c:smooth val="0"/>
          <c:extLst>
            <c:ext xmlns:c16="http://schemas.microsoft.com/office/drawing/2014/chart" uri="{C3380CC4-5D6E-409C-BE32-E72D297353CC}">
              <c16:uniqueId val="{00000004-C6FA-E641-BB6B-9AD6422E1AF1}"/>
            </c:ext>
          </c:extLst>
        </c:ser>
        <c:ser>
          <c:idx val="5"/>
          <c:order val="5"/>
          <c:tx>
            <c:strRef>
              <c:f>table5!$I$4</c:f>
              <c:strCache>
                <c:ptCount val="1"/>
                <c:pt idx="0">
                  <c:v>2040 Ice Ban</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numRef>
              <c:f>table5!$B$5:$B$7</c:f>
              <c:numCache>
                <c:formatCode>General</c:formatCode>
                <c:ptCount val="3"/>
                <c:pt idx="0">
                  <c:v>2020</c:v>
                </c:pt>
                <c:pt idx="1">
                  <c:v>2030</c:v>
                </c:pt>
                <c:pt idx="2">
                  <c:v>2040</c:v>
                </c:pt>
              </c:numCache>
            </c:numRef>
          </c:cat>
          <c:val>
            <c:numRef>
              <c:f>table5!$I$5:$I$7</c:f>
              <c:numCache>
                <c:formatCode>General</c:formatCode>
                <c:ptCount val="3"/>
                <c:pt idx="0">
                  <c:v>8.9999999999999993E-3</c:v>
                </c:pt>
                <c:pt idx="1">
                  <c:v>0.17199999999999999</c:v>
                </c:pt>
                <c:pt idx="2">
                  <c:v>1.9330000000000001</c:v>
                </c:pt>
              </c:numCache>
            </c:numRef>
          </c:val>
          <c:smooth val="0"/>
          <c:extLst>
            <c:ext xmlns:c16="http://schemas.microsoft.com/office/drawing/2014/chart" uri="{C3380CC4-5D6E-409C-BE32-E72D297353CC}">
              <c16:uniqueId val="{00000005-C6FA-E641-BB6B-9AD6422E1AF1}"/>
            </c:ext>
          </c:extLst>
        </c:ser>
        <c:ser>
          <c:idx val="6"/>
          <c:order val="6"/>
          <c:tx>
            <c:strRef>
              <c:f>table5!$J$4</c:f>
              <c:strCache>
                <c:ptCount val="1"/>
                <c:pt idx="0">
                  <c:v>2030 Ice Ban</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numRef>
              <c:f>table5!$B$5:$B$7</c:f>
              <c:numCache>
                <c:formatCode>General</c:formatCode>
                <c:ptCount val="3"/>
                <c:pt idx="0">
                  <c:v>2020</c:v>
                </c:pt>
                <c:pt idx="1">
                  <c:v>2030</c:v>
                </c:pt>
                <c:pt idx="2">
                  <c:v>2040</c:v>
                </c:pt>
              </c:numCache>
            </c:numRef>
          </c:cat>
          <c:val>
            <c:numRef>
              <c:f>table5!$J$5:$J$7</c:f>
              <c:numCache>
                <c:formatCode>General</c:formatCode>
                <c:ptCount val="3"/>
                <c:pt idx="0">
                  <c:v>8.9999999999999993E-3</c:v>
                </c:pt>
                <c:pt idx="1">
                  <c:v>0.17199999999999999</c:v>
                </c:pt>
                <c:pt idx="2">
                  <c:v>2.1379999999999999</c:v>
                </c:pt>
              </c:numCache>
            </c:numRef>
          </c:val>
          <c:smooth val="0"/>
          <c:extLst>
            <c:ext xmlns:c16="http://schemas.microsoft.com/office/drawing/2014/chart" uri="{C3380CC4-5D6E-409C-BE32-E72D297353CC}">
              <c16:uniqueId val="{00000006-C6FA-E641-BB6B-9AD6422E1AF1}"/>
            </c:ext>
          </c:extLst>
        </c:ser>
        <c:dLbls>
          <c:showLegendKey val="0"/>
          <c:showVal val="0"/>
          <c:showCatName val="0"/>
          <c:showSerName val="0"/>
          <c:showPercent val="0"/>
          <c:showBubbleSize val="0"/>
        </c:dLbls>
        <c:marker val="1"/>
        <c:smooth val="0"/>
        <c:axId val="888896704"/>
        <c:axId val="888582000"/>
      </c:lineChart>
      <c:catAx>
        <c:axId val="8888967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88582000"/>
        <c:crosses val="autoZero"/>
        <c:auto val="1"/>
        <c:lblAlgn val="ctr"/>
        <c:lblOffset val="100"/>
        <c:noMultiLvlLbl val="0"/>
      </c:catAx>
      <c:valAx>
        <c:axId val="8885820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a:t>CO</a:t>
                </a:r>
                <a:r>
                  <a:rPr lang="en-GB" baseline="-25000"/>
                  <a:t>2</a:t>
                </a:r>
                <a:r>
                  <a:rPr lang="en-GB" baseline="0"/>
                  <a:t> emissions, Mt CO</a:t>
                </a:r>
                <a:r>
                  <a:rPr lang="en-GB" baseline="-25000"/>
                  <a:t>2</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888967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table5!$D$4</c:f>
              <c:strCache>
                <c:ptCount val="1"/>
                <c:pt idx="0">
                  <c:v>Reference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table5!$B$9:$B$11</c:f>
              <c:numCache>
                <c:formatCode>General</c:formatCode>
                <c:ptCount val="3"/>
                <c:pt idx="0">
                  <c:v>2020</c:v>
                </c:pt>
                <c:pt idx="1">
                  <c:v>2030</c:v>
                </c:pt>
                <c:pt idx="2">
                  <c:v>2040</c:v>
                </c:pt>
              </c:numCache>
            </c:numRef>
          </c:cat>
          <c:val>
            <c:numRef>
              <c:f>table5!$D$9:$D$11</c:f>
              <c:numCache>
                <c:formatCode>General</c:formatCode>
                <c:ptCount val="3"/>
                <c:pt idx="0">
                  <c:v>0.1139</c:v>
                </c:pt>
                <c:pt idx="1">
                  <c:v>5.3999999999999999E-2</c:v>
                </c:pt>
                <c:pt idx="2">
                  <c:v>0</c:v>
                </c:pt>
              </c:numCache>
            </c:numRef>
          </c:val>
          <c:smooth val="0"/>
          <c:extLst>
            <c:ext xmlns:c16="http://schemas.microsoft.com/office/drawing/2014/chart" uri="{C3380CC4-5D6E-409C-BE32-E72D297353CC}">
              <c16:uniqueId val="{00000000-2248-064D-A0BC-DAA80F7276DE}"/>
            </c:ext>
          </c:extLst>
        </c:ser>
        <c:ser>
          <c:idx val="1"/>
          <c:order val="1"/>
          <c:tx>
            <c:strRef>
              <c:f>table5!$E$4</c:f>
              <c:strCache>
                <c:ptCount val="1"/>
                <c:pt idx="0">
                  <c:v>Efficiency</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table5!$B$9:$B$11</c:f>
              <c:numCache>
                <c:formatCode>General</c:formatCode>
                <c:ptCount val="3"/>
                <c:pt idx="0">
                  <c:v>2020</c:v>
                </c:pt>
                <c:pt idx="1">
                  <c:v>2030</c:v>
                </c:pt>
                <c:pt idx="2">
                  <c:v>2040</c:v>
                </c:pt>
              </c:numCache>
            </c:numRef>
          </c:cat>
          <c:val>
            <c:numRef>
              <c:f>table5!$E$9:$E$11</c:f>
              <c:numCache>
                <c:formatCode>General</c:formatCode>
                <c:ptCount val="3"/>
                <c:pt idx="0">
                  <c:v>0.1139</c:v>
                </c:pt>
                <c:pt idx="1">
                  <c:v>5.3999999999999999E-2</c:v>
                </c:pt>
                <c:pt idx="2">
                  <c:v>0</c:v>
                </c:pt>
              </c:numCache>
            </c:numRef>
          </c:val>
          <c:smooth val="0"/>
          <c:extLst>
            <c:ext xmlns:c16="http://schemas.microsoft.com/office/drawing/2014/chart" uri="{C3380CC4-5D6E-409C-BE32-E72D297353CC}">
              <c16:uniqueId val="{00000001-2248-064D-A0BC-DAA80F7276DE}"/>
            </c:ext>
          </c:extLst>
        </c:ser>
        <c:ser>
          <c:idx val="2"/>
          <c:order val="2"/>
          <c:tx>
            <c:strRef>
              <c:f>table5!$F$4</c:f>
              <c:strCache>
                <c:ptCount val="1"/>
                <c:pt idx="0">
                  <c:v>Tech Costs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table5!$B$9:$B$11</c:f>
              <c:numCache>
                <c:formatCode>General</c:formatCode>
                <c:ptCount val="3"/>
                <c:pt idx="0">
                  <c:v>2020</c:v>
                </c:pt>
                <c:pt idx="1">
                  <c:v>2030</c:v>
                </c:pt>
                <c:pt idx="2">
                  <c:v>2040</c:v>
                </c:pt>
              </c:numCache>
            </c:numRef>
          </c:cat>
          <c:val>
            <c:numRef>
              <c:f>table5!$F$9:$F$11</c:f>
              <c:numCache>
                <c:formatCode>General</c:formatCode>
                <c:ptCount val="3"/>
                <c:pt idx="0">
                  <c:v>0.1139</c:v>
                </c:pt>
                <c:pt idx="1">
                  <c:v>3.1833999999999998</c:v>
                </c:pt>
                <c:pt idx="2">
                  <c:v>44.282400000000003</c:v>
                </c:pt>
              </c:numCache>
            </c:numRef>
          </c:val>
          <c:smooth val="0"/>
          <c:extLst>
            <c:ext xmlns:c16="http://schemas.microsoft.com/office/drawing/2014/chart" uri="{C3380CC4-5D6E-409C-BE32-E72D297353CC}">
              <c16:uniqueId val="{00000002-2248-064D-A0BC-DAA80F7276DE}"/>
            </c:ext>
          </c:extLst>
        </c:ser>
        <c:ser>
          <c:idx val="3"/>
          <c:order val="3"/>
          <c:tx>
            <c:strRef>
              <c:f>table5!$G$4</c:f>
              <c:strCache>
                <c:ptCount val="1"/>
                <c:pt idx="0">
                  <c:v>Fuel Projections</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table5!$B$9:$B$11</c:f>
              <c:numCache>
                <c:formatCode>General</c:formatCode>
                <c:ptCount val="3"/>
                <c:pt idx="0">
                  <c:v>2020</c:v>
                </c:pt>
                <c:pt idx="1">
                  <c:v>2030</c:v>
                </c:pt>
                <c:pt idx="2">
                  <c:v>2040</c:v>
                </c:pt>
              </c:numCache>
            </c:numRef>
          </c:cat>
          <c:val>
            <c:numRef>
              <c:f>table5!$G$9:$G$11</c:f>
              <c:numCache>
                <c:formatCode>General</c:formatCode>
                <c:ptCount val="3"/>
                <c:pt idx="0">
                  <c:v>0.1139</c:v>
                </c:pt>
                <c:pt idx="1">
                  <c:v>3.1833999999999998</c:v>
                </c:pt>
                <c:pt idx="2">
                  <c:v>44.282400000000003</c:v>
                </c:pt>
              </c:numCache>
            </c:numRef>
          </c:val>
          <c:smooth val="0"/>
          <c:extLst>
            <c:ext xmlns:c16="http://schemas.microsoft.com/office/drawing/2014/chart" uri="{C3380CC4-5D6E-409C-BE32-E72D297353CC}">
              <c16:uniqueId val="{00000003-2248-064D-A0BC-DAA80F7276DE}"/>
            </c:ext>
          </c:extLst>
        </c:ser>
        <c:ser>
          <c:idx val="4"/>
          <c:order val="4"/>
          <c:tx>
            <c:strRef>
              <c:f>table5!$H$4</c:f>
              <c:strCache>
                <c:ptCount val="1"/>
                <c:pt idx="0">
                  <c:v>Carbon Price</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numRef>
              <c:f>table5!$B$9:$B$11</c:f>
              <c:numCache>
                <c:formatCode>General</c:formatCode>
                <c:ptCount val="3"/>
                <c:pt idx="0">
                  <c:v>2020</c:v>
                </c:pt>
                <c:pt idx="1">
                  <c:v>2030</c:v>
                </c:pt>
                <c:pt idx="2">
                  <c:v>2040</c:v>
                </c:pt>
              </c:numCache>
            </c:numRef>
          </c:cat>
          <c:val>
            <c:numRef>
              <c:f>table5!$H$9:$H$11</c:f>
              <c:numCache>
                <c:formatCode>General</c:formatCode>
                <c:ptCount val="3"/>
                <c:pt idx="0">
                  <c:v>0.1139</c:v>
                </c:pt>
                <c:pt idx="1">
                  <c:v>3.1833999999999998</c:v>
                </c:pt>
                <c:pt idx="2">
                  <c:v>44.282400000000003</c:v>
                </c:pt>
              </c:numCache>
            </c:numRef>
          </c:val>
          <c:smooth val="0"/>
          <c:extLst>
            <c:ext xmlns:c16="http://schemas.microsoft.com/office/drawing/2014/chart" uri="{C3380CC4-5D6E-409C-BE32-E72D297353CC}">
              <c16:uniqueId val="{00000004-2248-064D-A0BC-DAA80F7276DE}"/>
            </c:ext>
          </c:extLst>
        </c:ser>
        <c:ser>
          <c:idx val="5"/>
          <c:order val="5"/>
          <c:tx>
            <c:strRef>
              <c:f>table5!$I$4</c:f>
              <c:strCache>
                <c:ptCount val="1"/>
                <c:pt idx="0">
                  <c:v>2040 Ice Ban</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numRef>
              <c:f>table5!$B$9:$B$11</c:f>
              <c:numCache>
                <c:formatCode>General</c:formatCode>
                <c:ptCount val="3"/>
                <c:pt idx="0">
                  <c:v>2020</c:v>
                </c:pt>
                <c:pt idx="1">
                  <c:v>2030</c:v>
                </c:pt>
                <c:pt idx="2">
                  <c:v>2040</c:v>
                </c:pt>
              </c:numCache>
            </c:numRef>
          </c:cat>
          <c:val>
            <c:numRef>
              <c:f>table5!$I$9:$I$11</c:f>
              <c:numCache>
                <c:formatCode>General</c:formatCode>
                <c:ptCount val="3"/>
                <c:pt idx="0">
                  <c:v>0.1139</c:v>
                </c:pt>
                <c:pt idx="1">
                  <c:v>3.1833999999999998</c:v>
                </c:pt>
                <c:pt idx="2">
                  <c:v>44.282400000000003</c:v>
                </c:pt>
              </c:numCache>
            </c:numRef>
          </c:val>
          <c:smooth val="0"/>
          <c:extLst>
            <c:ext xmlns:c16="http://schemas.microsoft.com/office/drawing/2014/chart" uri="{C3380CC4-5D6E-409C-BE32-E72D297353CC}">
              <c16:uniqueId val="{00000005-2248-064D-A0BC-DAA80F7276DE}"/>
            </c:ext>
          </c:extLst>
        </c:ser>
        <c:ser>
          <c:idx val="6"/>
          <c:order val="6"/>
          <c:tx>
            <c:strRef>
              <c:f>table5!$J$4</c:f>
              <c:strCache>
                <c:ptCount val="1"/>
                <c:pt idx="0">
                  <c:v>2030 Ice Ban</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numRef>
              <c:f>table5!$B$9:$B$11</c:f>
              <c:numCache>
                <c:formatCode>General</c:formatCode>
                <c:ptCount val="3"/>
                <c:pt idx="0">
                  <c:v>2020</c:v>
                </c:pt>
                <c:pt idx="1">
                  <c:v>2030</c:v>
                </c:pt>
                <c:pt idx="2">
                  <c:v>2040</c:v>
                </c:pt>
              </c:numCache>
            </c:numRef>
          </c:cat>
          <c:val>
            <c:numRef>
              <c:f>table5!$J$9:$J$11</c:f>
              <c:numCache>
                <c:formatCode>General</c:formatCode>
                <c:ptCount val="3"/>
                <c:pt idx="0">
                  <c:v>0.1139</c:v>
                </c:pt>
                <c:pt idx="1">
                  <c:v>3.1833999999999998</c:v>
                </c:pt>
                <c:pt idx="2">
                  <c:v>48.991599999999998</c:v>
                </c:pt>
              </c:numCache>
            </c:numRef>
          </c:val>
          <c:smooth val="0"/>
          <c:extLst>
            <c:ext xmlns:c16="http://schemas.microsoft.com/office/drawing/2014/chart" uri="{C3380CC4-5D6E-409C-BE32-E72D297353CC}">
              <c16:uniqueId val="{00000006-2248-064D-A0BC-DAA80F7276DE}"/>
            </c:ext>
          </c:extLst>
        </c:ser>
        <c:dLbls>
          <c:showLegendKey val="0"/>
          <c:showVal val="0"/>
          <c:showCatName val="0"/>
          <c:showSerName val="0"/>
          <c:showPercent val="0"/>
          <c:showBubbleSize val="0"/>
        </c:dLbls>
        <c:marker val="1"/>
        <c:smooth val="0"/>
        <c:axId val="888896704"/>
        <c:axId val="888582000"/>
      </c:lineChart>
      <c:catAx>
        <c:axId val="8888967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88582000"/>
        <c:crosses val="autoZero"/>
        <c:auto val="1"/>
        <c:lblAlgn val="ctr"/>
        <c:lblOffset val="100"/>
        <c:noMultiLvlLbl val="0"/>
      </c:catAx>
      <c:valAx>
        <c:axId val="8885820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a:t>Electricity demand, PJ</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888967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9986D-B16F-4860-A79D-47D7BB134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34</Pages>
  <Words>42805</Words>
  <Characters>243989</Characters>
  <Application>Microsoft Office Word</Application>
  <DocSecurity>0</DocSecurity>
  <Lines>2033</Lines>
  <Paragraphs>572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286222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Mocellin</dc:creator>
  <cp:keywords/>
  <dc:description/>
  <cp:lastModifiedBy>Sara Giarola</cp:lastModifiedBy>
  <cp:revision>4</cp:revision>
  <dcterms:created xsi:type="dcterms:W3CDTF">2023-10-20T16:34:00Z</dcterms:created>
  <dcterms:modified xsi:type="dcterms:W3CDTF">2023-10-20T17:01:00Z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2525dd8b-0a96-3a30-b48f-fb803426f09c</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11th edition - Harvard</vt:lpwstr>
  </property>
  <property fmtid="{D5CDD505-2E9C-101B-9397-08002B2CF9AE}" pid="15" name="Mendeley Recent Style Id 5_1">
    <vt:lpwstr>http://www.zotero.org/styles/energy-research-and-social-science</vt:lpwstr>
  </property>
  <property fmtid="{D5CDD505-2E9C-101B-9397-08002B2CF9AE}" pid="16" name="Mendeley Recent Style Name 5_1">
    <vt:lpwstr>Energy Research &amp; Social Science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http://www.zotero.org/styles/system-dynamics-review</vt:lpwstr>
  </property>
  <property fmtid="{D5CDD505-2E9C-101B-9397-08002B2CF9AE}" pid="24" name="Mendeley Recent Style Name 9_1">
    <vt:lpwstr>System Dynamics Review</vt:lpwstr>
  </property>
</Properties>
</file>