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96A" w:rsidRPr="0079296A" w:rsidRDefault="0079296A" w:rsidP="0079296A">
      <w:pPr>
        <w:spacing w:line="360" w:lineRule="auto"/>
        <w:rPr>
          <w:rFonts w:ascii="Times New Roman" w:hAnsi="Times New Roman" w:cs="Times New Roman"/>
          <w:sz w:val="24"/>
          <w:szCs w:val="24"/>
        </w:rPr>
      </w:pPr>
    </w:p>
    <w:p w:rsidR="0079296A" w:rsidRPr="0079296A" w:rsidRDefault="0079296A" w:rsidP="0079296A">
      <w:pPr>
        <w:spacing w:line="360" w:lineRule="auto"/>
        <w:rPr>
          <w:rFonts w:ascii="Times New Roman" w:hAnsi="Times New Roman" w:cs="Times New Roman"/>
          <w:b/>
          <w:sz w:val="24"/>
          <w:szCs w:val="24"/>
        </w:rPr>
      </w:pPr>
      <w:r w:rsidRPr="0079296A">
        <w:rPr>
          <w:rFonts w:ascii="Times New Roman" w:hAnsi="Times New Roman" w:cs="Times New Roman"/>
          <w:b/>
          <w:sz w:val="24"/>
          <w:szCs w:val="24"/>
        </w:rPr>
        <w:t>Reply to: Different Background, Short Duration, Inappropriate Participants May Harm Your Conclusion.</w:t>
      </w:r>
    </w:p>
    <w:p w:rsidR="0079296A" w:rsidRPr="0079296A" w:rsidRDefault="0079296A" w:rsidP="0079296A">
      <w:pPr>
        <w:spacing w:line="360" w:lineRule="auto"/>
        <w:rPr>
          <w:rFonts w:ascii="Times New Roman" w:hAnsi="Times New Roman" w:cs="Times New Roman"/>
          <w:sz w:val="24"/>
          <w:szCs w:val="24"/>
        </w:rPr>
      </w:pP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Authors: Kenneth R. Chapman1; John R. Hurst2; Robert B. Fogel3; Pascal Pfister4; Konstantinos Kostikas4; Jadwiga A. Wedzicha5 On behalf of the SUNSET investigators</w:t>
      </w:r>
    </w:p>
    <w:p w:rsidR="0079296A" w:rsidRPr="0079296A" w:rsidRDefault="0079296A" w:rsidP="0079296A">
      <w:pPr>
        <w:spacing w:line="360" w:lineRule="auto"/>
        <w:rPr>
          <w:rFonts w:ascii="Times New Roman" w:hAnsi="Times New Roman" w:cs="Times New Roman"/>
          <w:sz w:val="24"/>
          <w:szCs w:val="24"/>
        </w:rPr>
      </w:pPr>
    </w:p>
    <w:p w:rsidR="0079296A" w:rsidRPr="0079296A" w:rsidRDefault="0079296A" w:rsidP="0079296A">
      <w:pPr>
        <w:spacing w:line="360" w:lineRule="auto"/>
        <w:rPr>
          <w:rFonts w:ascii="Times New Roman" w:hAnsi="Times New Roman" w:cs="Times New Roman"/>
          <w:b/>
          <w:sz w:val="24"/>
          <w:szCs w:val="24"/>
        </w:rPr>
      </w:pPr>
      <w:r w:rsidRPr="0079296A">
        <w:rPr>
          <w:rFonts w:ascii="Times New Roman" w:hAnsi="Times New Roman" w:cs="Times New Roman"/>
          <w:b/>
          <w:sz w:val="24"/>
          <w:szCs w:val="24"/>
        </w:rPr>
        <w:t>Affiliations</w:t>
      </w:r>
    </w:p>
    <w:p w:rsidR="0079296A" w:rsidRPr="0079296A" w:rsidRDefault="0079296A" w:rsidP="0079296A">
      <w:pPr>
        <w:spacing w:line="360" w:lineRule="auto"/>
        <w:rPr>
          <w:rFonts w:ascii="Times New Roman" w:hAnsi="Times New Roman" w:cs="Times New Roman"/>
          <w:sz w:val="24"/>
          <w:szCs w:val="24"/>
        </w:rPr>
      </w:pP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1Asthma and Airway Centre, University Health Network and University of Toronto, Toronto, ON, Canada; 2UCL Respiratory, University College London, London, United Kingdom; 3Novartis Pharmaceuticals Corporation, East Hanover, NJ, United States; 4 Novartis Pharma AG, Basel, Switzerland; 5Respiratory Clinical Science Section, National Heart and Lung Institute, Imperial College London, London, United Kingdom</w:t>
      </w:r>
    </w:p>
    <w:p w:rsidR="0079296A" w:rsidRPr="0079296A" w:rsidRDefault="0079296A" w:rsidP="0079296A">
      <w:pPr>
        <w:spacing w:line="360" w:lineRule="auto"/>
        <w:rPr>
          <w:rFonts w:ascii="Times New Roman" w:hAnsi="Times New Roman" w:cs="Times New Roman"/>
          <w:sz w:val="24"/>
          <w:szCs w:val="24"/>
        </w:rPr>
      </w:pPr>
    </w:p>
    <w:p w:rsidR="0079296A" w:rsidRPr="0079296A" w:rsidRDefault="0079296A" w:rsidP="0079296A">
      <w:pPr>
        <w:spacing w:line="360" w:lineRule="auto"/>
        <w:rPr>
          <w:rFonts w:ascii="Times New Roman" w:hAnsi="Times New Roman" w:cs="Times New Roman"/>
          <w:sz w:val="24"/>
          <w:szCs w:val="24"/>
        </w:rPr>
      </w:pPr>
    </w:p>
    <w:p w:rsidR="0079296A" w:rsidRPr="0079296A" w:rsidRDefault="0079296A" w:rsidP="0079296A">
      <w:pPr>
        <w:spacing w:line="360" w:lineRule="auto"/>
        <w:rPr>
          <w:rFonts w:ascii="Times New Roman" w:hAnsi="Times New Roman" w:cs="Times New Roman"/>
          <w:sz w:val="24"/>
          <w:szCs w:val="24"/>
        </w:rPr>
      </w:pP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Correspondence should be addressed to:</w:t>
      </w:r>
    </w:p>
    <w:p w:rsidR="0079296A" w:rsidRPr="0079296A" w:rsidRDefault="0079296A" w:rsidP="0079296A">
      <w:pPr>
        <w:spacing w:line="360" w:lineRule="auto"/>
        <w:rPr>
          <w:rFonts w:ascii="Times New Roman" w:hAnsi="Times New Roman" w:cs="Times New Roman"/>
          <w:sz w:val="24"/>
          <w:szCs w:val="24"/>
        </w:rPr>
      </w:pPr>
    </w:p>
    <w:p w:rsidR="0079296A" w:rsidRPr="0079296A" w:rsidRDefault="0079296A" w:rsidP="0079296A">
      <w:pPr>
        <w:spacing w:line="360" w:lineRule="auto"/>
        <w:rPr>
          <w:rFonts w:ascii="Times New Roman" w:hAnsi="Times New Roman" w:cs="Times New Roman"/>
          <w:sz w:val="24"/>
          <w:szCs w:val="24"/>
        </w:rPr>
      </w:pPr>
      <w:proofErr w:type="spellStart"/>
      <w:r w:rsidRPr="0079296A">
        <w:rPr>
          <w:rFonts w:ascii="Times New Roman" w:hAnsi="Times New Roman" w:cs="Times New Roman"/>
          <w:sz w:val="24"/>
          <w:szCs w:val="24"/>
        </w:rPr>
        <w:t>Prof.</w:t>
      </w:r>
      <w:proofErr w:type="spellEnd"/>
      <w:r w:rsidRPr="0079296A">
        <w:rPr>
          <w:rFonts w:ascii="Times New Roman" w:hAnsi="Times New Roman" w:cs="Times New Roman"/>
          <w:sz w:val="24"/>
          <w:szCs w:val="24"/>
        </w:rPr>
        <w:t xml:space="preserve"> Jadwiga A. Wedzicha</w:t>
      </w:r>
    </w:p>
    <w:p w:rsidR="0079296A" w:rsidRPr="0079296A" w:rsidRDefault="0079296A" w:rsidP="0079296A">
      <w:pPr>
        <w:spacing w:line="360" w:lineRule="auto"/>
        <w:rPr>
          <w:rFonts w:ascii="Times New Roman" w:hAnsi="Times New Roman" w:cs="Times New Roman"/>
          <w:sz w:val="24"/>
          <w:szCs w:val="24"/>
        </w:rPr>
      </w:pP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 xml:space="preserve">National Heart and Lung Institute, Imperial College London Guy </w:t>
      </w:r>
      <w:proofErr w:type="spellStart"/>
      <w:r w:rsidRPr="0079296A">
        <w:rPr>
          <w:rFonts w:ascii="Times New Roman" w:hAnsi="Times New Roman" w:cs="Times New Roman"/>
          <w:sz w:val="24"/>
          <w:szCs w:val="24"/>
        </w:rPr>
        <w:t>Scadding</w:t>
      </w:r>
      <w:proofErr w:type="spellEnd"/>
      <w:r w:rsidRPr="0079296A">
        <w:rPr>
          <w:rFonts w:ascii="Times New Roman" w:hAnsi="Times New Roman" w:cs="Times New Roman"/>
          <w:sz w:val="24"/>
          <w:szCs w:val="24"/>
        </w:rPr>
        <w:t xml:space="preserve"> Building, London SW3 6LY, UK</w:t>
      </w:r>
    </w:p>
    <w:p w:rsidR="0079296A" w:rsidRDefault="0079296A" w:rsidP="0079296A">
      <w:pPr>
        <w:spacing w:line="360" w:lineRule="auto"/>
        <w:rPr>
          <w:rFonts w:ascii="Times New Roman" w:hAnsi="Times New Roman" w:cs="Times New Roman"/>
          <w:sz w:val="24"/>
          <w:szCs w:val="24"/>
          <w:lang w:val="pt-PT"/>
        </w:rPr>
      </w:pPr>
      <w:r w:rsidRPr="0079296A">
        <w:rPr>
          <w:rFonts w:ascii="Times New Roman" w:hAnsi="Times New Roman" w:cs="Times New Roman"/>
          <w:sz w:val="24"/>
          <w:szCs w:val="24"/>
          <w:lang w:val="pt-PT"/>
        </w:rPr>
        <w:t>E-mail: j.wedzicha@imperial.ac.uk Tel.: +44 (0) 207 594 7947</w:t>
      </w:r>
    </w:p>
    <w:p w:rsidR="0079296A" w:rsidRDefault="0079296A" w:rsidP="0079296A">
      <w:pPr>
        <w:spacing w:line="360" w:lineRule="auto"/>
        <w:rPr>
          <w:rFonts w:ascii="Times New Roman" w:hAnsi="Times New Roman" w:cs="Times New Roman"/>
          <w:sz w:val="24"/>
          <w:szCs w:val="24"/>
          <w:lang w:val="pt-PT"/>
        </w:rPr>
      </w:pPr>
    </w:p>
    <w:p w:rsidR="0079296A" w:rsidRDefault="0079296A" w:rsidP="0079296A">
      <w:pPr>
        <w:spacing w:line="360" w:lineRule="auto"/>
        <w:rPr>
          <w:rFonts w:ascii="Times New Roman" w:hAnsi="Times New Roman" w:cs="Times New Roman"/>
          <w:sz w:val="24"/>
          <w:szCs w:val="24"/>
          <w:lang w:val="pt-PT"/>
        </w:rPr>
      </w:pPr>
    </w:p>
    <w:p w:rsidR="0079296A" w:rsidRPr="0079296A" w:rsidRDefault="0079296A" w:rsidP="0079296A">
      <w:pPr>
        <w:spacing w:line="360" w:lineRule="auto"/>
        <w:rPr>
          <w:rFonts w:ascii="Times New Roman" w:hAnsi="Times New Roman" w:cs="Times New Roman"/>
          <w:sz w:val="24"/>
          <w:szCs w:val="24"/>
          <w:lang w:val="pt-PT"/>
        </w:rPr>
      </w:pPr>
      <w:bookmarkStart w:id="0" w:name="_GoBack"/>
      <w:bookmarkEnd w:id="0"/>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To the Editor</w:t>
      </w:r>
    </w:p>
    <w:p w:rsidR="0079296A" w:rsidRPr="0079296A" w:rsidRDefault="0079296A" w:rsidP="0079296A">
      <w:pPr>
        <w:spacing w:line="360" w:lineRule="auto"/>
        <w:rPr>
          <w:rFonts w:ascii="Times New Roman" w:hAnsi="Times New Roman" w:cs="Times New Roman"/>
          <w:sz w:val="24"/>
          <w:szCs w:val="24"/>
        </w:rPr>
      </w:pP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We are grateful to Doctors Lan and Shi for their comments concerning the SUNSET study (1). Their observations echo our own as discussed in our paper and their questions give us an opportunity to elaborate further on these important issues.</w:t>
      </w: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SUNSET was not designed to isolate the impact of a single inhaled corticosteroid molecule at a single arbitrary dose but was designed to explore a clinical strategy used increasingly in practice. Whereas WISDOM employed a steroid tapering strategy for ICS withdrawal that would be impractical in most settings, SUNSET examined the outcomes of an abrupt switch from a commonly prescribed triple therapy to a second-generation dual bronchodilator regimen in low risk COPD patients.</w:t>
      </w: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 xml:space="preserve">We agree that the difference in the potency of bronchodilators used in the two arms of the SUNSET study may have affected the observed results. A recent network meta-analysis found greater efficacy of </w:t>
      </w:r>
      <w:proofErr w:type="spellStart"/>
      <w:r w:rsidRPr="0079296A">
        <w:rPr>
          <w:rFonts w:ascii="Times New Roman" w:hAnsi="Times New Roman" w:cs="Times New Roman"/>
          <w:sz w:val="24"/>
          <w:szCs w:val="24"/>
        </w:rPr>
        <w:t>indacaterol</w:t>
      </w:r>
      <w:proofErr w:type="spellEnd"/>
      <w:r w:rsidRPr="0079296A">
        <w:rPr>
          <w:rFonts w:ascii="Times New Roman" w:hAnsi="Times New Roman" w:cs="Times New Roman"/>
          <w:sz w:val="24"/>
          <w:szCs w:val="24"/>
        </w:rPr>
        <w:t xml:space="preserve"> (IND) compared to other LABAs, including </w:t>
      </w:r>
      <w:proofErr w:type="spellStart"/>
      <w:r w:rsidRPr="0079296A">
        <w:rPr>
          <w:rFonts w:ascii="Times New Roman" w:hAnsi="Times New Roman" w:cs="Times New Roman"/>
          <w:sz w:val="24"/>
          <w:szCs w:val="24"/>
        </w:rPr>
        <w:t>salmeterol</w:t>
      </w:r>
      <w:proofErr w:type="spellEnd"/>
      <w:r w:rsidRPr="0079296A">
        <w:rPr>
          <w:rFonts w:ascii="Times New Roman" w:hAnsi="Times New Roman" w:cs="Times New Roman"/>
          <w:sz w:val="24"/>
          <w:szCs w:val="24"/>
        </w:rPr>
        <w:t xml:space="preserve"> (2). Moreover, </w:t>
      </w:r>
      <w:proofErr w:type="spellStart"/>
      <w:r w:rsidRPr="0079296A">
        <w:rPr>
          <w:rFonts w:ascii="Times New Roman" w:hAnsi="Times New Roman" w:cs="Times New Roman"/>
          <w:sz w:val="24"/>
          <w:szCs w:val="24"/>
        </w:rPr>
        <w:t>glycopyrronium</w:t>
      </w:r>
      <w:proofErr w:type="spellEnd"/>
      <w:r w:rsidRPr="0079296A">
        <w:rPr>
          <w:rFonts w:ascii="Times New Roman" w:hAnsi="Times New Roman" w:cs="Times New Roman"/>
          <w:sz w:val="24"/>
          <w:szCs w:val="24"/>
        </w:rPr>
        <w:t xml:space="preserve"> (GLY) has been shown to be as effective as </w:t>
      </w:r>
      <w:proofErr w:type="spellStart"/>
      <w:r w:rsidRPr="0079296A">
        <w:rPr>
          <w:rFonts w:ascii="Times New Roman" w:hAnsi="Times New Roman" w:cs="Times New Roman"/>
          <w:sz w:val="24"/>
          <w:szCs w:val="24"/>
        </w:rPr>
        <w:t>tiotropium</w:t>
      </w:r>
      <w:proofErr w:type="spellEnd"/>
      <w:r w:rsidRPr="0079296A">
        <w:rPr>
          <w:rFonts w:ascii="Times New Roman" w:hAnsi="Times New Roman" w:cs="Times New Roman"/>
          <w:sz w:val="24"/>
          <w:szCs w:val="24"/>
        </w:rPr>
        <w:t xml:space="preserve"> in terms of lung function and exacerbation prevention (3, 4), although with a faster onset of action (5). We noted this in our paper stating that “this study cannot be considered as a “pure” inhaled corticosteroids (ICS) withdrawal study, because the LABA and LAMA components differ,</w:t>
      </w:r>
      <w:proofErr w:type="gramStart"/>
      <w:r w:rsidRPr="0079296A">
        <w:rPr>
          <w:rFonts w:ascii="Times New Roman" w:hAnsi="Times New Roman" w:cs="Times New Roman"/>
          <w:sz w:val="24"/>
          <w:szCs w:val="24"/>
        </w:rPr>
        <w:t>”(</w:t>
      </w:r>
      <w:proofErr w:type="gramEnd"/>
      <w:r w:rsidRPr="0079296A">
        <w:rPr>
          <w:rFonts w:ascii="Times New Roman" w:hAnsi="Times New Roman" w:cs="Times New Roman"/>
          <w:sz w:val="24"/>
          <w:szCs w:val="24"/>
        </w:rPr>
        <w:t>1) with results that may not be applicable to all LABA/LAMA combinations.</w:t>
      </w: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The 26 weeks duration of the SUNSET trial represents a limitation for the evaluation of the rates and risk of exacerbations and we agree that ideally this would require a 1-year study. However, several of our findings give us confidence that our observations are accurate and would be unchanged by a longer period of observation. As we reported, patients were recruited across seasons with similar numbers of moderate/severe exacerbations in the two study groups in the seasons of winter-fall and summer-spring, minimizing the potential impact of seasonal variation (1). Moreover, the difference in exacerbations between the two groups amongst patients with increased blood eosinophil counts ≥300 cells/</w:t>
      </w:r>
      <w:proofErr w:type="spellStart"/>
      <w:r w:rsidRPr="0079296A">
        <w:rPr>
          <w:rFonts w:ascii="Times New Roman" w:hAnsi="Times New Roman" w:cs="Times New Roman"/>
          <w:sz w:val="24"/>
          <w:szCs w:val="24"/>
        </w:rPr>
        <w:t>μL</w:t>
      </w:r>
      <w:proofErr w:type="spellEnd"/>
      <w:r w:rsidRPr="0079296A">
        <w:rPr>
          <w:rFonts w:ascii="Times New Roman" w:hAnsi="Times New Roman" w:cs="Times New Roman"/>
          <w:sz w:val="24"/>
          <w:szCs w:val="24"/>
        </w:rPr>
        <w:t xml:space="preserve"> was observed the first weeks of the ICS withdrawal (see Figure 4D of the manuscript). This observation suggests the absence of any long-term “protective” carry-over effect of I</w:t>
      </w:r>
      <w:r w:rsidRPr="0079296A">
        <w:rPr>
          <w:rFonts w:ascii="Times New Roman" w:hAnsi="Times New Roman" w:cs="Times New Roman"/>
          <w:sz w:val="24"/>
          <w:szCs w:val="24"/>
        </w:rPr>
        <w:t>CS after the switch to IND/GLY.</w:t>
      </w: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lastRenderedPageBreak/>
        <w:t>Lung function outcomes were similar and suggested the adequacy of our 26-week observation period. Small lung function changes were evident at Day 29 and stable thereafter (Figure 4B of the original manuscript). The WISDOM trial reported similar results; the small reduction in lung function was also evident within 3 weeks of complete ICS withdrawal in the trial and this difference did not progress further during the remainder of the trial (6). Such observations are also consistent with the short half-life of ICS (7). We agree that higher blood eosinophils may represent a predictor of response to inhaled corticosteroids and reiterate that patients with ≥300 blood eosinophils/</w:t>
      </w:r>
      <w:proofErr w:type="spellStart"/>
      <w:r w:rsidRPr="0079296A">
        <w:rPr>
          <w:rFonts w:ascii="Times New Roman" w:hAnsi="Times New Roman" w:cs="Times New Roman"/>
          <w:sz w:val="24"/>
          <w:szCs w:val="24"/>
        </w:rPr>
        <w:t>μL</w:t>
      </w:r>
      <w:proofErr w:type="spellEnd"/>
      <w:r w:rsidRPr="0079296A">
        <w:rPr>
          <w:rFonts w:ascii="Times New Roman" w:hAnsi="Times New Roman" w:cs="Times New Roman"/>
          <w:sz w:val="24"/>
          <w:szCs w:val="24"/>
        </w:rPr>
        <w:t xml:space="preserve"> are the patients who will most likely benefit from continuation of triple therapy. The reason for the exclusion of patients with &gt;600 cells/</w:t>
      </w:r>
      <w:proofErr w:type="spellStart"/>
      <w:r w:rsidRPr="0079296A">
        <w:rPr>
          <w:rFonts w:ascii="Times New Roman" w:hAnsi="Times New Roman" w:cs="Times New Roman"/>
          <w:sz w:val="24"/>
          <w:szCs w:val="24"/>
        </w:rPr>
        <w:t>μL</w:t>
      </w:r>
      <w:proofErr w:type="spellEnd"/>
      <w:r w:rsidRPr="0079296A">
        <w:rPr>
          <w:rFonts w:ascii="Times New Roman" w:hAnsi="Times New Roman" w:cs="Times New Roman"/>
          <w:sz w:val="24"/>
          <w:szCs w:val="24"/>
        </w:rPr>
        <w:t>, as well as of those with any history of asthma, was to ensure that ICS withdrawal would not be undertaken in patients with a coexisting asthmatic component, as such patients would clearly benefit from the use of inhaled corticosteroids. In fact, only 2 (0.2%) of the screened patients were excluded due to a blood eosinophil count &gt;600 cells/</w:t>
      </w:r>
      <w:proofErr w:type="spellStart"/>
      <w:r w:rsidRPr="0079296A">
        <w:rPr>
          <w:rFonts w:ascii="Times New Roman" w:hAnsi="Times New Roman" w:cs="Times New Roman"/>
          <w:sz w:val="24"/>
          <w:szCs w:val="24"/>
        </w:rPr>
        <w:t>μL</w:t>
      </w:r>
      <w:proofErr w:type="spellEnd"/>
      <w:r w:rsidRPr="0079296A">
        <w:rPr>
          <w:rFonts w:ascii="Times New Roman" w:hAnsi="Times New Roman" w:cs="Times New Roman"/>
          <w:sz w:val="24"/>
          <w:szCs w:val="24"/>
        </w:rPr>
        <w:t>, suggesting no impact of this parameter to our results.</w:t>
      </w: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 xml:space="preserve">Finally, we agree that COPD in lifetime </w:t>
      </w:r>
      <w:proofErr w:type="spellStart"/>
      <w:r w:rsidRPr="0079296A">
        <w:rPr>
          <w:rFonts w:ascii="Times New Roman" w:hAnsi="Times New Roman" w:cs="Times New Roman"/>
          <w:sz w:val="24"/>
          <w:szCs w:val="24"/>
        </w:rPr>
        <w:t>nonsmokers</w:t>
      </w:r>
      <w:proofErr w:type="spellEnd"/>
      <w:r w:rsidRPr="0079296A">
        <w:rPr>
          <w:rFonts w:ascii="Times New Roman" w:hAnsi="Times New Roman" w:cs="Times New Roman"/>
          <w:sz w:val="24"/>
          <w:szCs w:val="24"/>
        </w:rPr>
        <w:t xml:space="preserve"> is a major health issue in certain parts of the world (8) that must be evaluated in appropriate clinical trials. In SUNSET, as in the vast majority of COPD randomized controlled trials, the evaluation of different treatments was performed in patients with smoking-related COPD and, therefore, we cannot comment on the applicability of the results in never smokers or in those with &lt;10 pack-years.</w:t>
      </w: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Overall, the SUNSET trial has answered a specific clinically relevant question: “in a population of stable, non-frequently exacerbating COPD patients on long-term triple therapy, what is the impact of a direct switch to the modern dual bronchodilator combination of IND/GLY?” In that specific setting, we have identified the minority of patients within that group (i.e. those with ≥300 blood eosinophils/</w:t>
      </w:r>
      <w:proofErr w:type="spellStart"/>
      <w:r w:rsidRPr="0079296A">
        <w:rPr>
          <w:rFonts w:ascii="Times New Roman" w:hAnsi="Times New Roman" w:cs="Times New Roman"/>
          <w:sz w:val="24"/>
          <w:szCs w:val="24"/>
        </w:rPr>
        <w:t>μL</w:t>
      </w:r>
      <w:proofErr w:type="spellEnd"/>
      <w:r w:rsidRPr="0079296A">
        <w:rPr>
          <w:rFonts w:ascii="Times New Roman" w:hAnsi="Times New Roman" w:cs="Times New Roman"/>
          <w:sz w:val="24"/>
          <w:szCs w:val="24"/>
        </w:rPr>
        <w:t>) who will benefit from continuation on triple therapy, with no clinically relevant adverse outcomes in the rest of these patients. We believe these and other findings should encourage the use of personalized man</w:t>
      </w:r>
      <w:r w:rsidRPr="0079296A">
        <w:rPr>
          <w:rFonts w:ascii="Times New Roman" w:hAnsi="Times New Roman" w:cs="Times New Roman"/>
          <w:sz w:val="24"/>
          <w:szCs w:val="24"/>
        </w:rPr>
        <w:t>agement for patients with COPD.</w:t>
      </w:r>
    </w:p>
    <w:p w:rsidR="0079296A" w:rsidRPr="0079296A" w:rsidRDefault="0079296A" w:rsidP="0079296A">
      <w:pPr>
        <w:spacing w:line="360" w:lineRule="auto"/>
        <w:rPr>
          <w:rFonts w:ascii="Times New Roman" w:hAnsi="Times New Roman" w:cs="Times New Roman"/>
          <w:b/>
          <w:sz w:val="24"/>
          <w:szCs w:val="24"/>
        </w:rPr>
      </w:pPr>
    </w:p>
    <w:p w:rsidR="0079296A" w:rsidRPr="0079296A" w:rsidRDefault="0079296A" w:rsidP="0079296A">
      <w:pPr>
        <w:spacing w:line="360" w:lineRule="auto"/>
        <w:rPr>
          <w:rFonts w:ascii="Times New Roman" w:hAnsi="Times New Roman" w:cs="Times New Roman"/>
          <w:b/>
          <w:sz w:val="24"/>
          <w:szCs w:val="24"/>
        </w:rPr>
      </w:pPr>
      <w:r w:rsidRPr="0079296A">
        <w:rPr>
          <w:rFonts w:ascii="Times New Roman" w:hAnsi="Times New Roman" w:cs="Times New Roman"/>
          <w:b/>
          <w:sz w:val="24"/>
          <w:szCs w:val="24"/>
        </w:rPr>
        <w:t>References</w:t>
      </w: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1.</w:t>
      </w:r>
      <w:r w:rsidRPr="0079296A">
        <w:rPr>
          <w:rFonts w:ascii="Times New Roman" w:hAnsi="Times New Roman" w:cs="Times New Roman"/>
          <w:sz w:val="24"/>
          <w:szCs w:val="24"/>
        </w:rPr>
        <w:tab/>
        <w:t xml:space="preserve">Chapman KR, Hurst JR, </w:t>
      </w:r>
      <w:proofErr w:type="spellStart"/>
      <w:r w:rsidRPr="0079296A">
        <w:rPr>
          <w:rFonts w:ascii="Times New Roman" w:hAnsi="Times New Roman" w:cs="Times New Roman"/>
          <w:sz w:val="24"/>
          <w:szCs w:val="24"/>
        </w:rPr>
        <w:t>Frent</w:t>
      </w:r>
      <w:proofErr w:type="spellEnd"/>
      <w:r w:rsidRPr="0079296A">
        <w:rPr>
          <w:rFonts w:ascii="Times New Roman" w:hAnsi="Times New Roman" w:cs="Times New Roman"/>
          <w:sz w:val="24"/>
          <w:szCs w:val="24"/>
        </w:rPr>
        <w:t xml:space="preserve"> SM, </w:t>
      </w:r>
      <w:proofErr w:type="spellStart"/>
      <w:r w:rsidRPr="0079296A">
        <w:rPr>
          <w:rFonts w:ascii="Times New Roman" w:hAnsi="Times New Roman" w:cs="Times New Roman"/>
          <w:sz w:val="24"/>
          <w:szCs w:val="24"/>
        </w:rPr>
        <w:t>Larbig</w:t>
      </w:r>
      <w:proofErr w:type="spellEnd"/>
      <w:r w:rsidRPr="0079296A">
        <w:rPr>
          <w:rFonts w:ascii="Times New Roman" w:hAnsi="Times New Roman" w:cs="Times New Roman"/>
          <w:sz w:val="24"/>
          <w:szCs w:val="24"/>
        </w:rPr>
        <w:t xml:space="preserve"> M, </w:t>
      </w:r>
      <w:proofErr w:type="spellStart"/>
      <w:r w:rsidRPr="0079296A">
        <w:rPr>
          <w:rFonts w:ascii="Times New Roman" w:hAnsi="Times New Roman" w:cs="Times New Roman"/>
          <w:sz w:val="24"/>
          <w:szCs w:val="24"/>
        </w:rPr>
        <w:t>Fogel</w:t>
      </w:r>
      <w:proofErr w:type="spellEnd"/>
      <w:r w:rsidRPr="0079296A">
        <w:rPr>
          <w:rFonts w:ascii="Times New Roman" w:hAnsi="Times New Roman" w:cs="Times New Roman"/>
          <w:sz w:val="24"/>
          <w:szCs w:val="24"/>
        </w:rPr>
        <w:t xml:space="preserve"> R, Guerin T, Banerji D, </w:t>
      </w:r>
      <w:proofErr w:type="spellStart"/>
      <w:r w:rsidRPr="0079296A">
        <w:rPr>
          <w:rFonts w:ascii="Times New Roman" w:hAnsi="Times New Roman" w:cs="Times New Roman"/>
          <w:sz w:val="24"/>
          <w:szCs w:val="24"/>
        </w:rPr>
        <w:t>Patalano</w:t>
      </w:r>
      <w:proofErr w:type="spellEnd"/>
      <w:r w:rsidRPr="0079296A">
        <w:rPr>
          <w:rFonts w:ascii="Times New Roman" w:hAnsi="Times New Roman" w:cs="Times New Roman"/>
          <w:sz w:val="24"/>
          <w:szCs w:val="24"/>
        </w:rPr>
        <w:t xml:space="preserve"> F, </w:t>
      </w:r>
      <w:proofErr w:type="spellStart"/>
      <w:r w:rsidRPr="0079296A">
        <w:rPr>
          <w:rFonts w:ascii="Times New Roman" w:hAnsi="Times New Roman" w:cs="Times New Roman"/>
          <w:sz w:val="24"/>
          <w:szCs w:val="24"/>
        </w:rPr>
        <w:t>Goyal</w:t>
      </w:r>
      <w:proofErr w:type="spellEnd"/>
      <w:r w:rsidRPr="0079296A">
        <w:rPr>
          <w:rFonts w:ascii="Times New Roman" w:hAnsi="Times New Roman" w:cs="Times New Roman"/>
          <w:sz w:val="24"/>
          <w:szCs w:val="24"/>
        </w:rPr>
        <w:t xml:space="preserve"> P, </w:t>
      </w:r>
      <w:proofErr w:type="spellStart"/>
      <w:r w:rsidRPr="0079296A">
        <w:rPr>
          <w:rFonts w:ascii="Times New Roman" w:hAnsi="Times New Roman" w:cs="Times New Roman"/>
          <w:sz w:val="24"/>
          <w:szCs w:val="24"/>
        </w:rPr>
        <w:t>Pfister</w:t>
      </w:r>
      <w:proofErr w:type="spellEnd"/>
      <w:r w:rsidRPr="0079296A">
        <w:rPr>
          <w:rFonts w:ascii="Times New Roman" w:hAnsi="Times New Roman" w:cs="Times New Roman"/>
          <w:sz w:val="24"/>
          <w:szCs w:val="24"/>
        </w:rPr>
        <w:t xml:space="preserve"> P, </w:t>
      </w:r>
      <w:proofErr w:type="spellStart"/>
      <w:r w:rsidRPr="0079296A">
        <w:rPr>
          <w:rFonts w:ascii="Times New Roman" w:hAnsi="Times New Roman" w:cs="Times New Roman"/>
          <w:sz w:val="24"/>
          <w:szCs w:val="24"/>
        </w:rPr>
        <w:t>Kostikas</w:t>
      </w:r>
      <w:proofErr w:type="spellEnd"/>
      <w:r w:rsidRPr="0079296A">
        <w:rPr>
          <w:rFonts w:ascii="Times New Roman" w:hAnsi="Times New Roman" w:cs="Times New Roman"/>
          <w:sz w:val="24"/>
          <w:szCs w:val="24"/>
        </w:rPr>
        <w:t xml:space="preserve"> K, Wedzicha JA. Long-Term Triple Therapy De-escalation to </w:t>
      </w:r>
      <w:proofErr w:type="spellStart"/>
      <w:r w:rsidRPr="0079296A">
        <w:rPr>
          <w:rFonts w:ascii="Times New Roman" w:hAnsi="Times New Roman" w:cs="Times New Roman"/>
          <w:sz w:val="24"/>
          <w:szCs w:val="24"/>
        </w:rPr>
        <w:t>Indacaterol</w:t>
      </w:r>
      <w:proofErr w:type="spellEnd"/>
      <w:r w:rsidRPr="0079296A">
        <w:rPr>
          <w:rFonts w:ascii="Times New Roman" w:hAnsi="Times New Roman" w:cs="Times New Roman"/>
          <w:sz w:val="24"/>
          <w:szCs w:val="24"/>
        </w:rPr>
        <w:t>/</w:t>
      </w:r>
      <w:proofErr w:type="spellStart"/>
      <w:r w:rsidRPr="0079296A">
        <w:rPr>
          <w:rFonts w:ascii="Times New Roman" w:hAnsi="Times New Roman" w:cs="Times New Roman"/>
          <w:sz w:val="24"/>
          <w:szCs w:val="24"/>
        </w:rPr>
        <w:t>Glycopyrronium</w:t>
      </w:r>
      <w:proofErr w:type="spellEnd"/>
      <w:r w:rsidRPr="0079296A">
        <w:rPr>
          <w:rFonts w:ascii="Times New Roman" w:hAnsi="Times New Roman" w:cs="Times New Roman"/>
          <w:sz w:val="24"/>
          <w:szCs w:val="24"/>
        </w:rPr>
        <w:t xml:space="preserve"> in Patients with Chronic Obstructive Pulmonary Disease </w:t>
      </w:r>
      <w:r w:rsidRPr="0079296A">
        <w:rPr>
          <w:rFonts w:ascii="Times New Roman" w:hAnsi="Times New Roman" w:cs="Times New Roman"/>
          <w:sz w:val="24"/>
          <w:szCs w:val="24"/>
        </w:rPr>
        <w:lastRenderedPageBreak/>
        <w:t xml:space="preserve">(SUNSET): A Randomized, Double-Blind, Triple- Dummy Clinical Trial. Am J </w:t>
      </w:r>
      <w:proofErr w:type="spellStart"/>
      <w:r w:rsidRPr="0079296A">
        <w:rPr>
          <w:rFonts w:ascii="Times New Roman" w:hAnsi="Times New Roman" w:cs="Times New Roman"/>
          <w:sz w:val="24"/>
          <w:szCs w:val="24"/>
        </w:rPr>
        <w:t>Respir</w:t>
      </w:r>
      <w:proofErr w:type="spellEnd"/>
      <w:r w:rsidRPr="0079296A">
        <w:rPr>
          <w:rFonts w:ascii="Times New Roman" w:hAnsi="Times New Roman" w:cs="Times New Roman"/>
          <w:sz w:val="24"/>
          <w:szCs w:val="24"/>
        </w:rPr>
        <w:t xml:space="preserve"> </w:t>
      </w:r>
      <w:proofErr w:type="spellStart"/>
      <w:r w:rsidRPr="0079296A">
        <w:rPr>
          <w:rFonts w:ascii="Times New Roman" w:hAnsi="Times New Roman" w:cs="Times New Roman"/>
          <w:sz w:val="24"/>
          <w:szCs w:val="24"/>
        </w:rPr>
        <w:t>Crit</w:t>
      </w:r>
      <w:proofErr w:type="spellEnd"/>
      <w:r w:rsidRPr="0079296A">
        <w:rPr>
          <w:rFonts w:ascii="Times New Roman" w:hAnsi="Times New Roman" w:cs="Times New Roman"/>
          <w:sz w:val="24"/>
          <w:szCs w:val="24"/>
        </w:rPr>
        <w:t xml:space="preserve"> Care Med 2018; 198: 329-</w:t>
      </w:r>
      <w:proofErr w:type="gramStart"/>
      <w:r w:rsidRPr="0079296A">
        <w:rPr>
          <w:rFonts w:ascii="Times New Roman" w:hAnsi="Times New Roman" w:cs="Times New Roman"/>
          <w:sz w:val="24"/>
          <w:szCs w:val="24"/>
        </w:rPr>
        <w:t>339.</w:t>
      </w:r>
      <w:proofErr w:type="gramEnd"/>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2.</w:t>
      </w:r>
      <w:r w:rsidRPr="0079296A">
        <w:rPr>
          <w:rFonts w:ascii="Times New Roman" w:hAnsi="Times New Roman" w:cs="Times New Roman"/>
          <w:sz w:val="24"/>
          <w:szCs w:val="24"/>
        </w:rPr>
        <w:tab/>
        <w:t xml:space="preserve">Donohue JF, Betts KA, Du EX, Altman P, </w:t>
      </w:r>
      <w:proofErr w:type="spellStart"/>
      <w:r w:rsidRPr="0079296A">
        <w:rPr>
          <w:rFonts w:ascii="Times New Roman" w:hAnsi="Times New Roman" w:cs="Times New Roman"/>
          <w:sz w:val="24"/>
          <w:szCs w:val="24"/>
        </w:rPr>
        <w:t>Goyal</w:t>
      </w:r>
      <w:proofErr w:type="spellEnd"/>
      <w:r w:rsidRPr="0079296A">
        <w:rPr>
          <w:rFonts w:ascii="Times New Roman" w:hAnsi="Times New Roman" w:cs="Times New Roman"/>
          <w:sz w:val="24"/>
          <w:szCs w:val="24"/>
        </w:rPr>
        <w:t xml:space="preserve"> P, </w:t>
      </w:r>
      <w:proofErr w:type="spellStart"/>
      <w:r w:rsidRPr="0079296A">
        <w:rPr>
          <w:rFonts w:ascii="Times New Roman" w:hAnsi="Times New Roman" w:cs="Times New Roman"/>
          <w:sz w:val="24"/>
          <w:szCs w:val="24"/>
        </w:rPr>
        <w:t>Keininger</w:t>
      </w:r>
      <w:proofErr w:type="spellEnd"/>
      <w:r w:rsidRPr="0079296A">
        <w:rPr>
          <w:rFonts w:ascii="Times New Roman" w:hAnsi="Times New Roman" w:cs="Times New Roman"/>
          <w:sz w:val="24"/>
          <w:szCs w:val="24"/>
        </w:rPr>
        <w:t xml:space="preserve"> DL, </w:t>
      </w:r>
      <w:proofErr w:type="spellStart"/>
      <w:r w:rsidRPr="0079296A">
        <w:rPr>
          <w:rFonts w:ascii="Times New Roman" w:hAnsi="Times New Roman" w:cs="Times New Roman"/>
          <w:sz w:val="24"/>
          <w:szCs w:val="24"/>
        </w:rPr>
        <w:t>Gruenberger</w:t>
      </w:r>
      <w:proofErr w:type="spellEnd"/>
      <w:r w:rsidRPr="0079296A">
        <w:rPr>
          <w:rFonts w:ascii="Times New Roman" w:hAnsi="Times New Roman" w:cs="Times New Roman"/>
          <w:sz w:val="24"/>
          <w:szCs w:val="24"/>
        </w:rPr>
        <w:t xml:space="preserve"> JB, </w:t>
      </w:r>
      <w:proofErr w:type="spellStart"/>
      <w:r w:rsidRPr="0079296A">
        <w:rPr>
          <w:rFonts w:ascii="Times New Roman" w:hAnsi="Times New Roman" w:cs="Times New Roman"/>
          <w:sz w:val="24"/>
          <w:szCs w:val="24"/>
        </w:rPr>
        <w:t>Signorovitch</w:t>
      </w:r>
      <w:proofErr w:type="spellEnd"/>
      <w:r w:rsidRPr="0079296A">
        <w:rPr>
          <w:rFonts w:ascii="Times New Roman" w:hAnsi="Times New Roman" w:cs="Times New Roman"/>
          <w:sz w:val="24"/>
          <w:szCs w:val="24"/>
        </w:rPr>
        <w:t xml:space="preserve"> JE. Comparative efficacy of long-acting beta2-agonists as monotherapy for chronic obstructive pulmonary disease: a network meta-analysis. </w:t>
      </w:r>
      <w:proofErr w:type="spellStart"/>
      <w:r w:rsidRPr="0079296A">
        <w:rPr>
          <w:rFonts w:ascii="Times New Roman" w:hAnsi="Times New Roman" w:cs="Times New Roman"/>
          <w:sz w:val="24"/>
          <w:szCs w:val="24"/>
        </w:rPr>
        <w:t>Int</w:t>
      </w:r>
      <w:proofErr w:type="spellEnd"/>
      <w:r w:rsidRPr="0079296A">
        <w:rPr>
          <w:rFonts w:ascii="Times New Roman" w:hAnsi="Times New Roman" w:cs="Times New Roman"/>
          <w:sz w:val="24"/>
          <w:szCs w:val="24"/>
        </w:rPr>
        <w:t xml:space="preserve"> J </w:t>
      </w:r>
      <w:proofErr w:type="spellStart"/>
      <w:r w:rsidRPr="0079296A">
        <w:rPr>
          <w:rFonts w:ascii="Times New Roman" w:hAnsi="Times New Roman" w:cs="Times New Roman"/>
          <w:sz w:val="24"/>
          <w:szCs w:val="24"/>
        </w:rPr>
        <w:t>Chron</w:t>
      </w:r>
      <w:proofErr w:type="spellEnd"/>
      <w:r w:rsidRPr="0079296A">
        <w:rPr>
          <w:rFonts w:ascii="Times New Roman" w:hAnsi="Times New Roman" w:cs="Times New Roman"/>
          <w:sz w:val="24"/>
          <w:szCs w:val="24"/>
        </w:rPr>
        <w:t xml:space="preserve"> Obstruct </w:t>
      </w:r>
      <w:proofErr w:type="spellStart"/>
      <w:r w:rsidRPr="0079296A">
        <w:rPr>
          <w:rFonts w:ascii="Times New Roman" w:hAnsi="Times New Roman" w:cs="Times New Roman"/>
          <w:sz w:val="24"/>
          <w:szCs w:val="24"/>
        </w:rPr>
        <w:t>Pulmon</w:t>
      </w:r>
      <w:proofErr w:type="spellEnd"/>
      <w:r w:rsidRPr="0079296A">
        <w:rPr>
          <w:rFonts w:ascii="Times New Roman" w:hAnsi="Times New Roman" w:cs="Times New Roman"/>
          <w:sz w:val="24"/>
          <w:szCs w:val="24"/>
        </w:rPr>
        <w:t xml:space="preserve"> Dis 2017; 12: 367-381.</w:t>
      </w: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3.</w:t>
      </w:r>
      <w:r w:rsidRPr="0079296A">
        <w:rPr>
          <w:rFonts w:ascii="Times New Roman" w:hAnsi="Times New Roman" w:cs="Times New Roman"/>
          <w:sz w:val="24"/>
          <w:szCs w:val="24"/>
        </w:rPr>
        <w:tab/>
        <w:t xml:space="preserve">Chapman KR, </w:t>
      </w:r>
      <w:proofErr w:type="spellStart"/>
      <w:r w:rsidRPr="0079296A">
        <w:rPr>
          <w:rFonts w:ascii="Times New Roman" w:hAnsi="Times New Roman" w:cs="Times New Roman"/>
          <w:sz w:val="24"/>
          <w:szCs w:val="24"/>
        </w:rPr>
        <w:t>Beeh</w:t>
      </w:r>
      <w:proofErr w:type="spellEnd"/>
      <w:r w:rsidRPr="0079296A">
        <w:rPr>
          <w:rFonts w:ascii="Times New Roman" w:hAnsi="Times New Roman" w:cs="Times New Roman"/>
          <w:sz w:val="24"/>
          <w:szCs w:val="24"/>
        </w:rPr>
        <w:t xml:space="preserve"> KM, </w:t>
      </w:r>
      <w:proofErr w:type="spellStart"/>
      <w:r w:rsidRPr="0079296A">
        <w:rPr>
          <w:rFonts w:ascii="Times New Roman" w:hAnsi="Times New Roman" w:cs="Times New Roman"/>
          <w:sz w:val="24"/>
          <w:szCs w:val="24"/>
        </w:rPr>
        <w:t>Beier</w:t>
      </w:r>
      <w:proofErr w:type="spellEnd"/>
      <w:r w:rsidRPr="0079296A">
        <w:rPr>
          <w:rFonts w:ascii="Times New Roman" w:hAnsi="Times New Roman" w:cs="Times New Roman"/>
          <w:sz w:val="24"/>
          <w:szCs w:val="24"/>
        </w:rPr>
        <w:t xml:space="preserve"> J, Bateman ED, </w:t>
      </w:r>
      <w:proofErr w:type="spellStart"/>
      <w:r w:rsidRPr="0079296A">
        <w:rPr>
          <w:rFonts w:ascii="Times New Roman" w:hAnsi="Times New Roman" w:cs="Times New Roman"/>
          <w:sz w:val="24"/>
          <w:szCs w:val="24"/>
        </w:rPr>
        <w:t>D'Urzo</w:t>
      </w:r>
      <w:proofErr w:type="spellEnd"/>
      <w:r w:rsidRPr="0079296A">
        <w:rPr>
          <w:rFonts w:ascii="Times New Roman" w:hAnsi="Times New Roman" w:cs="Times New Roman"/>
          <w:sz w:val="24"/>
          <w:szCs w:val="24"/>
        </w:rPr>
        <w:t xml:space="preserve"> A, </w:t>
      </w:r>
      <w:proofErr w:type="spellStart"/>
      <w:r w:rsidRPr="0079296A">
        <w:rPr>
          <w:rFonts w:ascii="Times New Roman" w:hAnsi="Times New Roman" w:cs="Times New Roman"/>
          <w:sz w:val="24"/>
          <w:szCs w:val="24"/>
        </w:rPr>
        <w:t>Nutbrown</w:t>
      </w:r>
      <w:proofErr w:type="spellEnd"/>
      <w:r w:rsidRPr="0079296A">
        <w:rPr>
          <w:rFonts w:ascii="Times New Roman" w:hAnsi="Times New Roman" w:cs="Times New Roman"/>
          <w:sz w:val="24"/>
          <w:szCs w:val="24"/>
        </w:rPr>
        <w:t xml:space="preserve"> R, Henley M, Chen H, </w:t>
      </w:r>
      <w:proofErr w:type="spellStart"/>
      <w:r w:rsidRPr="0079296A">
        <w:rPr>
          <w:rFonts w:ascii="Times New Roman" w:hAnsi="Times New Roman" w:cs="Times New Roman"/>
          <w:sz w:val="24"/>
          <w:szCs w:val="24"/>
        </w:rPr>
        <w:t>Overend</w:t>
      </w:r>
      <w:proofErr w:type="spellEnd"/>
      <w:r w:rsidRPr="0079296A">
        <w:rPr>
          <w:rFonts w:ascii="Times New Roman" w:hAnsi="Times New Roman" w:cs="Times New Roman"/>
          <w:sz w:val="24"/>
          <w:szCs w:val="24"/>
        </w:rPr>
        <w:t xml:space="preserve"> T, </w:t>
      </w:r>
      <w:proofErr w:type="spellStart"/>
      <w:r w:rsidRPr="0079296A">
        <w:rPr>
          <w:rFonts w:ascii="Times New Roman" w:hAnsi="Times New Roman" w:cs="Times New Roman"/>
          <w:sz w:val="24"/>
          <w:szCs w:val="24"/>
        </w:rPr>
        <w:t>D'Andrea</w:t>
      </w:r>
      <w:proofErr w:type="spellEnd"/>
      <w:r w:rsidRPr="0079296A">
        <w:rPr>
          <w:rFonts w:ascii="Times New Roman" w:hAnsi="Times New Roman" w:cs="Times New Roman"/>
          <w:sz w:val="24"/>
          <w:szCs w:val="24"/>
        </w:rPr>
        <w:t xml:space="preserve"> P. A blinded evaluation of the efficacy and safety of </w:t>
      </w:r>
      <w:proofErr w:type="spellStart"/>
      <w:r w:rsidRPr="0079296A">
        <w:rPr>
          <w:rFonts w:ascii="Times New Roman" w:hAnsi="Times New Roman" w:cs="Times New Roman"/>
          <w:sz w:val="24"/>
          <w:szCs w:val="24"/>
        </w:rPr>
        <w:t>glycopyrronium</w:t>
      </w:r>
      <w:proofErr w:type="spellEnd"/>
      <w:r w:rsidRPr="0079296A">
        <w:rPr>
          <w:rFonts w:ascii="Times New Roman" w:hAnsi="Times New Roman" w:cs="Times New Roman"/>
          <w:sz w:val="24"/>
          <w:szCs w:val="24"/>
        </w:rPr>
        <w:t xml:space="preserve">, a once-daily long-acting muscarinic antagonist, versus </w:t>
      </w:r>
      <w:proofErr w:type="spellStart"/>
      <w:r w:rsidRPr="0079296A">
        <w:rPr>
          <w:rFonts w:ascii="Times New Roman" w:hAnsi="Times New Roman" w:cs="Times New Roman"/>
          <w:sz w:val="24"/>
          <w:szCs w:val="24"/>
        </w:rPr>
        <w:t>tiotropium</w:t>
      </w:r>
      <w:proofErr w:type="spellEnd"/>
      <w:r w:rsidRPr="0079296A">
        <w:rPr>
          <w:rFonts w:ascii="Times New Roman" w:hAnsi="Times New Roman" w:cs="Times New Roman"/>
          <w:sz w:val="24"/>
          <w:szCs w:val="24"/>
        </w:rPr>
        <w:t xml:space="preserve">, in patients with COPD: the GLOW5 study. BMC </w:t>
      </w:r>
      <w:proofErr w:type="spellStart"/>
      <w:r w:rsidRPr="0079296A">
        <w:rPr>
          <w:rFonts w:ascii="Times New Roman" w:hAnsi="Times New Roman" w:cs="Times New Roman"/>
          <w:sz w:val="24"/>
          <w:szCs w:val="24"/>
        </w:rPr>
        <w:t>Pulm</w:t>
      </w:r>
      <w:proofErr w:type="spellEnd"/>
      <w:r w:rsidRPr="0079296A">
        <w:rPr>
          <w:rFonts w:ascii="Times New Roman" w:hAnsi="Times New Roman" w:cs="Times New Roman"/>
          <w:sz w:val="24"/>
          <w:szCs w:val="24"/>
        </w:rPr>
        <w:t xml:space="preserve"> Med 2014; 14: 4.</w:t>
      </w: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4.</w:t>
      </w:r>
      <w:r w:rsidRPr="0079296A">
        <w:rPr>
          <w:rFonts w:ascii="Times New Roman" w:hAnsi="Times New Roman" w:cs="Times New Roman"/>
          <w:sz w:val="24"/>
          <w:szCs w:val="24"/>
        </w:rPr>
        <w:tab/>
      </w:r>
      <w:proofErr w:type="spellStart"/>
      <w:r w:rsidRPr="0079296A">
        <w:rPr>
          <w:rFonts w:ascii="Times New Roman" w:hAnsi="Times New Roman" w:cs="Times New Roman"/>
          <w:sz w:val="24"/>
          <w:szCs w:val="24"/>
        </w:rPr>
        <w:t>Kerwin</w:t>
      </w:r>
      <w:proofErr w:type="spellEnd"/>
      <w:r w:rsidRPr="0079296A">
        <w:rPr>
          <w:rFonts w:ascii="Times New Roman" w:hAnsi="Times New Roman" w:cs="Times New Roman"/>
          <w:sz w:val="24"/>
          <w:szCs w:val="24"/>
        </w:rPr>
        <w:t xml:space="preserve"> E, Hebert J, Gallagher N, Martin C, </w:t>
      </w:r>
      <w:proofErr w:type="spellStart"/>
      <w:r w:rsidRPr="0079296A">
        <w:rPr>
          <w:rFonts w:ascii="Times New Roman" w:hAnsi="Times New Roman" w:cs="Times New Roman"/>
          <w:sz w:val="24"/>
          <w:szCs w:val="24"/>
        </w:rPr>
        <w:t>Overend</w:t>
      </w:r>
      <w:proofErr w:type="spellEnd"/>
      <w:r w:rsidRPr="0079296A">
        <w:rPr>
          <w:rFonts w:ascii="Times New Roman" w:hAnsi="Times New Roman" w:cs="Times New Roman"/>
          <w:sz w:val="24"/>
          <w:szCs w:val="24"/>
        </w:rPr>
        <w:t xml:space="preserve"> T, </w:t>
      </w:r>
      <w:proofErr w:type="spellStart"/>
      <w:r w:rsidRPr="0079296A">
        <w:rPr>
          <w:rFonts w:ascii="Times New Roman" w:hAnsi="Times New Roman" w:cs="Times New Roman"/>
          <w:sz w:val="24"/>
          <w:szCs w:val="24"/>
        </w:rPr>
        <w:t>Alagappan</w:t>
      </w:r>
      <w:proofErr w:type="spellEnd"/>
      <w:r w:rsidRPr="0079296A">
        <w:rPr>
          <w:rFonts w:ascii="Times New Roman" w:hAnsi="Times New Roman" w:cs="Times New Roman"/>
          <w:sz w:val="24"/>
          <w:szCs w:val="24"/>
        </w:rPr>
        <w:t xml:space="preserve"> VK, Lu Y, Banerji D. Efficacy and safety of NVA237 versus placebo and </w:t>
      </w:r>
      <w:proofErr w:type="spellStart"/>
      <w:r w:rsidRPr="0079296A">
        <w:rPr>
          <w:rFonts w:ascii="Times New Roman" w:hAnsi="Times New Roman" w:cs="Times New Roman"/>
          <w:sz w:val="24"/>
          <w:szCs w:val="24"/>
        </w:rPr>
        <w:t>tiotropium</w:t>
      </w:r>
      <w:proofErr w:type="spellEnd"/>
      <w:r w:rsidRPr="0079296A">
        <w:rPr>
          <w:rFonts w:ascii="Times New Roman" w:hAnsi="Times New Roman" w:cs="Times New Roman"/>
          <w:sz w:val="24"/>
          <w:szCs w:val="24"/>
        </w:rPr>
        <w:t xml:space="preserve"> in patients with COPD: the GLOW2 study. </w:t>
      </w:r>
      <w:proofErr w:type="spellStart"/>
      <w:r w:rsidRPr="0079296A">
        <w:rPr>
          <w:rFonts w:ascii="Times New Roman" w:hAnsi="Times New Roman" w:cs="Times New Roman"/>
          <w:sz w:val="24"/>
          <w:szCs w:val="24"/>
        </w:rPr>
        <w:t>Eur</w:t>
      </w:r>
      <w:proofErr w:type="spellEnd"/>
      <w:r w:rsidRPr="0079296A">
        <w:rPr>
          <w:rFonts w:ascii="Times New Roman" w:hAnsi="Times New Roman" w:cs="Times New Roman"/>
          <w:sz w:val="24"/>
          <w:szCs w:val="24"/>
        </w:rPr>
        <w:t xml:space="preserve"> </w:t>
      </w:r>
      <w:proofErr w:type="spellStart"/>
      <w:r w:rsidRPr="0079296A">
        <w:rPr>
          <w:rFonts w:ascii="Times New Roman" w:hAnsi="Times New Roman" w:cs="Times New Roman"/>
          <w:sz w:val="24"/>
          <w:szCs w:val="24"/>
        </w:rPr>
        <w:t>Respir</w:t>
      </w:r>
      <w:proofErr w:type="spellEnd"/>
      <w:r w:rsidRPr="0079296A">
        <w:rPr>
          <w:rFonts w:ascii="Times New Roman" w:hAnsi="Times New Roman" w:cs="Times New Roman"/>
          <w:sz w:val="24"/>
          <w:szCs w:val="24"/>
        </w:rPr>
        <w:t xml:space="preserve"> J 2012; 40: 1106-1114.</w:t>
      </w: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5.</w:t>
      </w:r>
      <w:r w:rsidRPr="0079296A">
        <w:rPr>
          <w:rFonts w:ascii="Times New Roman" w:hAnsi="Times New Roman" w:cs="Times New Roman"/>
          <w:sz w:val="24"/>
          <w:szCs w:val="24"/>
        </w:rPr>
        <w:tab/>
        <w:t xml:space="preserve">Marin JM, </w:t>
      </w:r>
      <w:proofErr w:type="spellStart"/>
      <w:r w:rsidRPr="0079296A">
        <w:rPr>
          <w:rFonts w:ascii="Times New Roman" w:hAnsi="Times New Roman" w:cs="Times New Roman"/>
          <w:sz w:val="24"/>
          <w:szCs w:val="24"/>
        </w:rPr>
        <w:t>Beeh</w:t>
      </w:r>
      <w:proofErr w:type="spellEnd"/>
      <w:r w:rsidRPr="0079296A">
        <w:rPr>
          <w:rFonts w:ascii="Times New Roman" w:hAnsi="Times New Roman" w:cs="Times New Roman"/>
          <w:sz w:val="24"/>
          <w:szCs w:val="24"/>
        </w:rPr>
        <w:t xml:space="preserve"> KM, Clemens A, Castellani W, </w:t>
      </w:r>
      <w:proofErr w:type="spellStart"/>
      <w:r w:rsidRPr="0079296A">
        <w:rPr>
          <w:rFonts w:ascii="Times New Roman" w:hAnsi="Times New Roman" w:cs="Times New Roman"/>
          <w:sz w:val="24"/>
          <w:szCs w:val="24"/>
        </w:rPr>
        <w:t>Schaper</w:t>
      </w:r>
      <w:proofErr w:type="spellEnd"/>
      <w:r w:rsidRPr="0079296A">
        <w:rPr>
          <w:rFonts w:ascii="Times New Roman" w:hAnsi="Times New Roman" w:cs="Times New Roman"/>
          <w:sz w:val="24"/>
          <w:szCs w:val="24"/>
        </w:rPr>
        <w:t xml:space="preserve"> L, </w:t>
      </w:r>
      <w:proofErr w:type="spellStart"/>
      <w:r w:rsidRPr="0079296A">
        <w:rPr>
          <w:rFonts w:ascii="Times New Roman" w:hAnsi="Times New Roman" w:cs="Times New Roman"/>
          <w:sz w:val="24"/>
          <w:szCs w:val="24"/>
        </w:rPr>
        <w:t>Saralaya</w:t>
      </w:r>
      <w:proofErr w:type="spellEnd"/>
      <w:r w:rsidRPr="0079296A">
        <w:rPr>
          <w:rFonts w:ascii="Times New Roman" w:hAnsi="Times New Roman" w:cs="Times New Roman"/>
          <w:sz w:val="24"/>
          <w:szCs w:val="24"/>
        </w:rPr>
        <w:t xml:space="preserve"> D, </w:t>
      </w:r>
      <w:proofErr w:type="spellStart"/>
      <w:r w:rsidRPr="0079296A">
        <w:rPr>
          <w:rFonts w:ascii="Times New Roman" w:hAnsi="Times New Roman" w:cs="Times New Roman"/>
          <w:sz w:val="24"/>
          <w:szCs w:val="24"/>
        </w:rPr>
        <w:t>Gunstone</w:t>
      </w:r>
      <w:proofErr w:type="spellEnd"/>
      <w:r w:rsidRPr="0079296A">
        <w:rPr>
          <w:rFonts w:ascii="Times New Roman" w:hAnsi="Times New Roman" w:cs="Times New Roman"/>
          <w:sz w:val="24"/>
          <w:szCs w:val="24"/>
        </w:rPr>
        <w:t xml:space="preserve"> A, </w:t>
      </w:r>
      <w:proofErr w:type="spellStart"/>
      <w:r w:rsidRPr="0079296A">
        <w:rPr>
          <w:rFonts w:ascii="Times New Roman" w:hAnsi="Times New Roman" w:cs="Times New Roman"/>
          <w:sz w:val="24"/>
          <w:szCs w:val="24"/>
        </w:rPr>
        <w:t>Casamor</w:t>
      </w:r>
      <w:proofErr w:type="spellEnd"/>
      <w:r w:rsidRPr="0079296A">
        <w:rPr>
          <w:rFonts w:ascii="Times New Roman" w:hAnsi="Times New Roman" w:cs="Times New Roman"/>
          <w:sz w:val="24"/>
          <w:szCs w:val="24"/>
        </w:rPr>
        <w:t xml:space="preserve"> R, </w:t>
      </w:r>
      <w:proofErr w:type="spellStart"/>
      <w:r w:rsidRPr="0079296A">
        <w:rPr>
          <w:rFonts w:ascii="Times New Roman" w:hAnsi="Times New Roman" w:cs="Times New Roman"/>
          <w:sz w:val="24"/>
          <w:szCs w:val="24"/>
        </w:rPr>
        <w:t>Kostikas</w:t>
      </w:r>
      <w:proofErr w:type="spellEnd"/>
      <w:r w:rsidRPr="0079296A">
        <w:rPr>
          <w:rFonts w:ascii="Times New Roman" w:hAnsi="Times New Roman" w:cs="Times New Roman"/>
          <w:sz w:val="24"/>
          <w:szCs w:val="24"/>
        </w:rPr>
        <w:t xml:space="preserve"> K, </w:t>
      </w:r>
      <w:proofErr w:type="spellStart"/>
      <w:r w:rsidRPr="0079296A">
        <w:rPr>
          <w:rFonts w:ascii="Times New Roman" w:hAnsi="Times New Roman" w:cs="Times New Roman"/>
          <w:sz w:val="24"/>
          <w:szCs w:val="24"/>
        </w:rPr>
        <w:t>Aalamian-Mattheis</w:t>
      </w:r>
      <w:proofErr w:type="spellEnd"/>
      <w:r w:rsidRPr="0079296A">
        <w:rPr>
          <w:rFonts w:ascii="Times New Roman" w:hAnsi="Times New Roman" w:cs="Times New Roman"/>
          <w:sz w:val="24"/>
          <w:szCs w:val="24"/>
        </w:rPr>
        <w:t xml:space="preserve"> M. Early bronchodilator action of </w:t>
      </w:r>
      <w:proofErr w:type="spellStart"/>
      <w:r w:rsidRPr="0079296A">
        <w:rPr>
          <w:rFonts w:ascii="Times New Roman" w:hAnsi="Times New Roman" w:cs="Times New Roman"/>
          <w:sz w:val="24"/>
          <w:szCs w:val="24"/>
        </w:rPr>
        <w:t>glycopyrronium</w:t>
      </w:r>
      <w:proofErr w:type="spellEnd"/>
      <w:r w:rsidRPr="0079296A">
        <w:rPr>
          <w:rFonts w:ascii="Times New Roman" w:hAnsi="Times New Roman" w:cs="Times New Roman"/>
          <w:sz w:val="24"/>
          <w:szCs w:val="24"/>
        </w:rPr>
        <w:t xml:space="preserve"> versus </w:t>
      </w:r>
      <w:proofErr w:type="spellStart"/>
      <w:r w:rsidRPr="0079296A">
        <w:rPr>
          <w:rFonts w:ascii="Times New Roman" w:hAnsi="Times New Roman" w:cs="Times New Roman"/>
          <w:sz w:val="24"/>
          <w:szCs w:val="24"/>
        </w:rPr>
        <w:t>tiotropium</w:t>
      </w:r>
      <w:proofErr w:type="spellEnd"/>
      <w:r w:rsidRPr="0079296A">
        <w:rPr>
          <w:rFonts w:ascii="Times New Roman" w:hAnsi="Times New Roman" w:cs="Times New Roman"/>
          <w:sz w:val="24"/>
          <w:szCs w:val="24"/>
        </w:rPr>
        <w:t xml:space="preserve"> in moderate-to-severe COPD patients: a cross-over blinded randomized study (Symptoms and Pulmonary function in the </w:t>
      </w:r>
      <w:proofErr w:type="spellStart"/>
      <w:r w:rsidRPr="0079296A">
        <w:rPr>
          <w:rFonts w:ascii="Times New Roman" w:hAnsi="Times New Roman" w:cs="Times New Roman"/>
          <w:sz w:val="24"/>
          <w:szCs w:val="24"/>
        </w:rPr>
        <w:t>moRnING</w:t>
      </w:r>
      <w:proofErr w:type="spellEnd"/>
      <w:r w:rsidRPr="0079296A">
        <w:rPr>
          <w:rFonts w:ascii="Times New Roman" w:hAnsi="Times New Roman" w:cs="Times New Roman"/>
          <w:sz w:val="24"/>
          <w:szCs w:val="24"/>
        </w:rPr>
        <w:t xml:space="preserve">). </w:t>
      </w:r>
      <w:proofErr w:type="spellStart"/>
      <w:r w:rsidRPr="0079296A">
        <w:rPr>
          <w:rFonts w:ascii="Times New Roman" w:hAnsi="Times New Roman" w:cs="Times New Roman"/>
          <w:sz w:val="24"/>
          <w:szCs w:val="24"/>
        </w:rPr>
        <w:t>Int</w:t>
      </w:r>
      <w:proofErr w:type="spellEnd"/>
      <w:r w:rsidRPr="0079296A">
        <w:rPr>
          <w:rFonts w:ascii="Times New Roman" w:hAnsi="Times New Roman" w:cs="Times New Roman"/>
          <w:sz w:val="24"/>
          <w:szCs w:val="24"/>
        </w:rPr>
        <w:t xml:space="preserve"> J </w:t>
      </w:r>
      <w:proofErr w:type="spellStart"/>
      <w:r w:rsidRPr="0079296A">
        <w:rPr>
          <w:rFonts w:ascii="Times New Roman" w:hAnsi="Times New Roman" w:cs="Times New Roman"/>
          <w:sz w:val="24"/>
          <w:szCs w:val="24"/>
        </w:rPr>
        <w:t>Chron</w:t>
      </w:r>
      <w:proofErr w:type="spellEnd"/>
      <w:r w:rsidRPr="0079296A">
        <w:rPr>
          <w:rFonts w:ascii="Times New Roman" w:hAnsi="Times New Roman" w:cs="Times New Roman"/>
          <w:sz w:val="24"/>
          <w:szCs w:val="24"/>
        </w:rPr>
        <w:t xml:space="preserve"> Obstruct </w:t>
      </w:r>
      <w:proofErr w:type="spellStart"/>
      <w:r w:rsidRPr="0079296A">
        <w:rPr>
          <w:rFonts w:ascii="Times New Roman" w:hAnsi="Times New Roman" w:cs="Times New Roman"/>
          <w:sz w:val="24"/>
          <w:szCs w:val="24"/>
        </w:rPr>
        <w:t>Pulmon</w:t>
      </w:r>
      <w:proofErr w:type="spellEnd"/>
      <w:r w:rsidRPr="0079296A">
        <w:rPr>
          <w:rFonts w:ascii="Times New Roman" w:hAnsi="Times New Roman" w:cs="Times New Roman"/>
          <w:sz w:val="24"/>
          <w:szCs w:val="24"/>
        </w:rPr>
        <w:t xml:space="preserve"> Dis 2016; 11: 1425-1434.</w:t>
      </w: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6.</w:t>
      </w:r>
      <w:r w:rsidRPr="0079296A">
        <w:rPr>
          <w:rFonts w:ascii="Times New Roman" w:hAnsi="Times New Roman" w:cs="Times New Roman"/>
          <w:sz w:val="24"/>
          <w:szCs w:val="24"/>
        </w:rPr>
        <w:tab/>
        <w:t xml:space="preserve">Magnussen H, </w:t>
      </w:r>
      <w:proofErr w:type="spellStart"/>
      <w:r w:rsidRPr="0079296A">
        <w:rPr>
          <w:rFonts w:ascii="Times New Roman" w:hAnsi="Times New Roman" w:cs="Times New Roman"/>
          <w:sz w:val="24"/>
          <w:szCs w:val="24"/>
        </w:rPr>
        <w:t>Tetzlaff</w:t>
      </w:r>
      <w:proofErr w:type="spellEnd"/>
      <w:r w:rsidRPr="0079296A">
        <w:rPr>
          <w:rFonts w:ascii="Times New Roman" w:hAnsi="Times New Roman" w:cs="Times New Roman"/>
          <w:sz w:val="24"/>
          <w:szCs w:val="24"/>
        </w:rPr>
        <w:t xml:space="preserve"> K, Bateman ED, </w:t>
      </w:r>
      <w:proofErr w:type="spellStart"/>
      <w:r w:rsidRPr="0079296A">
        <w:rPr>
          <w:rFonts w:ascii="Times New Roman" w:hAnsi="Times New Roman" w:cs="Times New Roman"/>
          <w:sz w:val="24"/>
          <w:szCs w:val="24"/>
        </w:rPr>
        <w:t>Watz</w:t>
      </w:r>
      <w:proofErr w:type="spellEnd"/>
      <w:r w:rsidRPr="0079296A">
        <w:rPr>
          <w:rFonts w:ascii="Times New Roman" w:hAnsi="Times New Roman" w:cs="Times New Roman"/>
          <w:sz w:val="24"/>
          <w:szCs w:val="24"/>
        </w:rPr>
        <w:t xml:space="preserve"> H, Kirsten AM, </w:t>
      </w:r>
      <w:proofErr w:type="spellStart"/>
      <w:r w:rsidRPr="0079296A">
        <w:rPr>
          <w:rFonts w:ascii="Times New Roman" w:hAnsi="Times New Roman" w:cs="Times New Roman"/>
          <w:sz w:val="24"/>
          <w:szCs w:val="24"/>
        </w:rPr>
        <w:t>Wouters</w:t>
      </w:r>
      <w:proofErr w:type="spellEnd"/>
      <w:r w:rsidRPr="0079296A">
        <w:rPr>
          <w:rFonts w:ascii="Times New Roman" w:hAnsi="Times New Roman" w:cs="Times New Roman"/>
          <w:sz w:val="24"/>
          <w:szCs w:val="24"/>
        </w:rPr>
        <w:t xml:space="preserve"> EF, </w:t>
      </w:r>
      <w:proofErr w:type="spellStart"/>
      <w:r w:rsidRPr="0079296A">
        <w:rPr>
          <w:rFonts w:ascii="Times New Roman" w:hAnsi="Times New Roman" w:cs="Times New Roman"/>
          <w:sz w:val="24"/>
          <w:szCs w:val="24"/>
        </w:rPr>
        <w:t>Disse</w:t>
      </w:r>
      <w:proofErr w:type="spellEnd"/>
      <w:r w:rsidRPr="0079296A">
        <w:rPr>
          <w:rFonts w:ascii="Times New Roman" w:hAnsi="Times New Roman" w:cs="Times New Roman"/>
          <w:sz w:val="24"/>
          <w:szCs w:val="24"/>
        </w:rPr>
        <w:t xml:space="preserve"> B, </w:t>
      </w:r>
      <w:proofErr w:type="spellStart"/>
      <w:r w:rsidRPr="0079296A">
        <w:rPr>
          <w:rFonts w:ascii="Times New Roman" w:hAnsi="Times New Roman" w:cs="Times New Roman"/>
          <w:sz w:val="24"/>
          <w:szCs w:val="24"/>
        </w:rPr>
        <w:t>Finnigan</w:t>
      </w:r>
      <w:proofErr w:type="spellEnd"/>
      <w:r w:rsidRPr="0079296A">
        <w:rPr>
          <w:rFonts w:ascii="Times New Roman" w:hAnsi="Times New Roman" w:cs="Times New Roman"/>
          <w:sz w:val="24"/>
          <w:szCs w:val="24"/>
        </w:rPr>
        <w:t xml:space="preserve"> H, Rodriguez- Roisin R, Calverley PM. Lung function changes over time following withdrawal of inhaled corticosteroids in patients with severe COPD. </w:t>
      </w:r>
      <w:proofErr w:type="spellStart"/>
      <w:r w:rsidRPr="0079296A">
        <w:rPr>
          <w:rFonts w:ascii="Times New Roman" w:hAnsi="Times New Roman" w:cs="Times New Roman"/>
          <w:sz w:val="24"/>
          <w:szCs w:val="24"/>
        </w:rPr>
        <w:t>Eur</w:t>
      </w:r>
      <w:proofErr w:type="spellEnd"/>
      <w:r w:rsidRPr="0079296A">
        <w:rPr>
          <w:rFonts w:ascii="Times New Roman" w:hAnsi="Times New Roman" w:cs="Times New Roman"/>
          <w:sz w:val="24"/>
          <w:szCs w:val="24"/>
        </w:rPr>
        <w:t xml:space="preserve"> </w:t>
      </w:r>
      <w:proofErr w:type="spellStart"/>
      <w:r w:rsidRPr="0079296A">
        <w:rPr>
          <w:rFonts w:ascii="Times New Roman" w:hAnsi="Times New Roman" w:cs="Times New Roman"/>
          <w:sz w:val="24"/>
          <w:szCs w:val="24"/>
        </w:rPr>
        <w:t>Respir</w:t>
      </w:r>
      <w:proofErr w:type="spellEnd"/>
      <w:r w:rsidRPr="0079296A">
        <w:rPr>
          <w:rFonts w:ascii="Times New Roman" w:hAnsi="Times New Roman" w:cs="Times New Roman"/>
          <w:sz w:val="24"/>
          <w:szCs w:val="24"/>
        </w:rPr>
        <w:t xml:space="preserve"> J 2016; 47: 651-654.</w:t>
      </w:r>
    </w:p>
    <w:p w:rsidR="0079296A"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7.</w:t>
      </w:r>
      <w:r w:rsidRPr="0079296A">
        <w:rPr>
          <w:rFonts w:ascii="Times New Roman" w:hAnsi="Times New Roman" w:cs="Times New Roman"/>
          <w:sz w:val="24"/>
          <w:szCs w:val="24"/>
        </w:rPr>
        <w:tab/>
      </w:r>
      <w:proofErr w:type="spellStart"/>
      <w:r w:rsidRPr="0079296A">
        <w:rPr>
          <w:rFonts w:ascii="Times New Roman" w:hAnsi="Times New Roman" w:cs="Times New Roman"/>
          <w:sz w:val="24"/>
          <w:szCs w:val="24"/>
        </w:rPr>
        <w:t>Thorsson</w:t>
      </w:r>
      <w:proofErr w:type="spellEnd"/>
      <w:r w:rsidRPr="0079296A">
        <w:rPr>
          <w:rFonts w:ascii="Times New Roman" w:hAnsi="Times New Roman" w:cs="Times New Roman"/>
          <w:sz w:val="24"/>
          <w:szCs w:val="24"/>
        </w:rPr>
        <w:t xml:space="preserve"> L, </w:t>
      </w:r>
      <w:proofErr w:type="spellStart"/>
      <w:r w:rsidRPr="0079296A">
        <w:rPr>
          <w:rFonts w:ascii="Times New Roman" w:hAnsi="Times New Roman" w:cs="Times New Roman"/>
          <w:sz w:val="24"/>
          <w:szCs w:val="24"/>
        </w:rPr>
        <w:t>Edsbacker</w:t>
      </w:r>
      <w:proofErr w:type="spellEnd"/>
      <w:r w:rsidRPr="0079296A">
        <w:rPr>
          <w:rFonts w:ascii="Times New Roman" w:hAnsi="Times New Roman" w:cs="Times New Roman"/>
          <w:sz w:val="24"/>
          <w:szCs w:val="24"/>
        </w:rPr>
        <w:t xml:space="preserve"> S, </w:t>
      </w:r>
      <w:proofErr w:type="spellStart"/>
      <w:r w:rsidRPr="0079296A">
        <w:rPr>
          <w:rFonts w:ascii="Times New Roman" w:hAnsi="Times New Roman" w:cs="Times New Roman"/>
          <w:sz w:val="24"/>
          <w:szCs w:val="24"/>
        </w:rPr>
        <w:t>Kallen</w:t>
      </w:r>
      <w:proofErr w:type="spellEnd"/>
      <w:r w:rsidRPr="0079296A">
        <w:rPr>
          <w:rFonts w:ascii="Times New Roman" w:hAnsi="Times New Roman" w:cs="Times New Roman"/>
          <w:sz w:val="24"/>
          <w:szCs w:val="24"/>
        </w:rPr>
        <w:t xml:space="preserve"> A, </w:t>
      </w:r>
      <w:proofErr w:type="spellStart"/>
      <w:r w:rsidRPr="0079296A">
        <w:rPr>
          <w:rFonts w:ascii="Times New Roman" w:hAnsi="Times New Roman" w:cs="Times New Roman"/>
          <w:sz w:val="24"/>
          <w:szCs w:val="24"/>
        </w:rPr>
        <w:t>Lofdahl</w:t>
      </w:r>
      <w:proofErr w:type="spellEnd"/>
      <w:r w:rsidRPr="0079296A">
        <w:rPr>
          <w:rFonts w:ascii="Times New Roman" w:hAnsi="Times New Roman" w:cs="Times New Roman"/>
          <w:sz w:val="24"/>
          <w:szCs w:val="24"/>
        </w:rPr>
        <w:t xml:space="preserve"> CG. Pharmacokinetics and systemic activity of fluticasone via </w:t>
      </w:r>
      <w:proofErr w:type="spellStart"/>
      <w:r w:rsidRPr="0079296A">
        <w:rPr>
          <w:rFonts w:ascii="Times New Roman" w:hAnsi="Times New Roman" w:cs="Times New Roman"/>
          <w:sz w:val="24"/>
          <w:szCs w:val="24"/>
        </w:rPr>
        <w:t>Diskus</w:t>
      </w:r>
      <w:proofErr w:type="spellEnd"/>
      <w:r w:rsidRPr="0079296A">
        <w:rPr>
          <w:rFonts w:ascii="Times New Roman" w:hAnsi="Times New Roman" w:cs="Times New Roman"/>
          <w:sz w:val="24"/>
          <w:szCs w:val="24"/>
        </w:rPr>
        <w:t xml:space="preserve"> and </w:t>
      </w:r>
      <w:proofErr w:type="spellStart"/>
      <w:r w:rsidRPr="0079296A">
        <w:rPr>
          <w:rFonts w:ascii="Times New Roman" w:hAnsi="Times New Roman" w:cs="Times New Roman"/>
          <w:sz w:val="24"/>
          <w:szCs w:val="24"/>
        </w:rPr>
        <w:t>pMDI</w:t>
      </w:r>
      <w:proofErr w:type="spellEnd"/>
      <w:r w:rsidRPr="0079296A">
        <w:rPr>
          <w:rFonts w:ascii="Times New Roman" w:hAnsi="Times New Roman" w:cs="Times New Roman"/>
          <w:sz w:val="24"/>
          <w:szCs w:val="24"/>
        </w:rPr>
        <w:t xml:space="preserve">, and of budesonide via </w:t>
      </w:r>
      <w:proofErr w:type="spellStart"/>
      <w:r w:rsidRPr="0079296A">
        <w:rPr>
          <w:rFonts w:ascii="Times New Roman" w:hAnsi="Times New Roman" w:cs="Times New Roman"/>
          <w:sz w:val="24"/>
          <w:szCs w:val="24"/>
        </w:rPr>
        <w:t>Turbuhaler</w:t>
      </w:r>
      <w:proofErr w:type="spellEnd"/>
      <w:r w:rsidRPr="0079296A">
        <w:rPr>
          <w:rFonts w:ascii="Times New Roman" w:hAnsi="Times New Roman" w:cs="Times New Roman"/>
          <w:sz w:val="24"/>
          <w:szCs w:val="24"/>
        </w:rPr>
        <w:t xml:space="preserve">. Br J </w:t>
      </w:r>
      <w:proofErr w:type="spellStart"/>
      <w:r w:rsidRPr="0079296A">
        <w:rPr>
          <w:rFonts w:ascii="Times New Roman" w:hAnsi="Times New Roman" w:cs="Times New Roman"/>
          <w:sz w:val="24"/>
          <w:szCs w:val="24"/>
        </w:rPr>
        <w:t>Clin</w:t>
      </w:r>
      <w:proofErr w:type="spellEnd"/>
      <w:r w:rsidRPr="0079296A">
        <w:rPr>
          <w:rFonts w:ascii="Times New Roman" w:hAnsi="Times New Roman" w:cs="Times New Roman"/>
          <w:sz w:val="24"/>
          <w:szCs w:val="24"/>
        </w:rPr>
        <w:t xml:space="preserve"> </w:t>
      </w:r>
      <w:proofErr w:type="spellStart"/>
      <w:r w:rsidRPr="0079296A">
        <w:rPr>
          <w:rFonts w:ascii="Times New Roman" w:hAnsi="Times New Roman" w:cs="Times New Roman"/>
          <w:sz w:val="24"/>
          <w:szCs w:val="24"/>
        </w:rPr>
        <w:t>Pharmacol</w:t>
      </w:r>
      <w:proofErr w:type="spellEnd"/>
      <w:r w:rsidRPr="0079296A">
        <w:rPr>
          <w:rFonts w:ascii="Times New Roman" w:hAnsi="Times New Roman" w:cs="Times New Roman"/>
          <w:sz w:val="24"/>
          <w:szCs w:val="24"/>
        </w:rPr>
        <w:t xml:space="preserve"> 2001; 52: 529-538.</w:t>
      </w:r>
    </w:p>
    <w:p w:rsidR="00AE00D8" w:rsidRPr="0079296A" w:rsidRDefault="0079296A" w:rsidP="0079296A">
      <w:pPr>
        <w:spacing w:line="360" w:lineRule="auto"/>
        <w:rPr>
          <w:rFonts w:ascii="Times New Roman" w:hAnsi="Times New Roman" w:cs="Times New Roman"/>
          <w:sz w:val="24"/>
          <w:szCs w:val="24"/>
        </w:rPr>
      </w:pPr>
      <w:r w:rsidRPr="0079296A">
        <w:rPr>
          <w:rFonts w:ascii="Times New Roman" w:hAnsi="Times New Roman" w:cs="Times New Roman"/>
          <w:sz w:val="24"/>
          <w:szCs w:val="24"/>
        </w:rPr>
        <w:t>Salvi SS, Barnes PJ. Chronic obstructive pulmonary disease in non-smokers. Lancet 2009; 374: 733-743.</w:t>
      </w:r>
    </w:p>
    <w:sectPr w:rsidR="00AE00D8" w:rsidRPr="007929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96A"/>
    <w:rsid w:val="002B6F95"/>
    <w:rsid w:val="003A7E45"/>
    <w:rsid w:val="0079296A"/>
    <w:rsid w:val="00D61B6E"/>
    <w:rsid w:val="00E36672"/>
    <w:rsid w:val="00FA7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5066A"/>
  <w15:chartTrackingRefBased/>
  <w15:docId w15:val="{C259DC12-7BEA-4947-A4C3-AF73E3E4F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1155</Words>
  <Characters>6586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Imperial College London</Company>
  <LinksUpToDate>false</LinksUpToDate>
  <CharactersWithSpaces>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Marques, Sara</dc:creator>
  <cp:keywords/>
  <dc:description/>
  <cp:lastModifiedBy>Marques, Sara </cp:lastModifiedBy>
  <cp:revision>1</cp:revision>
  <dcterms:created xsi:type="dcterms:W3CDTF">2018-10-29T13:31:00Z</dcterms:created>
  <dcterms:modified xsi:type="dcterms:W3CDTF">2018-10-29T13:33:00Z</dcterms:modified>
</cp:coreProperties>
</file>