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9DCF78" w14:textId="7F999A6D" w:rsidR="00163DE1" w:rsidRDefault="00163DE1" w:rsidP="00F70CE0">
      <w:pPr>
        <w:rPr>
          <w:b/>
        </w:rPr>
      </w:pPr>
      <w:r w:rsidRPr="00163DE1">
        <w:rPr>
          <w:b/>
        </w:rPr>
        <w:t>Testing for gonorrhoea should routinely include the pharynx</w:t>
      </w:r>
    </w:p>
    <w:p w14:paraId="7D0FC308" w14:textId="0AC70B22" w:rsidR="000A3E0D" w:rsidRDefault="000A3E0D" w:rsidP="00F70CE0">
      <w:pPr>
        <w:rPr>
          <w:rStyle w:val="Hyperlink"/>
        </w:rPr>
      </w:pPr>
      <w:r w:rsidRPr="00DB2FE8">
        <w:t xml:space="preserve">Lancet Infectious Diseases 2018; </w:t>
      </w:r>
      <w:r w:rsidR="00A064E6" w:rsidRPr="00A064E6">
        <w:t>18(7): 716-717</w:t>
      </w:r>
      <w:r w:rsidRPr="00DB2FE8">
        <w:t xml:space="preserve">. </w:t>
      </w:r>
      <w:r w:rsidR="00DB2FE8" w:rsidRPr="00163DE1">
        <w:t>http://dx.doi.org/</w:t>
      </w:r>
      <w:r w:rsidR="00A064E6" w:rsidRPr="00A064E6">
        <w:t>10.1016/S1473-3099(18)30341-4</w:t>
      </w:r>
    </w:p>
    <w:p w14:paraId="02475179" w14:textId="77777777" w:rsidR="00163DE1" w:rsidRDefault="00163DE1" w:rsidP="00163DE1">
      <w:pPr>
        <w:spacing w:line="360" w:lineRule="auto"/>
      </w:pPr>
      <w:bookmarkStart w:id="0" w:name="_GoBack"/>
      <w:bookmarkEnd w:id="0"/>
    </w:p>
    <w:p w14:paraId="3DB8894A" w14:textId="77777777" w:rsidR="00163DE1" w:rsidRPr="00311B9E" w:rsidRDefault="00163DE1" w:rsidP="00163DE1">
      <w:pPr>
        <w:spacing w:line="360" w:lineRule="auto"/>
      </w:pPr>
      <w:r w:rsidRPr="00311B9E">
        <w:t>The recent profile of Kit Fairley highlighted his work on the potentially important role of kissing among men who have sex with men (MSM) in gonorrhoea transmission.</w:t>
      </w:r>
      <w:r w:rsidRPr="00311B9E">
        <w:rPr>
          <w:vertAlign w:val="superscript"/>
        </w:rPr>
        <w:t>1</w:t>
      </w:r>
      <w:r w:rsidRPr="00311B9E">
        <w:t xml:space="preserve"> The role of pharyngeal infection in gonorrhoea transmission, and in the emergence and spread of antimicrobial resistance, is poorly-characterised, which represents an important knowledge gap.</w:t>
      </w:r>
      <w:r w:rsidRPr="00311B9E">
        <w:rPr>
          <w:vertAlign w:val="superscript"/>
        </w:rPr>
        <w:t>2</w:t>
      </w:r>
      <w:r w:rsidRPr="00311B9E">
        <w:t xml:space="preserve"> Intimate kissing is a risk factor for meningococcal carriage, indicating other </w:t>
      </w:r>
      <w:r w:rsidRPr="00311B9E">
        <w:rPr>
          <w:i/>
        </w:rPr>
        <w:t xml:space="preserve">Neisseria </w:t>
      </w:r>
      <w:r w:rsidRPr="00311B9E">
        <w:t>can transmit via this route.</w:t>
      </w:r>
      <w:r w:rsidRPr="00311B9E">
        <w:rPr>
          <w:vertAlign w:val="superscript"/>
        </w:rPr>
        <w:t>3</w:t>
      </w:r>
      <w:r w:rsidRPr="00311B9E">
        <w:t xml:space="preserve"> Pharyngeal </w:t>
      </w:r>
      <w:proofErr w:type="spellStart"/>
      <w:r w:rsidRPr="00311B9E">
        <w:t>gonococcal</w:t>
      </w:r>
      <w:proofErr w:type="spellEnd"/>
      <w:r w:rsidRPr="00311B9E">
        <w:t xml:space="preserve"> infection is predominantly asymptomatic, frequently undetected, and often exposed to suboptimal antibiotic concentrations in therapy,</w:t>
      </w:r>
      <w:r w:rsidRPr="00311B9E">
        <w:rPr>
          <w:vertAlign w:val="superscript"/>
        </w:rPr>
        <w:t>2,4</w:t>
      </w:r>
      <w:r w:rsidRPr="00311B9E">
        <w:t xml:space="preserve"> hence infection may be persistent. With a large proportion of gonorrhoea transmission likely to occur from asymptomatic infections</w:t>
      </w:r>
      <w:r>
        <w:rPr>
          <w:vertAlign w:val="superscript"/>
        </w:rPr>
        <w:t>5</w:t>
      </w:r>
      <w:r w:rsidRPr="00311B9E">
        <w:t xml:space="preserve"> the pharynx may an important reservoir of infection. Furthermore, the threat of antibiotic-resistant gonorrhoea globally is of grave concern, and the pharynx may be an important site for resistance emergence, due to low antibiotic penetration, and colonisation by commensal </w:t>
      </w:r>
      <w:r w:rsidRPr="00311B9E">
        <w:rPr>
          <w:i/>
        </w:rPr>
        <w:t>Neisseria</w:t>
      </w:r>
      <w:r w:rsidRPr="00311B9E">
        <w:t xml:space="preserve"> species allowing horizontal gene transfer conferring resistance.</w:t>
      </w:r>
      <w:r>
        <w:rPr>
          <w:vertAlign w:val="superscript"/>
        </w:rPr>
        <w:t>4</w:t>
      </w:r>
    </w:p>
    <w:p w14:paraId="6B77A04A" w14:textId="77777777" w:rsidR="00163DE1" w:rsidRPr="00311B9E" w:rsidRDefault="00163DE1" w:rsidP="00163DE1">
      <w:pPr>
        <w:spacing w:line="360" w:lineRule="auto"/>
      </w:pPr>
      <w:r w:rsidRPr="00311B9E">
        <w:t>We suggest that concern about pharyngeal gonorrhoea should not be limited to MSM. The first reported case worldwide of azithromycin-ceftriaxone dual-therapy failure occurred in the UK in 2014</w:t>
      </w:r>
      <w:proofErr w:type="gramStart"/>
      <w:r w:rsidRPr="00311B9E">
        <w:t>,</w:t>
      </w:r>
      <w:r w:rsidRPr="00311B9E">
        <w:rPr>
          <w:vertAlign w:val="superscript"/>
        </w:rPr>
        <w:t>6</w:t>
      </w:r>
      <w:proofErr w:type="gramEnd"/>
      <w:r w:rsidRPr="00311B9E">
        <w:t xml:space="preserve"> followed in March 2018 by a similar case that also failed to respond to a last-resort therapy, spectinomycin.</w:t>
      </w:r>
      <w:r w:rsidRPr="00311B9E">
        <w:rPr>
          <w:vertAlign w:val="superscript"/>
        </w:rPr>
        <w:t>7</w:t>
      </w:r>
      <w:r w:rsidRPr="00311B9E">
        <w:t xml:space="preserve"> The patients in both cases were men with pharyngeal gonorrhoea infections, reporting only heterosexual contact. </w:t>
      </w:r>
      <w:r w:rsidRPr="00311B9E">
        <w:rPr>
          <w:rFonts w:eastAsia="Times New Roman"/>
        </w:rPr>
        <w:t xml:space="preserve">With both recent UK case reports of multi-drug resistant gonorrhoea involving </w:t>
      </w:r>
      <w:r w:rsidRPr="00311B9E">
        <w:t>the heterosexual male pharynx – which is typically not tested – we are concerned that many, potentially antibiotic-resistant, infections are systematically overlooked. Indeed, a 2013 study found that 9/97 gonorrhoea-infected heterosexual men in England had pharyngeal infection.</w:t>
      </w:r>
      <w:r w:rsidRPr="00311B9E">
        <w:rPr>
          <w:vertAlign w:val="superscript"/>
        </w:rPr>
        <w:t>8</w:t>
      </w:r>
      <w:r w:rsidRPr="00311B9E">
        <w:t xml:space="preserve"> </w:t>
      </w:r>
      <w:proofErr w:type="gramStart"/>
      <w:r w:rsidRPr="00311B9E">
        <w:t>These</w:t>
      </w:r>
      <w:proofErr w:type="gramEnd"/>
      <w:r w:rsidRPr="00311B9E">
        <w:t xml:space="preserve"> findings are broadly consistent with other data (e.g. see</w:t>
      </w:r>
      <w:r w:rsidRPr="00311B9E">
        <w:rPr>
          <w:vertAlign w:val="superscript"/>
        </w:rPr>
        <w:t>2</w:t>
      </w:r>
      <w:r w:rsidRPr="00311B9E">
        <w:t>). We lack estimates of gonorrhoea transmissibility to and from the pharnyx,</w:t>
      </w:r>
      <w:r w:rsidRPr="00311B9E">
        <w:rPr>
          <w:vertAlign w:val="superscript"/>
        </w:rPr>
        <w:t>2</w:t>
      </w:r>
      <w:r w:rsidRPr="00311B9E">
        <w:t xml:space="preserve"> and whilst it is likely to be most efficient during fellatio, it is also likely that transmission can occur via kissing and cunnilingus.</w:t>
      </w:r>
      <w:r>
        <w:rPr>
          <w:vertAlign w:val="superscript"/>
        </w:rPr>
        <w:t>1,4</w:t>
      </w:r>
      <w:r w:rsidRPr="00311B9E">
        <w:t xml:space="preserve"> This means that pharyngeal infection is likely to be important in the epidemiology of gonorrhoea in heterosexuals as well as MSM. </w:t>
      </w:r>
    </w:p>
    <w:p w14:paraId="659997B8" w14:textId="674D30DD" w:rsidR="00F70CE0" w:rsidRDefault="00163DE1" w:rsidP="00163DE1">
      <w:pPr>
        <w:spacing w:line="360" w:lineRule="auto"/>
      </w:pPr>
      <w:r w:rsidRPr="00311B9E">
        <w:t>We recommend routine pharyngeal testing of all individuals tested for gonorrhoea, regardless of gender or sexual orientation, or at least pharyngeal testing at treatment follow-up of all individuals diagnosed with gonorrhoea. Routine testing, linked to research based on whole-genome sequence and epidemiological data</w:t>
      </w:r>
      <w:r w:rsidRPr="00311B9E">
        <w:rPr>
          <w:vertAlign w:val="superscript"/>
        </w:rPr>
        <w:t>9</w:t>
      </w:r>
      <w:r w:rsidRPr="00311B9E">
        <w:t xml:space="preserve"> would allow assessment of the importance of pharyngeal infection in gonorrhoea transmission and antimicrobial resistance</w:t>
      </w:r>
      <w:proofErr w:type="gramStart"/>
      <w:r w:rsidRPr="00311B9E">
        <w:t>,</w:t>
      </w:r>
      <w:r w:rsidRPr="00311B9E">
        <w:rPr>
          <w:vertAlign w:val="superscript"/>
        </w:rPr>
        <w:t>2</w:t>
      </w:r>
      <w:proofErr w:type="gramEnd"/>
      <w:r w:rsidRPr="00311B9E">
        <w:t xml:space="preserve"> and improved parameterisation of models to assess fitness costs and benefits of antimicrobial resistance to inform control strategies.</w:t>
      </w:r>
      <w:r>
        <w:rPr>
          <w:vertAlign w:val="superscript"/>
        </w:rPr>
        <w:t>5</w:t>
      </w:r>
    </w:p>
    <w:p w14:paraId="2C7EFC15" w14:textId="77777777" w:rsidR="005E0F5F" w:rsidRPr="00C92867" w:rsidRDefault="005E0F5F" w:rsidP="00F70CE0"/>
    <w:p w14:paraId="080E293A" w14:textId="3B708C44" w:rsidR="00163DE1" w:rsidRPr="00311B9E" w:rsidRDefault="00163DE1" w:rsidP="00163DE1">
      <w:pPr>
        <w:spacing w:after="0" w:line="360" w:lineRule="auto"/>
      </w:pPr>
      <w:r>
        <w:lastRenderedPageBreak/>
        <w:t xml:space="preserve">1. </w:t>
      </w:r>
      <w:r w:rsidRPr="00311B9E">
        <w:t xml:space="preserve">Kirby T. Kit Fairley: a pioneer in STI research. </w:t>
      </w:r>
      <w:r w:rsidRPr="005326AE">
        <w:rPr>
          <w:i/>
        </w:rPr>
        <w:t>Lancet Infect Dis</w:t>
      </w:r>
      <w:r w:rsidRPr="00311B9E">
        <w:t xml:space="preserve"> 2018; 18: 388.</w:t>
      </w:r>
    </w:p>
    <w:p w14:paraId="225049FF" w14:textId="14CA5344" w:rsidR="00163DE1" w:rsidRPr="00311B9E" w:rsidRDefault="00163DE1" w:rsidP="00163DE1">
      <w:pPr>
        <w:spacing w:after="0" w:line="360" w:lineRule="auto"/>
      </w:pPr>
      <w:r>
        <w:t xml:space="preserve">2. </w:t>
      </w:r>
      <w:r w:rsidRPr="00311B9E">
        <w:t xml:space="preserve">Grad YH, Goldstein E, </w:t>
      </w:r>
      <w:proofErr w:type="spellStart"/>
      <w:r w:rsidRPr="00311B9E">
        <w:t>Lipsitch</w:t>
      </w:r>
      <w:proofErr w:type="spellEnd"/>
      <w:r w:rsidRPr="00311B9E">
        <w:t xml:space="preserve"> M, White PJ. </w:t>
      </w:r>
      <w:proofErr w:type="gramStart"/>
      <w:r w:rsidRPr="00311B9E">
        <w:t xml:space="preserve">Improving control of antibiotic resistant </w:t>
      </w:r>
      <w:proofErr w:type="spellStart"/>
      <w:r w:rsidRPr="00311B9E">
        <w:t>gonorrhea</w:t>
      </w:r>
      <w:proofErr w:type="spellEnd"/>
      <w:r w:rsidRPr="00311B9E">
        <w:t xml:space="preserve"> by integrating research agendas across disciplines: key questions arising from mathematical </w:t>
      </w:r>
      <w:proofErr w:type="spellStart"/>
      <w:r w:rsidRPr="00311B9E">
        <w:t>modeling</w:t>
      </w:r>
      <w:proofErr w:type="spellEnd"/>
      <w:r w:rsidRPr="00311B9E">
        <w:t>.</w:t>
      </w:r>
      <w:proofErr w:type="gramEnd"/>
      <w:r w:rsidRPr="00311B9E">
        <w:t xml:space="preserve"> </w:t>
      </w:r>
      <w:r w:rsidRPr="005326AE">
        <w:rPr>
          <w:i/>
        </w:rPr>
        <w:t>J Infect Dis</w:t>
      </w:r>
      <w:r w:rsidRPr="00311B9E">
        <w:t xml:space="preserve"> 2016; 213(6): 883–890.</w:t>
      </w:r>
    </w:p>
    <w:p w14:paraId="7D3390C0" w14:textId="71536B15" w:rsidR="00163DE1" w:rsidRPr="00311B9E" w:rsidRDefault="00163DE1" w:rsidP="00163DE1">
      <w:pPr>
        <w:spacing w:after="0" w:line="360" w:lineRule="auto"/>
      </w:pPr>
      <w:r>
        <w:t xml:space="preserve">3. </w:t>
      </w:r>
      <w:r w:rsidRPr="00311B9E">
        <w:t xml:space="preserve">MacLennan J, </w:t>
      </w:r>
      <w:proofErr w:type="spellStart"/>
      <w:r w:rsidRPr="00311B9E">
        <w:t>Kafatos</w:t>
      </w:r>
      <w:proofErr w:type="spellEnd"/>
      <w:r w:rsidRPr="00311B9E">
        <w:t xml:space="preserve"> G, Neal K, Andrews N, Cameron JC, Roberts R, Evans MR, </w:t>
      </w:r>
      <w:proofErr w:type="spellStart"/>
      <w:r w:rsidRPr="00311B9E">
        <w:t>Cann</w:t>
      </w:r>
      <w:proofErr w:type="spellEnd"/>
      <w:r w:rsidRPr="00311B9E">
        <w:t xml:space="preserve"> K, Baxter DN, Maiden MCJ Stuart JM. </w:t>
      </w:r>
      <w:proofErr w:type="gramStart"/>
      <w:r w:rsidRPr="00311B9E">
        <w:t xml:space="preserve">Social </w:t>
      </w:r>
      <w:proofErr w:type="spellStart"/>
      <w:r w:rsidRPr="00311B9E">
        <w:t>Behavior</w:t>
      </w:r>
      <w:proofErr w:type="spellEnd"/>
      <w:r w:rsidRPr="00311B9E">
        <w:t xml:space="preserve"> and Meningococcal Carriage in British Teenagers.</w:t>
      </w:r>
      <w:proofErr w:type="gramEnd"/>
      <w:r w:rsidRPr="00311B9E">
        <w:t xml:space="preserve"> </w:t>
      </w:r>
      <w:proofErr w:type="spellStart"/>
      <w:r w:rsidRPr="005326AE">
        <w:rPr>
          <w:i/>
        </w:rPr>
        <w:t>Emerg</w:t>
      </w:r>
      <w:proofErr w:type="spellEnd"/>
      <w:r w:rsidRPr="005326AE">
        <w:rPr>
          <w:i/>
        </w:rPr>
        <w:t xml:space="preserve"> Infect Dis</w:t>
      </w:r>
      <w:r w:rsidRPr="00311B9E">
        <w:t xml:space="preserve"> 2006; 12(6): 950–957.</w:t>
      </w:r>
    </w:p>
    <w:p w14:paraId="3E452324" w14:textId="49F6E833" w:rsidR="00163DE1" w:rsidRPr="00311B9E" w:rsidRDefault="00163DE1" w:rsidP="00163DE1">
      <w:pPr>
        <w:spacing w:after="0" w:line="360" w:lineRule="auto"/>
      </w:pPr>
      <w:r>
        <w:t xml:space="preserve">4. </w:t>
      </w:r>
      <w:r w:rsidRPr="00311B9E">
        <w:t xml:space="preserve">Lewis DA. Will targeting </w:t>
      </w:r>
      <w:proofErr w:type="spellStart"/>
      <w:r w:rsidRPr="00311B9E">
        <w:t>oropharyngeal</w:t>
      </w:r>
      <w:proofErr w:type="spellEnd"/>
      <w:r w:rsidRPr="00311B9E">
        <w:t xml:space="preserve"> gonorrhoea delay the further emergence of drug-resistant </w:t>
      </w:r>
      <w:r w:rsidRPr="005326AE">
        <w:rPr>
          <w:i/>
        </w:rPr>
        <w:t xml:space="preserve">Neisseria </w:t>
      </w:r>
      <w:proofErr w:type="spellStart"/>
      <w:r w:rsidRPr="005326AE">
        <w:rPr>
          <w:i/>
        </w:rPr>
        <w:t>gonorrhoeae</w:t>
      </w:r>
      <w:proofErr w:type="spellEnd"/>
      <w:r w:rsidRPr="00311B9E">
        <w:t xml:space="preserve"> strains? </w:t>
      </w:r>
      <w:r w:rsidRPr="005326AE">
        <w:rPr>
          <w:i/>
        </w:rPr>
        <w:t xml:space="preserve">Sex </w:t>
      </w:r>
      <w:proofErr w:type="spellStart"/>
      <w:r w:rsidRPr="005326AE">
        <w:rPr>
          <w:i/>
        </w:rPr>
        <w:t>Transm</w:t>
      </w:r>
      <w:proofErr w:type="spellEnd"/>
      <w:r w:rsidRPr="005326AE">
        <w:rPr>
          <w:i/>
        </w:rPr>
        <w:t xml:space="preserve"> Infect</w:t>
      </w:r>
      <w:r w:rsidRPr="00311B9E">
        <w:t xml:space="preserve"> 2015; 91: 234–237.</w:t>
      </w:r>
    </w:p>
    <w:p w14:paraId="7D61EC9F" w14:textId="08693228" w:rsidR="00163DE1" w:rsidRPr="00311B9E" w:rsidRDefault="00163DE1" w:rsidP="00163DE1">
      <w:pPr>
        <w:spacing w:after="0" w:line="360" w:lineRule="auto"/>
      </w:pPr>
      <w:r>
        <w:t xml:space="preserve">5. </w:t>
      </w:r>
      <w:r w:rsidRPr="00311B9E">
        <w:t xml:space="preserve">Whittles LK, White PJ, </w:t>
      </w:r>
      <w:proofErr w:type="spellStart"/>
      <w:r w:rsidRPr="00311B9E">
        <w:t>Didelot</w:t>
      </w:r>
      <w:proofErr w:type="spellEnd"/>
      <w:r w:rsidRPr="00311B9E">
        <w:t xml:space="preserve"> X. Estimating the fitness cost and benefit of </w:t>
      </w:r>
      <w:proofErr w:type="spellStart"/>
      <w:r w:rsidRPr="00311B9E">
        <w:t>cefixime</w:t>
      </w:r>
      <w:proofErr w:type="spellEnd"/>
      <w:r w:rsidRPr="00311B9E">
        <w:t xml:space="preserve"> resistance in </w:t>
      </w:r>
      <w:r w:rsidRPr="005326AE">
        <w:rPr>
          <w:i/>
        </w:rPr>
        <w:t xml:space="preserve">Neisseria </w:t>
      </w:r>
      <w:proofErr w:type="spellStart"/>
      <w:r w:rsidRPr="005326AE">
        <w:rPr>
          <w:i/>
        </w:rPr>
        <w:t>gonorrhoeae</w:t>
      </w:r>
      <w:proofErr w:type="spellEnd"/>
      <w:r w:rsidRPr="00311B9E">
        <w:t xml:space="preserve"> to inform prescription policy: a modelling study. </w:t>
      </w:r>
      <w:r w:rsidRPr="005326AE">
        <w:rPr>
          <w:i/>
        </w:rPr>
        <w:t>PLOS Med</w:t>
      </w:r>
      <w:r w:rsidRPr="00311B9E">
        <w:t xml:space="preserve"> 2017; 14(10): e1002416.</w:t>
      </w:r>
    </w:p>
    <w:p w14:paraId="30BF9A15" w14:textId="4DB89DFF" w:rsidR="00163DE1" w:rsidRPr="00311B9E" w:rsidRDefault="00163DE1" w:rsidP="00163DE1">
      <w:pPr>
        <w:spacing w:after="0" w:line="360" w:lineRule="auto"/>
      </w:pPr>
      <w:r>
        <w:t xml:space="preserve">6. </w:t>
      </w:r>
      <w:r w:rsidRPr="00311B9E">
        <w:t xml:space="preserve">Fifer H, </w:t>
      </w:r>
      <w:proofErr w:type="spellStart"/>
      <w:r w:rsidRPr="00311B9E">
        <w:t>Natarajan</w:t>
      </w:r>
      <w:proofErr w:type="spellEnd"/>
      <w:r w:rsidRPr="00311B9E">
        <w:t xml:space="preserve"> U, Jones L, Alexander S, Hughes G, </w:t>
      </w:r>
      <w:proofErr w:type="spellStart"/>
      <w:r w:rsidRPr="00311B9E">
        <w:t>Golparian</w:t>
      </w:r>
      <w:proofErr w:type="spellEnd"/>
      <w:r w:rsidRPr="00311B9E">
        <w:t xml:space="preserve"> D, </w:t>
      </w:r>
      <w:proofErr w:type="spellStart"/>
      <w:r w:rsidRPr="00311B9E">
        <w:t>Unemo</w:t>
      </w:r>
      <w:proofErr w:type="spellEnd"/>
      <w:r w:rsidRPr="00311B9E">
        <w:t xml:space="preserve"> M. Failure of Dual Antimicrobial Therapy in Treatment of </w:t>
      </w:r>
      <w:proofErr w:type="spellStart"/>
      <w:r w:rsidRPr="00311B9E">
        <w:t>Gonorrhea</w:t>
      </w:r>
      <w:proofErr w:type="spellEnd"/>
      <w:r w:rsidRPr="00311B9E">
        <w:t xml:space="preserve">. </w:t>
      </w:r>
      <w:r w:rsidRPr="005326AE">
        <w:rPr>
          <w:i/>
        </w:rPr>
        <w:t xml:space="preserve">N </w:t>
      </w:r>
      <w:proofErr w:type="spellStart"/>
      <w:r w:rsidRPr="005326AE">
        <w:rPr>
          <w:i/>
        </w:rPr>
        <w:t>Engl</w:t>
      </w:r>
      <w:proofErr w:type="spellEnd"/>
      <w:r w:rsidRPr="005326AE">
        <w:rPr>
          <w:i/>
        </w:rPr>
        <w:t xml:space="preserve"> J Med</w:t>
      </w:r>
      <w:r w:rsidRPr="00311B9E">
        <w:t xml:space="preserve"> 2016</w:t>
      </w:r>
      <w:proofErr w:type="gramStart"/>
      <w:r w:rsidRPr="00311B9E">
        <w:t>;  374</w:t>
      </w:r>
      <w:proofErr w:type="gramEnd"/>
      <w:r w:rsidRPr="00311B9E">
        <w:t>(25): 2504-2506.</w:t>
      </w:r>
    </w:p>
    <w:p w14:paraId="4186D718" w14:textId="43B98C3C" w:rsidR="00163DE1" w:rsidRPr="00311B9E" w:rsidRDefault="00163DE1" w:rsidP="00163DE1">
      <w:pPr>
        <w:spacing w:after="0" w:line="360" w:lineRule="auto"/>
      </w:pPr>
      <w:r>
        <w:t xml:space="preserve">7. </w:t>
      </w:r>
      <w:r w:rsidRPr="00311B9E">
        <w:t xml:space="preserve">Public Health England, 2018. UK case of </w:t>
      </w:r>
      <w:r w:rsidRPr="005326AE">
        <w:rPr>
          <w:i/>
        </w:rPr>
        <w:t xml:space="preserve">Neisseria </w:t>
      </w:r>
      <w:proofErr w:type="spellStart"/>
      <w:r w:rsidRPr="005326AE">
        <w:rPr>
          <w:i/>
        </w:rPr>
        <w:t>gonorrhoeae</w:t>
      </w:r>
      <w:proofErr w:type="spellEnd"/>
      <w:r w:rsidRPr="00311B9E">
        <w:t xml:space="preserve"> with high-level resistance to azithromycin and resistance to ceftriaxone acquired abroad. </w:t>
      </w:r>
      <w:proofErr w:type="gramStart"/>
      <w:r w:rsidRPr="00311B9E">
        <w:t>Health Protection Report 2018; 12(11).</w:t>
      </w:r>
      <w:proofErr w:type="gramEnd"/>
      <w:r w:rsidRPr="00311B9E">
        <w:t xml:space="preserve"> </w:t>
      </w:r>
      <w:hyperlink r:id="rId7" w:history="1">
        <w:r w:rsidRPr="005326AE">
          <w:rPr>
            <w:rStyle w:val="Hyperlink"/>
          </w:rPr>
          <w:t>https://www.gov.uk/government/publications/multi-drug-resistant-gonorrhoea-in-england-2018</w:t>
        </w:r>
      </w:hyperlink>
      <w:r w:rsidRPr="00311B9E">
        <w:t xml:space="preserve"> (accessed </w:t>
      </w:r>
      <w:r>
        <w:t>April</w:t>
      </w:r>
      <w:r w:rsidRPr="00311B9E">
        <w:t xml:space="preserve"> 2</w:t>
      </w:r>
      <w:r>
        <w:t>5</w:t>
      </w:r>
      <w:r w:rsidRPr="00311B9E">
        <w:t>, 2018)</w:t>
      </w:r>
    </w:p>
    <w:p w14:paraId="6CF687C9" w14:textId="13FCDE40" w:rsidR="00163DE1" w:rsidRPr="00311B9E" w:rsidRDefault="00163DE1" w:rsidP="00163DE1">
      <w:pPr>
        <w:spacing w:after="0" w:line="360" w:lineRule="auto"/>
      </w:pPr>
      <w:r>
        <w:t xml:space="preserve">8. </w:t>
      </w:r>
      <w:r w:rsidRPr="00311B9E">
        <w:t xml:space="preserve">Thomson-Glover R, Brown R, </w:t>
      </w:r>
      <w:proofErr w:type="spellStart"/>
      <w:r w:rsidRPr="00311B9E">
        <w:t>Edirisinghe</w:t>
      </w:r>
      <w:proofErr w:type="spellEnd"/>
      <w:r w:rsidRPr="00311B9E">
        <w:t xml:space="preserve"> DN. Isolated pharyngeal </w:t>
      </w:r>
      <w:r w:rsidRPr="005326AE">
        <w:rPr>
          <w:i/>
        </w:rPr>
        <w:t xml:space="preserve">Neisseria </w:t>
      </w:r>
      <w:proofErr w:type="spellStart"/>
      <w:r w:rsidRPr="005326AE">
        <w:rPr>
          <w:i/>
        </w:rPr>
        <w:t>gonorrhoeae</w:t>
      </w:r>
      <w:proofErr w:type="spellEnd"/>
      <w:r w:rsidRPr="00311B9E">
        <w:t xml:space="preserve"> in heterosexual male contacts. </w:t>
      </w:r>
      <w:proofErr w:type="spellStart"/>
      <w:r w:rsidRPr="005326AE">
        <w:rPr>
          <w:i/>
        </w:rPr>
        <w:t>Int</w:t>
      </w:r>
      <w:proofErr w:type="spellEnd"/>
      <w:r w:rsidRPr="005326AE">
        <w:rPr>
          <w:i/>
        </w:rPr>
        <w:t xml:space="preserve"> J STD AIDS</w:t>
      </w:r>
      <w:r w:rsidRPr="00311B9E">
        <w:t xml:space="preserve"> 2013; 24(12): 983-985.</w:t>
      </w:r>
    </w:p>
    <w:p w14:paraId="021C6A5E" w14:textId="53F0B83B" w:rsidR="00E741CE" w:rsidRPr="00C92867" w:rsidRDefault="00163DE1" w:rsidP="00163DE1">
      <w:r>
        <w:t xml:space="preserve">9. </w:t>
      </w:r>
      <w:proofErr w:type="spellStart"/>
      <w:r w:rsidRPr="00311B9E">
        <w:t>Didelot</w:t>
      </w:r>
      <w:proofErr w:type="spellEnd"/>
      <w:r w:rsidRPr="00311B9E">
        <w:t xml:space="preserve"> X, </w:t>
      </w:r>
      <w:proofErr w:type="spellStart"/>
      <w:r w:rsidRPr="00311B9E">
        <w:t>Dordel</w:t>
      </w:r>
      <w:proofErr w:type="spellEnd"/>
      <w:r w:rsidRPr="00311B9E">
        <w:t xml:space="preserve"> J, Whittles LK, Collins C, </w:t>
      </w:r>
      <w:proofErr w:type="spellStart"/>
      <w:r w:rsidRPr="00311B9E">
        <w:t>Bilek</w:t>
      </w:r>
      <w:proofErr w:type="spellEnd"/>
      <w:r w:rsidRPr="00311B9E">
        <w:t xml:space="preserve"> N, Bishop CJ, White PJ, </w:t>
      </w:r>
      <w:proofErr w:type="spellStart"/>
      <w:r w:rsidRPr="00311B9E">
        <w:t>Aanensen</w:t>
      </w:r>
      <w:proofErr w:type="spellEnd"/>
      <w:r w:rsidRPr="00311B9E">
        <w:t xml:space="preserve"> DM, </w:t>
      </w:r>
      <w:proofErr w:type="spellStart"/>
      <w:r w:rsidRPr="00311B9E">
        <w:t>Parkhill</w:t>
      </w:r>
      <w:proofErr w:type="spellEnd"/>
      <w:r w:rsidRPr="00311B9E">
        <w:t xml:space="preserve"> J, Bentley SD, Spratt BG, Harris SR. Genomic analysis and comparison of two gonorrhoea outbreaks. </w:t>
      </w:r>
      <w:proofErr w:type="spellStart"/>
      <w:proofErr w:type="gramStart"/>
      <w:r w:rsidRPr="005326AE">
        <w:rPr>
          <w:i/>
        </w:rPr>
        <w:t>mBio</w:t>
      </w:r>
      <w:proofErr w:type="spellEnd"/>
      <w:proofErr w:type="gramEnd"/>
      <w:r w:rsidRPr="00311B9E">
        <w:t xml:space="preserve"> 2016; 7(3): e00525-16.</w:t>
      </w:r>
    </w:p>
    <w:p w14:paraId="1D586A0C" w14:textId="77777777" w:rsidR="007E7A9A" w:rsidRDefault="007E7A9A" w:rsidP="007E7A9A"/>
    <w:p w14:paraId="7EE8018B" w14:textId="1C775451" w:rsidR="005E0F5F" w:rsidRPr="00C92867" w:rsidRDefault="00163DE1" w:rsidP="005E0F5F">
      <w:pPr>
        <w:rPr>
          <w:vertAlign w:val="superscript"/>
        </w:rPr>
      </w:pPr>
      <w:r w:rsidRPr="000C5E54">
        <w:t>Lilith K Whittles MRes</w:t>
      </w:r>
      <w:r w:rsidRPr="000C5E54">
        <w:rPr>
          <w:vertAlign w:val="superscript"/>
        </w:rPr>
        <w:t>1</w:t>
      </w:r>
      <w:r w:rsidRPr="000C5E54">
        <w:t xml:space="preserve">, Dr Xavier </w:t>
      </w:r>
      <w:proofErr w:type="spellStart"/>
      <w:r w:rsidRPr="000C5E54">
        <w:t>Didelot</w:t>
      </w:r>
      <w:proofErr w:type="spellEnd"/>
      <w:r w:rsidRPr="000C5E54">
        <w:t xml:space="preserve"> DPhil</w:t>
      </w:r>
      <w:r w:rsidRPr="000C5E54">
        <w:rPr>
          <w:vertAlign w:val="superscript"/>
        </w:rPr>
        <w:t>1</w:t>
      </w:r>
      <w:r w:rsidRPr="000C5E54">
        <w:t>, Dr Yonatan H Grad PhD</w:t>
      </w:r>
      <w:r>
        <w:rPr>
          <w:vertAlign w:val="superscript"/>
        </w:rPr>
        <w:t>2</w:t>
      </w:r>
      <w:proofErr w:type="gramStart"/>
      <w:r>
        <w:rPr>
          <w:vertAlign w:val="superscript"/>
        </w:rPr>
        <w:t>,3</w:t>
      </w:r>
      <w:proofErr w:type="gramEnd"/>
      <w:r w:rsidRPr="000C5E54">
        <w:t>, Dr Peter J White PhD</w:t>
      </w:r>
      <w:r w:rsidR="00BE0E6E" w:rsidRPr="00BE0E6E">
        <w:rPr>
          <w:vertAlign w:val="superscript"/>
        </w:rPr>
        <w:t>*</w:t>
      </w:r>
      <w:r w:rsidRPr="000C5E54">
        <w:rPr>
          <w:vertAlign w:val="superscript"/>
        </w:rPr>
        <w:t>1,</w:t>
      </w:r>
      <w:r>
        <w:rPr>
          <w:vertAlign w:val="superscript"/>
        </w:rPr>
        <w:t>4</w:t>
      </w:r>
    </w:p>
    <w:p w14:paraId="25903B24" w14:textId="77777777" w:rsidR="005E0F5F" w:rsidRPr="00C92867" w:rsidRDefault="005E0F5F" w:rsidP="005E0F5F">
      <w:r>
        <w:t>*</w:t>
      </w:r>
      <w:r w:rsidRPr="00C92867">
        <w:t>Corresponding author</w:t>
      </w:r>
      <w:r>
        <w:t xml:space="preserve">: </w:t>
      </w:r>
      <w:r w:rsidRPr="005E0F5F">
        <w:t>p.white@imperial.ac.uk</w:t>
      </w:r>
    </w:p>
    <w:p w14:paraId="7F06C642" w14:textId="77777777" w:rsidR="00163DE1" w:rsidRPr="00D61501" w:rsidRDefault="00163DE1" w:rsidP="00163DE1">
      <w:r w:rsidRPr="000C5E54">
        <w:rPr>
          <w:vertAlign w:val="superscript"/>
        </w:rPr>
        <w:t>1</w:t>
      </w:r>
      <w:r w:rsidRPr="000C5E54">
        <w:t xml:space="preserve">MRC </w:t>
      </w:r>
      <w:r w:rsidRPr="00D61501">
        <w:t>Centre for Outbreak Analysis and Modelling and NIHR Health Protection Research Unit in Modelling Methodology, Imperial College London, London, UK</w:t>
      </w:r>
    </w:p>
    <w:p w14:paraId="41F0D45A" w14:textId="77777777" w:rsidR="00163DE1" w:rsidRPr="00D61501" w:rsidRDefault="00163DE1" w:rsidP="00163DE1">
      <w:pPr>
        <w:pStyle w:val="Normal1"/>
        <w:spacing w:after="200"/>
        <w:rPr>
          <w:rFonts w:ascii="Calibri" w:hAnsi="Calibri"/>
        </w:rPr>
      </w:pPr>
      <w:r>
        <w:rPr>
          <w:rFonts w:ascii="Calibri" w:hAnsi="Calibri"/>
          <w:vertAlign w:val="superscript"/>
        </w:rPr>
        <w:t>2</w:t>
      </w:r>
      <w:r w:rsidRPr="00D61501">
        <w:rPr>
          <w:rFonts w:ascii="Calibri" w:hAnsi="Calibri"/>
        </w:rPr>
        <w:t>Department of Immunology and Infectious Diseases, Harvard T. H. Chan School of Public Health, Boston, Massachusetts 02115, USA</w:t>
      </w:r>
    </w:p>
    <w:p w14:paraId="4F0F5CA2" w14:textId="77777777" w:rsidR="00163DE1" w:rsidRDefault="00163DE1" w:rsidP="00163DE1">
      <w:pPr>
        <w:pStyle w:val="Normal1"/>
        <w:spacing w:after="200"/>
        <w:rPr>
          <w:rFonts w:ascii="Calibri" w:hAnsi="Calibri"/>
        </w:rPr>
      </w:pPr>
      <w:r>
        <w:rPr>
          <w:rFonts w:ascii="Calibri" w:hAnsi="Calibri"/>
          <w:vertAlign w:val="superscript"/>
        </w:rPr>
        <w:t>3</w:t>
      </w:r>
      <w:r w:rsidRPr="00D61501">
        <w:rPr>
          <w:rFonts w:ascii="Calibri" w:hAnsi="Calibri"/>
        </w:rPr>
        <w:t>Division of Infectious Diseases, Department of Medicine, Brigham and Women’s Hospital, Harvard Medical School, Boston, Massachusetts 02115, USA</w:t>
      </w:r>
    </w:p>
    <w:p w14:paraId="1E996C9A" w14:textId="1B6187D3" w:rsidR="005E0F5F" w:rsidRDefault="00163DE1" w:rsidP="00163DE1">
      <w:pPr>
        <w:rPr>
          <w:rFonts w:ascii="Calibri" w:hAnsi="Calibri"/>
        </w:rPr>
      </w:pPr>
      <w:r w:rsidRPr="002D2D11">
        <w:rPr>
          <w:rFonts w:ascii="Calibri" w:hAnsi="Calibri"/>
          <w:vertAlign w:val="superscript"/>
        </w:rPr>
        <w:t>4</w:t>
      </w:r>
      <w:r w:rsidRPr="002D2D11">
        <w:rPr>
          <w:rFonts w:ascii="Calibri" w:hAnsi="Calibri"/>
        </w:rPr>
        <w:t>Modelling and Economics Unit, National Infection Service, Public Health England, London, UK</w:t>
      </w:r>
    </w:p>
    <w:p w14:paraId="07A45C62" w14:textId="77777777" w:rsidR="00163DE1" w:rsidRDefault="00163DE1" w:rsidP="00163DE1"/>
    <w:p w14:paraId="1EC5B9A9" w14:textId="248079DD" w:rsidR="00C92867" w:rsidRDefault="00163DE1" w:rsidP="00C92867">
      <w:r w:rsidRPr="00163DE1">
        <w:t>LKW, XD, and PJW declare no competing interests. YHG has received consulting fees from GSK for work on gonorrhoea.</w:t>
      </w:r>
    </w:p>
    <w:p w14:paraId="7704E5D4" w14:textId="113F7C2E" w:rsidR="00C92867" w:rsidRDefault="00163DE1" w:rsidP="007E7A9A">
      <w:r w:rsidRPr="00163DE1">
        <w:lastRenderedPageBreak/>
        <w:t>LKW, XD and PJW thank the Medical Research Council (grant MR/K010174/1 to LKW and PJW; MR/N010760/1 to XD); XD and PJW thank the UK National Institute for Health Research (NIHR) Health Protection Research Unit in Modelling Methodology at Imperial College London, in partnership with Public Health England (HPRU-2012-10080); and YHG thanks the National Institutes of Health (RO1AI132606); for funding.</w:t>
      </w:r>
    </w:p>
    <w:p w14:paraId="7E580F02" w14:textId="249B0C28" w:rsidR="00D45E3F" w:rsidRDefault="005E0F5F" w:rsidP="007E7A9A">
      <w:r>
        <w:t xml:space="preserve">The funders had no role in study design, data collection and analysis, decision to publish, or preparation of the manuscript. </w:t>
      </w:r>
      <w:r w:rsidR="00163DE1" w:rsidRPr="00163DE1">
        <w:t xml:space="preserve">The views expressed are those of the authors and not necessarily those of the Department of Health, Medical Research Council, NHS, </w:t>
      </w:r>
      <w:proofErr w:type="gramStart"/>
      <w:r w:rsidR="00163DE1" w:rsidRPr="00163DE1">
        <w:t>NIHR</w:t>
      </w:r>
      <w:proofErr w:type="gramEnd"/>
      <w:r w:rsidR="00163DE1" w:rsidRPr="00163DE1">
        <w:t>, Public Health England or the official views of the National Institutes of Health.</w:t>
      </w:r>
    </w:p>
    <w:p w14:paraId="09578157" w14:textId="77777777" w:rsidR="00C92867" w:rsidRPr="00C92867" w:rsidRDefault="00C92867" w:rsidP="007E7A9A"/>
    <w:sectPr w:rsidR="00C92867" w:rsidRPr="00C92867" w:rsidSect="00C928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000284B" w15:done="0"/>
  <w15:commentEx w15:paraId="17B73C3A" w15:done="0"/>
  <w15:commentEx w15:paraId="7EA464C6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664A" w14:textId="77777777" w:rsidR="00856308" w:rsidRDefault="00856308" w:rsidP="002B5401">
      <w:pPr>
        <w:spacing w:after="0" w:line="240" w:lineRule="auto"/>
      </w:pPr>
      <w:r>
        <w:separator/>
      </w:r>
    </w:p>
  </w:endnote>
  <w:endnote w:type="continuationSeparator" w:id="0">
    <w:p w14:paraId="343A909F" w14:textId="77777777" w:rsidR="00856308" w:rsidRDefault="00856308" w:rsidP="002B5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969678" w14:textId="77777777" w:rsidR="002B5401" w:rsidRDefault="002B540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2195E2" w14:textId="77777777" w:rsidR="002B5401" w:rsidRDefault="002B540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50B8EA" w14:textId="77777777" w:rsidR="002B5401" w:rsidRDefault="002B54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F982A8" w14:textId="77777777" w:rsidR="00856308" w:rsidRDefault="00856308" w:rsidP="002B5401">
      <w:pPr>
        <w:spacing w:after="0" w:line="240" w:lineRule="auto"/>
      </w:pPr>
      <w:r>
        <w:separator/>
      </w:r>
    </w:p>
  </w:footnote>
  <w:footnote w:type="continuationSeparator" w:id="0">
    <w:p w14:paraId="1A553C9E" w14:textId="77777777" w:rsidR="00856308" w:rsidRDefault="00856308" w:rsidP="002B5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A3208F" w14:textId="77777777" w:rsidR="002B5401" w:rsidRDefault="002B540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E0E6FD" w14:textId="77777777" w:rsidR="002B5401" w:rsidRDefault="002B540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DB7EF6" w14:textId="77777777" w:rsidR="002B5401" w:rsidRDefault="002B5401">
    <w:pPr>
      <w:pStyle w:val="Header"/>
    </w:pPr>
  </w:p>
</w:hdr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bubakar, Ibrahim">
    <w15:presenceInfo w15:providerId="None" w15:userId="Abubakar, Ibrahim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CE0"/>
    <w:rsid w:val="00005ADA"/>
    <w:rsid w:val="00005F3A"/>
    <w:rsid w:val="00033A63"/>
    <w:rsid w:val="00047A37"/>
    <w:rsid w:val="00050850"/>
    <w:rsid w:val="000535BA"/>
    <w:rsid w:val="000660D7"/>
    <w:rsid w:val="000729E4"/>
    <w:rsid w:val="000945E9"/>
    <w:rsid w:val="000A3E0D"/>
    <w:rsid w:val="000B2060"/>
    <w:rsid w:val="000B5B96"/>
    <w:rsid w:val="000C5406"/>
    <w:rsid w:val="000D391B"/>
    <w:rsid w:val="00101C34"/>
    <w:rsid w:val="001144CF"/>
    <w:rsid w:val="001306E7"/>
    <w:rsid w:val="00131836"/>
    <w:rsid w:val="001321B6"/>
    <w:rsid w:val="00142A11"/>
    <w:rsid w:val="00154977"/>
    <w:rsid w:val="00161D67"/>
    <w:rsid w:val="00163DE1"/>
    <w:rsid w:val="00172049"/>
    <w:rsid w:val="00176CB1"/>
    <w:rsid w:val="001A694C"/>
    <w:rsid w:val="001B023C"/>
    <w:rsid w:val="001C207F"/>
    <w:rsid w:val="001D6062"/>
    <w:rsid w:val="001E76E2"/>
    <w:rsid w:val="001F2DB9"/>
    <w:rsid w:val="00205E38"/>
    <w:rsid w:val="00220DE4"/>
    <w:rsid w:val="00224CF3"/>
    <w:rsid w:val="002334A9"/>
    <w:rsid w:val="0024119A"/>
    <w:rsid w:val="00260CBB"/>
    <w:rsid w:val="00287211"/>
    <w:rsid w:val="002A6836"/>
    <w:rsid w:val="002B5401"/>
    <w:rsid w:val="002B66E6"/>
    <w:rsid w:val="002C5C54"/>
    <w:rsid w:val="002C6A71"/>
    <w:rsid w:val="002D6897"/>
    <w:rsid w:val="002D6B18"/>
    <w:rsid w:val="002E1B6D"/>
    <w:rsid w:val="002E2315"/>
    <w:rsid w:val="0031492B"/>
    <w:rsid w:val="00321995"/>
    <w:rsid w:val="00326745"/>
    <w:rsid w:val="00327D0D"/>
    <w:rsid w:val="00355453"/>
    <w:rsid w:val="00362EAD"/>
    <w:rsid w:val="0036466E"/>
    <w:rsid w:val="00370115"/>
    <w:rsid w:val="00374D75"/>
    <w:rsid w:val="00394CF5"/>
    <w:rsid w:val="003A23A1"/>
    <w:rsid w:val="003B3326"/>
    <w:rsid w:val="003B66F8"/>
    <w:rsid w:val="003C584C"/>
    <w:rsid w:val="003C6763"/>
    <w:rsid w:val="003F7DDC"/>
    <w:rsid w:val="004112E8"/>
    <w:rsid w:val="0045294E"/>
    <w:rsid w:val="0046200C"/>
    <w:rsid w:val="004A36BF"/>
    <w:rsid w:val="004C5530"/>
    <w:rsid w:val="004C6B4E"/>
    <w:rsid w:val="004D0C64"/>
    <w:rsid w:val="004D6C6E"/>
    <w:rsid w:val="004E1C0F"/>
    <w:rsid w:val="004E3B64"/>
    <w:rsid w:val="004E6646"/>
    <w:rsid w:val="004F37B0"/>
    <w:rsid w:val="005021E4"/>
    <w:rsid w:val="00511F93"/>
    <w:rsid w:val="00515FC9"/>
    <w:rsid w:val="00522DF0"/>
    <w:rsid w:val="00535945"/>
    <w:rsid w:val="0054145D"/>
    <w:rsid w:val="005528E5"/>
    <w:rsid w:val="00554EA5"/>
    <w:rsid w:val="00577A88"/>
    <w:rsid w:val="005B621D"/>
    <w:rsid w:val="005E0F5F"/>
    <w:rsid w:val="005F2D54"/>
    <w:rsid w:val="005F5288"/>
    <w:rsid w:val="005F5437"/>
    <w:rsid w:val="00611C9B"/>
    <w:rsid w:val="00617738"/>
    <w:rsid w:val="00651DA7"/>
    <w:rsid w:val="00665833"/>
    <w:rsid w:val="006803F2"/>
    <w:rsid w:val="0069040A"/>
    <w:rsid w:val="006B2241"/>
    <w:rsid w:val="006B33A7"/>
    <w:rsid w:val="006C2D2F"/>
    <w:rsid w:val="006D0225"/>
    <w:rsid w:val="006D2F75"/>
    <w:rsid w:val="006D59E8"/>
    <w:rsid w:val="006E1E93"/>
    <w:rsid w:val="006E72E5"/>
    <w:rsid w:val="006F7C44"/>
    <w:rsid w:val="00703A0A"/>
    <w:rsid w:val="00711C62"/>
    <w:rsid w:val="0071562C"/>
    <w:rsid w:val="00741917"/>
    <w:rsid w:val="00750B10"/>
    <w:rsid w:val="007540CD"/>
    <w:rsid w:val="00762A18"/>
    <w:rsid w:val="0078247E"/>
    <w:rsid w:val="00782E2B"/>
    <w:rsid w:val="007842C4"/>
    <w:rsid w:val="007A1587"/>
    <w:rsid w:val="007B05A5"/>
    <w:rsid w:val="007C4A78"/>
    <w:rsid w:val="007D12DF"/>
    <w:rsid w:val="007D2C7D"/>
    <w:rsid w:val="007E7932"/>
    <w:rsid w:val="007E7A9A"/>
    <w:rsid w:val="007F1627"/>
    <w:rsid w:val="00813127"/>
    <w:rsid w:val="00821508"/>
    <w:rsid w:val="0083078A"/>
    <w:rsid w:val="00856308"/>
    <w:rsid w:val="00866916"/>
    <w:rsid w:val="00867EB7"/>
    <w:rsid w:val="008835C0"/>
    <w:rsid w:val="008B1428"/>
    <w:rsid w:val="008C2523"/>
    <w:rsid w:val="008C429B"/>
    <w:rsid w:val="008E3458"/>
    <w:rsid w:val="008E5A38"/>
    <w:rsid w:val="008F20A5"/>
    <w:rsid w:val="008F2A1B"/>
    <w:rsid w:val="008F721C"/>
    <w:rsid w:val="00901C74"/>
    <w:rsid w:val="00905D26"/>
    <w:rsid w:val="00911C8B"/>
    <w:rsid w:val="009170FA"/>
    <w:rsid w:val="00917A82"/>
    <w:rsid w:val="00923749"/>
    <w:rsid w:val="00930349"/>
    <w:rsid w:val="00950EB8"/>
    <w:rsid w:val="009535A8"/>
    <w:rsid w:val="00964AC9"/>
    <w:rsid w:val="00981F5D"/>
    <w:rsid w:val="00986B57"/>
    <w:rsid w:val="0099098A"/>
    <w:rsid w:val="009A1925"/>
    <w:rsid w:val="009A4B11"/>
    <w:rsid w:val="009F11A5"/>
    <w:rsid w:val="009F7B9E"/>
    <w:rsid w:val="00A064E6"/>
    <w:rsid w:val="00A24C67"/>
    <w:rsid w:val="00A43B9F"/>
    <w:rsid w:val="00A56B5A"/>
    <w:rsid w:val="00A82969"/>
    <w:rsid w:val="00A84925"/>
    <w:rsid w:val="00A8505D"/>
    <w:rsid w:val="00A866C5"/>
    <w:rsid w:val="00A95EA2"/>
    <w:rsid w:val="00AB0CEB"/>
    <w:rsid w:val="00AC0422"/>
    <w:rsid w:val="00AD520E"/>
    <w:rsid w:val="00AD5826"/>
    <w:rsid w:val="00AF2B5E"/>
    <w:rsid w:val="00B02168"/>
    <w:rsid w:val="00B03D88"/>
    <w:rsid w:val="00B14A1D"/>
    <w:rsid w:val="00B40DBA"/>
    <w:rsid w:val="00B47912"/>
    <w:rsid w:val="00B60238"/>
    <w:rsid w:val="00B67EBC"/>
    <w:rsid w:val="00B7470B"/>
    <w:rsid w:val="00B810FB"/>
    <w:rsid w:val="00B84F7B"/>
    <w:rsid w:val="00B86205"/>
    <w:rsid w:val="00B946EA"/>
    <w:rsid w:val="00BA0DC1"/>
    <w:rsid w:val="00BA3895"/>
    <w:rsid w:val="00BC0F41"/>
    <w:rsid w:val="00BD467C"/>
    <w:rsid w:val="00BE0E6E"/>
    <w:rsid w:val="00BF6850"/>
    <w:rsid w:val="00BF689D"/>
    <w:rsid w:val="00BF7D31"/>
    <w:rsid w:val="00C07A5B"/>
    <w:rsid w:val="00C27DF0"/>
    <w:rsid w:val="00C40C50"/>
    <w:rsid w:val="00C41FB5"/>
    <w:rsid w:val="00C43E29"/>
    <w:rsid w:val="00C553D0"/>
    <w:rsid w:val="00C56385"/>
    <w:rsid w:val="00C7074A"/>
    <w:rsid w:val="00C819BA"/>
    <w:rsid w:val="00C92654"/>
    <w:rsid w:val="00C92867"/>
    <w:rsid w:val="00CA4FF5"/>
    <w:rsid w:val="00CB2811"/>
    <w:rsid w:val="00CB41F4"/>
    <w:rsid w:val="00CC10BF"/>
    <w:rsid w:val="00CD4C1D"/>
    <w:rsid w:val="00CE2FB4"/>
    <w:rsid w:val="00CE7E75"/>
    <w:rsid w:val="00CF05A8"/>
    <w:rsid w:val="00D040FC"/>
    <w:rsid w:val="00D062B8"/>
    <w:rsid w:val="00D35A9C"/>
    <w:rsid w:val="00D40118"/>
    <w:rsid w:val="00D45E3F"/>
    <w:rsid w:val="00D464C5"/>
    <w:rsid w:val="00D4799B"/>
    <w:rsid w:val="00D56C28"/>
    <w:rsid w:val="00D754F6"/>
    <w:rsid w:val="00D850D7"/>
    <w:rsid w:val="00D925A4"/>
    <w:rsid w:val="00DB2FE8"/>
    <w:rsid w:val="00DC3BCA"/>
    <w:rsid w:val="00DE528D"/>
    <w:rsid w:val="00E301A0"/>
    <w:rsid w:val="00E41FC4"/>
    <w:rsid w:val="00E535B2"/>
    <w:rsid w:val="00E6565C"/>
    <w:rsid w:val="00E741CE"/>
    <w:rsid w:val="00EA1898"/>
    <w:rsid w:val="00EB7E37"/>
    <w:rsid w:val="00EC0ACC"/>
    <w:rsid w:val="00ED463E"/>
    <w:rsid w:val="00ED47C4"/>
    <w:rsid w:val="00EE00D7"/>
    <w:rsid w:val="00EE371C"/>
    <w:rsid w:val="00F0006D"/>
    <w:rsid w:val="00F001DF"/>
    <w:rsid w:val="00F07E31"/>
    <w:rsid w:val="00F12ED8"/>
    <w:rsid w:val="00F240E8"/>
    <w:rsid w:val="00F32E41"/>
    <w:rsid w:val="00F461C6"/>
    <w:rsid w:val="00F53B80"/>
    <w:rsid w:val="00F55CBB"/>
    <w:rsid w:val="00F57220"/>
    <w:rsid w:val="00F6479F"/>
    <w:rsid w:val="00F70CE0"/>
    <w:rsid w:val="00F814DE"/>
    <w:rsid w:val="00FA4A43"/>
    <w:rsid w:val="00FA5BBC"/>
    <w:rsid w:val="00FB37F8"/>
    <w:rsid w:val="00FC2422"/>
    <w:rsid w:val="00FC26D9"/>
    <w:rsid w:val="00FD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71C6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7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C4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359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59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59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59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5945"/>
    <w:rPr>
      <w:b/>
      <w:bCs/>
      <w:sz w:val="20"/>
      <w:szCs w:val="20"/>
    </w:rPr>
  </w:style>
  <w:style w:type="character" w:styleId="Hyperlink">
    <w:name w:val="Hyperlink"/>
    <w:unhideWhenUsed/>
    <w:rsid w:val="00C9286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B54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5401"/>
  </w:style>
  <w:style w:type="paragraph" w:styleId="Footer">
    <w:name w:val="footer"/>
    <w:basedOn w:val="Normal"/>
    <w:link w:val="FooterChar"/>
    <w:uiPriority w:val="99"/>
    <w:unhideWhenUsed/>
    <w:rsid w:val="002B54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5401"/>
  </w:style>
  <w:style w:type="paragraph" w:customStyle="1" w:styleId="Normal1">
    <w:name w:val="Normal1"/>
    <w:rsid w:val="00163DE1"/>
    <w:pPr>
      <w:spacing w:after="0"/>
    </w:pPr>
    <w:rPr>
      <w:rFonts w:ascii="Arial" w:eastAsia="Arial" w:hAnsi="Arial" w:cs="Arial"/>
      <w:lang w:val="e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7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C4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359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59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59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59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5945"/>
    <w:rPr>
      <w:b/>
      <w:bCs/>
      <w:sz w:val="20"/>
      <w:szCs w:val="20"/>
    </w:rPr>
  </w:style>
  <w:style w:type="character" w:styleId="Hyperlink">
    <w:name w:val="Hyperlink"/>
    <w:unhideWhenUsed/>
    <w:rsid w:val="00C9286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B54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5401"/>
  </w:style>
  <w:style w:type="paragraph" w:styleId="Footer">
    <w:name w:val="footer"/>
    <w:basedOn w:val="Normal"/>
    <w:link w:val="FooterChar"/>
    <w:uiPriority w:val="99"/>
    <w:unhideWhenUsed/>
    <w:rsid w:val="002B54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5401"/>
  </w:style>
  <w:style w:type="paragraph" w:customStyle="1" w:styleId="Normal1">
    <w:name w:val="Normal1"/>
    <w:rsid w:val="00163DE1"/>
    <w:pPr>
      <w:spacing w:after="0"/>
    </w:pPr>
    <w:rPr>
      <w:rFonts w:ascii="Arial" w:eastAsia="Arial" w:hAnsi="Arial" w:cs="Arial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gov.uk/government/publications/multi-drug-resistant-gonorrhoea-in-england-201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23" Type="http://schemas.microsoft.com/office/2011/relationships/commentsExtended" Target="commentsExtended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2018-05-18T17:03:00Z</dcterms:created>
  <dcterms:modified xsi:type="dcterms:W3CDTF">2018-06-21T15:36:00Z</dcterms:modified>
</cp:coreProperties>
</file>