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D5BAB" w14:textId="26F0272D" w:rsidR="00411F4E" w:rsidRPr="00D26883" w:rsidRDefault="006970AF" w:rsidP="00411F4E">
      <w:pPr>
        <w:spacing w:line="480" w:lineRule="auto"/>
        <w:rPr>
          <w:rFonts w:asciiTheme="minorBidi" w:hAnsiTheme="minorBidi"/>
          <w:b/>
          <w:bCs/>
        </w:rPr>
      </w:pPr>
      <w:r>
        <w:rPr>
          <w:rFonts w:asciiTheme="minorBidi" w:hAnsiTheme="minorBidi"/>
          <w:b/>
          <w:bCs/>
        </w:rPr>
        <w:t xml:space="preserve">Running Title: </w:t>
      </w:r>
      <w:r w:rsidR="00411F4E" w:rsidRPr="00D26883">
        <w:rPr>
          <w:rFonts w:asciiTheme="minorBidi" w:hAnsiTheme="minorBidi"/>
          <w:b/>
          <w:bCs/>
        </w:rPr>
        <w:t>Nirmatrelvir/ritonavir: real world drug-drug interaction management experience.</w:t>
      </w:r>
    </w:p>
    <w:p w14:paraId="1606695A" w14:textId="77777777" w:rsidR="006970AF" w:rsidRPr="00D26883" w:rsidRDefault="006970AF" w:rsidP="00411F4E">
      <w:pPr>
        <w:spacing w:line="480" w:lineRule="auto"/>
        <w:rPr>
          <w:rFonts w:asciiTheme="minorBidi" w:hAnsiTheme="minorBidi"/>
          <w:sz w:val="22"/>
          <w:szCs w:val="22"/>
        </w:rPr>
      </w:pPr>
    </w:p>
    <w:p w14:paraId="723027B1" w14:textId="77777777" w:rsidR="002A46CC" w:rsidRPr="00D26883" w:rsidRDefault="002A46CC" w:rsidP="002A46CC">
      <w:pPr>
        <w:spacing w:line="480" w:lineRule="auto"/>
        <w:rPr>
          <w:rFonts w:asciiTheme="minorBidi" w:hAnsiTheme="minorBidi"/>
          <w:b/>
          <w:bCs/>
          <w:sz w:val="22"/>
          <w:szCs w:val="22"/>
        </w:rPr>
      </w:pPr>
      <w:r w:rsidRPr="00D26883">
        <w:rPr>
          <w:rFonts w:asciiTheme="minorBidi" w:hAnsiTheme="minorBidi"/>
          <w:b/>
          <w:bCs/>
          <w:sz w:val="22"/>
          <w:szCs w:val="22"/>
        </w:rPr>
        <w:t>Authors</w:t>
      </w:r>
    </w:p>
    <w:p w14:paraId="3C6FB2C7"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Shahid Bukhari</w:t>
      </w:r>
      <w:r w:rsidRPr="00D26883">
        <w:rPr>
          <w:rFonts w:asciiTheme="minorBidi" w:hAnsiTheme="minorBidi"/>
          <w:sz w:val="22"/>
          <w:szCs w:val="22"/>
          <w:vertAlign w:val="superscript"/>
        </w:rPr>
        <w:t>1</w:t>
      </w:r>
      <w:r w:rsidRPr="00D26883">
        <w:rPr>
          <w:rFonts w:asciiTheme="minorBidi" w:hAnsiTheme="minorBidi"/>
          <w:sz w:val="22"/>
          <w:szCs w:val="22"/>
        </w:rPr>
        <w:t xml:space="preserve">, </w:t>
      </w:r>
    </w:p>
    <w:p w14:paraId="242A5157"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Stephen Hughes</w:t>
      </w:r>
      <w:r w:rsidRPr="00D26883">
        <w:rPr>
          <w:rFonts w:asciiTheme="minorBidi" w:hAnsiTheme="minorBidi"/>
          <w:sz w:val="22"/>
          <w:szCs w:val="22"/>
          <w:vertAlign w:val="superscript"/>
        </w:rPr>
        <w:t>1</w:t>
      </w:r>
    </w:p>
    <w:p w14:paraId="067F304E"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N</w:t>
      </w:r>
      <w:r>
        <w:rPr>
          <w:rFonts w:asciiTheme="minorBidi" w:hAnsiTheme="minorBidi"/>
          <w:sz w:val="22"/>
          <w:szCs w:val="22"/>
        </w:rPr>
        <w:t>abeela</w:t>
      </w:r>
      <w:r w:rsidRPr="00D26883">
        <w:rPr>
          <w:rFonts w:asciiTheme="minorBidi" w:hAnsiTheme="minorBidi"/>
          <w:sz w:val="22"/>
          <w:szCs w:val="22"/>
        </w:rPr>
        <w:t xml:space="preserve"> Mughal</w:t>
      </w:r>
      <w:r w:rsidRPr="00D26883">
        <w:rPr>
          <w:rFonts w:asciiTheme="minorBidi" w:hAnsiTheme="minorBidi"/>
          <w:sz w:val="22"/>
          <w:szCs w:val="22"/>
          <w:vertAlign w:val="superscript"/>
        </w:rPr>
        <w:t>1</w:t>
      </w:r>
    </w:p>
    <w:p w14:paraId="586CCE91"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Luke SP Moore</w:t>
      </w:r>
      <w:r w:rsidRPr="00D26883">
        <w:rPr>
          <w:rFonts w:asciiTheme="minorBidi" w:hAnsiTheme="minorBidi"/>
          <w:sz w:val="22"/>
          <w:szCs w:val="22"/>
          <w:vertAlign w:val="superscript"/>
        </w:rPr>
        <w:t>1,2,3</w:t>
      </w:r>
    </w:p>
    <w:p w14:paraId="613D6D49"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G</w:t>
      </w:r>
      <w:r>
        <w:rPr>
          <w:rFonts w:asciiTheme="minorBidi" w:hAnsiTheme="minorBidi"/>
          <w:sz w:val="22"/>
          <w:szCs w:val="22"/>
        </w:rPr>
        <w:t>ary</w:t>
      </w:r>
      <w:r w:rsidRPr="00D26883">
        <w:rPr>
          <w:rFonts w:asciiTheme="minorBidi" w:hAnsiTheme="minorBidi"/>
          <w:sz w:val="22"/>
          <w:szCs w:val="22"/>
        </w:rPr>
        <w:t xml:space="preserve"> Davies</w:t>
      </w:r>
      <w:r w:rsidRPr="00D26883">
        <w:rPr>
          <w:rFonts w:asciiTheme="minorBidi" w:hAnsiTheme="minorBidi"/>
          <w:sz w:val="22"/>
          <w:szCs w:val="22"/>
          <w:vertAlign w:val="superscript"/>
        </w:rPr>
        <w:t>1</w:t>
      </w:r>
    </w:p>
    <w:p w14:paraId="0C9676D8"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A</w:t>
      </w:r>
      <w:r>
        <w:rPr>
          <w:rFonts w:asciiTheme="minorBidi" w:hAnsiTheme="minorBidi"/>
          <w:sz w:val="22"/>
          <w:szCs w:val="22"/>
        </w:rPr>
        <w:t>drian</w:t>
      </w:r>
      <w:r w:rsidRPr="00D26883">
        <w:rPr>
          <w:rFonts w:asciiTheme="minorBidi" w:hAnsiTheme="minorBidi"/>
          <w:sz w:val="22"/>
          <w:szCs w:val="22"/>
        </w:rPr>
        <w:t xml:space="preserve"> Vargas</w:t>
      </w:r>
      <w:r>
        <w:rPr>
          <w:rFonts w:asciiTheme="minorBidi" w:hAnsiTheme="minorBidi"/>
          <w:sz w:val="22"/>
          <w:szCs w:val="22"/>
        </w:rPr>
        <w:t>-</w:t>
      </w:r>
      <w:r w:rsidRPr="00D26883">
        <w:rPr>
          <w:rFonts w:asciiTheme="minorBidi" w:hAnsiTheme="minorBidi"/>
          <w:sz w:val="22"/>
          <w:szCs w:val="22"/>
        </w:rPr>
        <w:t>Zhang</w:t>
      </w:r>
      <w:r w:rsidRPr="00D26883">
        <w:rPr>
          <w:rFonts w:asciiTheme="minorBidi" w:hAnsiTheme="minorBidi"/>
          <w:sz w:val="22"/>
          <w:szCs w:val="22"/>
          <w:vertAlign w:val="superscript"/>
        </w:rPr>
        <w:t>2</w:t>
      </w:r>
    </w:p>
    <w:p w14:paraId="0359F079"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M</w:t>
      </w:r>
      <w:r>
        <w:rPr>
          <w:rFonts w:asciiTheme="minorBidi" w:hAnsiTheme="minorBidi"/>
          <w:sz w:val="22"/>
          <w:szCs w:val="22"/>
        </w:rPr>
        <w:t>egan</w:t>
      </w:r>
      <w:r w:rsidRPr="00D26883">
        <w:rPr>
          <w:rFonts w:asciiTheme="minorBidi" w:hAnsiTheme="minorBidi"/>
          <w:sz w:val="22"/>
          <w:szCs w:val="22"/>
        </w:rPr>
        <w:t xml:space="preserve"> Ng</w:t>
      </w:r>
      <w:r w:rsidRPr="00D26883">
        <w:rPr>
          <w:rFonts w:asciiTheme="minorBidi" w:hAnsiTheme="minorBidi"/>
          <w:sz w:val="22"/>
          <w:szCs w:val="22"/>
          <w:vertAlign w:val="superscript"/>
        </w:rPr>
        <w:t>2</w:t>
      </w:r>
    </w:p>
    <w:p w14:paraId="2C6B07AF"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Z</w:t>
      </w:r>
      <w:r>
        <w:rPr>
          <w:rFonts w:asciiTheme="minorBidi" w:hAnsiTheme="minorBidi"/>
          <w:sz w:val="22"/>
          <w:szCs w:val="22"/>
        </w:rPr>
        <w:t>ekiye</w:t>
      </w:r>
      <w:r w:rsidRPr="00D26883">
        <w:rPr>
          <w:rFonts w:asciiTheme="minorBidi" w:hAnsiTheme="minorBidi"/>
          <w:sz w:val="22"/>
          <w:szCs w:val="22"/>
        </w:rPr>
        <w:t xml:space="preserve"> Karagozlu</w:t>
      </w:r>
      <w:r w:rsidRPr="00D26883">
        <w:rPr>
          <w:rFonts w:asciiTheme="minorBidi" w:hAnsiTheme="minorBidi"/>
          <w:sz w:val="22"/>
          <w:szCs w:val="22"/>
          <w:vertAlign w:val="superscript"/>
        </w:rPr>
        <w:t>2</w:t>
      </w:r>
    </w:p>
    <w:p w14:paraId="2112811E"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M</w:t>
      </w:r>
      <w:r>
        <w:rPr>
          <w:rFonts w:asciiTheme="minorBidi" w:hAnsiTheme="minorBidi"/>
          <w:sz w:val="22"/>
          <w:szCs w:val="22"/>
        </w:rPr>
        <w:t>arta</w:t>
      </w:r>
      <w:r w:rsidRPr="00D26883">
        <w:rPr>
          <w:rFonts w:asciiTheme="minorBidi" w:hAnsiTheme="minorBidi"/>
          <w:sz w:val="22"/>
          <w:szCs w:val="22"/>
        </w:rPr>
        <w:t xml:space="preserve"> </w:t>
      </w:r>
      <w:proofErr w:type="spellStart"/>
      <w:r w:rsidRPr="00D26883">
        <w:rPr>
          <w:rFonts w:asciiTheme="minorBidi" w:hAnsiTheme="minorBidi"/>
          <w:sz w:val="22"/>
          <w:szCs w:val="22"/>
        </w:rPr>
        <w:t>Boffito</w:t>
      </w:r>
      <w:proofErr w:type="spellEnd"/>
      <w:r w:rsidRPr="00D26883">
        <w:rPr>
          <w:rFonts w:asciiTheme="minorBidi" w:hAnsiTheme="minorBidi"/>
          <w:sz w:val="22"/>
          <w:szCs w:val="22"/>
        </w:rPr>
        <w:t xml:space="preserve"> </w:t>
      </w:r>
      <w:r w:rsidRPr="00D26883">
        <w:rPr>
          <w:rFonts w:asciiTheme="minorBidi" w:hAnsiTheme="minorBidi"/>
          <w:sz w:val="22"/>
          <w:szCs w:val="22"/>
          <w:vertAlign w:val="superscript"/>
        </w:rPr>
        <w:t>1,2</w:t>
      </w:r>
    </w:p>
    <w:p w14:paraId="5DF02CBF" w14:textId="77777777" w:rsidR="002A46CC" w:rsidRPr="00D26883" w:rsidRDefault="002A46CC" w:rsidP="002A46CC">
      <w:pPr>
        <w:spacing w:line="480" w:lineRule="auto"/>
        <w:rPr>
          <w:rFonts w:asciiTheme="minorBidi" w:hAnsiTheme="minorBidi"/>
          <w:sz w:val="22"/>
          <w:szCs w:val="22"/>
        </w:rPr>
      </w:pPr>
    </w:p>
    <w:p w14:paraId="61F174D9"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1 Chelsea and Westminster Hospital Foundation Trust, 369 Fulham Road, London. SW10 9NH UK</w:t>
      </w:r>
    </w:p>
    <w:p w14:paraId="071CA465"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2 Imperial College London, London, UK</w:t>
      </w:r>
    </w:p>
    <w:p w14:paraId="70DB57F5" w14:textId="77777777" w:rsidR="002A46CC" w:rsidRPr="00D26883" w:rsidRDefault="002A46CC" w:rsidP="002A46CC">
      <w:pPr>
        <w:spacing w:line="480" w:lineRule="auto"/>
        <w:rPr>
          <w:rFonts w:asciiTheme="minorBidi" w:hAnsiTheme="minorBidi"/>
          <w:sz w:val="22"/>
          <w:szCs w:val="22"/>
        </w:rPr>
      </w:pPr>
      <w:r w:rsidRPr="00D26883">
        <w:rPr>
          <w:rFonts w:asciiTheme="minorBidi" w:hAnsiTheme="minorBidi"/>
          <w:sz w:val="22"/>
          <w:szCs w:val="22"/>
        </w:rPr>
        <w:t>3. North West London Pathology, Imperial College Healthcare NHS Trust, Fulham Palace Road, London. W6 8RF</w:t>
      </w:r>
    </w:p>
    <w:p w14:paraId="29CA44B9" w14:textId="77777777" w:rsidR="002A46CC" w:rsidRPr="00AF4EF2" w:rsidRDefault="002A46CC" w:rsidP="002A46CC">
      <w:pPr>
        <w:spacing w:line="480" w:lineRule="auto"/>
        <w:rPr>
          <w:rFonts w:asciiTheme="minorBidi" w:hAnsiTheme="minorBidi"/>
          <w:b/>
          <w:bCs/>
          <w:sz w:val="22"/>
          <w:szCs w:val="22"/>
        </w:rPr>
      </w:pPr>
    </w:p>
    <w:p w14:paraId="4FBB2447" w14:textId="77777777" w:rsidR="002A46CC" w:rsidRPr="00AF4EF2" w:rsidRDefault="002A46CC" w:rsidP="002A46CC">
      <w:pPr>
        <w:spacing w:before="120" w:after="120" w:line="480" w:lineRule="auto"/>
        <w:rPr>
          <w:rFonts w:asciiTheme="minorBidi" w:hAnsiTheme="minorBidi"/>
          <w:b/>
          <w:sz w:val="22"/>
          <w:szCs w:val="22"/>
        </w:rPr>
      </w:pPr>
      <w:r w:rsidRPr="00AF4EF2">
        <w:rPr>
          <w:rFonts w:asciiTheme="minorBidi" w:hAnsiTheme="minorBidi"/>
          <w:b/>
          <w:sz w:val="22"/>
          <w:szCs w:val="22"/>
        </w:rPr>
        <w:t>CORRESPONDING AUTHOR:</w:t>
      </w:r>
    </w:p>
    <w:p w14:paraId="596BA50A" w14:textId="77777777" w:rsidR="002A46CC" w:rsidRPr="00AF4EF2" w:rsidRDefault="002A46CC" w:rsidP="002A46CC">
      <w:pPr>
        <w:spacing w:before="120" w:after="120" w:line="480" w:lineRule="auto"/>
        <w:rPr>
          <w:rFonts w:asciiTheme="minorBidi" w:hAnsiTheme="minorBidi"/>
          <w:sz w:val="22"/>
          <w:szCs w:val="22"/>
        </w:rPr>
      </w:pPr>
      <w:r w:rsidRPr="00AF4EF2">
        <w:rPr>
          <w:rFonts w:asciiTheme="minorBidi" w:hAnsiTheme="minorBidi"/>
          <w:sz w:val="22"/>
          <w:szCs w:val="22"/>
        </w:rPr>
        <w:t>Dr Shahid Bukhari</w:t>
      </w:r>
    </w:p>
    <w:p w14:paraId="11A74408" w14:textId="77777777" w:rsidR="002A46CC" w:rsidRPr="00AF4EF2" w:rsidRDefault="002A46CC" w:rsidP="002A46CC">
      <w:pPr>
        <w:spacing w:before="120" w:after="120" w:line="480" w:lineRule="auto"/>
        <w:rPr>
          <w:rFonts w:asciiTheme="minorBidi" w:hAnsiTheme="minorBidi"/>
          <w:sz w:val="22"/>
          <w:szCs w:val="22"/>
        </w:rPr>
      </w:pPr>
      <w:r w:rsidRPr="00AF4EF2">
        <w:rPr>
          <w:rFonts w:asciiTheme="minorBidi" w:hAnsiTheme="minorBidi"/>
          <w:sz w:val="22"/>
          <w:szCs w:val="22"/>
        </w:rPr>
        <w:t xml:space="preserve">Chelsea and Westminster Hospital Foundation Trust </w:t>
      </w:r>
    </w:p>
    <w:p w14:paraId="58E9A0C0" w14:textId="77777777" w:rsidR="002A46CC" w:rsidRPr="00AF4EF2" w:rsidRDefault="002A46CC" w:rsidP="002A46CC">
      <w:pPr>
        <w:spacing w:before="120" w:after="120" w:line="480" w:lineRule="auto"/>
        <w:rPr>
          <w:rFonts w:asciiTheme="minorBidi" w:hAnsiTheme="minorBidi"/>
          <w:sz w:val="22"/>
          <w:szCs w:val="22"/>
        </w:rPr>
      </w:pPr>
      <w:r w:rsidRPr="00AF4EF2">
        <w:rPr>
          <w:rFonts w:asciiTheme="minorBidi" w:hAnsiTheme="minorBidi"/>
          <w:sz w:val="22"/>
          <w:szCs w:val="22"/>
        </w:rPr>
        <w:t>369 Fulham Road</w:t>
      </w:r>
    </w:p>
    <w:p w14:paraId="15C8C849" w14:textId="77777777" w:rsidR="002A46CC" w:rsidRPr="00AF4EF2" w:rsidRDefault="002A46CC" w:rsidP="002A46CC">
      <w:pPr>
        <w:spacing w:before="120" w:after="120" w:line="480" w:lineRule="auto"/>
        <w:rPr>
          <w:rFonts w:asciiTheme="minorBidi" w:hAnsiTheme="minorBidi"/>
          <w:sz w:val="22"/>
          <w:szCs w:val="22"/>
        </w:rPr>
      </w:pPr>
      <w:r w:rsidRPr="00AF4EF2">
        <w:rPr>
          <w:rFonts w:asciiTheme="minorBidi" w:hAnsiTheme="minorBidi"/>
          <w:sz w:val="22"/>
          <w:szCs w:val="22"/>
        </w:rPr>
        <w:t>London SW10 9NH</w:t>
      </w:r>
    </w:p>
    <w:p w14:paraId="52B84686" w14:textId="77777777" w:rsidR="002A46CC" w:rsidRPr="00AF4EF2" w:rsidRDefault="002A46CC" w:rsidP="002A46CC">
      <w:pPr>
        <w:spacing w:before="120" w:after="120" w:line="480" w:lineRule="auto"/>
        <w:rPr>
          <w:rFonts w:asciiTheme="minorBidi" w:hAnsiTheme="minorBidi"/>
          <w:sz w:val="22"/>
          <w:szCs w:val="22"/>
        </w:rPr>
      </w:pPr>
      <w:r w:rsidRPr="00AF4EF2">
        <w:rPr>
          <w:rFonts w:asciiTheme="minorBidi" w:hAnsiTheme="minorBidi"/>
          <w:sz w:val="22"/>
          <w:szCs w:val="22"/>
        </w:rPr>
        <w:t>Tel: +44(0)20 3315</w:t>
      </w:r>
    </w:p>
    <w:p w14:paraId="027670C1" w14:textId="77777777" w:rsidR="002A46CC" w:rsidRPr="00AF4EF2" w:rsidRDefault="002A46CC" w:rsidP="002A46CC">
      <w:pPr>
        <w:spacing w:before="120" w:after="120" w:line="480" w:lineRule="auto"/>
        <w:rPr>
          <w:rFonts w:asciiTheme="minorBidi" w:hAnsiTheme="minorBidi"/>
          <w:sz w:val="22"/>
          <w:szCs w:val="22"/>
          <w:lang w:val="fr-FR"/>
        </w:rPr>
      </w:pPr>
      <w:proofErr w:type="gramStart"/>
      <w:r w:rsidRPr="00AF4EF2">
        <w:rPr>
          <w:rFonts w:asciiTheme="minorBidi" w:hAnsiTheme="minorBidi"/>
          <w:sz w:val="22"/>
          <w:szCs w:val="22"/>
          <w:lang w:val="fr-FR"/>
        </w:rPr>
        <w:lastRenderedPageBreak/>
        <w:t>Email:</w:t>
      </w:r>
      <w:proofErr w:type="gramEnd"/>
      <w:r w:rsidRPr="00AF4EF2">
        <w:rPr>
          <w:rFonts w:asciiTheme="minorBidi" w:hAnsiTheme="minorBidi"/>
          <w:sz w:val="22"/>
          <w:szCs w:val="22"/>
          <w:lang w:val="fr-FR"/>
        </w:rPr>
        <w:t xml:space="preserve"> shahid.bukhari@nhs.net</w:t>
      </w:r>
    </w:p>
    <w:p w14:paraId="14D04913" w14:textId="77777777" w:rsidR="002A46CC" w:rsidRDefault="002A46CC" w:rsidP="002A46CC">
      <w:pPr>
        <w:rPr>
          <w:rFonts w:asciiTheme="minorBidi" w:hAnsiTheme="minorBidi"/>
          <w:lang w:val="fr-FR"/>
        </w:rPr>
      </w:pPr>
    </w:p>
    <w:p w14:paraId="159010C9" w14:textId="77777777" w:rsidR="002A46CC" w:rsidRDefault="002A46CC" w:rsidP="002A46CC">
      <w:pPr>
        <w:spacing w:line="480" w:lineRule="auto"/>
        <w:rPr>
          <w:rFonts w:asciiTheme="minorBidi" w:hAnsiTheme="minorBidi"/>
          <w:sz w:val="22"/>
          <w:szCs w:val="22"/>
        </w:rPr>
      </w:pPr>
    </w:p>
    <w:p w14:paraId="296BE13F" w14:textId="75165739" w:rsidR="006970AF" w:rsidRPr="002A46CC" w:rsidRDefault="002A46CC" w:rsidP="002A46CC">
      <w:pPr>
        <w:spacing w:line="480" w:lineRule="auto"/>
        <w:rPr>
          <w:rFonts w:asciiTheme="minorBidi" w:hAnsiTheme="minorBidi"/>
          <w:i/>
          <w:iCs/>
          <w:sz w:val="22"/>
          <w:szCs w:val="22"/>
        </w:rPr>
      </w:pPr>
      <w:r w:rsidRPr="00AF4EF2">
        <w:rPr>
          <w:rFonts w:asciiTheme="minorBidi" w:hAnsiTheme="minorBidi"/>
          <w:i/>
          <w:iCs/>
          <w:sz w:val="22"/>
          <w:szCs w:val="22"/>
        </w:rPr>
        <w:t>This letter states that the manuscript “Nirmatrelvir/ritonavir: real world drug-drug interaction management experience.” has been reviewed and approved by all the above listed authors. All authors have contributed significantly to the work. The manuscript has not previously been published nor is being considered for publication elsewhere.</w:t>
      </w:r>
    </w:p>
    <w:p w14:paraId="55FBA121" w14:textId="40B79621" w:rsidR="00411F4E" w:rsidRPr="00D26883" w:rsidRDefault="00411F4E" w:rsidP="00411F4E">
      <w:pPr>
        <w:spacing w:before="120" w:after="120" w:line="480" w:lineRule="auto"/>
        <w:rPr>
          <w:rFonts w:asciiTheme="minorBidi" w:hAnsiTheme="minorBidi"/>
          <w:sz w:val="22"/>
          <w:szCs w:val="22"/>
        </w:rPr>
      </w:pPr>
      <w:r w:rsidRPr="00D26883">
        <w:rPr>
          <w:rFonts w:asciiTheme="minorBidi" w:hAnsiTheme="minorBidi"/>
          <w:b/>
          <w:sz w:val="22"/>
          <w:szCs w:val="22"/>
        </w:rPr>
        <w:t>WORD COUNT</w:t>
      </w:r>
      <w:r w:rsidR="003913C1">
        <w:rPr>
          <w:rFonts w:asciiTheme="minorBidi" w:hAnsiTheme="minorBidi"/>
          <w:b/>
          <w:sz w:val="22"/>
          <w:szCs w:val="22"/>
        </w:rPr>
        <w:t xml:space="preserve"> OF MANUSCRIPT</w:t>
      </w:r>
      <w:r w:rsidRPr="00D26883">
        <w:rPr>
          <w:rFonts w:asciiTheme="minorBidi" w:hAnsiTheme="minorBidi"/>
          <w:b/>
          <w:sz w:val="22"/>
          <w:szCs w:val="22"/>
        </w:rPr>
        <w:t>:</w:t>
      </w:r>
      <w:r w:rsidRPr="00D26883">
        <w:rPr>
          <w:rFonts w:asciiTheme="minorBidi" w:hAnsiTheme="minorBidi"/>
          <w:sz w:val="22"/>
          <w:szCs w:val="22"/>
        </w:rPr>
        <w:t xml:space="preserve"> </w:t>
      </w:r>
      <w:r w:rsidR="004D2D39" w:rsidRPr="00D26883">
        <w:rPr>
          <w:rFonts w:asciiTheme="minorBidi" w:hAnsiTheme="minorBidi"/>
          <w:sz w:val="22"/>
          <w:szCs w:val="22"/>
        </w:rPr>
        <w:t>806</w:t>
      </w:r>
    </w:p>
    <w:p w14:paraId="3161454F" w14:textId="77777777" w:rsidR="00411F4E" w:rsidRPr="00D26883" w:rsidRDefault="00411F4E" w:rsidP="00411F4E">
      <w:pPr>
        <w:spacing w:before="120" w:after="120" w:line="480" w:lineRule="auto"/>
        <w:rPr>
          <w:rFonts w:asciiTheme="minorBidi" w:hAnsiTheme="minorBidi"/>
          <w:sz w:val="22"/>
          <w:szCs w:val="22"/>
        </w:rPr>
      </w:pPr>
      <w:r w:rsidRPr="00D26883">
        <w:rPr>
          <w:rFonts w:asciiTheme="minorBidi" w:hAnsiTheme="minorBidi"/>
          <w:b/>
          <w:sz w:val="22"/>
          <w:szCs w:val="22"/>
        </w:rPr>
        <w:t>KEY WORDS:</w:t>
      </w:r>
      <w:r w:rsidRPr="00D26883">
        <w:rPr>
          <w:rFonts w:asciiTheme="minorBidi" w:hAnsiTheme="minorBidi"/>
          <w:sz w:val="22"/>
          <w:szCs w:val="22"/>
        </w:rPr>
        <w:t xml:space="preserve"> nirmatrelvir/ritonavir; drug-drug interactions; COVID19</w:t>
      </w:r>
    </w:p>
    <w:p w14:paraId="506A9730" w14:textId="77777777" w:rsidR="00D26883" w:rsidRDefault="00D26883" w:rsidP="00411F4E">
      <w:pPr>
        <w:rPr>
          <w:rFonts w:asciiTheme="minorBidi" w:hAnsiTheme="minorBidi"/>
          <w:sz w:val="22"/>
          <w:szCs w:val="22"/>
        </w:rPr>
      </w:pPr>
    </w:p>
    <w:p w14:paraId="1CBA5B09" w14:textId="4DC3FFE7" w:rsidR="00D26883" w:rsidRPr="00D26883" w:rsidRDefault="00D26883" w:rsidP="00411F4E">
      <w:pPr>
        <w:rPr>
          <w:rFonts w:asciiTheme="minorBidi" w:hAnsiTheme="minorBidi"/>
          <w:b/>
          <w:bCs/>
          <w:sz w:val="22"/>
          <w:szCs w:val="22"/>
        </w:rPr>
      </w:pPr>
      <w:r w:rsidRPr="00D26883">
        <w:rPr>
          <w:rFonts w:asciiTheme="minorBidi" w:hAnsiTheme="minorBidi"/>
          <w:b/>
          <w:bCs/>
          <w:sz w:val="22"/>
          <w:szCs w:val="22"/>
        </w:rPr>
        <w:t>Manuscript</w:t>
      </w:r>
      <w:r>
        <w:rPr>
          <w:rFonts w:asciiTheme="minorBidi" w:hAnsiTheme="minorBidi"/>
          <w:b/>
          <w:bCs/>
          <w:sz w:val="22"/>
          <w:szCs w:val="22"/>
        </w:rPr>
        <w:t>:</w:t>
      </w:r>
    </w:p>
    <w:p w14:paraId="72CBBAF4" w14:textId="77777777" w:rsidR="00D26883" w:rsidRPr="00D26883" w:rsidRDefault="00D26883" w:rsidP="00411F4E">
      <w:pPr>
        <w:rPr>
          <w:rFonts w:asciiTheme="minorBidi" w:hAnsiTheme="minorBidi"/>
          <w:sz w:val="22"/>
          <w:szCs w:val="22"/>
        </w:rPr>
      </w:pPr>
    </w:p>
    <w:p w14:paraId="6963A101" w14:textId="77777777" w:rsidR="00D26883" w:rsidRPr="00D26883" w:rsidRDefault="00D26883" w:rsidP="00411F4E">
      <w:pPr>
        <w:rPr>
          <w:rFonts w:asciiTheme="minorBidi" w:hAnsiTheme="minorBidi"/>
          <w:sz w:val="22"/>
          <w:szCs w:val="22"/>
        </w:rPr>
      </w:pPr>
    </w:p>
    <w:p w14:paraId="5D1EF81B" w14:textId="77777777" w:rsidR="00411F4E" w:rsidRPr="00D26883" w:rsidRDefault="00411F4E" w:rsidP="00411F4E">
      <w:pPr>
        <w:spacing w:line="480" w:lineRule="auto"/>
        <w:rPr>
          <w:rFonts w:asciiTheme="minorBidi" w:hAnsiTheme="minorBidi"/>
          <w:b/>
          <w:bCs/>
          <w:sz w:val="22"/>
          <w:szCs w:val="22"/>
        </w:rPr>
      </w:pPr>
      <w:r w:rsidRPr="00D26883">
        <w:rPr>
          <w:rFonts w:asciiTheme="minorBidi" w:hAnsiTheme="minorBidi"/>
          <w:b/>
          <w:bCs/>
          <w:sz w:val="22"/>
          <w:szCs w:val="22"/>
        </w:rPr>
        <w:t>Introduction</w:t>
      </w:r>
    </w:p>
    <w:p w14:paraId="08211C26" w14:textId="77777777" w:rsidR="00411F4E" w:rsidRPr="00D26883" w:rsidRDefault="00411F4E" w:rsidP="00411F4E">
      <w:pPr>
        <w:spacing w:line="480" w:lineRule="auto"/>
        <w:rPr>
          <w:rFonts w:asciiTheme="minorBidi" w:hAnsiTheme="minorBidi"/>
          <w:sz w:val="22"/>
          <w:szCs w:val="22"/>
        </w:rPr>
      </w:pPr>
    </w:p>
    <w:p w14:paraId="79418656" w14:textId="6ECFDDCB" w:rsidR="00411F4E" w:rsidRPr="00D26883" w:rsidRDefault="00411F4E" w:rsidP="00411F4E">
      <w:pPr>
        <w:spacing w:line="480" w:lineRule="auto"/>
        <w:rPr>
          <w:rFonts w:asciiTheme="minorBidi" w:hAnsiTheme="minorBidi"/>
          <w:sz w:val="22"/>
          <w:szCs w:val="22"/>
        </w:rPr>
      </w:pPr>
      <w:r w:rsidRPr="00D26883">
        <w:rPr>
          <w:rFonts w:asciiTheme="minorBidi" w:hAnsiTheme="minorBidi"/>
          <w:sz w:val="22"/>
          <w:szCs w:val="22"/>
        </w:rPr>
        <w:t xml:space="preserve">Nirmatrelvir/ritonavir combination therapy is currently advocated in the World Health Organisation (WHO) treatment algorithm for mild-moderate severity SARS-CoV2 infection in high-risk patient groups not requiring hospitalisation directly due to the infection </w:t>
      </w:r>
      <w:sdt>
        <w:sdtPr>
          <w:rPr>
            <w:rFonts w:asciiTheme="minorBidi" w:hAnsiTheme="minorBidi"/>
            <w:sz w:val="22"/>
            <w:szCs w:val="22"/>
          </w:rPr>
          <w:id w:val="659511187"/>
          <w:citation/>
        </w:sdtPr>
        <w:sdtContent>
          <w:r w:rsidRPr="00D26883">
            <w:rPr>
              <w:rFonts w:asciiTheme="minorBidi" w:hAnsiTheme="minorBidi"/>
              <w:sz w:val="22"/>
              <w:szCs w:val="22"/>
            </w:rPr>
            <w:fldChar w:fldCharType="begin"/>
          </w:r>
          <w:r w:rsidRPr="00D26883">
            <w:rPr>
              <w:rFonts w:asciiTheme="minorBidi" w:hAnsiTheme="minorBidi"/>
              <w:sz w:val="22"/>
              <w:szCs w:val="22"/>
            </w:rPr>
            <w:instrText xml:space="preserve"> CITATION WHO232 \l 2057 </w:instrText>
          </w:r>
          <w:r w:rsidRPr="00D26883">
            <w:rPr>
              <w:rFonts w:asciiTheme="minorBidi" w:hAnsiTheme="minorBidi"/>
              <w:sz w:val="22"/>
              <w:szCs w:val="22"/>
            </w:rPr>
            <w:fldChar w:fldCharType="separate"/>
          </w:r>
          <w:r w:rsidR="00AC0399" w:rsidRPr="00AC0399">
            <w:rPr>
              <w:rFonts w:asciiTheme="minorBidi" w:hAnsiTheme="minorBidi"/>
              <w:noProof/>
              <w:sz w:val="22"/>
              <w:szCs w:val="22"/>
            </w:rPr>
            <w:t>[1]</w:t>
          </w:r>
          <w:r w:rsidRPr="00D26883">
            <w:rPr>
              <w:rFonts w:asciiTheme="minorBidi" w:hAnsiTheme="minorBidi"/>
              <w:sz w:val="22"/>
              <w:szCs w:val="22"/>
            </w:rPr>
            <w:fldChar w:fldCharType="end"/>
          </w:r>
        </w:sdtContent>
      </w:sdt>
      <w:r w:rsidRPr="00D26883">
        <w:rPr>
          <w:rFonts w:asciiTheme="minorBidi" w:hAnsiTheme="minorBidi"/>
          <w:sz w:val="22"/>
          <w:szCs w:val="22"/>
        </w:rPr>
        <w:t>. Nirmatrelvir (NMV) is metabolised by cytochrome P450 3A4 (CYP3A4). As ritonavir (r) potently inhibits CYP3A4, NMV is combined with it to achieve therapeutic concentrations</w:t>
      </w:r>
      <w:sdt>
        <w:sdtPr>
          <w:rPr>
            <w:rFonts w:asciiTheme="minorBidi" w:hAnsiTheme="minorBidi"/>
            <w:sz w:val="22"/>
            <w:szCs w:val="22"/>
          </w:rPr>
          <w:id w:val="-388961156"/>
          <w:citation/>
        </w:sdtPr>
        <w:sdtContent>
          <w:r w:rsidRPr="00D26883">
            <w:rPr>
              <w:rFonts w:asciiTheme="minorBidi" w:hAnsiTheme="minorBidi"/>
              <w:sz w:val="22"/>
              <w:szCs w:val="22"/>
            </w:rPr>
            <w:fldChar w:fldCharType="begin"/>
          </w:r>
          <w:r w:rsidRPr="00D26883">
            <w:rPr>
              <w:rFonts w:asciiTheme="minorBidi" w:hAnsiTheme="minorBidi"/>
              <w:sz w:val="22"/>
              <w:szCs w:val="22"/>
            </w:rPr>
            <w:instrText xml:space="preserve"> CITATION NIH23 \l 2057 </w:instrText>
          </w:r>
          <w:r w:rsidRPr="00D26883">
            <w:rPr>
              <w:rFonts w:asciiTheme="minorBidi" w:hAnsiTheme="minorBidi"/>
              <w:sz w:val="22"/>
              <w:szCs w:val="22"/>
            </w:rPr>
            <w:fldChar w:fldCharType="separate"/>
          </w:r>
          <w:r w:rsidR="00AC0399">
            <w:rPr>
              <w:rFonts w:asciiTheme="minorBidi" w:hAnsiTheme="minorBidi"/>
              <w:noProof/>
              <w:sz w:val="22"/>
              <w:szCs w:val="22"/>
            </w:rPr>
            <w:t xml:space="preserve"> </w:t>
          </w:r>
          <w:r w:rsidR="00AC0399" w:rsidRPr="00AC0399">
            <w:rPr>
              <w:rFonts w:asciiTheme="minorBidi" w:hAnsiTheme="minorBidi"/>
              <w:noProof/>
              <w:sz w:val="22"/>
              <w:szCs w:val="22"/>
            </w:rPr>
            <w:t>[2]</w:t>
          </w:r>
          <w:r w:rsidRPr="00D26883">
            <w:rPr>
              <w:rFonts w:asciiTheme="minorBidi" w:hAnsiTheme="minorBidi"/>
              <w:sz w:val="22"/>
              <w:szCs w:val="22"/>
            </w:rPr>
            <w:fldChar w:fldCharType="end"/>
          </w:r>
        </w:sdtContent>
      </w:sdt>
      <w:r w:rsidRPr="00D26883">
        <w:rPr>
          <w:rFonts w:asciiTheme="minorBidi" w:hAnsiTheme="minorBidi"/>
          <w:sz w:val="22"/>
          <w:szCs w:val="22"/>
        </w:rPr>
        <w:t xml:space="preserve">. However, as a consequence of CYP3A4 inhibition, NMV/r therapy lends itself to a range of potential drug-drug interactions (DDIs) </w:t>
      </w:r>
      <w:sdt>
        <w:sdtPr>
          <w:rPr>
            <w:rFonts w:asciiTheme="minorBidi" w:hAnsiTheme="minorBidi"/>
            <w:sz w:val="22"/>
            <w:szCs w:val="22"/>
          </w:rPr>
          <w:id w:val="251947276"/>
          <w:citation/>
        </w:sdtPr>
        <w:sdtContent>
          <w:r w:rsidRPr="00D26883">
            <w:rPr>
              <w:rFonts w:asciiTheme="minorBidi" w:hAnsiTheme="minorBidi"/>
              <w:sz w:val="22"/>
              <w:szCs w:val="22"/>
            </w:rPr>
            <w:fldChar w:fldCharType="begin"/>
          </w:r>
          <w:r w:rsidRPr="00D26883">
            <w:rPr>
              <w:rFonts w:asciiTheme="minorBidi" w:hAnsiTheme="minorBidi"/>
              <w:sz w:val="22"/>
              <w:szCs w:val="22"/>
            </w:rPr>
            <w:instrText xml:space="preserve"> CITATION Mar22 \l 2057 </w:instrText>
          </w:r>
          <w:r w:rsidRPr="00D26883">
            <w:rPr>
              <w:rFonts w:asciiTheme="minorBidi" w:hAnsiTheme="minorBidi"/>
              <w:sz w:val="22"/>
              <w:szCs w:val="22"/>
            </w:rPr>
            <w:fldChar w:fldCharType="separate"/>
          </w:r>
          <w:r w:rsidR="00AC0399" w:rsidRPr="00AC0399">
            <w:rPr>
              <w:rFonts w:asciiTheme="minorBidi" w:hAnsiTheme="minorBidi"/>
              <w:noProof/>
              <w:sz w:val="22"/>
              <w:szCs w:val="22"/>
            </w:rPr>
            <w:t>[3]</w:t>
          </w:r>
          <w:r w:rsidRPr="00D26883">
            <w:rPr>
              <w:rFonts w:asciiTheme="minorBidi" w:hAnsiTheme="minorBidi"/>
              <w:sz w:val="22"/>
              <w:szCs w:val="22"/>
            </w:rPr>
            <w:fldChar w:fldCharType="end"/>
          </w:r>
        </w:sdtContent>
      </w:sdt>
      <w:r w:rsidRPr="00D26883">
        <w:rPr>
          <w:rFonts w:asciiTheme="minorBidi" w:hAnsiTheme="minorBidi"/>
          <w:sz w:val="22"/>
          <w:szCs w:val="22"/>
        </w:rPr>
        <w:t>.</w:t>
      </w:r>
    </w:p>
    <w:p w14:paraId="61CB9BB5" w14:textId="77777777" w:rsidR="00411F4E" w:rsidRPr="00D26883" w:rsidRDefault="00411F4E" w:rsidP="00411F4E">
      <w:pPr>
        <w:spacing w:line="480" w:lineRule="auto"/>
        <w:rPr>
          <w:rFonts w:asciiTheme="minorBidi" w:hAnsiTheme="minorBidi"/>
          <w:sz w:val="22"/>
          <w:szCs w:val="22"/>
        </w:rPr>
      </w:pPr>
    </w:p>
    <w:p w14:paraId="5B21625E" w14:textId="030038F6" w:rsidR="00411F4E" w:rsidRPr="00D26883" w:rsidRDefault="00411F4E" w:rsidP="00411F4E">
      <w:pPr>
        <w:spacing w:line="480" w:lineRule="auto"/>
        <w:rPr>
          <w:rFonts w:asciiTheme="minorBidi" w:hAnsiTheme="minorBidi"/>
          <w:sz w:val="22"/>
          <w:szCs w:val="22"/>
        </w:rPr>
      </w:pPr>
      <w:r w:rsidRPr="00D26883">
        <w:rPr>
          <w:rFonts w:asciiTheme="minorBidi" w:hAnsiTheme="minorBidi"/>
          <w:sz w:val="22"/>
          <w:szCs w:val="22"/>
        </w:rPr>
        <w:t xml:space="preserve">Patients eligible for NMV/r therapy will be at higher risk of DDIs, as they will often have multiple co-morbidities and co-medications (e.g., cardiovascular therapeutics, inhalers, analgesics, etc.) </w:t>
      </w:r>
      <w:sdt>
        <w:sdtPr>
          <w:rPr>
            <w:rFonts w:asciiTheme="minorBidi" w:hAnsiTheme="minorBidi"/>
            <w:sz w:val="22"/>
            <w:szCs w:val="22"/>
          </w:rPr>
          <w:id w:val="1638137370"/>
          <w:citation/>
        </w:sdtPr>
        <w:sdtContent>
          <w:r w:rsidRPr="00D26883">
            <w:rPr>
              <w:rFonts w:asciiTheme="minorBidi" w:hAnsiTheme="minorBidi"/>
              <w:sz w:val="22"/>
              <w:szCs w:val="22"/>
            </w:rPr>
            <w:fldChar w:fldCharType="begin"/>
          </w:r>
          <w:r w:rsidRPr="00D26883">
            <w:rPr>
              <w:rFonts w:asciiTheme="minorBidi" w:hAnsiTheme="minorBidi"/>
              <w:sz w:val="22"/>
              <w:szCs w:val="22"/>
            </w:rPr>
            <w:instrText xml:space="preserve">CITATION PRE20 \l 2057 </w:instrText>
          </w:r>
          <w:r w:rsidRPr="00D26883">
            <w:rPr>
              <w:rFonts w:asciiTheme="minorBidi" w:hAnsiTheme="minorBidi"/>
              <w:sz w:val="22"/>
              <w:szCs w:val="22"/>
            </w:rPr>
            <w:fldChar w:fldCharType="separate"/>
          </w:r>
          <w:r w:rsidR="00AC0399" w:rsidRPr="00AC0399">
            <w:rPr>
              <w:rFonts w:asciiTheme="minorBidi" w:hAnsiTheme="minorBidi"/>
              <w:noProof/>
              <w:sz w:val="22"/>
              <w:szCs w:val="22"/>
            </w:rPr>
            <w:t>[4]</w:t>
          </w:r>
          <w:r w:rsidRPr="00D26883">
            <w:rPr>
              <w:rFonts w:asciiTheme="minorBidi" w:hAnsiTheme="minorBidi"/>
              <w:sz w:val="22"/>
              <w:szCs w:val="22"/>
            </w:rPr>
            <w:fldChar w:fldCharType="end"/>
          </w:r>
        </w:sdtContent>
      </w:sdt>
      <w:r w:rsidRPr="00D26883">
        <w:rPr>
          <w:rFonts w:asciiTheme="minorBidi" w:hAnsiTheme="minorBidi"/>
          <w:sz w:val="22"/>
          <w:szCs w:val="22"/>
        </w:rPr>
        <w:t xml:space="preserve">. Although there are resources available to recognise and gauge the severity of such DDIs </w:t>
      </w:r>
      <w:sdt>
        <w:sdtPr>
          <w:rPr>
            <w:rFonts w:asciiTheme="minorBidi" w:hAnsiTheme="minorBidi"/>
            <w:sz w:val="22"/>
            <w:szCs w:val="22"/>
          </w:rPr>
          <w:id w:val="1098911947"/>
          <w:citation/>
        </w:sdtPr>
        <w:sdtContent>
          <w:r w:rsidRPr="00D26883">
            <w:rPr>
              <w:rFonts w:asciiTheme="minorBidi" w:hAnsiTheme="minorBidi"/>
              <w:sz w:val="22"/>
              <w:szCs w:val="22"/>
            </w:rPr>
            <w:fldChar w:fldCharType="begin"/>
          </w:r>
          <w:r w:rsidRPr="00D26883">
            <w:rPr>
              <w:rFonts w:asciiTheme="minorBidi" w:hAnsiTheme="minorBidi"/>
              <w:sz w:val="22"/>
              <w:szCs w:val="22"/>
            </w:rPr>
            <w:instrText xml:space="preserve"> CITATION Uni23 \l 2057 </w:instrText>
          </w:r>
          <w:r w:rsidRPr="00D26883">
            <w:rPr>
              <w:rFonts w:asciiTheme="minorBidi" w:hAnsiTheme="minorBidi"/>
              <w:sz w:val="22"/>
              <w:szCs w:val="22"/>
            </w:rPr>
            <w:fldChar w:fldCharType="separate"/>
          </w:r>
          <w:r w:rsidR="00AC0399" w:rsidRPr="00AC0399">
            <w:rPr>
              <w:rFonts w:asciiTheme="minorBidi" w:hAnsiTheme="minorBidi"/>
              <w:noProof/>
              <w:sz w:val="22"/>
              <w:szCs w:val="22"/>
            </w:rPr>
            <w:t>[5]</w:t>
          </w:r>
          <w:r w:rsidRPr="00D26883">
            <w:rPr>
              <w:rFonts w:asciiTheme="minorBidi" w:hAnsiTheme="minorBidi"/>
              <w:sz w:val="22"/>
              <w:szCs w:val="22"/>
            </w:rPr>
            <w:fldChar w:fldCharType="end"/>
          </w:r>
        </w:sdtContent>
      </w:sdt>
      <w:r w:rsidRPr="00D26883">
        <w:rPr>
          <w:rFonts w:asciiTheme="minorBidi" w:hAnsiTheme="minorBidi"/>
          <w:sz w:val="22"/>
          <w:szCs w:val="22"/>
        </w:rPr>
        <w:t>, there is a necessity for developing hospital/community systems which record, identify, and risk-stratify potential DDIs from patients’ list of co-medications. At present, however, there are no agreed national audit standards for this process.</w:t>
      </w:r>
    </w:p>
    <w:p w14:paraId="2AC79467" w14:textId="77777777" w:rsidR="00411F4E" w:rsidRPr="00D26883" w:rsidRDefault="00411F4E" w:rsidP="00411F4E">
      <w:pPr>
        <w:spacing w:line="480" w:lineRule="auto"/>
        <w:rPr>
          <w:rFonts w:asciiTheme="minorBidi" w:hAnsiTheme="minorBidi"/>
          <w:sz w:val="22"/>
          <w:szCs w:val="22"/>
        </w:rPr>
      </w:pPr>
    </w:p>
    <w:p w14:paraId="45950E9B" w14:textId="77777777" w:rsidR="00411F4E" w:rsidRPr="00D26883" w:rsidRDefault="00411F4E" w:rsidP="00411F4E">
      <w:pPr>
        <w:spacing w:line="480" w:lineRule="auto"/>
        <w:rPr>
          <w:rFonts w:asciiTheme="minorBidi" w:hAnsiTheme="minorBidi"/>
          <w:b/>
          <w:bCs/>
          <w:sz w:val="22"/>
          <w:szCs w:val="22"/>
        </w:rPr>
      </w:pPr>
      <w:r w:rsidRPr="00D26883">
        <w:rPr>
          <w:rFonts w:asciiTheme="minorBidi" w:hAnsiTheme="minorBidi"/>
          <w:b/>
          <w:bCs/>
          <w:sz w:val="22"/>
          <w:szCs w:val="22"/>
        </w:rPr>
        <w:t>Methods</w:t>
      </w:r>
    </w:p>
    <w:p w14:paraId="025E2C53" w14:textId="77777777" w:rsidR="00411F4E" w:rsidRPr="00D26883" w:rsidRDefault="00411F4E" w:rsidP="00411F4E">
      <w:pPr>
        <w:spacing w:line="480" w:lineRule="auto"/>
        <w:rPr>
          <w:rFonts w:asciiTheme="minorBidi" w:hAnsiTheme="minorBidi"/>
          <w:sz w:val="22"/>
          <w:szCs w:val="22"/>
        </w:rPr>
      </w:pPr>
    </w:p>
    <w:p w14:paraId="71D721B9" w14:textId="083245CF" w:rsidR="00411F4E" w:rsidRPr="00D26883" w:rsidRDefault="00411F4E" w:rsidP="00411F4E">
      <w:pPr>
        <w:spacing w:line="480" w:lineRule="auto"/>
        <w:rPr>
          <w:rFonts w:asciiTheme="minorBidi" w:hAnsiTheme="minorBidi"/>
          <w:sz w:val="22"/>
          <w:szCs w:val="22"/>
        </w:rPr>
      </w:pPr>
      <w:r w:rsidRPr="00D26883">
        <w:rPr>
          <w:rFonts w:asciiTheme="minorBidi" w:hAnsiTheme="minorBidi"/>
          <w:sz w:val="22"/>
          <w:szCs w:val="22"/>
        </w:rPr>
        <w:t xml:space="preserve">A service evaluation was approved by the Chelsea and Westminster Hospital (London, UK) Clinical Governance Committee and carried out on local processes around DDI identification, risk stratification and management of co-medication in patients eligible for NMV/r therapy. The study population were non-hospitalised patients with COVID-19 at the highest risk of hospitalisation (excluding pregnant and breastfeeding women) as per UK interim clinical commissioning policy guidelines </w:t>
      </w:r>
      <w:sdt>
        <w:sdtPr>
          <w:rPr>
            <w:rFonts w:asciiTheme="minorBidi" w:hAnsiTheme="minorBidi"/>
            <w:sz w:val="22"/>
            <w:szCs w:val="22"/>
          </w:rPr>
          <w:id w:val="484594854"/>
          <w:citation/>
        </w:sdtPr>
        <w:sdtContent>
          <w:r w:rsidRPr="00D26883">
            <w:rPr>
              <w:rFonts w:asciiTheme="minorBidi" w:hAnsiTheme="minorBidi"/>
              <w:sz w:val="22"/>
              <w:szCs w:val="22"/>
            </w:rPr>
            <w:fldChar w:fldCharType="begin"/>
          </w:r>
          <w:r w:rsidRPr="00D26883">
            <w:rPr>
              <w:rFonts w:asciiTheme="minorBidi" w:hAnsiTheme="minorBidi"/>
              <w:sz w:val="22"/>
              <w:szCs w:val="22"/>
            </w:rPr>
            <w:instrText xml:space="preserve"> CITATION NIC23 \l 2057 </w:instrText>
          </w:r>
          <w:r w:rsidRPr="00D26883">
            <w:rPr>
              <w:rFonts w:asciiTheme="minorBidi" w:hAnsiTheme="minorBidi"/>
              <w:sz w:val="22"/>
              <w:szCs w:val="22"/>
            </w:rPr>
            <w:fldChar w:fldCharType="separate"/>
          </w:r>
          <w:r w:rsidR="00AC0399" w:rsidRPr="00AC0399">
            <w:rPr>
              <w:rFonts w:asciiTheme="minorBidi" w:hAnsiTheme="minorBidi"/>
              <w:noProof/>
              <w:sz w:val="22"/>
              <w:szCs w:val="22"/>
            </w:rPr>
            <w:t>[6]</w:t>
          </w:r>
          <w:r w:rsidRPr="00D26883">
            <w:rPr>
              <w:rFonts w:asciiTheme="minorBidi" w:hAnsiTheme="minorBidi"/>
              <w:sz w:val="22"/>
              <w:szCs w:val="22"/>
            </w:rPr>
            <w:fldChar w:fldCharType="end"/>
          </w:r>
        </w:sdtContent>
      </w:sdt>
      <w:r w:rsidRPr="00D26883">
        <w:rPr>
          <w:rFonts w:asciiTheme="minorBidi" w:hAnsiTheme="minorBidi"/>
          <w:sz w:val="22"/>
          <w:szCs w:val="22"/>
        </w:rPr>
        <w:t>.</w:t>
      </w:r>
    </w:p>
    <w:p w14:paraId="6535B18A" w14:textId="77777777" w:rsidR="00411F4E" w:rsidRPr="00D26883" w:rsidRDefault="00411F4E" w:rsidP="00411F4E">
      <w:pPr>
        <w:spacing w:line="480" w:lineRule="auto"/>
        <w:rPr>
          <w:rFonts w:asciiTheme="minorBidi" w:hAnsiTheme="minorBidi"/>
          <w:sz w:val="22"/>
          <w:szCs w:val="22"/>
        </w:rPr>
      </w:pPr>
    </w:p>
    <w:p w14:paraId="57E8EB26" w14:textId="77777777" w:rsidR="00411F4E" w:rsidRPr="00D26883" w:rsidRDefault="00411F4E" w:rsidP="00411F4E">
      <w:pPr>
        <w:spacing w:line="480" w:lineRule="auto"/>
        <w:rPr>
          <w:rFonts w:asciiTheme="minorBidi" w:hAnsiTheme="minorBidi"/>
          <w:sz w:val="22"/>
          <w:szCs w:val="22"/>
        </w:rPr>
      </w:pPr>
      <w:r w:rsidRPr="00D26883">
        <w:rPr>
          <w:rFonts w:asciiTheme="minorBidi" w:hAnsiTheme="minorBidi"/>
          <w:sz w:val="22"/>
          <w:szCs w:val="22"/>
        </w:rPr>
        <w:t>Data were obtained through use of a pharmacy database of all patients referred to the local COVID medicines’ delivery unit (CMDU) at Chelsea &amp; Westminster Hospital between 19</w:t>
      </w:r>
      <w:r w:rsidRPr="00D26883">
        <w:rPr>
          <w:rFonts w:asciiTheme="minorBidi" w:hAnsiTheme="minorBidi"/>
          <w:sz w:val="22"/>
          <w:szCs w:val="22"/>
          <w:vertAlign w:val="superscript"/>
        </w:rPr>
        <w:t>th</w:t>
      </w:r>
      <w:r w:rsidRPr="00D26883">
        <w:rPr>
          <w:rFonts w:asciiTheme="minorBidi" w:hAnsiTheme="minorBidi"/>
          <w:sz w:val="22"/>
          <w:szCs w:val="22"/>
        </w:rPr>
        <w:t xml:space="preserve"> September 2022 and 14</w:t>
      </w:r>
      <w:r w:rsidRPr="00D26883">
        <w:rPr>
          <w:rFonts w:asciiTheme="minorBidi" w:hAnsiTheme="minorBidi"/>
          <w:sz w:val="22"/>
          <w:szCs w:val="22"/>
          <w:vertAlign w:val="superscript"/>
        </w:rPr>
        <w:t>th</w:t>
      </w:r>
      <w:r w:rsidRPr="00D26883">
        <w:rPr>
          <w:rFonts w:asciiTheme="minorBidi" w:hAnsiTheme="minorBidi"/>
          <w:sz w:val="22"/>
          <w:szCs w:val="22"/>
        </w:rPr>
        <w:t xml:space="preserve"> December 2022. Patients’ co-medications were analysed and corroborated with NHS summary care record in cases where there was confusion.</w:t>
      </w:r>
    </w:p>
    <w:p w14:paraId="1D91FFDA" w14:textId="77777777" w:rsidR="00411F4E" w:rsidRPr="00D26883" w:rsidRDefault="00411F4E" w:rsidP="00411F4E">
      <w:pPr>
        <w:spacing w:line="480" w:lineRule="auto"/>
        <w:rPr>
          <w:rFonts w:asciiTheme="minorBidi" w:hAnsiTheme="minorBidi"/>
          <w:sz w:val="22"/>
          <w:szCs w:val="22"/>
        </w:rPr>
      </w:pPr>
    </w:p>
    <w:p w14:paraId="05110905" w14:textId="1B762CE3" w:rsidR="00411F4E" w:rsidRPr="00D26883" w:rsidRDefault="00411F4E" w:rsidP="00411F4E">
      <w:pPr>
        <w:spacing w:line="480" w:lineRule="auto"/>
        <w:rPr>
          <w:rFonts w:asciiTheme="minorBidi" w:hAnsiTheme="minorBidi"/>
          <w:sz w:val="22"/>
          <w:szCs w:val="22"/>
        </w:rPr>
      </w:pPr>
      <w:proofErr w:type="gramStart"/>
      <w:r w:rsidRPr="00D26883">
        <w:rPr>
          <w:rFonts w:asciiTheme="minorBidi" w:hAnsiTheme="minorBidi"/>
          <w:sz w:val="22"/>
          <w:szCs w:val="22"/>
        </w:rPr>
        <w:t>Patients’</w:t>
      </w:r>
      <w:proofErr w:type="gramEnd"/>
      <w:r w:rsidRPr="00D26883">
        <w:rPr>
          <w:rFonts w:asciiTheme="minorBidi" w:hAnsiTheme="minorBidi"/>
          <w:sz w:val="22"/>
          <w:szCs w:val="22"/>
        </w:rPr>
        <w:t xml:space="preserve"> recorded co-medications as well as DDI identification and risk stratification were cross-examined through the use of the University of Liverpool COVID interaction checker  </w:t>
      </w:r>
      <w:sdt>
        <w:sdtPr>
          <w:rPr>
            <w:rFonts w:asciiTheme="minorBidi" w:hAnsiTheme="minorBidi"/>
            <w:sz w:val="22"/>
            <w:szCs w:val="22"/>
          </w:rPr>
          <w:id w:val="-1558005123"/>
          <w:citation/>
        </w:sdtPr>
        <w:sdtContent>
          <w:r w:rsidRPr="00D26883">
            <w:rPr>
              <w:rFonts w:asciiTheme="minorBidi" w:hAnsiTheme="minorBidi"/>
              <w:sz w:val="22"/>
              <w:szCs w:val="22"/>
            </w:rPr>
            <w:fldChar w:fldCharType="begin"/>
          </w:r>
          <w:r w:rsidRPr="00D26883">
            <w:rPr>
              <w:rFonts w:asciiTheme="minorBidi" w:hAnsiTheme="minorBidi"/>
              <w:sz w:val="22"/>
              <w:szCs w:val="22"/>
            </w:rPr>
            <w:instrText xml:space="preserve"> CITATION Uni23 \l 2057 </w:instrText>
          </w:r>
          <w:r w:rsidRPr="00D26883">
            <w:rPr>
              <w:rFonts w:asciiTheme="minorBidi" w:hAnsiTheme="minorBidi"/>
              <w:sz w:val="22"/>
              <w:szCs w:val="22"/>
            </w:rPr>
            <w:fldChar w:fldCharType="separate"/>
          </w:r>
          <w:r w:rsidR="00AC0399" w:rsidRPr="00AC0399">
            <w:rPr>
              <w:rFonts w:asciiTheme="minorBidi" w:hAnsiTheme="minorBidi"/>
              <w:noProof/>
              <w:sz w:val="22"/>
              <w:szCs w:val="22"/>
            </w:rPr>
            <w:t>[5]</w:t>
          </w:r>
          <w:r w:rsidRPr="00D26883">
            <w:rPr>
              <w:rFonts w:asciiTheme="minorBidi" w:hAnsiTheme="minorBidi"/>
              <w:sz w:val="22"/>
              <w:szCs w:val="22"/>
            </w:rPr>
            <w:fldChar w:fldCharType="end"/>
          </w:r>
        </w:sdtContent>
      </w:sdt>
      <w:r w:rsidRPr="00D26883">
        <w:rPr>
          <w:rFonts w:asciiTheme="minorBidi" w:hAnsiTheme="minorBidi"/>
          <w:sz w:val="22"/>
          <w:szCs w:val="22"/>
        </w:rPr>
        <w:t xml:space="preserve"> and summary of product characteristics review. DDIs were subcategorised as per a traffic light system </w:t>
      </w:r>
      <w:sdt>
        <w:sdtPr>
          <w:rPr>
            <w:rFonts w:asciiTheme="minorBidi" w:hAnsiTheme="minorBidi"/>
            <w:sz w:val="22"/>
            <w:szCs w:val="22"/>
          </w:rPr>
          <w:id w:val="-1003973787"/>
          <w:citation/>
        </w:sdtPr>
        <w:sdtContent>
          <w:r w:rsidRPr="00D26883">
            <w:rPr>
              <w:rFonts w:asciiTheme="minorBidi" w:hAnsiTheme="minorBidi"/>
              <w:sz w:val="22"/>
              <w:szCs w:val="22"/>
            </w:rPr>
            <w:fldChar w:fldCharType="begin"/>
          </w:r>
          <w:r w:rsidRPr="00D26883">
            <w:rPr>
              <w:rFonts w:asciiTheme="minorBidi" w:hAnsiTheme="minorBidi"/>
              <w:sz w:val="22"/>
              <w:szCs w:val="22"/>
            </w:rPr>
            <w:instrText xml:space="preserve"> CITATION Mar22 \l 2057 </w:instrText>
          </w:r>
          <w:r w:rsidRPr="00D26883">
            <w:rPr>
              <w:rFonts w:asciiTheme="minorBidi" w:hAnsiTheme="minorBidi"/>
              <w:sz w:val="22"/>
              <w:szCs w:val="22"/>
            </w:rPr>
            <w:fldChar w:fldCharType="separate"/>
          </w:r>
          <w:r w:rsidR="00AC0399" w:rsidRPr="00AC0399">
            <w:rPr>
              <w:rFonts w:asciiTheme="minorBidi" w:hAnsiTheme="minorBidi"/>
              <w:noProof/>
              <w:sz w:val="22"/>
              <w:szCs w:val="22"/>
            </w:rPr>
            <w:t>[3]</w:t>
          </w:r>
          <w:r w:rsidRPr="00D26883">
            <w:rPr>
              <w:rFonts w:asciiTheme="minorBidi" w:hAnsiTheme="minorBidi"/>
              <w:sz w:val="22"/>
              <w:szCs w:val="22"/>
            </w:rPr>
            <w:fldChar w:fldCharType="end"/>
          </w:r>
        </w:sdtContent>
      </w:sdt>
      <w:r w:rsidRPr="00D26883">
        <w:rPr>
          <w:rFonts w:asciiTheme="minorBidi" w:hAnsiTheme="minorBidi"/>
          <w:sz w:val="22"/>
          <w:szCs w:val="22"/>
        </w:rPr>
        <w:t xml:space="preserve"> into the following:</w:t>
      </w:r>
    </w:p>
    <w:p w14:paraId="7993A87B" w14:textId="77777777" w:rsidR="00411F4E" w:rsidRPr="00D26883" w:rsidRDefault="00411F4E" w:rsidP="00411F4E">
      <w:pPr>
        <w:spacing w:line="480" w:lineRule="auto"/>
        <w:rPr>
          <w:rFonts w:asciiTheme="minorBidi" w:hAnsiTheme="minorBidi"/>
          <w:sz w:val="22"/>
          <w:szCs w:val="22"/>
        </w:rPr>
      </w:pPr>
    </w:p>
    <w:p w14:paraId="30B36235" w14:textId="77777777" w:rsidR="00411F4E" w:rsidRPr="00D26883" w:rsidRDefault="00411F4E" w:rsidP="00411F4E">
      <w:pPr>
        <w:pStyle w:val="ListParagraph"/>
        <w:numPr>
          <w:ilvl w:val="0"/>
          <w:numId w:val="1"/>
        </w:numPr>
        <w:spacing w:line="480" w:lineRule="auto"/>
        <w:rPr>
          <w:rFonts w:asciiTheme="minorBidi" w:hAnsiTheme="minorBidi"/>
          <w:sz w:val="22"/>
          <w:szCs w:val="22"/>
        </w:rPr>
      </w:pPr>
      <w:r w:rsidRPr="00D26883">
        <w:rPr>
          <w:rFonts w:asciiTheme="minorBidi" w:hAnsiTheme="minorBidi"/>
          <w:i/>
          <w:iCs/>
          <w:sz w:val="22"/>
          <w:szCs w:val="22"/>
        </w:rPr>
        <w:t>Red (avoid co-administration).</w:t>
      </w:r>
    </w:p>
    <w:p w14:paraId="6CCB57E7" w14:textId="77777777" w:rsidR="00411F4E" w:rsidRPr="00D26883" w:rsidRDefault="00411F4E" w:rsidP="00411F4E">
      <w:pPr>
        <w:pStyle w:val="ListParagraph"/>
        <w:numPr>
          <w:ilvl w:val="0"/>
          <w:numId w:val="1"/>
        </w:numPr>
        <w:spacing w:line="480" w:lineRule="auto"/>
        <w:rPr>
          <w:rFonts w:asciiTheme="minorBidi" w:hAnsiTheme="minorBidi"/>
          <w:sz w:val="22"/>
          <w:szCs w:val="22"/>
        </w:rPr>
      </w:pPr>
      <w:r w:rsidRPr="00D26883">
        <w:rPr>
          <w:rFonts w:asciiTheme="minorBidi" w:hAnsiTheme="minorBidi"/>
          <w:i/>
          <w:iCs/>
          <w:sz w:val="22"/>
          <w:szCs w:val="22"/>
        </w:rPr>
        <w:t>Amber (potential interaction that may require management).</w:t>
      </w:r>
    </w:p>
    <w:p w14:paraId="4FF83227" w14:textId="77777777" w:rsidR="00411F4E" w:rsidRPr="00D26883" w:rsidRDefault="00411F4E" w:rsidP="00411F4E">
      <w:pPr>
        <w:pStyle w:val="ListParagraph"/>
        <w:numPr>
          <w:ilvl w:val="0"/>
          <w:numId w:val="1"/>
        </w:numPr>
        <w:spacing w:line="480" w:lineRule="auto"/>
        <w:rPr>
          <w:rFonts w:asciiTheme="minorBidi" w:hAnsiTheme="minorBidi"/>
          <w:sz w:val="22"/>
          <w:szCs w:val="22"/>
        </w:rPr>
      </w:pPr>
      <w:r w:rsidRPr="00D26883">
        <w:rPr>
          <w:rFonts w:asciiTheme="minorBidi" w:hAnsiTheme="minorBidi"/>
          <w:i/>
          <w:iCs/>
          <w:sz w:val="22"/>
          <w:szCs w:val="22"/>
        </w:rPr>
        <w:t>Yellow (potential weak DDI).</w:t>
      </w:r>
    </w:p>
    <w:p w14:paraId="7FA8D7F5" w14:textId="77777777" w:rsidR="00411F4E" w:rsidRPr="00D26883" w:rsidRDefault="00411F4E" w:rsidP="00411F4E">
      <w:pPr>
        <w:pStyle w:val="ListParagraph"/>
        <w:numPr>
          <w:ilvl w:val="0"/>
          <w:numId w:val="1"/>
        </w:numPr>
        <w:spacing w:line="480" w:lineRule="auto"/>
        <w:rPr>
          <w:rFonts w:asciiTheme="minorBidi" w:hAnsiTheme="minorBidi"/>
          <w:sz w:val="22"/>
          <w:szCs w:val="22"/>
        </w:rPr>
      </w:pPr>
      <w:r w:rsidRPr="00D26883">
        <w:rPr>
          <w:rFonts w:asciiTheme="minorBidi" w:hAnsiTheme="minorBidi"/>
          <w:i/>
          <w:iCs/>
          <w:sz w:val="22"/>
          <w:szCs w:val="22"/>
        </w:rPr>
        <w:t>Green (No DDI expected).</w:t>
      </w:r>
    </w:p>
    <w:p w14:paraId="0B71D163" w14:textId="77777777" w:rsidR="00411F4E" w:rsidRPr="00D26883" w:rsidRDefault="00411F4E" w:rsidP="00411F4E">
      <w:pPr>
        <w:spacing w:line="480" w:lineRule="auto"/>
        <w:rPr>
          <w:rFonts w:asciiTheme="minorBidi" w:hAnsiTheme="minorBidi"/>
          <w:sz w:val="22"/>
          <w:szCs w:val="22"/>
        </w:rPr>
      </w:pPr>
    </w:p>
    <w:p w14:paraId="287A6E5A" w14:textId="77777777" w:rsidR="00411F4E" w:rsidRPr="00D26883" w:rsidRDefault="00411F4E" w:rsidP="00411F4E">
      <w:pPr>
        <w:spacing w:line="480" w:lineRule="auto"/>
        <w:rPr>
          <w:rFonts w:asciiTheme="minorBidi" w:hAnsiTheme="minorBidi"/>
          <w:sz w:val="22"/>
          <w:szCs w:val="22"/>
        </w:rPr>
      </w:pPr>
      <w:r w:rsidRPr="00D26883">
        <w:rPr>
          <w:rFonts w:asciiTheme="minorBidi" w:hAnsiTheme="minorBidi"/>
          <w:sz w:val="22"/>
          <w:szCs w:val="22"/>
        </w:rPr>
        <w:t>Documented advice regarding the above DDIs were also reviewed, such as advice to continue, hold, or to review DDI risks.</w:t>
      </w:r>
    </w:p>
    <w:p w14:paraId="7BE82CB0" w14:textId="77777777" w:rsidR="00411F4E" w:rsidRPr="00D26883" w:rsidRDefault="00411F4E" w:rsidP="00411F4E">
      <w:pPr>
        <w:spacing w:line="480" w:lineRule="auto"/>
        <w:rPr>
          <w:rFonts w:asciiTheme="minorBidi" w:hAnsiTheme="minorBidi"/>
          <w:sz w:val="22"/>
          <w:szCs w:val="22"/>
        </w:rPr>
      </w:pPr>
    </w:p>
    <w:p w14:paraId="3A7E3387" w14:textId="024FFCA7" w:rsidR="00411F4E" w:rsidRPr="00D26883" w:rsidRDefault="00411F4E" w:rsidP="00411F4E">
      <w:pPr>
        <w:spacing w:line="480" w:lineRule="auto"/>
        <w:rPr>
          <w:rFonts w:asciiTheme="minorBidi" w:hAnsiTheme="minorBidi"/>
          <w:b/>
          <w:bCs/>
          <w:sz w:val="22"/>
          <w:szCs w:val="22"/>
        </w:rPr>
      </w:pPr>
      <w:r w:rsidRPr="00D26883">
        <w:rPr>
          <w:rFonts w:asciiTheme="minorBidi" w:hAnsiTheme="minorBidi"/>
          <w:b/>
          <w:bCs/>
          <w:sz w:val="22"/>
          <w:szCs w:val="22"/>
        </w:rPr>
        <w:lastRenderedPageBreak/>
        <w:t>Results</w:t>
      </w:r>
      <w:r w:rsidRPr="00D26883">
        <w:rPr>
          <w:rFonts w:asciiTheme="minorBidi" w:hAnsiTheme="minorBidi"/>
          <w:b/>
          <w:bCs/>
          <w:sz w:val="22"/>
          <w:szCs w:val="22"/>
        </w:rPr>
        <w:br/>
      </w:r>
    </w:p>
    <w:p w14:paraId="15074C68" w14:textId="77777777" w:rsidR="00411F4E" w:rsidRPr="00D26883" w:rsidRDefault="00411F4E" w:rsidP="00411F4E">
      <w:pPr>
        <w:spacing w:line="480" w:lineRule="auto"/>
        <w:rPr>
          <w:rFonts w:asciiTheme="minorBidi" w:hAnsiTheme="minorBidi"/>
          <w:sz w:val="22"/>
          <w:szCs w:val="22"/>
        </w:rPr>
      </w:pPr>
      <w:r w:rsidRPr="00D26883">
        <w:rPr>
          <w:rFonts w:asciiTheme="minorBidi" w:hAnsiTheme="minorBidi"/>
          <w:sz w:val="22"/>
          <w:szCs w:val="22"/>
        </w:rPr>
        <w:t xml:space="preserve">A total of 410 patients were referred to the CMDU in the </w:t>
      </w:r>
      <w:proofErr w:type="gramStart"/>
      <w:r w:rsidRPr="00D26883">
        <w:rPr>
          <w:rFonts w:asciiTheme="minorBidi" w:hAnsiTheme="minorBidi"/>
          <w:sz w:val="22"/>
          <w:szCs w:val="22"/>
        </w:rPr>
        <w:t>three month</w:t>
      </w:r>
      <w:proofErr w:type="gramEnd"/>
      <w:r w:rsidRPr="00D26883">
        <w:rPr>
          <w:rFonts w:asciiTheme="minorBidi" w:hAnsiTheme="minorBidi"/>
          <w:sz w:val="22"/>
          <w:szCs w:val="22"/>
        </w:rPr>
        <w:t xml:space="preserve"> study period, 208 of which received NMV/r therapy. 111/208 (53%) of patients had one or more potential DDIs (regardless of severity) identified. From these, a total of 184 individual DDIs were identified. </w:t>
      </w:r>
    </w:p>
    <w:p w14:paraId="540AFDFC" w14:textId="77777777" w:rsidR="00411F4E" w:rsidRPr="00D26883" w:rsidRDefault="00411F4E" w:rsidP="00411F4E">
      <w:pPr>
        <w:spacing w:line="480" w:lineRule="auto"/>
        <w:rPr>
          <w:rFonts w:asciiTheme="minorBidi" w:hAnsiTheme="minorBidi"/>
          <w:sz w:val="22"/>
          <w:szCs w:val="22"/>
        </w:rPr>
      </w:pPr>
    </w:p>
    <w:p w14:paraId="44BE7BF9" w14:textId="77777777" w:rsidR="00411F4E" w:rsidRPr="00D26883" w:rsidRDefault="00411F4E" w:rsidP="00411F4E">
      <w:pPr>
        <w:spacing w:line="480" w:lineRule="auto"/>
        <w:rPr>
          <w:rFonts w:asciiTheme="minorBidi" w:hAnsiTheme="minorBidi"/>
          <w:sz w:val="22"/>
          <w:szCs w:val="22"/>
        </w:rPr>
      </w:pPr>
      <w:r w:rsidRPr="00D26883">
        <w:rPr>
          <w:rFonts w:asciiTheme="minorBidi" w:hAnsiTheme="minorBidi"/>
          <w:sz w:val="22"/>
          <w:szCs w:val="22"/>
        </w:rPr>
        <w:t>Fourteen/184 (8%) DDIs were classified as red, 84/184 (46%) were identified as amber and 86/184 (47%) as yellow. Eight out of 14 (57%) of red DDIs did not have any documented advice to hold or adjust the interacting co-medication, whereas six/14 (43%) did. 47/84 (56%) of amber DDIs also did not have documented advice to adjust therapy, four/84 (5%) were advised to continue the interacting co-medication, five/84 (6%) had documented conversations regarding the risks involved with continuing therapy and 28/84 (33%) were advised to continue the interacting agent (there was no documentation regarding dose adjustment).</w:t>
      </w:r>
    </w:p>
    <w:p w14:paraId="5AA6C79D" w14:textId="77777777" w:rsidR="00411F4E" w:rsidRPr="00D26883" w:rsidRDefault="00411F4E" w:rsidP="00411F4E">
      <w:pPr>
        <w:spacing w:line="480" w:lineRule="auto"/>
        <w:rPr>
          <w:rFonts w:asciiTheme="minorBidi" w:hAnsiTheme="minorBidi"/>
          <w:sz w:val="22"/>
          <w:szCs w:val="22"/>
        </w:rPr>
      </w:pPr>
    </w:p>
    <w:p w14:paraId="4B44A8CD" w14:textId="77777777" w:rsidR="00411F4E" w:rsidRPr="00D26883" w:rsidRDefault="00411F4E" w:rsidP="00411F4E">
      <w:pPr>
        <w:spacing w:line="480" w:lineRule="auto"/>
        <w:rPr>
          <w:rFonts w:asciiTheme="minorBidi" w:hAnsiTheme="minorBidi"/>
          <w:sz w:val="22"/>
          <w:szCs w:val="22"/>
        </w:rPr>
      </w:pPr>
      <w:r w:rsidRPr="00D26883">
        <w:rPr>
          <w:rFonts w:asciiTheme="minorBidi" w:hAnsiTheme="minorBidi"/>
          <w:sz w:val="22"/>
          <w:szCs w:val="22"/>
        </w:rPr>
        <w:t>The most commonly identified red DDIs were simvastatin at 50% (7/14) and salmeterol at 22% (3/14). The most commonly identified amber DDIs were atorvastatin at 20% (17/84), rosuvastatin at 14% (12/84) and amlodipine at 12% (10/84). The most commonly identified yellow DDIs were hydroxychloroquine at 16% (14/86), amitriptyline at 13% (11/86) and mirtazapine at 7% (6/86).</w:t>
      </w:r>
    </w:p>
    <w:p w14:paraId="38889983" w14:textId="77777777" w:rsidR="006970AF" w:rsidRPr="00D26883" w:rsidRDefault="006970AF" w:rsidP="00411F4E">
      <w:pPr>
        <w:spacing w:line="480" w:lineRule="auto"/>
        <w:rPr>
          <w:rFonts w:asciiTheme="minorBidi" w:hAnsiTheme="minorBidi"/>
          <w:sz w:val="22"/>
          <w:szCs w:val="22"/>
        </w:rPr>
      </w:pPr>
    </w:p>
    <w:p w14:paraId="147CEA3C" w14:textId="77777777" w:rsidR="00411F4E" w:rsidRPr="00D26883" w:rsidRDefault="00411F4E" w:rsidP="00411F4E">
      <w:pPr>
        <w:spacing w:line="480" w:lineRule="auto"/>
        <w:rPr>
          <w:rFonts w:asciiTheme="minorBidi" w:hAnsiTheme="minorBidi"/>
          <w:b/>
          <w:bCs/>
          <w:sz w:val="22"/>
          <w:szCs w:val="22"/>
        </w:rPr>
      </w:pPr>
      <w:r w:rsidRPr="00D26883">
        <w:rPr>
          <w:rFonts w:asciiTheme="minorBidi" w:hAnsiTheme="minorBidi"/>
          <w:b/>
          <w:bCs/>
          <w:sz w:val="22"/>
          <w:szCs w:val="22"/>
        </w:rPr>
        <w:t>Discussion, limitations and conclusion</w:t>
      </w:r>
    </w:p>
    <w:p w14:paraId="1732BEAA" w14:textId="77777777" w:rsidR="00411F4E" w:rsidRPr="00D26883" w:rsidRDefault="00411F4E" w:rsidP="00411F4E">
      <w:pPr>
        <w:spacing w:line="480" w:lineRule="auto"/>
        <w:rPr>
          <w:rFonts w:asciiTheme="minorBidi" w:hAnsiTheme="minorBidi"/>
          <w:sz w:val="22"/>
          <w:szCs w:val="22"/>
        </w:rPr>
      </w:pPr>
    </w:p>
    <w:p w14:paraId="10C94272" w14:textId="16D24F93" w:rsidR="00411F4E" w:rsidRPr="00D26883" w:rsidRDefault="00411F4E" w:rsidP="00411F4E">
      <w:pPr>
        <w:tabs>
          <w:tab w:val="num" w:pos="720"/>
        </w:tabs>
        <w:spacing w:line="480" w:lineRule="auto"/>
        <w:rPr>
          <w:rFonts w:asciiTheme="minorBidi" w:hAnsiTheme="minorBidi"/>
          <w:sz w:val="22"/>
          <w:szCs w:val="22"/>
          <w:lang w:val="en-US"/>
        </w:rPr>
      </w:pPr>
      <w:r w:rsidRPr="00D26883">
        <w:rPr>
          <w:rFonts w:asciiTheme="minorBidi" w:hAnsiTheme="minorBidi"/>
          <w:sz w:val="22"/>
          <w:szCs w:val="22"/>
        </w:rPr>
        <w:t xml:space="preserve">The results above </w:t>
      </w:r>
      <w:r w:rsidRPr="00D26883">
        <w:rPr>
          <w:rFonts w:asciiTheme="minorBidi" w:hAnsiTheme="minorBidi"/>
          <w:sz w:val="22"/>
          <w:szCs w:val="22"/>
          <w:lang w:val="en-US"/>
        </w:rPr>
        <w:t xml:space="preserve">highlight </w:t>
      </w:r>
      <w:r w:rsidR="00996475" w:rsidRPr="00D26883">
        <w:rPr>
          <w:rFonts w:asciiTheme="minorBidi" w:hAnsiTheme="minorBidi"/>
          <w:sz w:val="22"/>
          <w:szCs w:val="22"/>
          <w:lang w:val="en-US"/>
        </w:rPr>
        <w:t>the prevalence</w:t>
      </w:r>
      <w:r w:rsidRPr="00D26883">
        <w:rPr>
          <w:rFonts w:asciiTheme="minorBidi" w:hAnsiTheme="minorBidi"/>
          <w:sz w:val="22"/>
          <w:szCs w:val="22"/>
          <w:lang w:val="en-US"/>
        </w:rPr>
        <w:t xml:space="preserve"> of potential DDIs in patients requiring NMV/r therapy. A significant proportion of patients did not have documented advice to hold the interacting agent in the case of red and amber DDIs. This analysis additionally highlights the necessity of having systems in place which can recognize DDIs, risk-stratify them and allow clinicians to warn patients of co-administration.</w:t>
      </w:r>
    </w:p>
    <w:p w14:paraId="1406DC38" w14:textId="77777777" w:rsidR="00411F4E" w:rsidRPr="00D26883" w:rsidRDefault="00411F4E" w:rsidP="00411F4E">
      <w:pPr>
        <w:tabs>
          <w:tab w:val="num" w:pos="720"/>
        </w:tabs>
        <w:spacing w:line="480" w:lineRule="auto"/>
        <w:rPr>
          <w:rFonts w:asciiTheme="minorBidi" w:hAnsiTheme="minorBidi"/>
          <w:sz w:val="22"/>
          <w:szCs w:val="22"/>
          <w:lang w:val="en-US"/>
        </w:rPr>
      </w:pPr>
    </w:p>
    <w:p w14:paraId="663B0AC9" w14:textId="77777777" w:rsidR="00411F4E" w:rsidRPr="00D26883" w:rsidRDefault="00411F4E" w:rsidP="00411F4E">
      <w:pPr>
        <w:tabs>
          <w:tab w:val="num" w:pos="720"/>
        </w:tabs>
        <w:spacing w:line="480" w:lineRule="auto"/>
        <w:rPr>
          <w:rFonts w:asciiTheme="minorBidi" w:hAnsiTheme="minorBidi"/>
          <w:sz w:val="22"/>
          <w:szCs w:val="22"/>
          <w:lang w:val="en-US"/>
        </w:rPr>
      </w:pPr>
      <w:r w:rsidRPr="00D26883">
        <w:rPr>
          <w:rFonts w:asciiTheme="minorBidi" w:hAnsiTheme="minorBidi"/>
          <w:sz w:val="22"/>
          <w:szCs w:val="22"/>
          <w:lang w:val="en-US"/>
        </w:rPr>
        <w:t>Limitations in recording patients’ comedications include staffing changes within the CMDU which led to variability in clinician training and documentation, as well as possible inconsistent practices in the earlier stages of development within the department. These resulted in errors such as unclear documentation of drug names where the drug class was recorded, rather than the individual drug name e.g., “COCP” or “eye-drops”. There also may have been cases where the discussion and/or advice around taking an interacting agent was carried out but not documented. One of the limitations of using the Liverpool COVID interaction checker to identify and risk-stratify DDIs, was that certain rarer co-medications were not found in e.g., immunotherapeutic, and chemotherapeutic agents, limiting the advice provided.</w:t>
      </w:r>
    </w:p>
    <w:p w14:paraId="0219B4F0" w14:textId="77777777" w:rsidR="00411F4E" w:rsidRPr="00D26883" w:rsidRDefault="00411F4E" w:rsidP="00411F4E">
      <w:pPr>
        <w:tabs>
          <w:tab w:val="num" w:pos="720"/>
        </w:tabs>
        <w:spacing w:line="480" w:lineRule="auto"/>
        <w:rPr>
          <w:rFonts w:asciiTheme="minorBidi" w:hAnsiTheme="minorBidi"/>
          <w:sz w:val="22"/>
          <w:szCs w:val="22"/>
          <w:lang w:val="en-US"/>
        </w:rPr>
      </w:pPr>
    </w:p>
    <w:p w14:paraId="2F3F0E97" w14:textId="77777777" w:rsidR="00411F4E" w:rsidRPr="00D26883" w:rsidRDefault="00411F4E" w:rsidP="00411F4E">
      <w:pPr>
        <w:tabs>
          <w:tab w:val="num" w:pos="720"/>
        </w:tabs>
        <w:spacing w:line="480" w:lineRule="auto"/>
        <w:rPr>
          <w:rFonts w:asciiTheme="minorBidi" w:hAnsiTheme="minorBidi"/>
          <w:sz w:val="22"/>
          <w:szCs w:val="22"/>
          <w:lang w:val="en-US"/>
        </w:rPr>
      </w:pPr>
      <w:r w:rsidRPr="00D26883">
        <w:rPr>
          <w:rFonts w:asciiTheme="minorBidi" w:hAnsiTheme="minorBidi"/>
          <w:sz w:val="22"/>
          <w:szCs w:val="22"/>
          <w:lang w:val="en-US"/>
        </w:rPr>
        <w:t xml:space="preserve">This analysis has highlighted the need for development of standards for the assessment and management of potential DDIs involving NMV/r therapy. This is especially crucial as NMV/r and other emergent therapies become increasingly used within both primary and secondary care settings, requiring a robust implementation and DDI mitigation strategy. </w:t>
      </w:r>
    </w:p>
    <w:p w14:paraId="211F8190" w14:textId="77777777" w:rsidR="00411F4E" w:rsidRPr="00D26883" w:rsidRDefault="00411F4E" w:rsidP="00411F4E">
      <w:pPr>
        <w:tabs>
          <w:tab w:val="num" w:pos="720"/>
        </w:tabs>
        <w:spacing w:line="480" w:lineRule="auto"/>
        <w:rPr>
          <w:rFonts w:asciiTheme="minorBidi" w:hAnsiTheme="minorBidi"/>
          <w:sz w:val="22"/>
          <w:szCs w:val="22"/>
          <w:lang w:val="en-US"/>
        </w:rPr>
      </w:pPr>
    </w:p>
    <w:p w14:paraId="50BA3F76" w14:textId="77777777" w:rsidR="00411F4E" w:rsidRPr="00D26883" w:rsidRDefault="00411F4E" w:rsidP="00411F4E">
      <w:pPr>
        <w:tabs>
          <w:tab w:val="num" w:pos="720"/>
        </w:tabs>
        <w:spacing w:line="480" w:lineRule="auto"/>
        <w:rPr>
          <w:rFonts w:asciiTheme="minorBidi" w:hAnsiTheme="minorBidi"/>
          <w:sz w:val="22"/>
          <w:szCs w:val="22"/>
          <w:lang w:val="en-US"/>
        </w:rPr>
      </w:pPr>
    </w:p>
    <w:p w14:paraId="7F9680D0" w14:textId="77DF9603" w:rsidR="00411F4E" w:rsidRPr="00D26883" w:rsidRDefault="00411F4E" w:rsidP="00D26883">
      <w:pPr>
        <w:tabs>
          <w:tab w:val="num" w:pos="720"/>
        </w:tabs>
        <w:spacing w:line="480" w:lineRule="auto"/>
        <w:rPr>
          <w:rFonts w:asciiTheme="minorBidi" w:hAnsiTheme="minorBidi"/>
          <w:sz w:val="22"/>
          <w:szCs w:val="22"/>
          <w:lang w:val="en-US"/>
        </w:rPr>
      </w:pPr>
      <w:r w:rsidRPr="00D26883">
        <w:rPr>
          <w:rFonts w:asciiTheme="minorBidi" w:hAnsiTheme="minorBidi"/>
          <w:sz w:val="22"/>
          <w:szCs w:val="22"/>
          <w:lang w:val="en-US"/>
        </w:rPr>
        <w:br w:type="page"/>
      </w:r>
    </w:p>
    <w:sdt>
      <w:sdtPr>
        <w:rPr>
          <w:rFonts w:asciiTheme="minorBidi" w:hAnsiTheme="minorBidi"/>
          <w:sz w:val="22"/>
          <w:szCs w:val="22"/>
        </w:rPr>
        <w:id w:val="130983450"/>
        <w:docPartObj>
          <w:docPartGallery w:val="Bibliographies"/>
          <w:docPartUnique/>
        </w:docPartObj>
      </w:sdtPr>
      <w:sdtContent>
        <w:p w14:paraId="53A4C0A1" w14:textId="77777777" w:rsidR="00AC0399" w:rsidRDefault="00411F4E" w:rsidP="00AC0399">
          <w:pPr>
            <w:pStyle w:val="NoSpacing"/>
            <w:spacing w:line="480" w:lineRule="auto"/>
            <w:rPr>
              <w:rFonts w:asciiTheme="minorBidi" w:hAnsiTheme="minorBidi"/>
              <w:b/>
              <w:bCs/>
              <w:sz w:val="22"/>
              <w:szCs w:val="22"/>
            </w:rPr>
          </w:pPr>
          <w:r w:rsidRPr="00D26883">
            <w:rPr>
              <w:rFonts w:asciiTheme="minorBidi" w:hAnsiTheme="minorBidi"/>
              <w:b/>
              <w:bCs/>
              <w:sz w:val="22"/>
              <w:szCs w:val="22"/>
            </w:rPr>
            <w:t>References</w:t>
          </w:r>
        </w:p>
        <w:sdt>
          <w:sdtPr>
            <w:id w:val="111145805"/>
            <w:bibliography/>
          </w:sdtPr>
          <w:sdtEndPr>
            <w:rPr>
              <w:rFonts w:asciiTheme="minorBidi" w:hAnsiTheme="minorBidi"/>
              <w:sz w:val="22"/>
              <w:szCs w:val="22"/>
            </w:rPr>
          </w:sdtEndPr>
          <w:sdtContent>
            <w:p w14:paraId="01727285" w14:textId="5AD25F74" w:rsidR="00AC0399" w:rsidRPr="00AC0399" w:rsidRDefault="00411F4E" w:rsidP="00AC0399">
              <w:pPr>
                <w:pStyle w:val="NoSpacing"/>
              </w:pPr>
              <w:r w:rsidRPr="00D26883">
                <w:fldChar w:fldCharType="begin"/>
              </w:r>
              <w:r w:rsidRPr="00D26883">
                <w:instrText xml:space="preserve"> BIBLIOGRAPHY </w:instrText>
              </w:r>
              <w:r w:rsidRPr="00D26883">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
                <w:gridCol w:w="8676"/>
              </w:tblGrid>
              <w:tr w:rsidR="00AC0399" w14:paraId="58DA15FD" w14:textId="77777777">
                <w:trPr>
                  <w:divId w:val="1159662455"/>
                  <w:tblCellSpacing w:w="15" w:type="dxa"/>
                </w:trPr>
                <w:tc>
                  <w:tcPr>
                    <w:tcW w:w="50" w:type="pct"/>
                    <w:hideMark/>
                  </w:tcPr>
                  <w:p w14:paraId="69BCD855" w14:textId="7C41C012" w:rsidR="00AC0399" w:rsidRDefault="00AC0399" w:rsidP="00AC0399">
                    <w:pPr>
                      <w:pStyle w:val="Bibliography"/>
                      <w:spacing w:line="360" w:lineRule="auto"/>
                      <w:rPr>
                        <w:noProof/>
                      </w:rPr>
                    </w:pPr>
                    <w:r>
                      <w:rPr>
                        <w:noProof/>
                      </w:rPr>
                      <w:t xml:space="preserve">[1] </w:t>
                    </w:r>
                  </w:p>
                </w:tc>
                <w:tc>
                  <w:tcPr>
                    <w:tcW w:w="0" w:type="auto"/>
                    <w:hideMark/>
                  </w:tcPr>
                  <w:p w14:paraId="0CC41158" w14:textId="77777777" w:rsidR="00AC0399" w:rsidRDefault="00AC0399" w:rsidP="00AC0399">
                    <w:pPr>
                      <w:pStyle w:val="Bibliography"/>
                      <w:spacing w:line="360" w:lineRule="auto"/>
                      <w:rPr>
                        <w:noProof/>
                      </w:rPr>
                    </w:pPr>
                    <w:r>
                      <w:rPr>
                        <w:noProof/>
                      </w:rPr>
                      <w:t>WHO, “Therapeutics and COVID-19: Living guideline, 10 November 2023,” 10 November 2023. [Online]. Available: https://iris.who.int/bitstream/handle/10665/373975/WHO-2019-nCoV-therapeutics-2023.2-eng.pdf?sequence=1.</w:t>
                    </w:r>
                  </w:p>
                </w:tc>
              </w:tr>
              <w:tr w:rsidR="00AC0399" w14:paraId="494DCCD5" w14:textId="77777777">
                <w:trPr>
                  <w:divId w:val="1159662455"/>
                  <w:tblCellSpacing w:w="15" w:type="dxa"/>
                </w:trPr>
                <w:tc>
                  <w:tcPr>
                    <w:tcW w:w="50" w:type="pct"/>
                    <w:hideMark/>
                  </w:tcPr>
                  <w:p w14:paraId="418A6D84" w14:textId="77777777" w:rsidR="00AC0399" w:rsidRDefault="00AC0399" w:rsidP="00AC0399">
                    <w:pPr>
                      <w:pStyle w:val="Bibliography"/>
                      <w:spacing w:line="360" w:lineRule="auto"/>
                      <w:rPr>
                        <w:noProof/>
                      </w:rPr>
                    </w:pPr>
                    <w:r>
                      <w:rPr>
                        <w:noProof/>
                      </w:rPr>
                      <w:t xml:space="preserve">[2] </w:t>
                    </w:r>
                  </w:p>
                </w:tc>
                <w:tc>
                  <w:tcPr>
                    <w:tcW w:w="0" w:type="auto"/>
                    <w:hideMark/>
                  </w:tcPr>
                  <w:p w14:paraId="76983C4A" w14:textId="77777777" w:rsidR="00AC0399" w:rsidRDefault="00AC0399" w:rsidP="00AC0399">
                    <w:pPr>
                      <w:pStyle w:val="Bibliography"/>
                      <w:spacing w:line="360" w:lineRule="auto"/>
                      <w:rPr>
                        <w:noProof/>
                      </w:rPr>
                    </w:pPr>
                    <w:r>
                      <w:rPr>
                        <w:noProof/>
                      </w:rPr>
                      <w:t>NIH, “Ritonavir-Boosted Nirmatrelvir (Paxlovid),” 21 July 2023. [Online]. Available: https://www.covid19treatmentguidelines.nih.gov/therapies/antivirals-including-antibody-products/ritonavir-boosted-nirmatrelvir--paxlovid-/.</w:t>
                    </w:r>
                  </w:p>
                </w:tc>
              </w:tr>
              <w:tr w:rsidR="00AC0399" w14:paraId="7DB4CECE" w14:textId="77777777">
                <w:trPr>
                  <w:divId w:val="1159662455"/>
                  <w:tblCellSpacing w:w="15" w:type="dxa"/>
                </w:trPr>
                <w:tc>
                  <w:tcPr>
                    <w:tcW w:w="50" w:type="pct"/>
                    <w:hideMark/>
                  </w:tcPr>
                  <w:p w14:paraId="48B7DB13" w14:textId="77777777" w:rsidR="00AC0399" w:rsidRDefault="00AC0399" w:rsidP="00AC0399">
                    <w:pPr>
                      <w:pStyle w:val="Bibliography"/>
                      <w:spacing w:line="360" w:lineRule="auto"/>
                      <w:rPr>
                        <w:noProof/>
                      </w:rPr>
                    </w:pPr>
                    <w:r>
                      <w:rPr>
                        <w:noProof/>
                      </w:rPr>
                      <w:t xml:space="preserve">[3] </w:t>
                    </w:r>
                  </w:p>
                </w:tc>
                <w:tc>
                  <w:tcPr>
                    <w:tcW w:w="0" w:type="auto"/>
                    <w:hideMark/>
                  </w:tcPr>
                  <w:p w14:paraId="505C3D9F" w14:textId="19D10105" w:rsidR="00AC0399" w:rsidRDefault="00AC0399" w:rsidP="00AC0399">
                    <w:pPr>
                      <w:pStyle w:val="Bibliography"/>
                      <w:spacing w:line="360" w:lineRule="auto"/>
                      <w:rPr>
                        <w:noProof/>
                      </w:rPr>
                    </w:pPr>
                    <w:r>
                      <w:rPr>
                        <w:noProof/>
                      </w:rPr>
                      <w:t xml:space="preserve">Marzolini, C.; Kuritzkes, D. R.; Marra, F et. al, “Prescribing Nirmatrelvir–Ritonavir: How to Recognize and Manage Drug–Drug Interactions,” </w:t>
                    </w:r>
                    <w:r>
                      <w:rPr>
                        <w:i/>
                        <w:iCs/>
                        <w:noProof/>
                      </w:rPr>
                      <w:t xml:space="preserve">Annals of Internal Medicine, </w:t>
                    </w:r>
                    <w:r>
                      <w:rPr>
                        <w:noProof/>
                      </w:rPr>
                      <w:t xml:space="preserve">vol. 175, no. 5, pp. 744-746, May 2022. </w:t>
                    </w:r>
                  </w:p>
                </w:tc>
              </w:tr>
              <w:tr w:rsidR="00AC0399" w14:paraId="544B2785" w14:textId="77777777">
                <w:trPr>
                  <w:divId w:val="1159662455"/>
                  <w:tblCellSpacing w:w="15" w:type="dxa"/>
                </w:trPr>
                <w:tc>
                  <w:tcPr>
                    <w:tcW w:w="50" w:type="pct"/>
                    <w:hideMark/>
                  </w:tcPr>
                  <w:p w14:paraId="1C6EB112" w14:textId="77777777" w:rsidR="00AC0399" w:rsidRDefault="00AC0399" w:rsidP="00AC0399">
                    <w:pPr>
                      <w:pStyle w:val="Bibliography"/>
                      <w:spacing w:line="360" w:lineRule="auto"/>
                      <w:rPr>
                        <w:noProof/>
                      </w:rPr>
                    </w:pPr>
                    <w:r>
                      <w:rPr>
                        <w:noProof/>
                      </w:rPr>
                      <w:t xml:space="preserve">[4] </w:t>
                    </w:r>
                  </w:p>
                </w:tc>
                <w:tc>
                  <w:tcPr>
                    <w:tcW w:w="0" w:type="auto"/>
                    <w:hideMark/>
                  </w:tcPr>
                  <w:p w14:paraId="5D8BB928" w14:textId="15757C44" w:rsidR="00AC0399" w:rsidRDefault="00AC0399" w:rsidP="00AC0399">
                    <w:pPr>
                      <w:pStyle w:val="Bibliography"/>
                      <w:spacing w:line="360" w:lineRule="auto"/>
                      <w:rPr>
                        <w:noProof/>
                      </w:rPr>
                    </w:pPr>
                    <w:r>
                      <w:rPr>
                        <w:noProof/>
                      </w:rPr>
                      <w:t xml:space="preserve">Preskorn, S. H. and Quadri, S. “Why Are Patients With COVID-19 at Risk for Drug-Drug Interactions?,” </w:t>
                    </w:r>
                    <w:r>
                      <w:rPr>
                        <w:i/>
                        <w:iCs/>
                        <w:noProof/>
                      </w:rPr>
                      <w:t xml:space="preserve">Journal of Psychiatric Practice, </w:t>
                    </w:r>
                    <w:r>
                      <w:rPr>
                        <w:noProof/>
                      </w:rPr>
                      <w:t xml:space="preserve">vol. 26, no. 6, pp. 485-492, November 2020. </w:t>
                    </w:r>
                  </w:p>
                </w:tc>
              </w:tr>
              <w:tr w:rsidR="00AC0399" w14:paraId="166D0D39" w14:textId="77777777">
                <w:trPr>
                  <w:divId w:val="1159662455"/>
                  <w:tblCellSpacing w:w="15" w:type="dxa"/>
                </w:trPr>
                <w:tc>
                  <w:tcPr>
                    <w:tcW w:w="50" w:type="pct"/>
                    <w:hideMark/>
                  </w:tcPr>
                  <w:p w14:paraId="6237FA0C" w14:textId="77777777" w:rsidR="00AC0399" w:rsidRDefault="00AC0399" w:rsidP="00AC0399">
                    <w:pPr>
                      <w:pStyle w:val="Bibliography"/>
                      <w:spacing w:line="360" w:lineRule="auto"/>
                      <w:rPr>
                        <w:noProof/>
                      </w:rPr>
                    </w:pPr>
                    <w:r>
                      <w:rPr>
                        <w:noProof/>
                      </w:rPr>
                      <w:t xml:space="preserve">[5] </w:t>
                    </w:r>
                  </w:p>
                </w:tc>
                <w:tc>
                  <w:tcPr>
                    <w:tcW w:w="0" w:type="auto"/>
                    <w:hideMark/>
                  </w:tcPr>
                  <w:p w14:paraId="18808B4F" w14:textId="77777777" w:rsidR="00AC0399" w:rsidRDefault="00AC0399" w:rsidP="00AC0399">
                    <w:pPr>
                      <w:pStyle w:val="Bibliography"/>
                      <w:spacing w:line="360" w:lineRule="auto"/>
                      <w:rPr>
                        <w:noProof/>
                      </w:rPr>
                    </w:pPr>
                    <w:r>
                      <w:rPr>
                        <w:noProof/>
                      </w:rPr>
                      <w:t>University of Liverpool, “Liverpool COVID-19 Interactions,” 2023. [Online]. Available: https://www.covid19-druginteractions.org/checker.</w:t>
                    </w:r>
                  </w:p>
                </w:tc>
              </w:tr>
              <w:tr w:rsidR="00AC0399" w14:paraId="53A97C81" w14:textId="77777777">
                <w:trPr>
                  <w:divId w:val="1159662455"/>
                  <w:tblCellSpacing w:w="15" w:type="dxa"/>
                </w:trPr>
                <w:tc>
                  <w:tcPr>
                    <w:tcW w:w="50" w:type="pct"/>
                    <w:hideMark/>
                  </w:tcPr>
                  <w:p w14:paraId="70A10E09" w14:textId="77777777" w:rsidR="00AC0399" w:rsidRDefault="00AC0399" w:rsidP="00AC0399">
                    <w:pPr>
                      <w:pStyle w:val="Bibliography"/>
                      <w:spacing w:line="360" w:lineRule="auto"/>
                      <w:rPr>
                        <w:noProof/>
                      </w:rPr>
                    </w:pPr>
                    <w:r>
                      <w:rPr>
                        <w:noProof/>
                      </w:rPr>
                      <w:t xml:space="preserve">[6] </w:t>
                    </w:r>
                  </w:p>
                </w:tc>
                <w:tc>
                  <w:tcPr>
                    <w:tcW w:w="0" w:type="auto"/>
                    <w:hideMark/>
                  </w:tcPr>
                  <w:p w14:paraId="6DA4504D" w14:textId="77777777" w:rsidR="00AC0399" w:rsidRDefault="00AC0399" w:rsidP="00AC0399">
                    <w:pPr>
                      <w:pStyle w:val="Bibliography"/>
                      <w:spacing w:line="360" w:lineRule="auto"/>
                      <w:rPr>
                        <w:noProof/>
                      </w:rPr>
                    </w:pPr>
                    <w:r>
                      <w:rPr>
                        <w:noProof/>
                      </w:rPr>
                      <w:t>NICE, “5 Supporting information on risk factors for progression to severe COVID-19,” MArch 2023. [Online]. Available: https://www.nice.org.uk/guidance/ta878/chapter/5-Supporting-information-on-risk-factors-for-progression-to-severe-COVID-19#box-1-risk-factors-for-progression-to-severe-covid-19-in-adults. [Accessed November 2023].</w:t>
                    </w:r>
                  </w:p>
                </w:tc>
              </w:tr>
            </w:tbl>
            <w:p w14:paraId="281A354F" w14:textId="77777777" w:rsidR="00AC0399" w:rsidRDefault="00AC0399">
              <w:pPr>
                <w:divId w:val="1159662455"/>
                <w:rPr>
                  <w:rFonts w:eastAsia="Times New Roman"/>
                  <w:noProof/>
                </w:rPr>
              </w:pPr>
            </w:p>
            <w:p w14:paraId="5615E741" w14:textId="77777777" w:rsidR="00411F4E" w:rsidRPr="00D26883" w:rsidRDefault="00411F4E" w:rsidP="00AC0399">
              <w:pPr>
                <w:spacing w:line="480" w:lineRule="auto"/>
                <w:rPr>
                  <w:rFonts w:asciiTheme="minorBidi" w:hAnsiTheme="minorBidi"/>
                  <w:sz w:val="22"/>
                  <w:szCs w:val="22"/>
                </w:rPr>
              </w:pPr>
              <w:r w:rsidRPr="00D26883">
                <w:rPr>
                  <w:rFonts w:asciiTheme="minorBidi" w:hAnsiTheme="minorBidi"/>
                  <w:b/>
                  <w:bCs/>
                  <w:noProof/>
                  <w:sz w:val="22"/>
                  <w:szCs w:val="22"/>
                </w:rPr>
                <w:fldChar w:fldCharType="end"/>
              </w:r>
            </w:p>
          </w:sdtContent>
        </w:sdt>
      </w:sdtContent>
    </w:sdt>
    <w:p w14:paraId="215589A6" w14:textId="77777777" w:rsidR="00411F4E" w:rsidRPr="00D26883" w:rsidRDefault="00411F4E" w:rsidP="00AE3B0D">
      <w:pPr>
        <w:spacing w:line="480" w:lineRule="auto"/>
        <w:rPr>
          <w:rFonts w:asciiTheme="minorBidi" w:hAnsiTheme="minorBidi"/>
          <w:sz w:val="22"/>
          <w:szCs w:val="22"/>
          <w:lang w:val="en-US"/>
        </w:rPr>
      </w:pPr>
    </w:p>
    <w:p w14:paraId="698E6165" w14:textId="77777777" w:rsidR="00411F4E" w:rsidRPr="00D26883" w:rsidRDefault="00411F4E" w:rsidP="00AE3B0D">
      <w:pPr>
        <w:spacing w:line="480" w:lineRule="auto"/>
        <w:rPr>
          <w:rFonts w:asciiTheme="minorBidi" w:hAnsiTheme="minorBidi"/>
          <w:sz w:val="22"/>
          <w:szCs w:val="22"/>
        </w:rPr>
      </w:pPr>
    </w:p>
    <w:p w14:paraId="7BADF527" w14:textId="77777777" w:rsidR="00411F4E" w:rsidRPr="00D26883" w:rsidRDefault="00411F4E" w:rsidP="00AE3B0D">
      <w:pPr>
        <w:spacing w:line="480" w:lineRule="auto"/>
        <w:rPr>
          <w:rFonts w:asciiTheme="minorBidi" w:hAnsiTheme="minorBidi"/>
        </w:rPr>
      </w:pPr>
    </w:p>
    <w:sectPr w:rsidR="00411F4E" w:rsidRPr="00D26883" w:rsidSect="009F5B8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50C6A"/>
    <w:multiLevelType w:val="hybridMultilevel"/>
    <w:tmpl w:val="057818B4"/>
    <w:lvl w:ilvl="0" w:tplc="C84A382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321ABD"/>
    <w:multiLevelType w:val="hybridMultilevel"/>
    <w:tmpl w:val="12E8C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9858019">
    <w:abstractNumId w:val="0"/>
  </w:num>
  <w:num w:numId="2" w16cid:durableId="441076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F4E"/>
    <w:rsid w:val="00007C37"/>
    <w:rsid w:val="00066619"/>
    <w:rsid w:val="000D24EC"/>
    <w:rsid w:val="001C7670"/>
    <w:rsid w:val="00266517"/>
    <w:rsid w:val="002A46CC"/>
    <w:rsid w:val="0030571A"/>
    <w:rsid w:val="003913C1"/>
    <w:rsid w:val="003B5BE6"/>
    <w:rsid w:val="00411F4E"/>
    <w:rsid w:val="004D2D39"/>
    <w:rsid w:val="00552481"/>
    <w:rsid w:val="006970AF"/>
    <w:rsid w:val="00710C16"/>
    <w:rsid w:val="00777484"/>
    <w:rsid w:val="00996475"/>
    <w:rsid w:val="009F5B87"/>
    <w:rsid w:val="00AA1ECC"/>
    <w:rsid w:val="00AC0399"/>
    <w:rsid w:val="00AE3B0D"/>
    <w:rsid w:val="00D26883"/>
    <w:rsid w:val="00D75DDA"/>
    <w:rsid w:val="00DE59AA"/>
    <w:rsid w:val="00E87C18"/>
    <w:rsid w:val="00F32C40"/>
    <w:rsid w:val="00F421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187B"/>
  <w15:docId w15:val="{A46B5702-5739-5E4A-91F4-5E04DC0E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F4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F4E"/>
    <w:pPr>
      <w:ind w:left="720"/>
      <w:contextualSpacing/>
    </w:pPr>
  </w:style>
  <w:style w:type="paragraph" w:styleId="NoSpacing">
    <w:name w:val="No Spacing"/>
    <w:uiPriority w:val="1"/>
    <w:qFormat/>
    <w:rsid w:val="00411F4E"/>
    <w:rPr>
      <w:kern w:val="0"/>
      <w14:ligatures w14:val="none"/>
    </w:rPr>
  </w:style>
  <w:style w:type="paragraph" w:styleId="Bibliography">
    <w:name w:val="Bibliography"/>
    <w:basedOn w:val="Normal"/>
    <w:next w:val="Normal"/>
    <w:uiPriority w:val="37"/>
    <w:unhideWhenUsed/>
    <w:rsid w:val="00411F4E"/>
  </w:style>
  <w:style w:type="character" w:styleId="CommentReference">
    <w:name w:val="annotation reference"/>
    <w:basedOn w:val="DefaultParagraphFont"/>
    <w:uiPriority w:val="99"/>
    <w:semiHidden/>
    <w:unhideWhenUsed/>
    <w:rsid w:val="00411F4E"/>
    <w:rPr>
      <w:sz w:val="16"/>
      <w:szCs w:val="16"/>
    </w:rPr>
  </w:style>
  <w:style w:type="paragraph" w:styleId="CommentText">
    <w:name w:val="annotation text"/>
    <w:basedOn w:val="Normal"/>
    <w:link w:val="CommentTextChar"/>
    <w:uiPriority w:val="99"/>
    <w:unhideWhenUsed/>
    <w:rsid w:val="00411F4E"/>
    <w:rPr>
      <w:sz w:val="20"/>
      <w:szCs w:val="20"/>
    </w:rPr>
  </w:style>
  <w:style w:type="character" w:customStyle="1" w:styleId="CommentTextChar">
    <w:name w:val="Comment Text Char"/>
    <w:basedOn w:val="DefaultParagraphFont"/>
    <w:link w:val="CommentText"/>
    <w:uiPriority w:val="99"/>
    <w:rsid w:val="00411F4E"/>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72921">
      <w:bodyDiv w:val="1"/>
      <w:marLeft w:val="0"/>
      <w:marRight w:val="0"/>
      <w:marTop w:val="0"/>
      <w:marBottom w:val="0"/>
      <w:divBdr>
        <w:top w:val="none" w:sz="0" w:space="0" w:color="auto"/>
        <w:left w:val="none" w:sz="0" w:space="0" w:color="auto"/>
        <w:bottom w:val="none" w:sz="0" w:space="0" w:color="auto"/>
        <w:right w:val="none" w:sz="0" w:space="0" w:color="auto"/>
      </w:divBdr>
    </w:div>
    <w:div w:id="25100451">
      <w:bodyDiv w:val="1"/>
      <w:marLeft w:val="0"/>
      <w:marRight w:val="0"/>
      <w:marTop w:val="0"/>
      <w:marBottom w:val="0"/>
      <w:divBdr>
        <w:top w:val="none" w:sz="0" w:space="0" w:color="auto"/>
        <w:left w:val="none" w:sz="0" w:space="0" w:color="auto"/>
        <w:bottom w:val="none" w:sz="0" w:space="0" w:color="auto"/>
        <w:right w:val="none" w:sz="0" w:space="0" w:color="auto"/>
      </w:divBdr>
    </w:div>
    <w:div w:id="50033603">
      <w:bodyDiv w:val="1"/>
      <w:marLeft w:val="0"/>
      <w:marRight w:val="0"/>
      <w:marTop w:val="0"/>
      <w:marBottom w:val="0"/>
      <w:divBdr>
        <w:top w:val="none" w:sz="0" w:space="0" w:color="auto"/>
        <w:left w:val="none" w:sz="0" w:space="0" w:color="auto"/>
        <w:bottom w:val="none" w:sz="0" w:space="0" w:color="auto"/>
        <w:right w:val="none" w:sz="0" w:space="0" w:color="auto"/>
      </w:divBdr>
    </w:div>
    <w:div w:id="91049012">
      <w:bodyDiv w:val="1"/>
      <w:marLeft w:val="0"/>
      <w:marRight w:val="0"/>
      <w:marTop w:val="0"/>
      <w:marBottom w:val="0"/>
      <w:divBdr>
        <w:top w:val="none" w:sz="0" w:space="0" w:color="auto"/>
        <w:left w:val="none" w:sz="0" w:space="0" w:color="auto"/>
        <w:bottom w:val="none" w:sz="0" w:space="0" w:color="auto"/>
        <w:right w:val="none" w:sz="0" w:space="0" w:color="auto"/>
      </w:divBdr>
    </w:div>
    <w:div w:id="191699091">
      <w:bodyDiv w:val="1"/>
      <w:marLeft w:val="0"/>
      <w:marRight w:val="0"/>
      <w:marTop w:val="0"/>
      <w:marBottom w:val="0"/>
      <w:divBdr>
        <w:top w:val="none" w:sz="0" w:space="0" w:color="auto"/>
        <w:left w:val="none" w:sz="0" w:space="0" w:color="auto"/>
        <w:bottom w:val="none" w:sz="0" w:space="0" w:color="auto"/>
        <w:right w:val="none" w:sz="0" w:space="0" w:color="auto"/>
      </w:divBdr>
    </w:div>
    <w:div w:id="292834754">
      <w:bodyDiv w:val="1"/>
      <w:marLeft w:val="0"/>
      <w:marRight w:val="0"/>
      <w:marTop w:val="0"/>
      <w:marBottom w:val="0"/>
      <w:divBdr>
        <w:top w:val="none" w:sz="0" w:space="0" w:color="auto"/>
        <w:left w:val="none" w:sz="0" w:space="0" w:color="auto"/>
        <w:bottom w:val="none" w:sz="0" w:space="0" w:color="auto"/>
        <w:right w:val="none" w:sz="0" w:space="0" w:color="auto"/>
      </w:divBdr>
    </w:div>
    <w:div w:id="396123639">
      <w:bodyDiv w:val="1"/>
      <w:marLeft w:val="0"/>
      <w:marRight w:val="0"/>
      <w:marTop w:val="0"/>
      <w:marBottom w:val="0"/>
      <w:divBdr>
        <w:top w:val="none" w:sz="0" w:space="0" w:color="auto"/>
        <w:left w:val="none" w:sz="0" w:space="0" w:color="auto"/>
        <w:bottom w:val="none" w:sz="0" w:space="0" w:color="auto"/>
        <w:right w:val="none" w:sz="0" w:space="0" w:color="auto"/>
      </w:divBdr>
    </w:div>
    <w:div w:id="397410527">
      <w:bodyDiv w:val="1"/>
      <w:marLeft w:val="0"/>
      <w:marRight w:val="0"/>
      <w:marTop w:val="0"/>
      <w:marBottom w:val="0"/>
      <w:divBdr>
        <w:top w:val="none" w:sz="0" w:space="0" w:color="auto"/>
        <w:left w:val="none" w:sz="0" w:space="0" w:color="auto"/>
        <w:bottom w:val="none" w:sz="0" w:space="0" w:color="auto"/>
        <w:right w:val="none" w:sz="0" w:space="0" w:color="auto"/>
      </w:divBdr>
    </w:div>
    <w:div w:id="420681302">
      <w:bodyDiv w:val="1"/>
      <w:marLeft w:val="0"/>
      <w:marRight w:val="0"/>
      <w:marTop w:val="0"/>
      <w:marBottom w:val="0"/>
      <w:divBdr>
        <w:top w:val="none" w:sz="0" w:space="0" w:color="auto"/>
        <w:left w:val="none" w:sz="0" w:space="0" w:color="auto"/>
        <w:bottom w:val="none" w:sz="0" w:space="0" w:color="auto"/>
        <w:right w:val="none" w:sz="0" w:space="0" w:color="auto"/>
      </w:divBdr>
    </w:div>
    <w:div w:id="536894531">
      <w:bodyDiv w:val="1"/>
      <w:marLeft w:val="0"/>
      <w:marRight w:val="0"/>
      <w:marTop w:val="0"/>
      <w:marBottom w:val="0"/>
      <w:divBdr>
        <w:top w:val="none" w:sz="0" w:space="0" w:color="auto"/>
        <w:left w:val="none" w:sz="0" w:space="0" w:color="auto"/>
        <w:bottom w:val="none" w:sz="0" w:space="0" w:color="auto"/>
        <w:right w:val="none" w:sz="0" w:space="0" w:color="auto"/>
      </w:divBdr>
    </w:div>
    <w:div w:id="538592437">
      <w:bodyDiv w:val="1"/>
      <w:marLeft w:val="0"/>
      <w:marRight w:val="0"/>
      <w:marTop w:val="0"/>
      <w:marBottom w:val="0"/>
      <w:divBdr>
        <w:top w:val="none" w:sz="0" w:space="0" w:color="auto"/>
        <w:left w:val="none" w:sz="0" w:space="0" w:color="auto"/>
        <w:bottom w:val="none" w:sz="0" w:space="0" w:color="auto"/>
        <w:right w:val="none" w:sz="0" w:space="0" w:color="auto"/>
      </w:divBdr>
    </w:div>
    <w:div w:id="565456721">
      <w:bodyDiv w:val="1"/>
      <w:marLeft w:val="0"/>
      <w:marRight w:val="0"/>
      <w:marTop w:val="0"/>
      <w:marBottom w:val="0"/>
      <w:divBdr>
        <w:top w:val="none" w:sz="0" w:space="0" w:color="auto"/>
        <w:left w:val="none" w:sz="0" w:space="0" w:color="auto"/>
        <w:bottom w:val="none" w:sz="0" w:space="0" w:color="auto"/>
        <w:right w:val="none" w:sz="0" w:space="0" w:color="auto"/>
      </w:divBdr>
    </w:div>
    <w:div w:id="616184345">
      <w:bodyDiv w:val="1"/>
      <w:marLeft w:val="0"/>
      <w:marRight w:val="0"/>
      <w:marTop w:val="0"/>
      <w:marBottom w:val="0"/>
      <w:divBdr>
        <w:top w:val="none" w:sz="0" w:space="0" w:color="auto"/>
        <w:left w:val="none" w:sz="0" w:space="0" w:color="auto"/>
        <w:bottom w:val="none" w:sz="0" w:space="0" w:color="auto"/>
        <w:right w:val="none" w:sz="0" w:space="0" w:color="auto"/>
      </w:divBdr>
    </w:div>
    <w:div w:id="632755240">
      <w:bodyDiv w:val="1"/>
      <w:marLeft w:val="0"/>
      <w:marRight w:val="0"/>
      <w:marTop w:val="0"/>
      <w:marBottom w:val="0"/>
      <w:divBdr>
        <w:top w:val="none" w:sz="0" w:space="0" w:color="auto"/>
        <w:left w:val="none" w:sz="0" w:space="0" w:color="auto"/>
        <w:bottom w:val="none" w:sz="0" w:space="0" w:color="auto"/>
        <w:right w:val="none" w:sz="0" w:space="0" w:color="auto"/>
      </w:divBdr>
    </w:div>
    <w:div w:id="680548207">
      <w:bodyDiv w:val="1"/>
      <w:marLeft w:val="0"/>
      <w:marRight w:val="0"/>
      <w:marTop w:val="0"/>
      <w:marBottom w:val="0"/>
      <w:divBdr>
        <w:top w:val="none" w:sz="0" w:space="0" w:color="auto"/>
        <w:left w:val="none" w:sz="0" w:space="0" w:color="auto"/>
        <w:bottom w:val="none" w:sz="0" w:space="0" w:color="auto"/>
        <w:right w:val="none" w:sz="0" w:space="0" w:color="auto"/>
      </w:divBdr>
    </w:div>
    <w:div w:id="748115720">
      <w:bodyDiv w:val="1"/>
      <w:marLeft w:val="0"/>
      <w:marRight w:val="0"/>
      <w:marTop w:val="0"/>
      <w:marBottom w:val="0"/>
      <w:divBdr>
        <w:top w:val="none" w:sz="0" w:space="0" w:color="auto"/>
        <w:left w:val="none" w:sz="0" w:space="0" w:color="auto"/>
        <w:bottom w:val="none" w:sz="0" w:space="0" w:color="auto"/>
        <w:right w:val="none" w:sz="0" w:space="0" w:color="auto"/>
      </w:divBdr>
    </w:div>
    <w:div w:id="894004896">
      <w:bodyDiv w:val="1"/>
      <w:marLeft w:val="0"/>
      <w:marRight w:val="0"/>
      <w:marTop w:val="0"/>
      <w:marBottom w:val="0"/>
      <w:divBdr>
        <w:top w:val="none" w:sz="0" w:space="0" w:color="auto"/>
        <w:left w:val="none" w:sz="0" w:space="0" w:color="auto"/>
        <w:bottom w:val="none" w:sz="0" w:space="0" w:color="auto"/>
        <w:right w:val="none" w:sz="0" w:space="0" w:color="auto"/>
      </w:divBdr>
    </w:div>
    <w:div w:id="955260991">
      <w:bodyDiv w:val="1"/>
      <w:marLeft w:val="0"/>
      <w:marRight w:val="0"/>
      <w:marTop w:val="0"/>
      <w:marBottom w:val="0"/>
      <w:divBdr>
        <w:top w:val="none" w:sz="0" w:space="0" w:color="auto"/>
        <w:left w:val="none" w:sz="0" w:space="0" w:color="auto"/>
        <w:bottom w:val="none" w:sz="0" w:space="0" w:color="auto"/>
        <w:right w:val="none" w:sz="0" w:space="0" w:color="auto"/>
      </w:divBdr>
    </w:div>
    <w:div w:id="1159662455">
      <w:bodyDiv w:val="1"/>
      <w:marLeft w:val="0"/>
      <w:marRight w:val="0"/>
      <w:marTop w:val="0"/>
      <w:marBottom w:val="0"/>
      <w:divBdr>
        <w:top w:val="none" w:sz="0" w:space="0" w:color="auto"/>
        <w:left w:val="none" w:sz="0" w:space="0" w:color="auto"/>
        <w:bottom w:val="none" w:sz="0" w:space="0" w:color="auto"/>
        <w:right w:val="none" w:sz="0" w:space="0" w:color="auto"/>
      </w:divBdr>
    </w:div>
    <w:div w:id="1212300779">
      <w:bodyDiv w:val="1"/>
      <w:marLeft w:val="0"/>
      <w:marRight w:val="0"/>
      <w:marTop w:val="0"/>
      <w:marBottom w:val="0"/>
      <w:divBdr>
        <w:top w:val="none" w:sz="0" w:space="0" w:color="auto"/>
        <w:left w:val="none" w:sz="0" w:space="0" w:color="auto"/>
        <w:bottom w:val="none" w:sz="0" w:space="0" w:color="auto"/>
        <w:right w:val="none" w:sz="0" w:space="0" w:color="auto"/>
      </w:divBdr>
    </w:div>
    <w:div w:id="1248998415">
      <w:bodyDiv w:val="1"/>
      <w:marLeft w:val="0"/>
      <w:marRight w:val="0"/>
      <w:marTop w:val="0"/>
      <w:marBottom w:val="0"/>
      <w:divBdr>
        <w:top w:val="none" w:sz="0" w:space="0" w:color="auto"/>
        <w:left w:val="none" w:sz="0" w:space="0" w:color="auto"/>
        <w:bottom w:val="none" w:sz="0" w:space="0" w:color="auto"/>
        <w:right w:val="none" w:sz="0" w:space="0" w:color="auto"/>
      </w:divBdr>
    </w:div>
    <w:div w:id="1261373759">
      <w:bodyDiv w:val="1"/>
      <w:marLeft w:val="0"/>
      <w:marRight w:val="0"/>
      <w:marTop w:val="0"/>
      <w:marBottom w:val="0"/>
      <w:divBdr>
        <w:top w:val="none" w:sz="0" w:space="0" w:color="auto"/>
        <w:left w:val="none" w:sz="0" w:space="0" w:color="auto"/>
        <w:bottom w:val="none" w:sz="0" w:space="0" w:color="auto"/>
        <w:right w:val="none" w:sz="0" w:space="0" w:color="auto"/>
      </w:divBdr>
    </w:div>
    <w:div w:id="1369141785">
      <w:bodyDiv w:val="1"/>
      <w:marLeft w:val="0"/>
      <w:marRight w:val="0"/>
      <w:marTop w:val="0"/>
      <w:marBottom w:val="0"/>
      <w:divBdr>
        <w:top w:val="none" w:sz="0" w:space="0" w:color="auto"/>
        <w:left w:val="none" w:sz="0" w:space="0" w:color="auto"/>
        <w:bottom w:val="none" w:sz="0" w:space="0" w:color="auto"/>
        <w:right w:val="none" w:sz="0" w:space="0" w:color="auto"/>
      </w:divBdr>
    </w:div>
    <w:div w:id="1394357026">
      <w:bodyDiv w:val="1"/>
      <w:marLeft w:val="0"/>
      <w:marRight w:val="0"/>
      <w:marTop w:val="0"/>
      <w:marBottom w:val="0"/>
      <w:divBdr>
        <w:top w:val="none" w:sz="0" w:space="0" w:color="auto"/>
        <w:left w:val="none" w:sz="0" w:space="0" w:color="auto"/>
        <w:bottom w:val="none" w:sz="0" w:space="0" w:color="auto"/>
        <w:right w:val="none" w:sz="0" w:space="0" w:color="auto"/>
      </w:divBdr>
    </w:div>
    <w:div w:id="1420908951">
      <w:bodyDiv w:val="1"/>
      <w:marLeft w:val="0"/>
      <w:marRight w:val="0"/>
      <w:marTop w:val="0"/>
      <w:marBottom w:val="0"/>
      <w:divBdr>
        <w:top w:val="none" w:sz="0" w:space="0" w:color="auto"/>
        <w:left w:val="none" w:sz="0" w:space="0" w:color="auto"/>
        <w:bottom w:val="none" w:sz="0" w:space="0" w:color="auto"/>
        <w:right w:val="none" w:sz="0" w:space="0" w:color="auto"/>
      </w:divBdr>
    </w:div>
    <w:div w:id="1460415143">
      <w:bodyDiv w:val="1"/>
      <w:marLeft w:val="0"/>
      <w:marRight w:val="0"/>
      <w:marTop w:val="0"/>
      <w:marBottom w:val="0"/>
      <w:divBdr>
        <w:top w:val="none" w:sz="0" w:space="0" w:color="auto"/>
        <w:left w:val="none" w:sz="0" w:space="0" w:color="auto"/>
        <w:bottom w:val="none" w:sz="0" w:space="0" w:color="auto"/>
        <w:right w:val="none" w:sz="0" w:space="0" w:color="auto"/>
      </w:divBdr>
    </w:div>
    <w:div w:id="1474444778">
      <w:bodyDiv w:val="1"/>
      <w:marLeft w:val="0"/>
      <w:marRight w:val="0"/>
      <w:marTop w:val="0"/>
      <w:marBottom w:val="0"/>
      <w:divBdr>
        <w:top w:val="none" w:sz="0" w:space="0" w:color="auto"/>
        <w:left w:val="none" w:sz="0" w:space="0" w:color="auto"/>
        <w:bottom w:val="none" w:sz="0" w:space="0" w:color="auto"/>
        <w:right w:val="none" w:sz="0" w:space="0" w:color="auto"/>
      </w:divBdr>
    </w:div>
    <w:div w:id="1576548232">
      <w:bodyDiv w:val="1"/>
      <w:marLeft w:val="0"/>
      <w:marRight w:val="0"/>
      <w:marTop w:val="0"/>
      <w:marBottom w:val="0"/>
      <w:divBdr>
        <w:top w:val="none" w:sz="0" w:space="0" w:color="auto"/>
        <w:left w:val="none" w:sz="0" w:space="0" w:color="auto"/>
        <w:bottom w:val="none" w:sz="0" w:space="0" w:color="auto"/>
        <w:right w:val="none" w:sz="0" w:space="0" w:color="auto"/>
      </w:divBdr>
    </w:div>
    <w:div w:id="1684741215">
      <w:bodyDiv w:val="1"/>
      <w:marLeft w:val="0"/>
      <w:marRight w:val="0"/>
      <w:marTop w:val="0"/>
      <w:marBottom w:val="0"/>
      <w:divBdr>
        <w:top w:val="none" w:sz="0" w:space="0" w:color="auto"/>
        <w:left w:val="none" w:sz="0" w:space="0" w:color="auto"/>
        <w:bottom w:val="none" w:sz="0" w:space="0" w:color="auto"/>
        <w:right w:val="none" w:sz="0" w:space="0" w:color="auto"/>
      </w:divBdr>
    </w:div>
    <w:div w:id="1810240445">
      <w:bodyDiv w:val="1"/>
      <w:marLeft w:val="0"/>
      <w:marRight w:val="0"/>
      <w:marTop w:val="0"/>
      <w:marBottom w:val="0"/>
      <w:divBdr>
        <w:top w:val="none" w:sz="0" w:space="0" w:color="auto"/>
        <w:left w:val="none" w:sz="0" w:space="0" w:color="auto"/>
        <w:bottom w:val="none" w:sz="0" w:space="0" w:color="auto"/>
        <w:right w:val="none" w:sz="0" w:space="0" w:color="auto"/>
      </w:divBdr>
    </w:div>
    <w:div w:id="1835074169">
      <w:bodyDiv w:val="1"/>
      <w:marLeft w:val="0"/>
      <w:marRight w:val="0"/>
      <w:marTop w:val="0"/>
      <w:marBottom w:val="0"/>
      <w:divBdr>
        <w:top w:val="none" w:sz="0" w:space="0" w:color="auto"/>
        <w:left w:val="none" w:sz="0" w:space="0" w:color="auto"/>
        <w:bottom w:val="none" w:sz="0" w:space="0" w:color="auto"/>
        <w:right w:val="none" w:sz="0" w:space="0" w:color="auto"/>
      </w:divBdr>
    </w:div>
    <w:div w:id="1898777983">
      <w:bodyDiv w:val="1"/>
      <w:marLeft w:val="0"/>
      <w:marRight w:val="0"/>
      <w:marTop w:val="0"/>
      <w:marBottom w:val="0"/>
      <w:divBdr>
        <w:top w:val="none" w:sz="0" w:space="0" w:color="auto"/>
        <w:left w:val="none" w:sz="0" w:space="0" w:color="auto"/>
        <w:bottom w:val="none" w:sz="0" w:space="0" w:color="auto"/>
        <w:right w:val="none" w:sz="0" w:space="0" w:color="auto"/>
      </w:divBdr>
    </w:div>
    <w:div w:id="1910068313">
      <w:bodyDiv w:val="1"/>
      <w:marLeft w:val="0"/>
      <w:marRight w:val="0"/>
      <w:marTop w:val="0"/>
      <w:marBottom w:val="0"/>
      <w:divBdr>
        <w:top w:val="none" w:sz="0" w:space="0" w:color="auto"/>
        <w:left w:val="none" w:sz="0" w:space="0" w:color="auto"/>
        <w:bottom w:val="none" w:sz="0" w:space="0" w:color="auto"/>
        <w:right w:val="none" w:sz="0" w:space="0" w:color="auto"/>
      </w:divBdr>
    </w:div>
    <w:div w:id="1977369653">
      <w:bodyDiv w:val="1"/>
      <w:marLeft w:val="0"/>
      <w:marRight w:val="0"/>
      <w:marTop w:val="0"/>
      <w:marBottom w:val="0"/>
      <w:divBdr>
        <w:top w:val="none" w:sz="0" w:space="0" w:color="auto"/>
        <w:left w:val="none" w:sz="0" w:space="0" w:color="auto"/>
        <w:bottom w:val="none" w:sz="0" w:space="0" w:color="auto"/>
        <w:right w:val="none" w:sz="0" w:space="0" w:color="auto"/>
      </w:divBdr>
    </w:div>
    <w:div w:id="2044164180">
      <w:bodyDiv w:val="1"/>
      <w:marLeft w:val="0"/>
      <w:marRight w:val="0"/>
      <w:marTop w:val="0"/>
      <w:marBottom w:val="0"/>
      <w:divBdr>
        <w:top w:val="none" w:sz="0" w:space="0" w:color="auto"/>
        <w:left w:val="none" w:sz="0" w:space="0" w:color="auto"/>
        <w:bottom w:val="none" w:sz="0" w:space="0" w:color="auto"/>
        <w:right w:val="none" w:sz="0" w:space="0" w:color="auto"/>
      </w:divBdr>
    </w:div>
    <w:div w:id="2126148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WHO232</b:Tag>
    <b:SourceType>DocumentFromInternetSite</b:SourceType>
    <b:Guid>{B4A3FA18-387C-4348-AC27-370F00CCA035}</b:Guid>
    <b:Author>
      <b:Author>
        <b:Corporate>WHO</b:Corporate>
      </b:Author>
    </b:Author>
    <b:Title>Therapeutics and COVID-19: Living guideline, 10 November 2023</b:Title>
    <b:InternetSiteTitle>who.int</b:InternetSiteTitle>
    <b:URL>https://iris.who.int/bitstream/handle/10665/373975/WHO-2019-nCoV-therapeutics-2023.2-eng.pdf?sequence=1</b:URL>
    <b:Year>2023</b:Year>
    <b:Month>November</b:Month>
    <b:Day>10</b:Day>
    <b:RefOrder>1</b:RefOrder>
  </b:Source>
  <b:Source>
    <b:Tag>NIH23</b:Tag>
    <b:SourceType>InternetSite</b:SourceType>
    <b:Guid>{9D918304-7A7B-CA4C-889E-20562761B2B7}</b:Guid>
    <b:Title>Ritonavir-Boosted Nirmatrelvir (Paxlovid)</b:Title>
    <b:Year>2023</b:Year>
    <b:Author>
      <b:Author>
        <b:Corporate>NIH</b:Corporate>
      </b:Author>
    </b:Author>
    <b:Month>July</b:Month>
    <b:Day>21</b:Day>
    <b:InternetSiteTitle>NIH COVID treatment guidelines</b:InternetSiteTitle>
    <b:URL>https://www.covid19treatmentguidelines.nih.gov/therapies/antivirals-including-antibody-products/ritonavir-boosted-nirmatrelvir--paxlovid-/</b:URL>
    <b:RefOrder>2</b:RefOrder>
  </b:Source>
  <b:Source>
    <b:Tag>Mar22</b:Tag>
    <b:SourceType>JournalArticle</b:SourceType>
    <b:Guid>{F0EB239E-351D-3D44-94C6-81A38B327387}</b:Guid>
    <b:Title>Prescribing Nirmatrelvir–Ritonavir: How to Recognize and Manage Drug–Drug Interactions</b:Title>
    <b:Year>2022</b:Year>
    <b:Month>May</b:Month>
    <b:Author>
      <b:Author>
        <b:NameList>
          <b:Person>
            <b:Last>Marzolini</b:Last>
            <b:First>Catia</b:First>
          </b:Person>
          <b:Person>
            <b:Last>Kuritzkes</b:Last>
            <b:First>Daniel</b:First>
            <b:Middle>R.</b:Middle>
          </b:Person>
          <b:Person>
            <b:Last>Marra</b:Last>
            <b:First>Fiona</b:First>
          </b:Person>
          <b:Person>
            <b:Last>Boyle</b:Last>
            <b:First>Alison</b:First>
          </b:Person>
          <b:Person>
            <b:Last>Gibbons</b:Last>
            <b:First>Sara</b:First>
          </b:Person>
          <b:Person>
            <b:Last>Flexner</b:Last>
            <b:First>Charles</b:First>
          </b:Person>
          <b:Person>
            <b:Last>Pozniak</b:Last>
            <b:First>Anton</b:First>
          </b:Person>
          <b:Person>
            <b:Last>Boffito</b:Last>
            <b:First>Marta</b:First>
          </b:Person>
          <b:Person>
            <b:Last>Waters</b:Last>
            <b:First>Laura</b:First>
          </b:Person>
          <b:Person>
            <b:Last>Burger</b:Last>
            <b:First>David</b:First>
          </b:Person>
          <b:Person>
            <b:Last>Back</b:Last>
            <b:First>David</b:First>
          </b:Person>
          <b:Person>
            <b:Last>Khoo</b:Last>
            <b:First>Saye</b:First>
          </b:Person>
        </b:NameList>
      </b:Author>
    </b:Author>
    <b:JournalName>Annals of Internal Medicine</b:JournalName>
    <b:Pages>744-746</b:Pages>
    <b:Volume>175</b:Volume>
    <b:Issue>5</b:Issue>
    <b:RefOrder>3</b:RefOrder>
  </b:Source>
  <b:Source>
    <b:Tag>PRE20</b:Tag>
    <b:SourceType>JournalArticle</b:SourceType>
    <b:Guid>{3EC6D3E1-20C7-9F44-A7E5-B339667B0524}</b:Guid>
    <b:Title>Why Are Patients With COVID-19 at Risk for Drug-Drug Interactions?</b:Title>
    <b:Year>2020</b:Year>
    <b:Month>November</b:Month>
    <b:Author>
      <b:Author>
        <b:NameList>
          <b:Person>
            <b:Last>Preskorn</b:Last>
            <b:First>Sheldon</b:First>
            <b:Middle>H.</b:Middle>
          </b:Person>
          <b:Person>
            <b:Last>Quadri</b:Last>
            <b:First>Syeda</b:First>
          </b:Person>
        </b:NameList>
      </b:Author>
    </b:Author>
    <b:JournalName>Journal of Psychiatric Practice</b:JournalName>
    <b:Pages>485-492</b:Pages>
    <b:Volume>26</b:Volume>
    <b:Issue>6</b:Issue>
    <b:RefOrder>4</b:RefOrder>
  </b:Source>
  <b:Source>
    <b:Tag>Uni23</b:Tag>
    <b:SourceType>InternetSite</b:SourceType>
    <b:Guid>{83D26AB4-6843-5D4E-B7C8-1D21F9AF7A0E}</b:Guid>
    <b:Title>Liverpool COVID-19 Interactions</b:Title>
    <b:Year>2023</b:Year>
    <b:Author>
      <b:Author>
        <b:Corporate>University of Liverpool</b:Corporate>
      </b:Author>
    </b:Author>
    <b:InternetSiteTitle>Liverpool COVID-19 Interactions</b:InternetSiteTitle>
    <b:URL>https://www.covid19-druginteractions.org/checker</b:URL>
    <b:RefOrder>5</b:RefOrder>
  </b:Source>
  <b:Source>
    <b:Tag>NIC23</b:Tag>
    <b:SourceType>InternetSite</b:SourceType>
    <b:Guid>{9DD38B8D-1BF7-2442-9028-6F4620DF8C1F}</b:Guid>
    <b:Title>5 Supporting information on risk factors for progression to severe COVID-19</b:Title>
    <b:Year>2023</b:Year>
    <b:Author>
      <b:Author>
        <b:Corporate>NICE</b:Corporate>
      </b:Author>
    </b:Author>
    <b:InternetSiteTitle>National Institute of Health and Clinic Excellence</b:InternetSiteTitle>
    <b:URL>https://www.nice.org.uk/guidance/ta878/chapter/5-Supporting-information-on-risk-factors-for-progression-to-severe-COVID-19#box-1-risk-factors-for-progression-to-severe-covid-19-in-adults</b:URL>
    <b:Month>MArch</b:Month>
    <b:YearAccessed>2023</b:YearAccessed>
    <b:MonthAccessed>November</b:MonthAccessed>
    <b:RefOrder>6</b:RefOrder>
  </b:Source>
</b:Sources>
</file>

<file path=customXml/itemProps1.xml><?xml version="1.0" encoding="utf-8"?>
<ds:datastoreItem xmlns:ds="http://schemas.openxmlformats.org/officeDocument/2006/customXml" ds:itemID="{55C51DB5-5EDD-3545-BCB0-D2A6CB3D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 Bukhari</dc:creator>
  <cp:keywords/>
  <dc:description/>
  <cp:lastModifiedBy>Luke Moore</cp:lastModifiedBy>
  <cp:revision>2</cp:revision>
  <dcterms:created xsi:type="dcterms:W3CDTF">2024-09-09T13:35:00Z</dcterms:created>
  <dcterms:modified xsi:type="dcterms:W3CDTF">2024-09-09T13:35:00Z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2024-01-04T19:27:31Z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36722d0d-f889-43d4-aa79-658b966a230b</vt:lpwstr>
  </property>
  <property fmtid="{D5CDD505-2E9C-101B-9397-08002B2CF9AE}" pid="7" name="MSIP_Label_defa4170-0d19-0005-0004-bc88714345d2_ActionId">
    <vt:lpwstr>9188db39-2a09-48bc-851f-1678a8309265</vt:lpwstr>
  </property>
  <property fmtid="{D5CDD505-2E9C-101B-9397-08002B2CF9AE}" pid="8" name="MSIP_Label_defa4170-0d19-0005-0004-bc88714345d2_ContentBits">
    <vt:lpwstr>0</vt:lpwstr>
  </property>
</Properties>
</file>