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4AC8" w:rsidRPr="00404AC8" w:rsidRDefault="00404AC8" w:rsidP="00404AC8">
      <w:pPr>
        <w:rPr>
          <w:rFonts w:ascii="Times New Roman" w:eastAsia="Times New Roman" w:hAnsi="Times New Roman" w:cs="Times New Roman"/>
        </w:rPr>
      </w:pPr>
      <w:r w:rsidRPr="00404AC8">
        <w:rPr>
          <w:rFonts w:ascii="Times New Roman" w:eastAsia="Times New Roman" w:hAnsi="Times New Roman" w:cs="Times New Roman"/>
        </w:rPr>
        <w:t xml:space="preserve">EFFECT OF SHORT CHAIN FATTY ACIDS ON GUT-BRAIN AXIS USING A MICROGLIAL CELL MODEL Matthew A. Churchward, Emily R. Michaud, Jesús </w:t>
      </w:r>
      <w:proofErr w:type="spellStart"/>
      <w:r w:rsidRPr="00404AC8">
        <w:rPr>
          <w:rFonts w:ascii="Times New Roman" w:eastAsia="Times New Roman" w:hAnsi="Times New Roman" w:cs="Times New Roman"/>
        </w:rPr>
        <w:t>Miguéns</w:t>
      </w:r>
      <w:proofErr w:type="spellEnd"/>
      <w:r w:rsidRPr="00404AC8">
        <w:rPr>
          <w:rFonts w:ascii="Times New Roman" w:eastAsia="Times New Roman" w:hAnsi="Times New Roman" w:cs="Times New Roman"/>
        </w:rPr>
        <w:t xml:space="preserve"> Blanco, Isabel Garcia-Perez, Benjamin H. Mullish, Julian </w:t>
      </w:r>
      <w:proofErr w:type="spellStart"/>
      <w:r w:rsidRPr="00404AC8">
        <w:rPr>
          <w:rFonts w:ascii="Times New Roman" w:eastAsia="Times New Roman" w:hAnsi="Times New Roman" w:cs="Times New Roman"/>
        </w:rPr>
        <w:t>Marchesi</w:t>
      </w:r>
      <w:proofErr w:type="spellEnd"/>
      <w:r w:rsidRPr="00404AC8">
        <w:rPr>
          <w:rFonts w:ascii="Times New Roman" w:eastAsia="Times New Roman" w:hAnsi="Times New Roman" w:cs="Times New Roman"/>
        </w:rPr>
        <w:t xml:space="preserve">, </w:t>
      </w:r>
      <w:proofErr w:type="spellStart"/>
      <w:r w:rsidRPr="00404AC8">
        <w:rPr>
          <w:rFonts w:ascii="Times New Roman" w:eastAsia="Times New Roman" w:hAnsi="Times New Roman" w:cs="Times New Roman"/>
        </w:rPr>
        <w:t>Huiping</w:t>
      </w:r>
      <w:proofErr w:type="spellEnd"/>
      <w:r w:rsidRPr="00404AC8">
        <w:rPr>
          <w:rFonts w:ascii="Times New Roman" w:eastAsia="Times New Roman" w:hAnsi="Times New Roman" w:cs="Times New Roman"/>
        </w:rPr>
        <w:t xml:space="preserve"> Xu, Dina H. Kao, Kathryn Todd Background and aims: Patients with recurrent Clostridioides difficile infection (RCDI) frequently report depressed moods. However, the mechanisms underlying this association remain poorly understood. Microbiota derived short chain fatty acids (SCFA) can cross the blood brain barrier and may play an important role in the gut-brain axis. The aim of this study is to recapitulate SCFA profiles in RCDI patients both pre- and post-</w:t>
      </w:r>
      <w:proofErr w:type="spellStart"/>
      <w:r w:rsidRPr="00404AC8">
        <w:rPr>
          <w:rFonts w:ascii="Times New Roman" w:eastAsia="Times New Roman" w:hAnsi="Times New Roman" w:cs="Times New Roman"/>
        </w:rPr>
        <w:t>fecal</w:t>
      </w:r>
      <w:proofErr w:type="spellEnd"/>
      <w:r w:rsidRPr="00404AC8">
        <w:rPr>
          <w:rFonts w:ascii="Times New Roman" w:eastAsia="Times New Roman" w:hAnsi="Times New Roman" w:cs="Times New Roman"/>
        </w:rPr>
        <w:t xml:space="preserve"> microbiota transplantation (FMT) to test the hypothesis that SCFA can modulate inflammatory function of microglia, providing a link between intestinal microbiota and acute mood changes. Methods: Using gas chromatography-mass spectrometry (GC MS), we quantified SCFA in serum samples of 38 patients who participated in the randomized trial comparing oral capsule- vs colonoscopy- delivered FMT on RCDI [NCT02254811; JAMA 2017; 318 (20):1985-1993]. We also compared quality of life measured by SF-36 between baseline and 4 weeks after treatment. We used SCFA mixtures based on profiles obtained from patient samples to </w:t>
      </w:r>
      <w:proofErr w:type="spellStart"/>
      <w:r w:rsidRPr="00404AC8">
        <w:rPr>
          <w:rFonts w:ascii="Times New Roman" w:eastAsia="Times New Roman" w:hAnsi="Times New Roman" w:cs="Times New Roman"/>
        </w:rPr>
        <w:t>pretreat</w:t>
      </w:r>
      <w:proofErr w:type="spellEnd"/>
      <w:r w:rsidRPr="00404AC8">
        <w:rPr>
          <w:rFonts w:ascii="Times New Roman" w:eastAsia="Times New Roman" w:hAnsi="Times New Roman" w:cs="Times New Roman"/>
        </w:rPr>
        <w:t xml:space="preserve"> primary microglia from rat brain prior to delivery of a proinflammatory stimulus, bacterial lipopolysaccharide or interferon-γ. We performed functional and molecular analyses to characterize the inflammatory state of microglia. The release of pro-inflammatory cytokines (e.g. </w:t>
      </w:r>
      <w:proofErr w:type="spellStart"/>
      <w:r w:rsidRPr="00404AC8">
        <w:rPr>
          <w:rFonts w:ascii="Times New Roman" w:eastAsia="Times New Roman" w:hAnsi="Times New Roman" w:cs="Times New Roman"/>
        </w:rPr>
        <w:t>tumor</w:t>
      </w:r>
      <w:proofErr w:type="spellEnd"/>
      <w:r w:rsidRPr="00404AC8">
        <w:rPr>
          <w:rFonts w:ascii="Times New Roman" w:eastAsia="Times New Roman" w:hAnsi="Times New Roman" w:cs="Times New Roman"/>
        </w:rPr>
        <w:t xml:space="preserve"> necrosis factor [TNF], interleukin [IL]-1β and IL6) and trophic factors (e.g. brain-derived growth factor, glia-derived growth factor, IL-10) were assessed by Enzyme Linked </w:t>
      </w:r>
      <w:proofErr w:type="spellStart"/>
      <w:r w:rsidRPr="00404AC8">
        <w:rPr>
          <w:rFonts w:ascii="Times New Roman" w:eastAsia="Times New Roman" w:hAnsi="Times New Roman" w:cs="Times New Roman"/>
        </w:rPr>
        <w:t>Immuno</w:t>
      </w:r>
      <w:proofErr w:type="spellEnd"/>
      <w:r w:rsidRPr="00404AC8">
        <w:rPr>
          <w:rFonts w:ascii="Times New Roman" w:eastAsia="Times New Roman" w:hAnsi="Times New Roman" w:cs="Times New Roman"/>
        </w:rPr>
        <w:t xml:space="preserve"> Sorbent Assay (ELISA), as well as nitric oxide (NO) release and phagocytosis to give an overall profile of microglial activity. Results: Successful treatment of RCDI with FMT was associated with a significant improvement in quality of life metrics on the SF-36 in both capsule and colonoscopy groups (Table 1). Serum profiles of SCFA showed significant changes in several species of SCFA after successful treatment of RCDI with FMT, notably increased butyrate (Figure 1), valerate and 2-methyl butyrate, while 2-hydroxy butyrate was significantly decreased post-FMT. Individual species of SCFA had variable effects on the inflammatory profile of primary cultured microglia, however, a post-treatment SCFA profile consisting of butyrate, valerate, and 2-methyl butyrate significantly reduced induced secretion of pro-inflammatory factors including IL-6, TNF, and NO. In contrast, species of SCFA associated with the pre-treatment profile did not significantly increase inflammatory release from cultured microglia. Conclusions: FMT treatment of RCDI was associated with a significant improvement in quality of life metrics and distinct alterations of serum SCFA profile. SCFA, especially butyrate, were capable of modulating microglial inflammation in an in vitro model consistent with a proposed contribution of microbiome-derived SCFA to gut-brain communication.</w:t>
      </w:r>
    </w:p>
    <w:p w:rsidR="00700F78" w:rsidRDefault="00404AC8"/>
    <w:p w:rsidR="00404AC8" w:rsidRDefault="00404AC8">
      <w:r w:rsidRPr="00404AC8">
        <w:lastRenderedPageBreak/>
        <w:drawing>
          <wp:inline distT="0" distB="0" distL="0" distR="0" wp14:anchorId="63C925F3" wp14:editId="41F77E6E">
            <wp:extent cx="3111500" cy="510183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b="20294"/>
                    <a:stretch/>
                  </pic:blipFill>
                  <pic:spPr bwMode="auto">
                    <a:xfrm>
                      <a:off x="0" y="0"/>
                      <a:ext cx="3111500" cy="510183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404AC8" w:rsidSect="001D40B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C8"/>
    <w:rsid w:val="00007252"/>
    <w:rsid w:val="001D40BE"/>
    <w:rsid w:val="003E7E16"/>
    <w:rsid w:val="00404AC8"/>
    <w:rsid w:val="007B1B24"/>
    <w:rsid w:val="00E56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D3EBA5"/>
  <w14:defaultImageDpi w14:val="32767"/>
  <w15:chartTrackingRefBased/>
  <w15:docId w15:val="{354A68A0-094A-8A47-9083-FEDB154C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4AC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4AC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79102">
      <w:bodyDiv w:val="1"/>
      <w:marLeft w:val="0"/>
      <w:marRight w:val="0"/>
      <w:marTop w:val="0"/>
      <w:marBottom w:val="0"/>
      <w:divBdr>
        <w:top w:val="none" w:sz="0" w:space="0" w:color="auto"/>
        <w:left w:val="none" w:sz="0" w:space="0" w:color="auto"/>
        <w:bottom w:val="none" w:sz="0" w:space="0" w:color="auto"/>
        <w:right w:val="none" w:sz="0" w:space="0" w:color="auto"/>
      </w:divBdr>
    </w:div>
    <w:div w:id="35515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2665</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Mullish</dc:creator>
  <cp:keywords/>
  <dc:description/>
  <cp:lastModifiedBy>Benjamin Mullish</cp:lastModifiedBy>
  <cp:revision>1</cp:revision>
  <dcterms:created xsi:type="dcterms:W3CDTF">2019-05-12T15:42:00Z</dcterms:created>
  <dcterms:modified xsi:type="dcterms:W3CDTF">2019-05-12T15:45:00Z</dcterms:modified>
</cp:coreProperties>
</file>