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F91" w:rsidRPr="00813F91" w:rsidRDefault="00813F91" w:rsidP="00813F91">
      <w:pPr>
        <w:autoSpaceDE w:val="0"/>
        <w:autoSpaceDN w:val="0"/>
        <w:adjustRightInd w:val="0"/>
        <w:rPr>
          <w:rFonts w:ascii="AdvOTc9c0ed35.B" w:hAnsi="AdvOTc9c0ed35.B" w:cs="AdvOTc9c0ed35.B"/>
          <w:b/>
          <w:color w:val="000000"/>
          <w:lang w:eastAsia="en-GB"/>
        </w:rPr>
      </w:pPr>
      <w:r w:rsidRPr="00813F91">
        <w:rPr>
          <w:rFonts w:ascii="AdvOTc9c0ed35.B" w:hAnsi="AdvOTc9c0ed35.B" w:cs="AdvOTc9c0ed35.B"/>
          <w:b/>
          <w:color w:val="000000"/>
          <w:lang w:eastAsia="en-GB"/>
        </w:rPr>
        <w:t>TIME TO DISCUSS PREVENTION STRATEGIES FOR</w:t>
      </w:r>
      <w:r>
        <w:rPr>
          <w:rFonts w:ascii="AdvOTc9c0ed35.B" w:hAnsi="AdvOTc9c0ed35.B" w:cs="AdvOTc9c0ed35.B"/>
          <w:b/>
          <w:color w:val="000000"/>
          <w:lang w:eastAsia="en-GB"/>
        </w:rPr>
        <w:t xml:space="preserve"> </w:t>
      </w:r>
      <w:bookmarkStart w:id="0" w:name="_GoBack"/>
      <w:bookmarkEnd w:id="0"/>
      <w:r w:rsidRPr="00813F91">
        <w:rPr>
          <w:rFonts w:ascii="AdvOTc9c0ed35.B" w:hAnsi="AdvOTc9c0ed35.B" w:cs="AdvOTc9c0ed35.B"/>
          <w:b/>
          <w:color w:val="000000"/>
          <w:lang w:eastAsia="en-GB"/>
        </w:rPr>
        <w:t>GROUP B STREPTOCOCCUS DISEASE</w:t>
      </w:r>
    </w:p>
    <w:p w:rsidR="00813F91" w:rsidRPr="00813F91" w:rsidRDefault="00813F91" w:rsidP="00813F91">
      <w:pPr>
        <w:autoSpaceDE w:val="0"/>
        <w:autoSpaceDN w:val="0"/>
        <w:adjustRightInd w:val="0"/>
        <w:rPr>
          <w:rFonts w:ascii="AdvOTc9c0ed35.B" w:hAnsi="AdvOTc9c0ed35.B" w:cs="AdvOTc9c0ed35.B"/>
          <w:b/>
          <w:color w:val="000000"/>
          <w:sz w:val="18"/>
          <w:szCs w:val="18"/>
          <w:lang w:eastAsia="en-GB"/>
        </w:rPr>
      </w:pPr>
    </w:p>
    <w:p w:rsidR="00813F91" w:rsidRPr="00813F91" w:rsidRDefault="00813F91" w:rsidP="00813F91">
      <w:pPr>
        <w:autoSpaceDE w:val="0"/>
        <w:autoSpaceDN w:val="0"/>
        <w:adjustRightInd w:val="0"/>
        <w:rPr>
          <w:rFonts w:ascii="AdvOTbe4cb9cb" w:hAnsi="AdvOTbe4cb9cb" w:cs="AdvOTbe4cb9cb"/>
          <w:color w:val="000000"/>
          <w:sz w:val="22"/>
          <w:szCs w:val="22"/>
          <w:lang w:eastAsia="en-GB"/>
        </w:rPr>
      </w:pPr>
      <w:r w:rsidRPr="00813F91">
        <w:rPr>
          <w:rFonts w:ascii="AdvOT0231c847" w:hAnsi="AdvOT0231c847" w:cs="AdvOT0231c847"/>
          <w:color w:val="000000"/>
          <w:sz w:val="22"/>
          <w:szCs w:val="22"/>
          <w:lang w:eastAsia="en-GB"/>
        </w:rPr>
        <w:t xml:space="preserve">S Salehian, </w:t>
      </w:r>
      <w:proofErr w:type="gramStart"/>
      <w:r w:rsidRPr="00813F91">
        <w:rPr>
          <w:rFonts w:ascii="AdvOT0231c847" w:hAnsi="AdvOT0231c847" w:cs="AdvOT0231c847"/>
          <w:color w:val="000000"/>
          <w:sz w:val="22"/>
          <w:szCs w:val="22"/>
          <w:lang w:eastAsia="en-GB"/>
        </w:rPr>
        <w:t>A</w:t>
      </w:r>
      <w:proofErr w:type="gramEnd"/>
      <w:r w:rsidRPr="00813F91">
        <w:rPr>
          <w:rFonts w:ascii="AdvOT0231c847" w:hAnsi="AdvOT0231c847" w:cs="AdvOT0231c847"/>
          <w:color w:val="000000"/>
          <w:sz w:val="22"/>
          <w:szCs w:val="22"/>
          <w:lang w:eastAsia="en-GB"/>
        </w:rPr>
        <w:t xml:space="preserve"> Rastogi, A Fraisse, O Ghez, M Burmester. </w:t>
      </w:r>
      <w:r w:rsidRPr="00813F91">
        <w:rPr>
          <w:rFonts w:ascii="AdvOTbe4cb9cb" w:hAnsi="AdvOTbe4cb9cb" w:cs="AdvOTbe4cb9cb"/>
          <w:color w:val="000000"/>
          <w:sz w:val="22"/>
          <w:szCs w:val="22"/>
          <w:lang w:eastAsia="en-GB"/>
        </w:rPr>
        <w:t>Paediatric Intensive Care Unit,</w:t>
      </w:r>
      <w:r>
        <w:rPr>
          <w:rFonts w:ascii="AdvOTbe4cb9cb" w:hAnsi="AdvOTbe4cb9cb" w:cs="AdvOTbe4cb9cb"/>
          <w:color w:val="000000"/>
          <w:sz w:val="22"/>
          <w:szCs w:val="22"/>
          <w:lang w:eastAsia="en-GB"/>
        </w:rPr>
        <w:t xml:space="preserve"> </w:t>
      </w:r>
      <w:proofErr w:type="gramStart"/>
      <w:r w:rsidRPr="00813F91">
        <w:rPr>
          <w:rFonts w:ascii="AdvOTbe4cb9cb" w:hAnsi="AdvOTbe4cb9cb" w:cs="AdvOTbe4cb9cb"/>
          <w:color w:val="000000"/>
          <w:sz w:val="22"/>
          <w:szCs w:val="22"/>
          <w:lang w:eastAsia="en-GB"/>
        </w:rPr>
        <w:t>The</w:t>
      </w:r>
      <w:proofErr w:type="gramEnd"/>
      <w:r w:rsidRPr="00813F91">
        <w:rPr>
          <w:rFonts w:ascii="AdvOTbe4cb9cb" w:hAnsi="AdvOTbe4cb9cb" w:cs="AdvOTbe4cb9cb"/>
          <w:color w:val="000000"/>
          <w:sz w:val="22"/>
          <w:szCs w:val="22"/>
          <w:lang w:eastAsia="en-GB"/>
        </w:rPr>
        <w:t xml:space="preserve"> Royal Brompton Hospital, London, UK</w:t>
      </w:r>
    </w:p>
    <w:p w:rsidR="00813F91" w:rsidRDefault="00813F91" w:rsidP="00813F91">
      <w:pPr>
        <w:autoSpaceDE w:val="0"/>
        <w:autoSpaceDN w:val="0"/>
        <w:adjustRightInd w:val="0"/>
        <w:rPr>
          <w:rFonts w:ascii="AdvTTd5f80974.B" w:hAnsi="AdvTTd5f80974.B" w:cs="AdvTTd5f80974.B"/>
          <w:color w:val="000000"/>
          <w:sz w:val="22"/>
          <w:szCs w:val="22"/>
          <w:lang w:eastAsia="en-GB"/>
        </w:rPr>
      </w:pPr>
    </w:p>
    <w:p w:rsidR="00813F91" w:rsidRPr="00813F91" w:rsidRDefault="00813F91" w:rsidP="00813F91">
      <w:pPr>
        <w:autoSpaceDE w:val="0"/>
        <w:autoSpaceDN w:val="0"/>
        <w:adjustRightInd w:val="0"/>
        <w:rPr>
          <w:rFonts w:ascii="AdvTTb20e5d60" w:hAnsi="AdvTTb20e5d60" w:cs="AdvTTb20e5d60"/>
          <w:color w:val="000000"/>
          <w:sz w:val="22"/>
          <w:szCs w:val="22"/>
          <w:lang w:eastAsia="en-GB"/>
        </w:rPr>
      </w:pPr>
      <w:r w:rsidRPr="00813F91">
        <w:rPr>
          <w:rFonts w:ascii="AdvTTd5f80974.B" w:hAnsi="AdvTTd5f80974.B" w:cs="AdvTTd5f80974.B"/>
          <w:b/>
          <w:color w:val="000000"/>
          <w:lang w:eastAsia="en-GB"/>
        </w:rPr>
        <w:t>Aims</w:t>
      </w:r>
      <w:r w:rsidRPr="00813F91">
        <w:rPr>
          <w:rFonts w:ascii="AdvTTd5f80974.B" w:hAnsi="AdvTTd5f80974.B" w:cs="AdvTTd5f80974.B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Group B Streptococcus (GBS) can cause neonatal septicaemia,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meningitis and rarely, infective endocarditis. Through this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case study, we aim to raise awareness of the devastating sequelae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of GBS disease and the importance of early recognition of</w:t>
      </w:r>
    </w:p>
    <w:p w:rsidR="00813F91" w:rsidRPr="00813F91" w:rsidRDefault="00813F91" w:rsidP="00813F91">
      <w:pPr>
        <w:autoSpaceDE w:val="0"/>
        <w:autoSpaceDN w:val="0"/>
        <w:adjustRightInd w:val="0"/>
        <w:rPr>
          <w:rFonts w:ascii="AdvTTb20e5d60" w:hAnsi="AdvTTb20e5d60" w:cs="AdvTTb20e5d60"/>
          <w:color w:val="000000"/>
          <w:sz w:val="22"/>
          <w:szCs w:val="22"/>
          <w:lang w:eastAsia="en-GB"/>
        </w:rPr>
      </w:pPr>
      <w:proofErr w:type="gramStart"/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complications</w:t>
      </w:r>
      <w:proofErr w:type="gramEnd"/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.</w:t>
      </w:r>
    </w:p>
    <w:p w:rsidR="00813F91" w:rsidRDefault="00813F91" w:rsidP="00813F91">
      <w:pPr>
        <w:autoSpaceDE w:val="0"/>
        <w:autoSpaceDN w:val="0"/>
        <w:adjustRightInd w:val="0"/>
        <w:rPr>
          <w:rFonts w:ascii="AdvTTb20e5d60" w:hAnsi="AdvTTb20e5d60" w:cs="AdvTTb20e5d60"/>
          <w:b/>
          <w:color w:val="000000"/>
          <w:sz w:val="22"/>
          <w:szCs w:val="22"/>
          <w:lang w:eastAsia="en-GB"/>
        </w:rPr>
      </w:pPr>
    </w:p>
    <w:p w:rsidR="00813F91" w:rsidRPr="00813F91" w:rsidRDefault="00813F91" w:rsidP="00813F91">
      <w:pPr>
        <w:autoSpaceDE w:val="0"/>
        <w:autoSpaceDN w:val="0"/>
        <w:adjustRightInd w:val="0"/>
        <w:rPr>
          <w:rFonts w:ascii="AdvTTb20e5d60" w:hAnsi="AdvTTb20e5d60" w:cs="AdvTTb20e5d60"/>
          <w:color w:val="000000"/>
          <w:sz w:val="22"/>
          <w:szCs w:val="22"/>
          <w:lang w:eastAsia="en-GB"/>
        </w:rPr>
      </w:pPr>
      <w:r w:rsidRPr="00813F91">
        <w:rPr>
          <w:rFonts w:ascii="AdvTTb20e5d60" w:hAnsi="AdvTTb20e5d60" w:cs="AdvTTb20e5d60"/>
          <w:b/>
          <w:color w:val="000000"/>
          <w:sz w:val="22"/>
          <w:szCs w:val="22"/>
          <w:lang w:eastAsia="en-GB"/>
        </w:rPr>
        <w:t>Case discussion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: A term infant born in good condition was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being managed by the community midwifery team for feeding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difficulties, failing to thrive and presented to A&amp;E twice with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lethargy and maternal concern. At two weeks of age he represented</w:t>
      </w:r>
    </w:p>
    <w:p w:rsidR="00813F91" w:rsidRPr="00813F91" w:rsidRDefault="00813F91" w:rsidP="00813F91">
      <w:pPr>
        <w:autoSpaceDE w:val="0"/>
        <w:autoSpaceDN w:val="0"/>
        <w:adjustRightInd w:val="0"/>
        <w:rPr>
          <w:rFonts w:ascii="AdvTTb20e5d60" w:hAnsi="AdvTTb20e5d60" w:cs="AdvTTb20e5d60"/>
          <w:color w:val="000000"/>
          <w:sz w:val="22"/>
          <w:szCs w:val="22"/>
          <w:lang w:eastAsia="en-GB"/>
        </w:rPr>
      </w:pPr>
      <w:proofErr w:type="gramStart"/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having</w:t>
      </w:r>
      <w:proofErr w:type="gramEnd"/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additionally developed fever and was admitted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and treated for GBS septicaemia and meningitis. He was discharged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after 5 days to ambulatory care for continuation of antibiotics.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10 days into treatment his mother became worried and</w:t>
      </w:r>
    </w:p>
    <w:p w:rsidR="00813F91" w:rsidRPr="00813F91" w:rsidRDefault="00813F91" w:rsidP="00813F91">
      <w:pPr>
        <w:autoSpaceDE w:val="0"/>
        <w:autoSpaceDN w:val="0"/>
        <w:adjustRightInd w:val="0"/>
        <w:rPr>
          <w:rFonts w:ascii="AdvTTb20e5d60" w:hAnsi="AdvTTb20e5d60" w:cs="AdvTTb20e5d60"/>
          <w:color w:val="000000"/>
          <w:sz w:val="22"/>
          <w:szCs w:val="22"/>
          <w:lang w:eastAsia="en-GB"/>
        </w:rPr>
      </w:pPr>
      <w:proofErr w:type="gramStart"/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he</w:t>
      </w:r>
      <w:proofErr w:type="gramEnd"/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presented to A&amp;E in cardiogenic shock with a heart murmur,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enlarged liver and rising lactate.</w:t>
      </w:r>
    </w:p>
    <w:p w:rsidR="00813F91" w:rsidRPr="00813F91" w:rsidRDefault="00813F91" w:rsidP="00813F91">
      <w:pPr>
        <w:autoSpaceDE w:val="0"/>
        <w:autoSpaceDN w:val="0"/>
        <w:adjustRightInd w:val="0"/>
        <w:rPr>
          <w:rFonts w:ascii="AdvTTb20e5d60" w:hAnsi="AdvTTb20e5d60" w:cs="AdvTTb20e5d60"/>
          <w:color w:val="000000"/>
          <w:sz w:val="22"/>
          <w:szCs w:val="22"/>
          <w:lang w:eastAsia="en-GB"/>
        </w:rPr>
      </w:pP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Once transferred to the Paediatric Intensive Care Unit, he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required ventilation and inotropic support for poor cardiac output,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and conservative medical treatment for necrotising </w:t>
      </w:r>
      <w:proofErr w:type="spellStart"/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enterocolitis</w:t>
      </w:r>
      <w:proofErr w:type="spellEnd"/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,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presumed secondary to embolic pathology. An</w:t>
      </w:r>
    </w:p>
    <w:p w:rsidR="00813F91" w:rsidRDefault="00813F91" w:rsidP="00813F91">
      <w:pPr>
        <w:autoSpaceDE w:val="0"/>
        <w:autoSpaceDN w:val="0"/>
        <w:adjustRightInd w:val="0"/>
        <w:rPr>
          <w:rFonts w:ascii="AdvTTb20e5d60" w:hAnsi="AdvTTb20e5d60" w:cs="AdvTTb20e5d60"/>
          <w:color w:val="000000"/>
          <w:sz w:val="22"/>
          <w:szCs w:val="22"/>
          <w:lang w:eastAsia="en-GB"/>
        </w:rPr>
      </w:pPr>
      <w:proofErr w:type="gramStart"/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echocardiogram</w:t>
      </w:r>
      <w:proofErr w:type="gramEnd"/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demonstrated two large, mobile masses attached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to the mitral valve leaflets with severe mitral regurgitation and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right ventricular dysfunction, consistent with infective endocarditis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in an otherwise struct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urally normal heart (Figure 1).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Surgical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repair of his valve was not possible and so a 17mm prosthetic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St Jude</w:t>
      </w:r>
      <w:r w:rsidRPr="00813F91">
        <w:rPr>
          <w:rFonts w:ascii="AdvTTb20e5d60+20" w:hAnsi="AdvTTb20e5d60+20" w:cs="AdvTTb20e5d60+20"/>
          <w:color w:val="000000"/>
          <w:sz w:val="22"/>
          <w:szCs w:val="22"/>
          <w:lang w:eastAsia="en-GB"/>
        </w:rPr>
        <w:t>’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s Valve was placed in the mitral position. Post</w:t>
      </w:r>
      <w:r w:rsidRPr="00813F91">
        <w:rPr>
          <w:rFonts w:ascii="AdvTTb20e5d60+20" w:hAnsi="AdvTTb20e5d60+20" w:cs="AdvTTb20e5d60+20"/>
          <w:color w:val="000000"/>
          <w:sz w:val="22"/>
          <w:szCs w:val="22"/>
          <w:lang w:eastAsia="en-GB"/>
        </w:rPr>
        <w:t>–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operatively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he developed a low cardiac output state, seizures, and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recurrent thrombus formation requiring valve replacement. He is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currently stable on full anticoagulation therapy.</w:t>
      </w:r>
    </w:p>
    <w:p w:rsidR="00813F91" w:rsidRDefault="00813F91" w:rsidP="00813F91">
      <w:pPr>
        <w:autoSpaceDE w:val="0"/>
        <w:autoSpaceDN w:val="0"/>
        <w:adjustRightInd w:val="0"/>
        <w:rPr>
          <w:rFonts w:ascii="AdvTTb20e5d60" w:hAnsi="AdvTTb20e5d60" w:cs="AdvTTb20e5d60"/>
          <w:color w:val="000000"/>
          <w:sz w:val="22"/>
          <w:szCs w:val="22"/>
          <w:lang w:eastAsia="en-GB"/>
        </w:rPr>
      </w:pPr>
    </w:p>
    <w:p w:rsidR="006D338A" w:rsidRPr="00813F91" w:rsidRDefault="00813F91" w:rsidP="00813F91">
      <w:pPr>
        <w:autoSpaceDE w:val="0"/>
        <w:autoSpaceDN w:val="0"/>
        <w:adjustRightInd w:val="0"/>
        <w:rPr>
          <w:rFonts w:ascii="AdvTTb20e5d60" w:hAnsi="AdvTTb20e5d60" w:cs="AdvTTb20e5d60"/>
          <w:color w:val="000000"/>
          <w:sz w:val="22"/>
          <w:szCs w:val="22"/>
          <w:lang w:eastAsia="en-GB"/>
        </w:rPr>
      </w:pPr>
      <w:r w:rsidRPr="00813F91">
        <w:rPr>
          <w:rFonts w:ascii="AdvTTd5f80974.B" w:hAnsi="AdvTTd5f80974.B" w:cs="AdvTTd5f80974.B"/>
          <w:b/>
          <w:color w:val="000000"/>
          <w:lang w:eastAsia="en-GB"/>
        </w:rPr>
        <w:t>Conclusio</w:t>
      </w:r>
      <w:r w:rsidRPr="00813F91">
        <w:rPr>
          <w:rFonts w:ascii="AdvTTd5f80974.B" w:hAnsi="AdvTTd5f80974.B" w:cs="AdvTTd5f80974.B"/>
          <w:color w:val="000000"/>
          <w:sz w:val="22"/>
          <w:szCs w:val="22"/>
          <w:lang w:eastAsia="en-GB"/>
        </w:rPr>
        <w:t xml:space="preserve">n </w:t>
      </w:r>
      <w:proofErr w:type="gramStart"/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Our</w:t>
      </w:r>
      <w:proofErr w:type="gramEnd"/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case highlights the aggressive nature of GBS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with potentially fatal complications requiring a high index of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suspicion, as only with early recognition and management of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endocarditis can morbidity and mortality be improved. We recommend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that repeated parental concern in the context of failing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to thrive, lethargy or fever should alert health professionals to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the possibility of sepsis.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Although Screening for GBS is not recommended by the UK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National Screening Committee nor the Royal College of Obstetricians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and Gynaecologists, it has a high profile in the United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States where the Centres for Disease Control and Prevention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recommends routine screening for all pregnant women, and we</w:t>
      </w:r>
      <w:r>
        <w:rPr>
          <w:rFonts w:ascii="AdvTTb20e5d60" w:hAnsi="AdvTTb20e5d60" w:cs="AdvTTb20e5d60"/>
          <w:color w:val="000000"/>
          <w:sz w:val="22"/>
          <w:szCs w:val="22"/>
          <w:lang w:eastAsia="en-GB"/>
        </w:rPr>
        <w:t xml:space="preserve"> </w:t>
      </w:r>
      <w:r w:rsidRPr="00813F91">
        <w:rPr>
          <w:rFonts w:ascii="AdvTTb20e5d60" w:hAnsi="AdvTTb20e5d60" w:cs="AdvTTb20e5d60"/>
          <w:color w:val="000000"/>
          <w:sz w:val="22"/>
          <w:szCs w:val="22"/>
          <w:lang w:eastAsia="en-GB"/>
        </w:rPr>
        <w:t>suggest this should be so in the UK.</w:t>
      </w:r>
    </w:p>
    <w:sectPr w:rsidR="006D338A" w:rsidRPr="00813F9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dvOTc9c0ed35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0231c84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be4cb9c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d5f80974.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b20e5d6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Tb20e5d60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F91"/>
    <w:rsid w:val="00133E86"/>
    <w:rsid w:val="002E0E30"/>
    <w:rsid w:val="0050128B"/>
    <w:rsid w:val="006D338A"/>
    <w:rsid w:val="00813F91"/>
    <w:rsid w:val="00911ED6"/>
    <w:rsid w:val="009A60BD"/>
    <w:rsid w:val="00B60BBB"/>
    <w:rsid w:val="00F7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RBHT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Burmester Margarita</dc:creator>
  <cp:lastModifiedBy>Burmester Margarita</cp:lastModifiedBy>
  <cp:revision>1</cp:revision>
  <dcterms:created xsi:type="dcterms:W3CDTF">2016-10-11T09:55:00Z</dcterms:created>
  <dcterms:modified xsi:type="dcterms:W3CDTF">2016-10-11T09:59:00Z</dcterms:modified>
</cp:coreProperties>
</file>