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94E" w:rsidRPr="00B63032" w:rsidRDefault="00791024" w:rsidP="00B63032">
      <w:pPr>
        <w:spacing w:after="0" w:line="360" w:lineRule="auto"/>
        <w:jc w:val="center"/>
        <w:rPr>
          <w:rFonts w:ascii="Arial" w:eastAsia="Verdana" w:hAnsi="Arial" w:cs="Arial"/>
          <w:b/>
          <w:sz w:val="24"/>
          <w:szCs w:val="24"/>
          <w:lang w:val="en-US"/>
        </w:rPr>
      </w:pPr>
      <w:r w:rsidRPr="00B63032">
        <w:rPr>
          <w:rFonts w:ascii="Arial" w:eastAsia="Verdana" w:hAnsi="Arial" w:cs="Arial"/>
          <w:b/>
          <w:sz w:val="24"/>
          <w:szCs w:val="24"/>
          <w:lang w:val="en-US"/>
        </w:rPr>
        <w:t>The A</w:t>
      </w:r>
      <w:r w:rsidR="0011197F" w:rsidRPr="00B63032">
        <w:rPr>
          <w:rFonts w:ascii="Arial" w:eastAsia="Verdana" w:hAnsi="Arial" w:cs="Arial"/>
          <w:b/>
          <w:sz w:val="24"/>
          <w:szCs w:val="24"/>
          <w:lang w:val="en-US"/>
        </w:rPr>
        <w:t xml:space="preserve">ssociation </w:t>
      </w:r>
      <w:r w:rsidR="008310AF" w:rsidRPr="00B63032">
        <w:rPr>
          <w:rFonts w:ascii="Arial" w:eastAsia="Verdana" w:hAnsi="Arial" w:cs="Arial"/>
          <w:b/>
          <w:sz w:val="24"/>
          <w:szCs w:val="24"/>
          <w:lang w:val="en-US"/>
        </w:rPr>
        <w:t>of Multiple Biomarkers of Iron Metabolism</w:t>
      </w:r>
      <w:r w:rsidR="0011197F" w:rsidRPr="00B63032">
        <w:rPr>
          <w:rFonts w:ascii="Arial" w:eastAsia="Verdana" w:hAnsi="Arial" w:cs="Arial"/>
          <w:b/>
          <w:sz w:val="24"/>
          <w:szCs w:val="24"/>
          <w:lang w:val="en-US"/>
        </w:rPr>
        <w:t xml:space="preserve"> and Type</w:t>
      </w:r>
      <w:r w:rsidR="00BE6051" w:rsidRPr="00B63032">
        <w:rPr>
          <w:rFonts w:ascii="Arial" w:eastAsia="Verdana" w:hAnsi="Arial" w:cs="Arial"/>
          <w:b/>
          <w:sz w:val="24"/>
          <w:szCs w:val="24"/>
          <w:lang w:val="en-US"/>
        </w:rPr>
        <w:t xml:space="preserve"> </w:t>
      </w:r>
      <w:r w:rsidRPr="00B63032">
        <w:rPr>
          <w:rFonts w:ascii="Arial" w:eastAsia="Verdana" w:hAnsi="Arial" w:cs="Arial"/>
          <w:b/>
          <w:sz w:val="24"/>
          <w:szCs w:val="24"/>
          <w:lang w:val="en-US"/>
        </w:rPr>
        <w:t>2 Diabetes</w:t>
      </w:r>
      <w:r w:rsidR="007F2A29" w:rsidRPr="00B63032">
        <w:rPr>
          <w:rFonts w:ascii="Arial" w:eastAsia="Verdana" w:hAnsi="Arial" w:cs="Arial"/>
          <w:b/>
          <w:sz w:val="24"/>
          <w:szCs w:val="24"/>
          <w:lang w:val="en-US"/>
        </w:rPr>
        <w:t xml:space="preserve"> - the EPIC-</w:t>
      </w:r>
      <w:proofErr w:type="spellStart"/>
      <w:r w:rsidR="007F2A29" w:rsidRPr="00B63032">
        <w:rPr>
          <w:rFonts w:ascii="Arial" w:eastAsia="Verdana" w:hAnsi="Arial" w:cs="Arial"/>
          <w:b/>
          <w:sz w:val="24"/>
          <w:szCs w:val="24"/>
          <w:lang w:val="en-US"/>
        </w:rPr>
        <w:t>InterAct</w:t>
      </w:r>
      <w:proofErr w:type="spellEnd"/>
      <w:r w:rsidR="007F2A29" w:rsidRPr="00B63032">
        <w:rPr>
          <w:rFonts w:ascii="Arial" w:eastAsia="Verdana" w:hAnsi="Arial" w:cs="Arial"/>
          <w:b/>
          <w:sz w:val="24"/>
          <w:szCs w:val="24"/>
          <w:lang w:val="en-US"/>
        </w:rPr>
        <w:t xml:space="preserve"> Study</w:t>
      </w:r>
    </w:p>
    <w:p w:rsidR="0071594B" w:rsidRDefault="0071594B" w:rsidP="00F328BE">
      <w:pPr>
        <w:spacing w:after="0" w:line="360" w:lineRule="auto"/>
        <w:jc w:val="both"/>
        <w:rPr>
          <w:rFonts w:ascii="Arial" w:eastAsia="Verdana" w:hAnsi="Arial" w:cs="Arial"/>
          <w:sz w:val="24"/>
          <w:szCs w:val="24"/>
          <w:lang w:val="en-US"/>
        </w:rPr>
      </w:pPr>
    </w:p>
    <w:p w:rsidR="00D81CC1" w:rsidRPr="0018334E" w:rsidRDefault="00D81CC1" w:rsidP="00F328BE">
      <w:pPr>
        <w:spacing w:after="0" w:line="360" w:lineRule="auto"/>
        <w:jc w:val="both"/>
        <w:rPr>
          <w:rFonts w:ascii="Arial" w:eastAsia="Verdana" w:hAnsi="Arial" w:cs="Arial"/>
          <w:sz w:val="24"/>
          <w:szCs w:val="24"/>
          <w:lang w:val="en-US"/>
        </w:rPr>
      </w:pPr>
    </w:p>
    <w:p w:rsidR="0071594B" w:rsidRPr="0018334E" w:rsidRDefault="0018334E" w:rsidP="00F328BE">
      <w:pPr>
        <w:spacing w:after="0" w:line="360" w:lineRule="auto"/>
        <w:jc w:val="both"/>
        <w:rPr>
          <w:rFonts w:ascii="Arial" w:eastAsia="Verdana" w:hAnsi="Arial" w:cs="Arial"/>
          <w:sz w:val="24"/>
          <w:szCs w:val="24"/>
          <w:lang w:val="en-US"/>
        </w:rPr>
      </w:pPr>
      <w:r w:rsidRPr="0018334E">
        <w:rPr>
          <w:rFonts w:ascii="Arial" w:eastAsia="Verdana" w:hAnsi="Arial" w:cs="Arial"/>
          <w:sz w:val="24"/>
          <w:szCs w:val="24"/>
          <w:lang w:val="en-US"/>
        </w:rPr>
        <w:t>Short running title</w:t>
      </w:r>
      <w:r w:rsidR="0071594B" w:rsidRPr="0018334E">
        <w:rPr>
          <w:rFonts w:ascii="Arial" w:eastAsia="Verdana" w:hAnsi="Arial" w:cs="Arial"/>
          <w:sz w:val="24"/>
          <w:szCs w:val="24"/>
          <w:lang w:val="en-US"/>
        </w:rPr>
        <w:t xml:space="preserve">: </w:t>
      </w:r>
      <w:r w:rsidR="00FA37C4" w:rsidRPr="0018334E">
        <w:rPr>
          <w:rFonts w:ascii="Arial" w:eastAsia="Verdana" w:hAnsi="Arial" w:cs="Arial"/>
          <w:sz w:val="24"/>
          <w:szCs w:val="24"/>
          <w:lang w:val="en-US"/>
        </w:rPr>
        <w:t xml:space="preserve">Iron Metabolism and </w:t>
      </w:r>
      <w:r w:rsidR="0071594B" w:rsidRPr="0018334E">
        <w:rPr>
          <w:rFonts w:ascii="Arial" w:eastAsia="Verdana" w:hAnsi="Arial" w:cs="Arial"/>
          <w:sz w:val="24"/>
          <w:szCs w:val="24"/>
          <w:lang w:val="en-US"/>
        </w:rPr>
        <w:t>Type 2 Diabetes</w:t>
      </w:r>
      <w:r w:rsidR="00FA37C4" w:rsidRPr="0018334E">
        <w:rPr>
          <w:rFonts w:ascii="Arial" w:eastAsia="Verdana" w:hAnsi="Arial" w:cs="Arial"/>
          <w:sz w:val="24"/>
          <w:szCs w:val="24"/>
          <w:lang w:val="en-US"/>
        </w:rPr>
        <w:t xml:space="preserve"> Incidence</w:t>
      </w:r>
    </w:p>
    <w:p w:rsidR="0071594B" w:rsidRPr="0018334E" w:rsidRDefault="0071594B" w:rsidP="00F328BE">
      <w:pPr>
        <w:spacing w:after="0" w:line="360" w:lineRule="auto"/>
        <w:jc w:val="both"/>
        <w:rPr>
          <w:rFonts w:ascii="Arial" w:eastAsia="Verdana" w:hAnsi="Arial" w:cs="Arial"/>
          <w:sz w:val="24"/>
          <w:szCs w:val="24"/>
          <w:lang w:val="en-US"/>
        </w:rPr>
      </w:pPr>
    </w:p>
    <w:p w:rsidR="00E460EA" w:rsidRPr="00D81CC1" w:rsidRDefault="00E460EA" w:rsidP="00F328BE">
      <w:pPr>
        <w:spacing w:after="0" w:line="360" w:lineRule="auto"/>
        <w:jc w:val="both"/>
        <w:rPr>
          <w:rFonts w:ascii="Arial" w:eastAsia="Verdana" w:hAnsi="Arial" w:cs="Arial"/>
          <w:sz w:val="24"/>
          <w:szCs w:val="24"/>
          <w:lang w:val="en-US"/>
        </w:rPr>
      </w:pPr>
      <w:r w:rsidRPr="00D81CC1">
        <w:rPr>
          <w:rFonts w:ascii="Arial" w:eastAsia="Verdana" w:hAnsi="Arial" w:cs="Arial"/>
          <w:sz w:val="24"/>
          <w:szCs w:val="24"/>
          <w:lang w:val="en-US"/>
        </w:rPr>
        <w:t xml:space="preserve">Clara Podmore MD, MPhil(1), Karina </w:t>
      </w:r>
      <w:proofErr w:type="spellStart"/>
      <w:r w:rsidRPr="00D81CC1">
        <w:rPr>
          <w:rFonts w:ascii="Arial" w:eastAsia="Verdana" w:hAnsi="Arial" w:cs="Arial"/>
          <w:sz w:val="24"/>
          <w:szCs w:val="24"/>
          <w:lang w:val="en-US"/>
        </w:rPr>
        <w:t>Meidtner</w:t>
      </w:r>
      <w:proofErr w:type="spellEnd"/>
      <w:r w:rsidRPr="00D81CC1">
        <w:rPr>
          <w:rFonts w:ascii="Arial" w:eastAsia="Verdana" w:hAnsi="Arial" w:cs="Arial"/>
          <w:sz w:val="24"/>
          <w:szCs w:val="24"/>
          <w:lang w:val="en-US"/>
        </w:rPr>
        <w:t xml:space="preserve"> PhD(2), Matthias B Schulze </w:t>
      </w:r>
      <w:proofErr w:type="spellStart"/>
      <w:r w:rsidRPr="00D81CC1">
        <w:rPr>
          <w:rFonts w:ascii="Arial" w:eastAsia="Verdana" w:hAnsi="Arial" w:cs="Arial"/>
          <w:sz w:val="24"/>
          <w:szCs w:val="24"/>
          <w:lang w:val="en-US"/>
        </w:rPr>
        <w:t>DrPH</w:t>
      </w:r>
      <w:proofErr w:type="spellEnd"/>
      <w:r w:rsidRPr="00D81CC1">
        <w:rPr>
          <w:rFonts w:ascii="Arial" w:eastAsia="Verdana" w:hAnsi="Arial" w:cs="Arial"/>
          <w:sz w:val="24"/>
          <w:szCs w:val="24"/>
          <w:lang w:val="en-US"/>
        </w:rPr>
        <w:t xml:space="preserve">(2), Robert A Scott PhD(1), Anna Ramond </w:t>
      </w:r>
      <w:proofErr w:type="spellStart"/>
      <w:r w:rsidRPr="00D81CC1">
        <w:rPr>
          <w:rFonts w:ascii="Arial" w:eastAsia="Verdana" w:hAnsi="Arial" w:cs="Arial"/>
          <w:sz w:val="24"/>
          <w:szCs w:val="24"/>
          <w:lang w:val="en-US"/>
        </w:rPr>
        <w:t>PharmD</w:t>
      </w:r>
      <w:proofErr w:type="spellEnd"/>
      <w:r w:rsidRPr="00D81CC1">
        <w:rPr>
          <w:rFonts w:ascii="Arial" w:eastAsia="Verdana" w:hAnsi="Arial" w:cs="Arial"/>
          <w:sz w:val="24"/>
          <w:szCs w:val="24"/>
          <w:lang w:val="en-US"/>
        </w:rPr>
        <w:t xml:space="preserve">, MSc(3), Adam S Butterworth PhD(3), Emanuele Di </w:t>
      </w:r>
      <w:proofErr w:type="spellStart"/>
      <w:r w:rsidRPr="00D81CC1">
        <w:rPr>
          <w:rFonts w:ascii="Arial" w:eastAsia="Verdana" w:hAnsi="Arial" w:cs="Arial"/>
          <w:sz w:val="24"/>
          <w:szCs w:val="24"/>
          <w:lang w:val="en-US"/>
        </w:rPr>
        <w:t>Angelantonio</w:t>
      </w:r>
      <w:proofErr w:type="spellEnd"/>
      <w:r w:rsidRPr="00D81CC1">
        <w:rPr>
          <w:rFonts w:ascii="Arial" w:eastAsia="Verdana" w:hAnsi="Arial" w:cs="Arial"/>
          <w:sz w:val="24"/>
          <w:szCs w:val="24"/>
          <w:lang w:val="en-US"/>
        </w:rPr>
        <w:t xml:space="preserve"> MD, PhD(3), John Danesh DPhil, FRCP(3), </w:t>
      </w:r>
      <w:proofErr w:type="spellStart"/>
      <w:r w:rsidRPr="00D81CC1">
        <w:rPr>
          <w:rFonts w:ascii="Arial" w:eastAsia="Verdana" w:hAnsi="Arial" w:cs="Arial"/>
          <w:sz w:val="24"/>
          <w:szCs w:val="24"/>
          <w:lang w:val="en-US"/>
        </w:rPr>
        <w:t>Larraitz</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Arriola</w:t>
      </w:r>
      <w:proofErr w:type="spellEnd"/>
      <w:r w:rsidRPr="00D81CC1">
        <w:rPr>
          <w:rFonts w:ascii="Arial" w:eastAsia="Verdana" w:hAnsi="Arial" w:cs="Arial"/>
          <w:sz w:val="24"/>
          <w:szCs w:val="24"/>
          <w:lang w:val="en-US"/>
        </w:rPr>
        <w:t xml:space="preserve"> MD, MSc(4,5,6), Aurelio Barricarte PhD(7,6), Heiner Boeing PhD(8), Françoise </w:t>
      </w:r>
      <w:proofErr w:type="spellStart"/>
      <w:r w:rsidRPr="00D81CC1">
        <w:rPr>
          <w:rFonts w:ascii="Arial" w:eastAsia="Verdana" w:hAnsi="Arial" w:cs="Arial"/>
          <w:sz w:val="24"/>
          <w:szCs w:val="24"/>
          <w:lang w:val="en-US"/>
        </w:rPr>
        <w:t>Clavel-Chapelon</w:t>
      </w:r>
      <w:proofErr w:type="spellEnd"/>
      <w:r w:rsidRPr="00D81CC1">
        <w:rPr>
          <w:rFonts w:ascii="Arial" w:eastAsia="Verdana" w:hAnsi="Arial" w:cs="Arial"/>
          <w:sz w:val="24"/>
          <w:szCs w:val="24"/>
          <w:lang w:val="en-US"/>
        </w:rPr>
        <w:t xml:space="preserve"> PhD(9,10), Amanda J Cross PhD(11), Christina C Dahm PhD(12), Guy </w:t>
      </w:r>
      <w:proofErr w:type="spellStart"/>
      <w:r w:rsidRPr="00D81CC1">
        <w:rPr>
          <w:rFonts w:ascii="Arial" w:eastAsia="Verdana" w:hAnsi="Arial" w:cs="Arial"/>
          <w:sz w:val="24"/>
          <w:szCs w:val="24"/>
          <w:lang w:val="en-US"/>
        </w:rPr>
        <w:t>Fagherazzi</w:t>
      </w:r>
      <w:proofErr w:type="spellEnd"/>
      <w:r w:rsidRPr="00D81CC1">
        <w:rPr>
          <w:rFonts w:ascii="Arial" w:eastAsia="Verdana" w:hAnsi="Arial" w:cs="Arial"/>
          <w:sz w:val="24"/>
          <w:szCs w:val="24"/>
          <w:lang w:val="en-US"/>
        </w:rPr>
        <w:t xml:space="preserve"> PhD(9,10), Paul W Franks PhD(13,14), Diana </w:t>
      </w:r>
      <w:proofErr w:type="spellStart"/>
      <w:r w:rsidRPr="00D81CC1">
        <w:rPr>
          <w:rFonts w:ascii="Arial" w:eastAsia="Verdana" w:hAnsi="Arial" w:cs="Arial"/>
          <w:sz w:val="24"/>
          <w:szCs w:val="24"/>
          <w:lang w:val="en-US"/>
        </w:rPr>
        <w:t>Gavrila</w:t>
      </w:r>
      <w:proofErr w:type="spellEnd"/>
      <w:r w:rsidRPr="00D81CC1">
        <w:rPr>
          <w:rFonts w:ascii="Arial" w:eastAsia="Verdana" w:hAnsi="Arial" w:cs="Arial"/>
          <w:sz w:val="24"/>
          <w:szCs w:val="24"/>
          <w:lang w:val="en-US"/>
        </w:rPr>
        <w:t xml:space="preserve"> MD MPH(15,6), Sara </w:t>
      </w:r>
      <w:proofErr w:type="spellStart"/>
      <w:r w:rsidRPr="00D81CC1">
        <w:rPr>
          <w:rFonts w:ascii="Arial" w:eastAsia="Verdana" w:hAnsi="Arial" w:cs="Arial"/>
          <w:sz w:val="24"/>
          <w:szCs w:val="24"/>
          <w:lang w:val="en-US"/>
        </w:rPr>
        <w:t>Grioni</w:t>
      </w:r>
      <w:proofErr w:type="spellEnd"/>
      <w:r w:rsidRPr="00D81CC1">
        <w:rPr>
          <w:rFonts w:ascii="Arial" w:eastAsia="Verdana" w:hAnsi="Arial" w:cs="Arial"/>
          <w:sz w:val="24"/>
          <w:szCs w:val="24"/>
          <w:lang w:val="en-US"/>
        </w:rPr>
        <w:t xml:space="preserve"> BSc(16), Marc J Gunter PhD(11), </w:t>
      </w:r>
      <w:proofErr w:type="spellStart"/>
      <w:r w:rsidRPr="00D81CC1">
        <w:rPr>
          <w:rFonts w:ascii="Arial" w:eastAsia="Verdana" w:hAnsi="Arial" w:cs="Arial"/>
          <w:sz w:val="24"/>
          <w:szCs w:val="24"/>
          <w:lang w:val="en-US"/>
        </w:rPr>
        <w:t>Gaelle</w:t>
      </w:r>
      <w:proofErr w:type="spellEnd"/>
      <w:r w:rsidRPr="00D81CC1">
        <w:rPr>
          <w:rFonts w:ascii="Arial" w:eastAsia="Verdana" w:hAnsi="Arial" w:cs="Arial"/>
          <w:sz w:val="24"/>
          <w:szCs w:val="24"/>
          <w:lang w:val="en-US"/>
        </w:rPr>
        <w:t xml:space="preserve"> Gusto PhD(9,10), Paula Jakszyn MPH, PhD(17), Verena </w:t>
      </w:r>
      <w:proofErr w:type="spellStart"/>
      <w:r w:rsidRPr="00D81CC1">
        <w:rPr>
          <w:rFonts w:ascii="Arial" w:eastAsia="Verdana" w:hAnsi="Arial" w:cs="Arial"/>
          <w:sz w:val="24"/>
          <w:szCs w:val="24"/>
          <w:lang w:val="en-US"/>
        </w:rPr>
        <w:t>Katzke</w:t>
      </w:r>
      <w:proofErr w:type="spellEnd"/>
      <w:r w:rsidRPr="00D81CC1">
        <w:rPr>
          <w:rFonts w:ascii="Arial" w:eastAsia="Verdana" w:hAnsi="Arial" w:cs="Arial"/>
          <w:sz w:val="24"/>
          <w:szCs w:val="24"/>
          <w:lang w:val="en-US"/>
        </w:rPr>
        <w:t xml:space="preserve"> PhD(18), Timothy J Key DPhil(19), Tilman Kühn PhD(20), Amalia </w:t>
      </w:r>
      <w:proofErr w:type="spellStart"/>
      <w:r w:rsidRPr="00D81CC1">
        <w:rPr>
          <w:rFonts w:ascii="Arial" w:eastAsia="Verdana" w:hAnsi="Arial" w:cs="Arial"/>
          <w:sz w:val="24"/>
          <w:szCs w:val="24"/>
          <w:lang w:val="en-US"/>
        </w:rPr>
        <w:t>Mattiello</w:t>
      </w:r>
      <w:proofErr w:type="spellEnd"/>
      <w:r w:rsidRPr="00D81CC1">
        <w:rPr>
          <w:rFonts w:ascii="Arial" w:eastAsia="Verdana" w:hAnsi="Arial" w:cs="Arial"/>
          <w:sz w:val="24"/>
          <w:szCs w:val="24"/>
          <w:lang w:val="en-US"/>
        </w:rPr>
        <w:t xml:space="preserve"> MD(21), Peter M Nilsson PhD(13), Anja Olsen MSc, PhD(22), Kim Overvad PhD(12,23), Domenico </w:t>
      </w:r>
      <w:proofErr w:type="spellStart"/>
      <w:r w:rsidRPr="00D81CC1">
        <w:rPr>
          <w:rFonts w:ascii="Arial" w:eastAsia="Verdana" w:hAnsi="Arial" w:cs="Arial"/>
          <w:sz w:val="24"/>
          <w:szCs w:val="24"/>
          <w:lang w:val="en-US"/>
        </w:rPr>
        <w:t>Palli</w:t>
      </w:r>
      <w:proofErr w:type="spellEnd"/>
      <w:r w:rsidRPr="00D81CC1">
        <w:rPr>
          <w:rFonts w:ascii="Arial" w:eastAsia="Verdana" w:hAnsi="Arial" w:cs="Arial"/>
          <w:sz w:val="24"/>
          <w:szCs w:val="24"/>
          <w:lang w:val="en-US"/>
        </w:rPr>
        <w:t xml:space="preserve"> MD(24), J. Ramón </w:t>
      </w:r>
      <w:proofErr w:type="spellStart"/>
      <w:r w:rsidRPr="00D81CC1">
        <w:rPr>
          <w:rFonts w:ascii="Arial" w:eastAsia="Verdana" w:hAnsi="Arial" w:cs="Arial"/>
          <w:sz w:val="24"/>
          <w:szCs w:val="24"/>
          <w:lang w:val="en-US"/>
        </w:rPr>
        <w:t>Quirós</w:t>
      </w:r>
      <w:proofErr w:type="spellEnd"/>
      <w:r w:rsidRPr="00D81CC1">
        <w:rPr>
          <w:rFonts w:ascii="Arial" w:eastAsia="Verdana" w:hAnsi="Arial" w:cs="Arial"/>
          <w:sz w:val="24"/>
          <w:szCs w:val="24"/>
          <w:lang w:val="en-US"/>
        </w:rPr>
        <w:t xml:space="preserve"> MD(25), </w:t>
      </w:r>
      <w:proofErr w:type="spellStart"/>
      <w:r w:rsidRPr="00D81CC1">
        <w:rPr>
          <w:rFonts w:ascii="Arial" w:eastAsia="Verdana" w:hAnsi="Arial" w:cs="Arial"/>
          <w:sz w:val="24"/>
          <w:szCs w:val="24"/>
          <w:lang w:val="en-US"/>
        </w:rPr>
        <w:t>Olov</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Rolandsson</w:t>
      </w:r>
      <w:proofErr w:type="spellEnd"/>
      <w:r w:rsidRPr="00D81CC1">
        <w:rPr>
          <w:rFonts w:ascii="Arial" w:eastAsia="Verdana" w:hAnsi="Arial" w:cs="Arial"/>
          <w:sz w:val="24"/>
          <w:szCs w:val="24"/>
          <w:lang w:val="en-US"/>
        </w:rPr>
        <w:t xml:space="preserve"> MD, PhD(26), Carlotta </w:t>
      </w:r>
      <w:proofErr w:type="spellStart"/>
      <w:r w:rsidRPr="00D81CC1">
        <w:rPr>
          <w:rFonts w:ascii="Arial" w:eastAsia="Verdana" w:hAnsi="Arial" w:cs="Arial"/>
          <w:sz w:val="24"/>
          <w:szCs w:val="24"/>
          <w:lang w:val="en-US"/>
        </w:rPr>
        <w:t>Sacerdote</w:t>
      </w:r>
      <w:proofErr w:type="spellEnd"/>
      <w:r w:rsidRPr="00D81CC1">
        <w:rPr>
          <w:rFonts w:ascii="Arial" w:eastAsia="Verdana" w:hAnsi="Arial" w:cs="Arial"/>
          <w:sz w:val="24"/>
          <w:szCs w:val="24"/>
          <w:lang w:val="en-US"/>
        </w:rPr>
        <w:t xml:space="preserve"> PhD(27,28), Emilio Sánchez-</w:t>
      </w:r>
      <w:proofErr w:type="spellStart"/>
      <w:r w:rsidRPr="00D81CC1">
        <w:rPr>
          <w:rFonts w:ascii="Arial" w:eastAsia="Verdana" w:hAnsi="Arial" w:cs="Arial"/>
          <w:sz w:val="24"/>
          <w:szCs w:val="24"/>
          <w:lang w:val="en-US"/>
        </w:rPr>
        <w:t>Cantalejo</w:t>
      </w:r>
      <w:proofErr w:type="spellEnd"/>
      <w:r w:rsidRPr="00D81CC1">
        <w:rPr>
          <w:rFonts w:ascii="Arial" w:eastAsia="Verdana" w:hAnsi="Arial" w:cs="Arial"/>
          <w:sz w:val="24"/>
          <w:szCs w:val="24"/>
          <w:lang w:val="en-US"/>
        </w:rPr>
        <w:t xml:space="preserve"> MD, PhD(29,6), Nadia </w:t>
      </w:r>
      <w:proofErr w:type="spellStart"/>
      <w:r w:rsidRPr="00D81CC1">
        <w:rPr>
          <w:rFonts w:ascii="Arial" w:eastAsia="Verdana" w:hAnsi="Arial" w:cs="Arial"/>
          <w:sz w:val="24"/>
          <w:szCs w:val="24"/>
          <w:lang w:val="en-US"/>
        </w:rPr>
        <w:t>Slimani</w:t>
      </w:r>
      <w:proofErr w:type="spellEnd"/>
      <w:r w:rsidRPr="00D81CC1">
        <w:rPr>
          <w:rFonts w:ascii="Arial" w:eastAsia="Verdana" w:hAnsi="Arial" w:cs="Arial"/>
          <w:sz w:val="24"/>
          <w:szCs w:val="24"/>
          <w:lang w:val="en-US"/>
        </w:rPr>
        <w:t xml:space="preserve"> PhD(30), </w:t>
      </w:r>
      <w:proofErr w:type="spellStart"/>
      <w:r w:rsidRPr="00D81CC1">
        <w:rPr>
          <w:rFonts w:ascii="Arial" w:eastAsia="Verdana" w:hAnsi="Arial" w:cs="Arial"/>
          <w:sz w:val="24"/>
          <w:szCs w:val="24"/>
          <w:lang w:val="en-US"/>
        </w:rPr>
        <w:t>Ivonne</w:t>
      </w:r>
      <w:proofErr w:type="spellEnd"/>
      <w:r w:rsidRPr="00D81CC1">
        <w:rPr>
          <w:rFonts w:ascii="Arial" w:eastAsia="Verdana" w:hAnsi="Arial" w:cs="Arial"/>
          <w:sz w:val="24"/>
          <w:szCs w:val="24"/>
          <w:lang w:val="en-US"/>
        </w:rPr>
        <w:t xml:space="preserve"> Sluijs PhD(31), </w:t>
      </w:r>
      <w:proofErr w:type="spellStart"/>
      <w:r w:rsidRPr="00D81CC1">
        <w:rPr>
          <w:rFonts w:ascii="Arial" w:eastAsia="Verdana" w:hAnsi="Arial" w:cs="Arial"/>
          <w:sz w:val="24"/>
          <w:szCs w:val="24"/>
          <w:lang w:val="en-US"/>
        </w:rPr>
        <w:t>Annemieke</w:t>
      </w:r>
      <w:proofErr w:type="spellEnd"/>
      <w:r w:rsidRPr="00D81CC1">
        <w:rPr>
          <w:rFonts w:ascii="Arial" w:eastAsia="Verdana" w:hAnsi="Arial" w:cs="Arial"/>
          <w:sz w:val="24"/>
          <w:szCs w:val="24"/>
          <w:lang w:val="en-US"/>
        </w:rPr>
        <w:t xml:space="preserve"> MW </w:t>
      </w:r>
      <w:proofErr w:type="spellStart"/>
      <w:r w:rsidRPr="00D81CC1">
        <w:rPr>
          <w:rFonts w:ascii="Arial" w:eastAsia="Verdana" w:hAnsi="Arial" w:cs="Arial"/>
          <w:sz w:val="24"/>
          <w:szCs w:val="24"/>
          <w:lang w:val="en-US"/>
        </w:rPr>
        <w:t>Spijkerman</w:t>
      </w:r>
      <w:proofErr w:type="spellEnd"/>
      <w:r w:rsidRPr="00D81CC1">
        <w:rPr>
          <w:rFonts w:ascii="Arial" w:eastAsia="Verdana" w:hAnsi="Arial" w:cs="Arial"/>
          <w:sz w:val="24"/>
          <w:szCs w:val="24"/>
          <w:lang w:val="en-US"/>
        </w:rPr>
        <w:t xml:space="preserve"> PhD(32), Anne </w:t>
      </w:r>
      <w:proofErr w:type="spellStart"/>
      <w:r w:rsidRPr="00D81CC1">
        <w:rPr>
          <w:rFonts w:ascii="Arial" w:eastAsia="Verdana" w:hAnsi="Arial" w:cs="Arial"/>
          <w:sz w:val="24"/>
          <w:szCs w:val="24"/>
          <w:lang w:val="en-US"/>
        </w:rPr>
        <w:t>Tjonneland</w:t>
      </w:r>
      <w:proofErr w:type="spellEnd"/>
      <w:r w:rsidRPr="00D81CC1">
        <w:rPr>
          <w:rFonts w:ascii="Arial" w:eastAsia="Verdana" w:hAnsi="Arial" w:cs="Arial"/>
          <w:sz w:val="24"/>
          <w:szCs w:val="24"/>
          <w:lang w:val="en-US"/>
        </w:rPr>
        <w:t xml:space="preserve"> Dr. Med. </w:t>
      </w:r>
      <w:proofErr w:type="spellStart"/>
      <w:r w:rsidRPr="00D81CC1">
        <w:rPr>
          <w:rFonts w:ascii="Arial" w:eastAsia="Verdana" w:hAnsi="Arial" w:cs="Arial"/>
          <w:sz w:val="24"/>
          <w:szCs w:val="24"/>
          <w:lang w:val="en-US"/>
        </w:rPr>
        <w:t>Sci</w:t>
      </w:r>
      <w:proofErr w:type="spellEnd"/>
      <w:r w:rsidRPr="00D81CC1">
        <w:rPr>
          <w:rFonts w:ascii="Arial" w:eastAsia="Verdana" w:hAnsi="Arial" w:cs="Arial"/>
          <w:sz w:val="24"/>
          <w:szCs w:val="24"/>
          <w:lang w:val="en-US"/>
        </w:rPr>
        <w:t xml:space="preserve">(22), Rosario </w:t>
      </w:r>
      <w:proofErr w:type="spellStart"/>
      <w:r w:rsidRPr="00D81CC1">
        <w:rPr>
          <w:rFonts w:ascii="Arial" w:eastAsia="Verdana" w:hAnsi="Arial" w:cs="Arial"/>
          <w:sz w:val="24"/>
          <w:szCs w:val="24"/>
          <w:lang w:val="en-US"/>
        </w:rPr>
        <w:t>Tumino</w:t>
      </w:r>
      <w:proofErr w:type="spellEnd"/>
      <w:r w:rsidRPr="00D81CC1">
        <w:rPr>
          <w:rFonts w:ascii="Arial" w:eastAsia="Verdana" w:hAnsi="Arial" w:cs="Arial"/>
          <w:sz w:val="24"/>
          <w:szCs w:val="24"/>
          <w:lang w:val="en-US"/>
        </w:rPr>
        <w:t xml:space="preserve"> MD, MSc, DLSHTM(33,34), Daphne L van der A PhD(32), Yvonne T van der Schouw PhD(31), </w:t>
      </w:r>
      <w:r w:rsidR="000825D3" w:rsidRPr="00D81CC1">
        <w:rPr>
          <w:rFonts w:ascii="Arial" w:eastAsia="Verdana" w:hAnsi="Arial" w:cs="Arial"/>
          <w:sz w:val="24"/>
          <w:szCs w:val="24"/>
          <w:lang w:val="en-US"/>
        </w:rPr>
        <w:t>Edith</w:t>
      </w:r>
      <w:r w:rsidRPr="00D81CC1">
        <w:rPr>
          <w:rFonts w:ascii="Arial" w:eastAsia="Verdana" w:hAnsi="Arial" w:cs="Arial"/>
          <w:sz w:val="24"/>
          <w:szCs w:val="24"/>
          <w:lang w:val="en-US"/>
        </w:rPr>
        <w:t xml:space="preserve"> JM </w:t>
      </w:r>
      <w:proofErr w:type="spellStart"/>
      <w:r w:rsidRPr="00D81CC1">
        <w:rPr>
          <w:rFonts w:ascii="Arial" w:eastAsia="Verdana" w:hAnsi="Arial" w:cs="Arial"/>
          <w:sz w:val="24"/>
          <w:szCs w:val="24"/>
          <w:lang w:val="en-US"/>
        </w:rPr>
        <w:t>Feskens</w:t>
      </w:r>
      <w:proofErr w:type="spellEnd"/>
      <w:r w:rsidRPr="00D81CC1">
        <w:rPr>
          <w:rFonts w:ascii="Arial" w:eastAsia="Verdana" w:hAnsi="Arial" w:cs="Arial"/>
          <w:sz w:val="24"/>
          <w:szCs w:val="24"/>
          <w:lang w:val="en-US"/>
        </w:rPr>
        <w:t xml:space="preserve"> PhD(35), Nita G Forouhi FFPHM(1), Stephen J Sharp MSc(1), Elio </w:t>
      </w:r>
      <w:proofErr w:type="spellStart"/>
      <w:r w:rsidRPr="00D81CC1">
        <w:rPr>
          <w:rFonts w:ascii="Arial" w:eastAsia="Verdana" w:hAnsi="Arial" w:cs="Arial"/>
          <w:sz w:val="24"/>
          <w:szCs w:val="24"/>
          <w:lang w:val="en-US"/>
        </w:rPr>
        <w:t>Riboli</w:t>
      </w:r>
      <w:proofErr w:type="spellEnd"/>
      <w:r w:rsidRPr="00D81CC1">
        <w:rPr>
          <w:rFonts w:ascii="Arial" w:eastAsia="Verdana" w:hAnsi="Arial" w:cs="Arial"/>
          <w:sz w:val="24"/>
          <w:szCs w:val="24"/>
          <w:lang w:val="en-US"/>
        </w:rPr>
        <w:t xml:space="preserve"> MD, MPH, </w:t>
      </w:r>
      <w:proofErr w:type="spellStart"/>
      <w:r w:rsidRPr="00D81CC1">
        <w:rPr>
          <w:rFonts w:ascii="Arial" w:eastAsia="Verdana" w:hAnsi="Arial" w:cs="Arial"/>
          <w:sz w:val="24"/>
          <w:szCs w:val="24"/>
          <w:lang w:val="en-US"/>
        </w:rPr>
        <w:t>ScM</w:t>
      </w:r>
      <w:proofErr w:type="spellEnd"/>
      <w:r w:rsidRPr="00D81CC1">
        <w:rPr>
          <w:rFonts w:ascii="Arial" w:eastAsia="Verdana" w:hAnsi="Arial" w:cs="Arial"/>
          <w:sz w:val="24"/>
          <w:szCs w:val="24"/>
          <w:lang w:val="en-US"/>
        </w:rPr>
        <w:t>(36), Claudia Langenberg MD, PhD(1), Nicholas J Wareham MD, PhD(1)</w:t>
      </w:r>
    </w:p>
    <w:p w:rsidR="00E460EA" w:rsidRPr="00D81CC1" w:rsidRDefault="00E460EA" w:rsidP="00F328BE">
      <w:pPr>
        <w:spacing w:after="0" w:line="360" w:lineRule="auto"/>
        <w:jc w:val="both"/>
        <w:rPr>
          <w:rFonts w:ascii="Arial" w:eastAsia="Verdana" w:hAnsi="Arial" w:cs="Arial"/>
          <w:sz w:val="24"/>
          <w:szCs w:val="24"/>
          <w:lang w:val="en-US"/>
        </w:rPr>
      </w:pPr>
    </w:p>
    <w:p w:rsidR="00E460EA" w:rsidRPr="00D81CC1" w:rsidRDefault="00E460EA" w:rsidP="00F328BE">
      <w:pPr>
        <w:spacing w:after="0" w:line="360" w:lineRule="auto"/>
        <w:jc w:val="both"/>
        <w:rPr>
          <w:rFonts w:ascii="Arial" w:eastAsia="Verdana" w:hAnsi="Arial" w:cs="Arial"/>
          <w:sz w:val="24"/>
          <w:szCs w:val="24"/>
          <w:lang w:val="en-US"/>
        </w:rPr>
      </w:pPr>
    </w:p>
    <w:p w:rsidR="00E460EA" w:rsidRPr="00D81CC1" w:rsidRDefault="00E460EA" w:rsidP="00F328BE">
      <w:pPr>
        <w:spacing w:after="0" w:line="360" w:lineRule="auto"/>
        <w:jc w:val="both"/>
        <w:rPr>
          <w:rFonts w:ascii="Arial" w:eastAsia="Verdana" w:hAnsi="Arial" w:cs="Arial"/>
          <w:sz w:val="24"/>
          <w:szCs w:val="24"/>
          <w:lang w:val="en-US"/>
        </w:rPr>
      </w:pPr>
      <w:r w:rsidRPr="00D81CC1">
        <w:rPr>
          <w:rFonts w:ascii="Arial" w:eastAsia="Verdana" w:hAnsi="Arial" w:cs="Arial"/>
          <w:sz w:val="24"/>
          <w:szCs w:val="24"/>
          <w:lang w:val="en-US"/>
        </w:rPr>
        <w:t>Affiliations:</w:t>
      </w:r>
    </w:p>
    <w:p w:rsidR="00E460EA" w:rsidRPr="00D81CC1" w:rsidRDefault="00E460EA" w:rsidP="00F328BE">
      <w:pPr>
        <w:spacing w:after="0" w:line="360" w:lineRule="auto"/>
        <w:jc w:val="both"/>
        <w:rPr>
          <w:rFonts w:ascii="Arial" w:eastAsia="Verdana" w:hAnsi="Arial" w:cs="Arial"/>
          <w:sz w:val="24"/>
          <w:szCs w:val="24"/>
          <w:lang w:val="en-US"/>
        </w:rPr>
      </w:pPr>
      <w:r w:rsidRPr="00D81CC1">
        <w:rPr>
          <w:rFonts w:ascii="Arial" w:eastAsia="Verdana" w:hAnsi="Arial" w:cs="Arial"/>
          <w:sz w:val="24"/>
          <w:szCs w:val="24"/>
          <w:lang w:val="en-US"/>
        </w:rPr>
        <w:t xml:space="preserve">(1) MRC Epidemiology Unit, University of Cambridge School of Clinical Medicine, Box 285 Institute of Metabolic Science, Cambridge Biomedical Campus Cambridge, CB2 0QQ, United Kingdom, (2) Department of Molecular Epidemiology, German Institute of Human Nutrition Potsdam </w:t>
      </w:r>
      <w:proofErr w:type="spellStart"/>
      <w:r w:rsidRPr="00D81CC1">
        <w:rPr>
          <w:rFonts w:ascii="Arial" w:eastAsia="Verdana" w:hAnsi="Arial" w:cs="Arial"/>
          <w:sz w:val="24"/>
          <w:szCs w:val="24"/>
          <w:lang w:val="en-US"/>
        </w:rPr>
        <w:t>Rehbruecke</w:t>
      </w:r>
      <w:proofErr w:type="spellEnd"/>
      <w:r w:rsidRPr="00D81CC1">
        <w:rPr>
          <w:rFonts w:ascii="Arial" w:eastAsia="Verdana" w:hAnsi="Arial" w:cs="Arial"/>
          <w:sz w:val="24"/>
          <w:szCs w:val="24"/>
          <w:lang w:val="en-US"/>
        </w:rPr>
        <w:t>, Arthur-</w:t>
      </w:r>
      <w:proofErr w:type="spellStart"/>
      <w:r w:rsidRPr="00D81CC1">
        <w:rPr>
          <w:rFonts w:ascii="Arial" w:eastAsia="Verdana" w:hAnsi="Arial" w:cs="Arial"/>
          <w:sz w:val="24"/>
          <w:szCs w:val="24"/>
          <w:lang w:val="en-US"/>
        </w:rPr>
        <w:t>Scheunert</w:t>
      </w:r>
      <w:proofErr w:type="spellEnd"/>
      <w:r w:rsidRPr="00D81CC1">
        <w:rPr>
          <w:rFonts w:ascii="Arial" w:eastAsia="Verdana" w:hAnsi="Arial" w:cs="Arial"/>
          <w:sz w:val="24"/>
          <w:szCs w:val="24"/>
          <w:lang w:val="en-US"/>
        </w:rPr>
        <w:t>-</w:t>
      </w:r>
      <w:proofErr w:type="spellStart"/>
      <w:r w:rsidRPr="00D81CC1">
        <w:rPr>
          <w:rFonts w:ascii="Arial" w:eastAsia="Verdana" w:hAnsi="Arial" w:cs="Arial"/>
          <w:sz w:val="24"/>
          <w:szCs w:val="24"/>
          <w:lang w:val="en-US"/>
        </w:rPr>
        <w:t>Allee</w:t>
      </w:r>
      <w:proofErr w:type="spellEnd"/>
      <w:r w:rsidRPr="00D81CC1">
        <w:rPr>
          <w:rFonts w:ascii="Arial" w:eastAsia="Verdana" w:hAnsi="Arial" w:cs="Arial"/>
          <w:sz w:val="24"/>
          <w:szCs w:val="24"/>
          <w:lang w:val="en-US"/>
        </w:rPr>
        <w:t xml:space="preserve"> 114-116, 14558 </w:t>
      </w:r>
      <w:proofErr w:type="spellStart"/>
      <w:r w:rsidRPr="00D81CC1">
        <w:rPr>
          <w:rFonts w:ascii="Arial" w:eastAsia="Verdana" w:hAnsi="Arial" w:cs="Arial"/>
          <w:sz w:val="24"/>
          <w:szCs w:val="24"/>
          <w:lang w:val="en-US"/>
        </w:rPr>
        <w:t>Nuthetal</w:t>
      </w:r>
      <w:proofErr w:type="spellEnd"/>
      <w:r w:rsidRPr="00D81CC1">
        <w:rPr>
          <w:rFonts w:ascii="Arial" w:eastAsia="Verdana" w:hAnsi="Arial" w:cs="Arial"/>
          <w:sz w:val="24"/>
          <w:szCs w:val="24"/>
          <w:lang w:val="en-US"/>
        </w:rPr>
        <w:t xml:space="preserve">, Germany, (3) Department of Public Health and Primary Care, University of Cambridge, Cambridge, UK, (4) Public Health Division of </w:t>
      </w:r>
      <w:proofErr w:type="spellStart"/>
      <w:r w:rsidRPr="00D81CC1">
        <w:rPr>
          <w:rFonts w:ascii="Arial" w:eastAsia="Verdana" w:hAnsi="Arial" w:cs="Arial"/>
          <w:sz w:val="24"/>
          <w:szCs w:val="24"/>
          <w:lang w:val="en-US"/>
        </w:rPr>
        <w:t>Gipuzkoa</w:t>
      </w:r>
      <w:proofErr w:type="spellEnd"/>
      <w:r w:rsidRPr="00D81CC1">
        <w:rPr>
          <w:rFonts w:ascii="Arial" w:eastAsia="Verdana" w:hAnsi="Arial" w:cs="Arial"/>
          <w:sz w:val="24"/>
          <w:szCs w:val="24"/>
          <w:lang w:val="en-US"/>
        </w:rPr>
        <w:t xml:space="preserve">, Basque Government, Av. Navarra 4, 20013 San Sebastian, Spain, (5) </w:t>
      </w:r>
      <w:proofErr w:type="spellStart"/>
      <w:r w:rsidRPr="00D81CC1">
        <w:rPr>
          <w:rFonts w:ascii="Arial" w:eastAsia="Verdana" w:hAnsi="Arial" w:cs="Arial"/>
          <w:sz w:val="24"/>
          <w:szCs w:val="24"/>
          <w:lang w:val="en-US"/>
        </w:rPr>
        <w:t>Instituto</w:t>
      </w:r>
      <w:proofErr w:type="spellEnd"/>
      <w:r w:rsidRPr="00D81CC1">
        <w:rPr>
          <w:rFonts w:ascii="Arial" w:eastAsia="Verdana" w:hAnsi="Arial" w:cs="Arial"/>
          <w:sz w:val="24"/>
          <w:szCs w:val="24"/>
          <w:lang w:val="en-US"/>
        </w:rPr>
        <w:t xml:space="preserve"> BIO-</w:t>
      </w:r>
      <w:proofErr w:type="spellStart"/>
      <w:r w:rsidRPr="00D81CC1">
        <w:rPr>
          <w:rFonts w:ascii="Arial" w:eastAsia="Verdana" w:hAnsi="Arial" w:cs="Arial"/>
          <w:sz w:val="24"/>
          <w:szCs w:val="24"/>
          <w:lang w:val="en-US"/>
        </w:rPr>
        <w:t>Donostia</w:t>
      </w:r>
      <w:proofErr w:type="spellEnd"/>
      <w:r w:rsidRPr="00D81CC1">
        <w:rPr>
          <w:rFonts w:ascii="Arial" w:eastAsia="Verdana" w:hAnsi="Arial" w:cs="Arial"/>
          <w:sz w:val="24"/>
          <w:szCs w:val="24"/>
          <w:lang w:val="en-US"/>
        </w:rPr>
        <w:t xml:space="preserve">, Basque Government, San Sebastian, Spain, (6) Consortium for </w:t>
      </w:r>
      <w:r w:rsidRPr="00D81CC1">
        <w:rPr>
          <w:rFonts w:ascii="Arial" w:eastAsia="Verdana" w:hAnsi="Arial" w:cs="Arial"/>
          <w:sz w:val="24"/>
          <w:szCs w:val="24"/>
          <w:lang w:val="en-US"/>
        </w:rPr>
        <w:lastRenderedPageBreak/>
        <w:t xml:space="preserve">Biomedical Research in Epidemiology and Public Health (CIBER </w:t>
      </w:r>
      <w:proofErr w:type="spellStart"/>
      <w:r w:rsidRPr="00D81CC1">
        <w:rPr>
          <w:rFonts w:ascii="Arial" w:eastAsia="Verdana" w:hAnsi="Arial" w:cs="Arial"/>
          <w:sz w:val="24"/>
          <w:szCs w:val="24"/>
          <w:lang w:val="en-US"/>
        </w:rPr>
        <w:t>Epidemiología</w:t>
      </w:r>
      <w:proofErr w:type="spellEnd"/>
      <w:r w:rsidRPr="00D81CC1">
        <w:rPr>
          <w:rFonts w:ascii="Arial" w:eastAsia="Verdana" w:hAnsi="Arial" w:cs="Arial"/>
          <w:sz w:val="24"/>
          <w:szCs w:val="24"/>
          <w:lang w:val="en-US"/>
        </w:rPr>
        <w:t xml:space="preserve"> y </w:t>
      </w:r>
      <w:proofErr w:type="spellStart"/>
      <w:r w:rsidRPr="00D81CC1">
        <w:rPr>
          <w:rFonts w:ascii="Arial" w:eastAsia="Verdana" w:hAnsi="Arial" w:cs="Arial"/>
          <w:sz w:val="24"/>
          <w:szCs w:val="24"/>
          <w:lang w:val="en-US"/>
        </w:rPr>
        <w:t>Salud</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Pública</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Melchor</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Fernández</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Almagro</w:t>
      </w:r>
      <w:proofErr w:type="spellEnd"/>
      <w:r w:rsidRPr="00D81CC1">
        <w:rPr>
          <w:rFonts w:ascii="Arial" w:eastAsia="Verdana" w:hAnsi="Arial" w:cs="Arial"/>
          <w:sz w:val="24"/>
          <w:szCs w:val="24"/>
          <w:lang w:val="en-US"/>
        </w:rPr>
        <w:t xml:space="preserve"> 3-5, 28029 Madrid, Spain, (7) Navarre Public Health Institute, </w:t>
      </w:r>
      <w:proofErr w:type="spellStart"/>
      <w:r w:rsidRPr="00D81CC1">
        <w:rPr>
          <w:rFonts w:ascii="Arial" w:eastAsia="Verdana" w:hAnsi="Arial" w:cs="Arial"/>
          <w:sz w:val="24"/>
          <w:szCs w:val="24"/>
          <w:lang w:val="en-US"/>
        </w:rPr>
        <w:t>Leyre</w:t>
      </w:r>
      <w:proofErr w:type="spellEnd"/>
      <w:r w:rsidRPr="00D81CC1">
        <w:rPr>
          <w:rFonts w:ascii="Arial" w:eastAsia="Verdana" w:hAnsi="Arial" w:cs="Arial"/>
          <w:sz w:val="24"/>
          <w:szCs w:val="24"/>
          <w:lang w:val="en-US"/>
        </w:rPr>
        <w:t xml:space="preserve"> 15, 31003 Pamplona, Navarra, Spain, (8) Department of Epidemiology, German Institute of Human Nutrition Potsdam-</w:t>
      </w:r>
      <w:proofErr w:type="spellStart"/>
      <w:r w:rsidRPr="00D81CC1">
        <w:rPr>
          <w:rFonts w:ascii="Arial" w:eastAsia="Verdana" w:hAnsi="Arial" w:cs="Arial"/>
          <w:sz w:val="24"/>
          <w:szCs w:val="24"/>
          <w:lang w:val="en-US"/>
        </w:rPr>
        <w:t>Rehbruecke</w:t>
      </w:r>
      <w:proofErr w:type="spellEnd"/>
      <w:r w:rsidRPr="00D81CC1">
        <w:rPr>
          <w:rFonts w:ascii="Arial" w:eastAsia="Verdana" w:hAnsi="Arial" w:cs="Arial"/>
          <w:sz w:val="24"/>
          <w:szCs w:val="24"/>
          <w:lang w:val="en-US"/>
        </w:rPr>
        <w:t>, Arthur-</w:t>
      </w:r>
      <w:proofErr w:type="spellStart"/>
      <w:r w:rsidRPr="00D81CC1">
        <w:rPr>
          <w:rFonts w:ascii="Arial" w:eastAsia="Verdana" w:hAnsi="Arial" w:cs="Arial"/>
          <w:sz w:val="24"/>
          <w:szCs w:val="24"/>
          <w:lang w:val="en-US"/>
        </w:rPr>
        <w:t>Scheunert</w:t>
      </w:r>
      <w:proofErr w:type="spellEnd"/>
      <w:r w:rsidRPr="00D81CC1">
        <w:rPr>
          <w:rFonts w:ascii="Arial" w:eastAsia="Verdana" w:hAnsi="Arial" w:cs="Arial"/>
          <w:sz w:val="24"/>
          <w:szCs w:val="24"/>
          <w:lang w:val="en-US"/>
        </w:rPr>
        <w:t>-</w:t>
      </w:r>
      <w:proofErr w:type="spellStart"/>
      <w:r w:rsidRPr="00D81CC1">
        <w:rPr>
          <w:rFonts w:ascii="Arial" w:eastAsia="Verdana" w:hAnsi="Arial" w:cs="Arial"/>
          <w:sz w:val="24"/>
          <w:szCs w:val="24"/>
          <w:lang w:val="en-US"/>
        </w:rPr>
        <w:t>Allee</w:t>
      </w:r>
      <w:proofErr w:type="spellEnd"/>
      <w:r w:rsidRPr="00D81CC1">
        <w:rPr>
          <w:rFonts w:ascii="Arial" w:eastAsia="Verdana" w:hAnsi="Arial" w:cs="Arial"/>
          <w:sz w:val="24"/>
          <w:szCs w:val="24"/>
          <w:lang w:val="en-US"/>
        </w:rPr>
        <w:t xml:space="preserve"> 114-116, 14558 </w:t>
      </w:r>
      <w:proofErr w:type="spellStart"/>
      <w:r w:rsidRPr="00D81CC1">
        <w:rPr>
          <w:rFonts w:ascii="Arial" w:eastAsia="Verdana" w:hAnsi="Arial" w:cs="Arial"/>
          <w:sz w:val="24"/>
          <w:szCs w:val="24"/>
          <w:lang w:val="en-US"/>
        </w:rPr>
        <w:t>Nuthetal</w:t>
      </w:r>
      <w:proofErr w:type="spellEnd"/>
      <w:r w:rsidRPr="00D81CC1">
        <w:rPr>
          <w:rFonts w:ascii="Arial" w:eastAsia="Verdana" w:hAnsi="Arial" w:cs="Arial"/>
          <w:sz w:val="24"/>
          <w:szCs w:val="24"/>
          <w:lang w:val="en-US"/>
        </w:rPr>
        <w:t xml:space="preserve">, Germany, (9) </w:t>
      </w:r>
      <w:proofErr w:type="spellStart"/>
      <w:r w:rsidRPr="00D81CC1">
        <w:rPr>
          <w:rFonts w:ascii="Arial" w:eastAsia="Verdana" w:hAnsi="Arial" w:cs="Arial"/>
          <w:sz w:val="24"/>
          <w:szCs w:val="24"/>
          <w:lang w:val="en-US"/>
        </w:rPr>
        <w:t>Inserm</w:t>
      </w:r>
      <w:proofErr w:type="spellEnd"/>
      <w:r w:rsidRPr="00D81CC1">
        <w:rPr>
          <w:rFonts w:ascii="Arial" w:eastAsia="Verdana" w:hAnsi="Arial" w:cs="Arial"/>
          <w:sz w:val="24"/>
          <w:szCs w:val="24"/>
          <w:lang w:val="en-US"/>
        </w:rPr>
        <w:t xml:space="preserve">, CESP Centre for Research in Epidemiology and Population Health, U1018: Lifestyle, genes and health: integrative trans-generational epidemiology, F-94805, Villejuif, France, (10) </w:t>
      </w:r>
      <w:proofErr w:type="spellStart"/>
      <w:r w:rsidRPr="00D81CC1">
        <w:rPr>
          <w:rFonts w:ascii="Arial" w:eastAsia="Verdana" w:hAnsi="Arial" w:cs="Arial"/>
          <w:sz w:val="24"/>
          <w:szCs w:val="24"/>
          <w:lang w:val="en-US"/>
        </w:rPr>
        <w:t>Univ</w:t>
      </w:r>
      <w:proofErr w:type="spellEnd"/>
      <w:r w:rsidRPr="00D81CC1">
        <w:rPr>
          <w:rFonts w:ascii="Arial" w:eastAsia="Verdana" w:hAnsi="Arial" w:cs="Arial"/>
          <w:sz w:val="24"/>
          <w:szCs w:val="24"/>
          <w:lang w:val="en-US"/>
        </w:rPr>
        <w:t xml:space="preserve"> Paris </w:t>
      </w:r>
      <w:proofErr w:type="spellStart"/>
      <w:r w:rsidRPr="00D81CC1">
        <w:rPr>
          <w:rFonts w:ascii="Arial" w:eastAsia="Verdana" w:hAnsi="Arial" w:cs="Arial"/>
          <w:sz w:val="24"/>
          <w:szCs w:val="24"/>
          <w:lang w:val="en-US"/>
        </w:rPr>
        <w:t>Sud</w:t>
      </w:r>
      <w:proofErr w:type="spellEnd"/>
      <w:r w:rsidRPr="00D81CC1">
        <w:rPr>
          <w:rFonts w:ascii="Arial" w:eastAsia="Verdana" w:hAnsi="Arial" w:cs="Arial"/>
          <w:sz w:val="24"/>
          <w:szCs w:val="24"/>
          <w:lang w:val="en-US"/>
        </w:rPr>
        <w:t xml:space="preserve">, UMRS 1018, F-94805, Villejuif, France, (11) Department of Epidemiology &amp; Biostatistics, School of Public Health, Imperial College London, St Mary’s Campus, London, UK, (12) Department of Public Health, Section for Epidemiology, Aarhus University, </w:t>
      </w:r>
      <w:proofErr w:type="spellStart"/>
      <w:r w:rsidRPr="00D81CC1">
        <w:rPr>
          <w:rFonts w:ascii="Arial" w:eastAsia="Verdana" w:hAnsi="Arial" w:cs="Arial"/>
          <w:sz w:val="24"/>
          <w:szCs w:val="24"/>
          <w:lang w:val="en-US"/>
        </w:rPr>
        <w:t>Bartholins</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Allé</w:t>
      </w:r>
      <w:proofErr w:type="spellEnd"/>
      <w:r w:rsidRPr="00D81CC1">
        <w:rPr>
          <w:rFonts w:ascii="Arial" w:eastAsia="Verdana" w:hAnsi="Arial" w:cs="Arial"/>
          <w:sz w:val="24"/>
          <w:szCs w:val="24"/>
          <w:lang w:val="en-US"/>
        </w:rPr>
        <w:t xml:space="preserve"> 2, DK-8000 Aarhus C, Denmark, (13) Department of Clinical Sciences, Clinical Research Center, </w:t>
      </w:r>
      <w:proofErr w:type="spellStart"/>
      <w:r w:rsidRPr="00D81CC1">
        <w:rPr>
          <w:rFonts w:ascii="Arial" w:eastAsia="Verdana" w:hAnsi="Arial" w:cs="Arial"/>
          <w:sz w:val="24"/>
          <w:szCs w:val="24"/>
          <w:lang w:val="en-US"/>
        </w:rPr>
        <w:t>Skåne</w:t>
      </w:r>
      <w:proofErr w:type="spellEnd"/>
      <w:r w:rsidRPr="00D81CC1">
        <w:rPr>
          <w:rFonts w:ascii="Arial" w:eastAsia="Verdana" w:hAnsi="Arial" w:cs="Arial"/>
          <w:sz w:val="24"/>
          <w:szCs w:val="24"/>
          <w:lang w:val="en-US"/>
        </w:rPr>
        <w:t xml:space="preserve"> University Hospital, Lund University, 20502 Malmö, Sweden, (14) Department of Public Health and Clinical Medicine, </w:t>
      </w:r>
      <w:proofErr w:type="spellStart"/>
      <w:r w:rsidRPr="00D81CC1">
        <w:rPr>
          <w:rFonts w:ascii="Arial" w:eastAsia="Verdana" w:hAnsi="Arial" w:cs="Arial"/>
          <w:sz w:val="24"/>
          <w:szCs w:val="24"/>
          <w:lang w:val="en-US"/>
        </w:rPr>
        <w:t>Umeå</w:t>
      </w:r>
      <w:proofErr w:type="spellEnd"/>
      <w:r w:rsidRPr="00D81CC1">
        <w:rPr>
          <w:rFonts w:ascii="Arial" w:eastAsia="Verdana" w:hAnsi="Arial" w:cs="Arial"/>
          <w:sz w:val="24"/>
          <w:szCs w:val="24"/>
          <w:lang w:val="en-US"/>
        </w:rPr>
        <w:t xml:space="preserve"> University, 90187 </w:t>
      </w:r>
      <w:proofErr w:type="spellStart"/>
      <w:r w:rsidRPr="00D81CC1">
        <w:rPr>
          <w:rFonts w:ascii="Arial" w:eastAsia="Verdana" w:hAnsi="Arial" w:cs="Arial"/>
          <w:sz w:val="24"/>
          <w:szCs w:val="24"/>
          <w:lang w:val="en-US"/>
        </w:rPr>
        <w:t>Umeå</w:t>
      </w:r>
      <w:proofErr w:type="spellEnd"/>
      <w:r w:rsidRPr="00D81CC1">
        <w:rPr>
          <w:rFonts w:ascii="Arial" w:eastAsia="Verdana" w:hAnsi="Arial" w:cs="Arial"/>
          <w:sz w:val="24"/>
          <w:szCs w:val="24"/>
          <w:lang w:val="en-US"/>
        </w:rPr>
        <w:t xml:space="preserve">, Sweden, (15) Department of Epidemiology, Murcia Regional Health Council, Ronda de </w:t>
      </w:r>
      <w:proofErr w:type="spellStart"/>
      <w:r w:rsidRPr="00D81CC1">
        <w:rPr>
          <w:rFonts w:ascii="Arial" w:eastAsia="Verdana" w:hAnsi="Arial" w:cs="Arial"/>
          <w:sz w:val="24"/>
          <w:szCs w:val="24"/>
          <w:lang w:val="en-US"/>
        </w:rPr>
        <w:t>Levante</w:t>
      </w:r>
      <w:proofErr w:type="spellEnd"/>
      <w:r w:rsidRPr="00D81CC1">
        <w:rPr>
          <w:rFonts w:ascii="Arial" w:eastAsia="Verdana" w:hAnsi="Arial" w:cs="Arial"/>
          <w:sz w:val="24"/>
          <w:szCs w:val="24"/>
          <w:lang w:val="en-US"/>
        </w:rPr>
        <w:t xml:space="preserve">, 11, 30008 Murcia, Spain, (16) Fondazione IRCCS </w:t>
      </w:r>
      <w:proofErr w:type="spellStart"/>
      <w:r w:rsidRPr="00D81CC1">
        <w:rPr>
          <w:rFonts w:ascii="Arial" w:eastAsia="Verdana" w:hAnsi="Arial" w:cs="Arial"/>
          <w:sz w:val="24"/>
          <w:szCs w:val="24"/>
          <w:lang w:val="en-US"/>
        </w:rPr>
        <w:t>Istituto</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Nazionale</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dei</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Tumori</w:t>
      </w:r>
      <w:proofErr w:type="spellEnd"/>
      <w:r w:rsidRPr="00D81CC1">
        <w:rPr>
          <w:rFonts w:ascii="Arial" w:eastAsia="Verdana" w:hAnsi="Arial" w:cs="Arial"/>
          <w:sz w:val="24"/>
          <w:szCs w:val="24"/>
          <w:lang w:val="en-US"/>
        </w:rPr>
        <w:t xml:space="preserve"> Milan, Via </w:t>
      </w:r>
      <w:proofErr w:type="spellStart"/>
      <w:r w:rsidRPr="00D81CC1">
        <w:rPr>
          <w:rFonts w:ascii="Arial" w:eastAsia="Verdana" w:hAnsi="Arial" w:cs="Arial"/>
          <w:sz w:val="24"/>
          <w:szCs w:val="24"/>
          <w:lang w:val="en-US"/>
        </w:rPr>
        <w:t>Venezian</w:t>
      </w:r>
      <w:proofErr w:type="spellEnd"/>
      <w:r w:rsidRPr="00D81CC1">
        <w:rPr>
          <w:rFonts w:ascii="Arial" w:eastAsia="Verdana" w:hAnsi="Arial" w:cs="Arial"/>
          <w:sz w:val="24"/>
          <w:szCs w:val="24"/>
          <w:lang w:val="en-US"/>
        </w:rPr>
        <w:t xml:space="preserve">, 1, 20133 Milan, Italy, (17) Unit Nutrition, Environment and Cancer, Department of Epidemiology, Catalan Institute of Oncology (ICO), </w:t>
      </w:r>
      <w:proofErr w:type="spellStart"/>
      <w:r w:rsidRPr="00D81CC1">
        <w:rPr>
          <w:rFonts w:ascii="Arial" w:eastAsia="Verdana" w:hAnsi="Arial" w:cs="Arial"/>
          <w:sz w:val="24"/>
          <w:szCs w:val="24"/>
          <w:lang w:val="en-US"/>
        </w:rPr>
        <w:t>Bellvitge</w:t>
      </w:r>
      <w:proofErr w:type="spellEnd"/>
      <w:r w:rsidRPr="00D81CC1">
        <w:rPr>
          <w:rFonts w:ascii="Arial" w:eastAsia="Verdana" w:hAnsi="Arial" w:cs="Arial"/>
          <w:sz w:val="24"/>
          <w:szCs w:val="24"/>
          <w:lang w:val="en-US"/>
        </w:rPr>
        <w:t xml:space="preserve"> Biomedical Research Institute (IDIBELL), Gran Via s/n 199-203, 08908 </w:t>
      </w:r>
      <w:proofErr w:type="spellStart"/>
      <w:r w:rsidRPr="00D81CC1">
        <w:rPr>
          <w:rFonts w:ascii="Arial" w:eastAsia="Verdana" w:hAnsi="Arial" w:cs="Arial"/>
          <w:sz w:val="24"/>
          <w:szCs w:val="24"/>
          <w:lang w:val="en-US"/>
        </w:rPr>
        <w:t>L'Hospitalet</w:t>
      </w:r>
      <w:proofErr w:type="spellEnd"/>
      <w:r w:rsidRPr="00D81CC1">
        <w:rPr>
          <w:rFonts w:ascii="Arial" w:eastAsia="Verdana" w:hAnsi="Arial" w:cs="Arial"/>
          <w:sz w:val="24"/>
          <w:szCs w:val="24"/>
          <w:lang w:val="en-US"/>
        </w:rPr>
        <w:t xml:space="preserve"> de </w:t>
      </w:r>
      <w:proofErr w:type="spellStart"/>
      <w:r w:rsidRPr="00D81CC1">
        <w:rPr>
          <w:rFonts w:ascii="Arial" w:eastAsia="Verdana" w:hAnsi="Arial" w:cs="Arial"/>
          <w:sz w:val="24"/>
          <w:szCs w:val="24"/>
          <w:lang w:val="en-US"/>
        </w:rPr>
        <w:t>Lolgbregat</w:t>
      </w:r>
      <w:proofErr w:type="spellEnd"/>
      <w:r w:rsidRPr="00D81CC1">
        <w:rPr>
          <w:rFonts w:ascii="Arial" w:eastAsia="Verdana" w:hAnsi="Arial" w:cs="Arial"/>
          <w:sz w:val="24"/>
          <w:szCs w:val="24"/>
          <w:lang w:val="en-US"/>
        </w:rPr>
        <w:t xml:space="preserve">,  Barcelona, Spain, (18) German Cancer Research Centre (DKFZ), </w:t>
      </w:r>
      <w:proofErr w:type="spellStart"/>
      <w:r w:rsidRPr="00D81CC1">
        <w:rPr>
          <w:rFonts w:ascii="Arial" w:eastAsia="Verdana" w:hAnsi="Arial" w:cs="Arial"/>
          <w:sz w:val="24"/>
          <w:szCs w:val="24"/>
          <w:lang w:val="en-US"/>
        </w:rPr>
        <w:t>Im</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Neuenheimer</w:t>
      </w:r>
      <w:proofErr w:type="spellEnd"/>
      <w:r w:rsidRPr="00D81CC1">
        <w:rPr>
          <w:rFonts w:ascii="Arial" w:eastAsia="Verdana" w:hAnsi="Arial" w:cs="Arial"/>
          <w:sz w:val="24"/>
          <w:szCs w:val="24"/>
          <w:lang w:val="en-US"/>
        </w:rPr>
        <w:t xml:space="preserve"> Feld 280, 69120 Heidelberg, Germany, (19) Cancer Epidemiology Unit, Nuffield Department of Population Health, University of Oxford, Oxford, United Kingdom, (20) German Cancer Research Centre (DKFZ), Division of Cancer Epidemiology, </w:t>
      </w:r>
      <w:proofErr w:type="spellStart"/>
      <w:r w:rsidRPr="00D81CC1">
        <w:rPr>
          <w:rFonts w:ascii="Arial" w:eastAsia="Verdana" w:hAnsi="Arial" w:cs="Arial"/>
          <w:sz w:val="24"/>
          <w:szCs w:val="24"/>
          <w:lang w:val="en-US"/>
        </w:rPr>
        <w:t>Im</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Neuenheimer</w:t>
      </w:r>
      <w:proofErr w:type="spellEnd"/>
      <w:r w:rsidRPr="00D81CC1">
        <w:rPr>
          <w:rFonts w:ascii="Arial" w:eastAsia="Verdana" w:hAnsi="Arial" w:cs="Arial"/>
          <w:sz w:val="24"/>
          <w:szCs w:val="24"/>
          <w:lang w:val="en-US"/>
        </w:rPr>
        <w:t xml:space="preserve"> Feld 581, 69120 Heidelberg, Germany, (21) </w:t>
      </w:r>
      <w:proofErr w:type="spellStart"/>
      <w:r w:rsidRPr="00D81CC1">
        <w:rPr>
          <w:rFonts w:ascii="Arial" w:eastAsia="Verdana" w:hAnsi="Arial" w:cs="Arial"/>
          <w:sz w:val="24"/>
          <w:szCs w:val="24"/>
          <w:lang w:val="en-US"/>
        </w:rPr>
        <w:t>Dipartimento</w:t>
      </w:r>
      <w:proofErr w:type="spellEnd"/>
      <w:r w:rsidRPr="00D81CC1">
        <w:rPr>
          <w:rFonts w:ascii="Arial" w:eastAsia="Verdana" w:hAnsi="Arial" w:cs="Arial"/>
          <w:sz w:val="24"/>
          <w:szCs w:val="24"/>
          <w:lang w:val="en-US"/>
        </w:rPr>
        <w:t xml:space="preserve"> di </w:t>
      </w:r>
      <w:proofErr w:type="spellStart"/>
      <w:r w:rsidRPr="00D81CC1">
        <w:rPr>
          <w:rFonts w:ascii="Arial" w:eastAsia="Verdana" w:hAnsi="Arial" w:cs="Arial"/>
          <w:sz w:val="24"/>
          <w:szCs w:val="24"/>
          <w:lang w:val="en-US"/>
        </w:rPr>
        <w:t>Medicina</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Clinica</w:t>
      </w:r>
      <w:proofErr w:type="spellEnd"/>
      <w:r w:rsidRPr="00D81CC1">
        <w:rPr>
          <w:rFonts w:ascii="Arial" w:eastAsia="Verdana" w:hAnsi="Arial" w:cs="Arial"/>
          <w:sz w:val="24"/>
          <w:szCs w:val="24"/>
          <w:lang w:val="en-US"/>
        </w:rPr>
        <w:t xml:space="preserve"> e </w:t>
      </w:r>
      <w:proofErr w:type="spellStart"/>
      <w:r w:rsidRPr="00D81CC1">
        <w:rPr>
          <w:rFonts w:ascii="Arial" w:eastAsia="Verdana" w:hAnsi="Arial" w:cs="Arial"/>
          <w:sz w:val="24"/>
          <w:szCs w:val="24"/>
          <w:lang w:val="en-US"/>
        </w:rPr>
        <w:t>Chirurgia</w:t>
      </w:r>
      <w:proofErr w:type="spellEnd"/>
      <w:r w:rsidRPr="00D81CC1">
        <w:rPr>
          <w:rFonts w:ascii="Arial" w:eastAsia="Verdana" w:hAnsi="Arial" w:cs="Arial"/>
          <w:sz w:val="24"/>
          <w:szCs w:val="24"/>
          <w:lang w:val="en-US"/>
        </w:rPr>
        <w:t xml:space="preserve">,  Federico II University, via </w:t>
      </w:r>
      <w:proofErr w:type="spellStart"/>
      <w:r w:rsidRPr="00D81CC1">
        <w:rPr>
          <w:rFonts w:ascii="Arial" w:eastAsia="Verdana" w:hAnsi="Arial" w:cs="Arial"/>
          <w:sz w:val="24"/>
          <w:szCs w:val="24"/>
          <w:lang w:val="en-US"/>
        </w:rPr>
        <w:t>Pansini</w:t>
      </w:r>
      <w:proofErr w:type="spellEnd"/>
      <w:r w:rsidRPr="00D81CC1">
        <w:rPr>
          <w:rFonts w:ascii="Arial" w:eastAsia="Verdana" w:hAnsi="Arial" w:cs="Arial"/>
          <w:sz w:val="24"/>
          <w:szCs w:val="24"/>
          <w:lang w:val="en-US"/>
        </w:rPr>
        <w:t xml:space="preserve"> 5-80131 Naples, Italy, (22) Danish Cancer Society Research Center, </w:t>
      </w:r>
      <w:proofErr w:type="spellStart"/>
      <w:r w:rsidRPr="00D81CC1">
        <w:rPr>
          <w:rFonts w:ascii="Arial" w:eastAsia="Verdana" w:hAnsi="Arial" w:cs="Arial"/>
          <w:sz w:val="24"/>
          <w:szCs w:val="24"/>
          <w:lang w:val="en-US"/>
        </w:rPr>
        <w:t>Strandboulevarden</w:t>
      </w:r>
      <w:proofErr w:type="spellEnd"/>
      <w:r w:rsidRPr="00D81CC1">
        <w:rPr>
          <w:rFonts w:ascii="Arial" w:eastAsia="Verdana" w:hAnsi="Arial" w:cs="Arial"/>
          <w:sz w:val="24"/>
          <w:szCs w:val="24"/>
          <w:lang w:val="en-US"/>
        </w:rPr>
        <w:t xml:space="preserve"> 49, 2100 Copenhagen, Denmark, (23) Department of Cardiology, Aalborg University Hospital, </w:t>
      </w:r>
      <w:proofErr w:type="spellStart"/>
      <w:r w:rsidRPr="00D81CC1">
        <w:rPr>
          <w:rFonts w:ascii="Arial" w:eastAsia="Verdana" w:hAnsi="Arial" w:cs="Arial"/>
          <w:sz w:val="24"/>
          <w:szCs w:val="24"/>
          <w:lang w:val="en-US"/>
        </w:rPr>
        <w:t>Sdr</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Skovvej</w:t>
      </w:r>
      <w:proofErr w:type="spellEnd"/>
      <w:r w:rsidRPr="00D81CC1">
        <w:rPr>
          <w:rFonts w:ascii="Arial" w:eastAsia="Verdana" w:hAnsi="Arial" w:cs="Arial"/>
          <w:sz w:val="24"/>
          <w:szCs w:val="24"/>
          <w:lang w:val="en-US"/>
        </w:rPr>
        <w:t xml:space="preserve"> 15, DK-9000 Aalborg, Denmark, (24) Molecular and Nutritional Epidemiology Unit, Cancer Research and Prevention Institute (ISPO), Via </w:t>
      </w:r>
      <w:proofErr w:type="spellStart"/>
      <w:r w:rsidRPr="00D81CC1">
        <w:rPr>
          <w:rFonts w:ascii="Arial" w:eastAsia="Verdana" w:hAnsi="Arial" w:cs="Arial"/>
          <w:sz w:val="24"/>
          <w:szCs w:val="24"/>
          <w:lang w:val="en-US"/>
        </w:rPr>
        <w:t>delle</w:t>
      </w:r>
      <w:proofErr w:type="spellEnd"/>
      <w:r w:rsidRPr="00D81CC1">
        <w:rPr>
          <w:rFonts w:ascii="Arial" w:eastAsia="Verdana" w:hAnsi="Arial" w:cs="Arial"/>
          <w:sz w:val="24"/>
          <w:szCs w:val="24"/>
          <w:lang w:val="en-US"/>
        </w:rPr>
        <w:t xml:space="preserve"> Oblate n.4 </w:t>
      </w:r>
      <w:proofErr w:type="spellStart"/>
      <w:r w:rsidRPr="00D81CC1">
        <w:rPr>
          <w:rFonts w:ascii="Arial" w:eastAsia="Verdana" w:hAnsi="Arial" w:cs="Arial"/>
          <w:sz w:val="24"/>
          <w:szCs w:val="24"/>
          <w:lang w:val="en-US"/>
        </w:rPr>
        <w:t>Padiglione</w:t>
      </w:r>
      <w:proofErr w:type="spellEnd"/>
      <w:r w:rsidRPr="00D81CC1">
        <w:rPr>
          <w:rFonts w:ascii="Arial" w:eastAsia="Verdana" w:hAnsi="Arial" w:cs="Arial"/>
          <w:sz w:val="24"/>
          <w:szCs w:val="24"/>
          <w:lang w:val="en-US"/>
        </w:rPr>
        <w:t xml:space="preserve"> 28A, 50141, Florence, Italy, (25) </w:t>
      </w:r>
      <w:proofErr w:type="spellStart"/>
      <w:r w:rsidRPr="00D81CC1">
        <w:rPr>
          <w:rFonts w:ascii="Arial" w:eastAsia="Verdana" w:hAnsi="Arial" w:cs="Arial"/>
          <w:sz w:val="24"/>
          <w:szCs w:val="24"/>
          <w:lang w:val="en-US"/>
        </w:rPr>
        <w:t>Consejería</w:t>
      </w:r>
      <w:proofErr w:type="spellEnd"/>
      <w:r w:rsidRPr="00D81CC1">
        <w:rPr>
          <w:rFonts w:ascii="Arial" w:eastAsia="Verdana" w:hAnsi="Arial" w:cs="Arial"/>
          <w:sz w:val="24"/>
          <w:szCs w:val="24"/>
          <w:lang w:val="en-US"/>
        </w:rPr>
        <w:t xml:space="preserve"> de </w:t>
      </w:r>
      <w:proofErr w:type="spellStart"/>
      <w:r w:rsidRPr="00D81CC1">
        <w:rPr>
          <w:rFonts w:ascii="Arial" w:eastAsia="Verdana" w:hAnsi="Arial" w:cs="Arial"/>
          <w:sz w:val="24"/>
          <w:szCs w:val="24"/>
          <w:lang w:val="en-US"/>
        </w:rPr>
        <w:t>Sanidad</w:t>
      </w:r>
      <w:proofErr w:type="spellEnd"/>
      <w:r w:rsidRPr="00D81CC1">
        <w:rPr>
          <w:rFonts w:ascii="Arial" w:eastAsia="Verdana" w:hAnsi="Arial" w:cs="Arial"/>
          <w:sz w:val="24"/>
          <w:szCs w:val="24"/>
          <w:lang w:val="en-US"/>
        </w:rPr>
        <w:t>, Public Health Directorate, C/</w:t>
      </w:r>
      <w:proofErr w:type="spellStart"/>
      <w:r w:rsidRPr="00D81CC1">
        <w:rPr>
          <w:rFonts w:ascii="Arial" w:eastAsia="Verdana" w:hAnsi="Arial" w:cs="Arial"/>
          <w:sz w:val="24"/>
          <w:szCs w:val="24"/>
          <w:lang w:val="en-US"/>
        </w:rPr>
        <w:t>Ciriaco</w:t>
      </w:r>
      <w:proofErr w:type="spellEnd"/>
      <w:r w:rsidRPr="00D81CC1">
        <w:rPr>
          <w:rFonts w:ascii="Arial" w:eastAsia="Verdana" w:hAnsi="Arial" w:cs="Arial"/>
          <w:sz w:val="24"/>
          <w:szCs w:val="24"/>
          <w:lang w:val="en-US"/>
        </w:rPr>
        <w:t xml:space="preserve"> Miguel Vigil 9, 33006- Oviedo-Asturias, Spain, (26) Department of Public Health and Clinical Medicine, Family Medicine, </w:t>
      </w:r>
      <w:proofErr w:type="spellStart"/>
      <w:r w:rsidRPr="00D81CC1">
        <w:rPr>
          <w:rFonts w:ascii="Arial" w:eastAsia="Verdana" w:hAnsi="Arial" w:cs="Arial"/>
          <w:sz w:val="24"/>
          <w:szCs w:val="24"/>
          <w:lang w:val="en-US"/>
        </w:rPr>
        <w:t>Umeå</w:t>
      </w:r>
      <w:proofErr w:type="spellEnd"/>
      <w:r w:rsidRPr="00D81CC1">
        <w:rPr>
          <w:rFonts w:ascii="Arial" w:eastAsia="Verdana" w:hAnsi="Arial" w:cs="Arial"/>
          <w:sz w:val="24"/>
          <w:szCs w:val="24"/>
          <w:lang w:val="en-US"/>
        </w:rPr>
        <w:t xml:space="preserve"> University 90187 </w:t>
      </w:r>
      <w:proofErr w:type="spellStart"/>
      <w:r w:rsidRPr="00D81CC1">
        <w:rPr>
          <w:rFonts w:ascii="Arial" w:eastAsia="Verdana" w:hAnsi="Arial" w:cs="Arial"/>
          <w:sz w:val="24"/>
          <w:szCs w:val="24"/>
          <w:lang w:val="en-US"/>
        </w:rPr>
        <w:t>Umeå</w:t>
      </w:r>
      <w:proofErr w:type="spellEnd"/>
      <w:r w:rsidRPr="00D81CC1">
        <w:rPr>
          <w:rFonts w:ascii="Arial" w:eastAsia="Verdana" w:hAnsi="Arial" w:cs="Arial"/>
          <w:sz w:val="24"/>
          <w:szCs w:val="24"/>
          <w:lang w:val="en-US"/>
        </w:rPr>
        <w:t xml:space="preserve">, Sweden, (27) Unit of Cancer Epidemiology, AO </w:t>
      </w:r>
      <w:proofErr w:type="spellStart"/>
      <w:r w:rsidRPr="00D81CC1">
        <w:rPr>
          <w:rFonts w:ascii="Arial" w:eastAsia="Verdana" w:hAnsi="Arial" w:cs="Arial"/>
          <w:sz w:val="24"/>
          <w:szCs w:val="24"/>
          <w:lang w:val="en-US"/>
        </w:rPr>
        <w:t>Citta</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della</w:t>
      </w:r>
      <w:proofErr w:type="spellEnd"/>
      <w:r w:rsidRPr="00D81CC1">
        <w:rPr>
          <w:rFonts w:ascii="Arial" w:eastAsia="Verdana" w:hAnsi="Arial" w:cs="Arial"/>
          <w:sz w:val="24"/>
          <w:szCs w:val="24"/>
          <w:lang w:val="en-US"/>
        </w:rPr>
        <w:t xml:space="preserve"> Salute e </w:t>
      </w:r>
      <w:proofErr w:type="spellStart"/>
      <w:r w:rsidRPr="00D81CC1">
        <w:rPr>
          <w:rFonts w:ascii="Arial" w:eastAsia="Verdana" w:hAnsi="Arial" w:cs="Arial"/>
          <w:sz w:val="24"/>
          <w:szCs w:val="24"/>
          <w:lang w:val="en-US"/>
        </w:rPr>
        <w:t>della</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Scienza</w:t>
      </w:r>
      <w:proofErr w:type="spellEnd"/>
      <w:r w:rsidRPr="00D81CC1">
        <w:rPr>
          <w:rFonts w:ascii="Arial" w:eastAsia="Verdana" w:hAnsi="Arial" w:cs="Arial"/>
          <w:sz w:val="24"/>
          <w:szCs w:val="24"/>
          <w:lang w:val="en-US"/>
        </w:rPr>
        <w:t xml:space="preserve"> Hospital-University of Turin and </w:t>
      </w:r>
      <w:r w:rsidRPr="00D81CC1">
        <w:rPr>
          <w:rFonts w:ascii="Arial" w:eastAsia="Verdana" w:hAnsi="Arial" w:cs="Arial"/>
          <w:sz w:val="24"/>
          <w:szCs w:val="24"/>
          <w:lang w:val="en-US"/>
        </w:rPr>
        <w:lastRenderedPageBreak/>
        <w:t xml:space="preserve">Center for Cancer Prevention (CPO), Via </w:t>
      </w:r>
      <w:proofErr w:type="spellStart"/>
      <w:r w:rsidRPr="00D81CC1">
        <w:rPr>
          <w:rFonts w:ascii="Arial" w:eastAsia="Verdana" w:hAnsi="Arial" w:cs="Arial"/>
          <w:sz w:val="24"/>
          <w:szCs w:val="24"/>
          <w:lang w:val="en-US"/>
        </w:rPr>
        <w:t>Santena</w:t>
      </w:r>
      <w:proofErr w:type="spellEnd"/>
      <w:r w:rsidRPr="00D81CC1">
        <w:rPr>
          <w:rFonts w:ascii="Arial" w:eastAsia="Verdana" w:hAnsi="Arial" w:cs="Arial"/>
          <w:sz w:val="24"/>
          <w:szCs w:val="24"/>
          <w:lang w:val="en-US"/>
        </w:rPr>
        <w:t xml:space="preserve"> 7, 10126 Torino, Italy, (28) Human Genetics Foundation (</w:t>
      </w:r>
      <w:proofErr w:type="spellStart"/>
      <w:r w:rsidRPr="00D81CC1">
        <w:rPr>
          <w:rFonts w:ascii="Arial" w:eastAsia="Verdana" w:hAnsi="Arial" w:cs="Arial"/>
          <w:sz w:val="24"/>
          <w:szCs w:val="24"/>
          <w:lang w:val="en-US"/>
        </w:rPr>
        <w:t>HuGeF</w:t>
      </w:r>
      <w:proofErr w:type="spellEnd"/>
      <w:r w:rsidRPr="00D81CC1">
        <w:rPr>
          <w:rFonts w:ascii="Arial" w:eastAsia="Verdana" w:hAnsi="Arial" w:cs="Arial"/>
          <w:sz w:val="24"/>
          <w:szCs w:val="24"/>
          <w:lang w:val="en-US"/>
        </w:rPr>
        <w:t xml:space="preserve">), Via </w:t>
      </w:r>
      <w:proofErr w:type="spellStart"/>
      <w:r w:rsidRPr="00D81CC1">
        <w:rPr>
          <w:rFonts w:ascii="Arial" w:eastAsia="Verdana" w:hAnsi="Arial" w:cs="Arial"/>
          <w:sz w:val="24"/>
          <w:szCs w:val="24"/>
          <w:lang w:val="en-US"/>
        </w:rPr>
        <w:t>Nizza</w:t>
      </w:r>
      <w:proofErr w:type="spellEnd"/>
      <w:r w:rsidRPr="00D81CC1">
        <w:rPr>
          <w:rFonts w:ascii="Arial" w:eastAsia="Verdana" w:hAnsi="Arial" w:cs="Arial"/>
          <w:sz w:val="24"/>
          <w:szCs w:val="24"/>
          <w:lang w:val="en-US"/>
        </w:rPr>
        <w:t xml:space="preserve"> 52, 10126 Torino, Italy, (29) </w:t>
      </w:r>
      <w:proofErr w:type="spellStart"/>
      <w:r w:rsidRPr="00D81CC1">
        <w:rPr>
          <w:rFonts w:ascii="Arial" w:eastAsia="Verdana" w:hAnsi="Arial" w:cs="Arial"/>
          <w:sz w:val="24"/>
          <w:szCs w:val="24"/>
          <w:lang w:val="en-US"/>
        </w:rPr>
        <w:t>Escuela</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Andaluza</w:t>
      </w:r>
      <w:proofErr w:type="spellEnd"/>
      <w:r w:rsidRPr="00D81CC1">
        <w:rPr>
          <w:rFonts w:ascii="Arial" w:eastAsia="Verdana" w:hAnsi="Arial" w:cs="Arial"/>
          <w:sz w:val="24"/>
          <w:szCs w:val="24"/>
          <w:lang w:val="en-US"/>
        </w:rPr>
        <w:t xml:space="preserve"> de </w:t>
      </w:r>
      <w:proofErr w:type="spellStart"/>
      <w:r w:rsidRPr="00D81CC1">
        <w:rPr>
          <w:rFonts w:ascii="Arial" w:eastAsia="Verdana" w:hAnsi="Arial" w:cs="Arial"/>
          <w:sz w:val="24"/>
          <w:szCs w:val="24"/>
          <w:lang w:val="en-US"/>
        </w:rPr>
        <w:t>Salud</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Pública</w:t>
      </w:r>
      <w:proofErr w:type="spellEnd"/>
      <w:r w:rsidRPr="00D81CC1">
        <w:rPr>
          <w:rFonts w:ascii="Arial" w:eastAsia="Verdana" w:hAnsi="Arial" w:cs="Arial"/>
          <w:sz w:val="24"/>
          <w:szCs w:val="24"/>
          <w:lang w:val="en-US"/>
        </w:rPr>
        <w:t xml:space="preserve">. </w:t>
      </w:r>
      <w:proofErr w:type="spellStart"/>
      <w:proofErr w:type="gramStart"/>
      <w:r w:rsidRPr="00D81CC1">
        <w:rPr>
          <w:rFonts w:ascii="Arial" w:eastAsia="Verdana" w:hAnsi="Arial" w:cs="Arial"/>
          <w:sz w:val="24"/>
          <w:szCs w:val="24"/>
          <w:lang w:val="en-US"/>
        </w:rPr>
        <w:t>Instituto</w:t>
      </w:r>
      <w:proofErr w:type="spellEnd"/>
      <w:r w:rsidRPr="00D81CC1">
        <w:rPr>
          <w:rFonts w:ascii="Arial" w:eastAsia="Verdana" w:hAnsi="Arial" w:cs="Arial"/>
          <w:sz w:val="24"/>
          <w:szCs w:val="24"/>
          <w:lang w:val="en-US"/>
        </w:rPr>
        <w:t xml:space="preserve"> de </w:t>
      </w:r>
      <w:proofErr w:type="spellStart"/>
      <w:r w:rsidRPr="00D81CC1">
        <w:rPr>
          <w:rFonts w:ascii="Arial" w:eastAsia="Verdana" w:hAnsi="Arial" w:cs="Arial"/>
          <w:sz w:val="24"/>
          <w:szCs w:val="24"/>
          <w:lang w:val="en-US"/>
        </w:rPr>
        <w:t>Investigación</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Biosanitaria</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ibs.GRANADA</w:t>
      </w:r>
      <w:proofErr w:type="spellEnd"/>
      <w:r w:rsidRPr="00D81CC1">
        <w:rPr>
          <w:rFonts w:ascii="Arial" w:eastAsia="Verdana" w:hAnsi="Arial" w:cs="Arial"/>
          <w:sz w:val="24"/>
          <w:szCs w:val="24"/>
          <w:lang w:val="en-US"/>
        </w:rPr>
        <w:t>.</w:t>
      </w:r>
      <w:proofErr w:type="gram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Hospitales</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Universitarios</w:t>
      </w:r>
      <w:proofErr w:type="spellEnd"/>
      <w:r w:rsidRPr="00D81CC1">
        <w:rPr>
          <w:rFonts w:ascii="Arial" w:eastAsia="Verdana" w:hAnsi="Arial" w:cs="Arial"/>
          <w:sz w:val="24"/>
          <w:szCs w:val="24"/>
          <w:lang w:val="en-US"/>
        </w:rPr>
        <w:t xml:space="preserve"> de Granada/Universidad de Granada, Granada, Spain, (30) International Agency for Research on Cancer, Dietary Exposure Assessment Group (DEX), 150 </w:t>
      </w:r>
      <w:proofErr w:type="spellStart"/>
      <w:r w:rsidRPr="00D81CC1">
        <w:rPr>
          <w:rFonts w:ascii="Arial" w:eastAsia="Verdana" w:hAnsi="Arial" w:cs="Arial"/>
          <w:sz w:val="24"/>
          <w:szCs w:val="24"/>
          <w:lang w:val="en-US"/>
        </w:rPr>
        <w:t>Cours</w:t>
      </w:r>
      <w:proofErr w:type="spellEnd"/>
      <w:r w:rsidRPr="00D81CC1">
        <w:rPr>
          <w:rFonts w:ascii="Arial" w:eastAsia="Verdana" w:hAnsi="Arial" w:cs="Arial"/>
          <w:sz w:val="24"/>
          <w:szCs w:val="24"/>
          <w:lang w:val="en-US"/>
        </w:rPr>
        <w:t xml:space="preserve"> Albert Thomas, 69372 Lyon </w:t>
      </w:r>
      <w:proofErr w:type="spellStart"/>
      <w:r w:rsidRPr="00D81CC1">
        <w:rPr>
          <w:rFonts w:ascii="Arial" w:eastAsia="Verdana" w:hAnsi="Arial" w:cs="Arial"/>
          <w:sz w:val="24"/>
          <w:szCs w:val="24"/>
          <w:lang w:val="en-US"/>
        </w:rPr>
        <w:t>Cedex</w:t>
      </w:r>
      <w:proofErr w:type="spellEnd"/>
      <w:r w:rsidRPr="00D81CC1">
        <w:rPr>
          <w:rFonts w:ascii="Arial" w:eastAsia="Verdana" w:hAnsi="Arial" w:cs="Arial"/>
          <w:sz w:val="24"/>
          <w:szCs w:val="24"/>
          <w:lang w:val="en-US"/>
        </w:rPr>
        <w:t xml:space="preserve"> 08, France, (31) Julius Center for Health Sciences and Primary Care, University Medical Center Utrecht, </w:t>
      </w:r>
      <w:proofErr w:type="spellStart"/>
      <w:r w:rsidRPr="00D81CC1">
        <w:rPr>
          <w:rFonts w:ascii="Arial" w:eastAsia="Verdana" w:hAnsi="Arial" w:cs="Arial"/>
          <w:sz w:val="24"/>
          <w:szCs w:val="24"/>
          <w:lang w:val="en-US"/>
        </w:rPr>
        <w:t>Stratenum</w:t>
      </w:r>
      <w:proofErr w:type="spellEnd"/>
      <w:r w:rsidRPr="00D81CC1">
        <w:rPr>
          <w:rFonts w:ascii="Arial" w:eastAsia="Verdana" w:hAnsi="Arial" w:cs="Arial"/>
          <w:sz w:val="24"/>
          <w:szCs w:val="24"/>
          <w:lang w:val="en-US"/>
        </w:rPr>
        <w:t xml:space="preserve"> 6.131, PO Box 85.500, 3508 GA Utrecht, the Netherlands, (32) National Institute for Public Health and the Environment (RIVM), PO Box 1, 3720 BA </w:t>
      </w:r>
      <w:proofErr w:type="spellStart"/>
      <w:r w:rsidRPr="00D81CC1">
        <w:rPr>
          <w:rFonts w:ascii="Arial" w:eastAsia="Verdana" w:hAnsi="Arial" w:cs="Arial"/>
          <w:sz w:val="24"/>
          <w:szCs w:val="24"/>
          <w:lang w:val="en-US"/>
        </w:rPr>
        <w:t>Bilthoven</w:t>
      </w:r>
      <w:proofErr w:type="spellEnd"/>
      <w:r w:rsidRPr="00D81CC1">
        <w:rPr>
          <w:rFonts w:ascii="Arial" w:eastAsia="Verdana" w:hAnsi="Arial" w:cs="Arial"/>
          <w:sz w:val="24"/>
          <w:szCs w:val="24"/>
          <w:lang w:val="en-US"/>
        </w:rPr>
        <w:t>, The Netherlands, (33) Cancer Registry and Histopathology Unit, "</w:t>
      </w:r>
      <w:proofErr w:type="spellStart"/>
      <w:r w:rsidRPr="00D81CC1">
        <w:rPr>
          <w:rFonts w:ascii="Arial" w:eastAsia="Verdana" w:hAnsi="Arial" w:cs="Arial"/>
          <w:sz w:val="24"/>
          <w:szCs w:val="24"/>
          <w:lang w:val="en-US"/>
        </w:rPr>
        <w:t>Civile</w:t>
      </w:r>
      <w:proofErr w:type="spellEnd"/>
      <w:r w:rsidRPr="00D81CC1">
        <w:rPr>
          <w:rFonts w:ascii="Arial" w:eastAsia="Verdana" w:hAnsi="Arial" w:cs="Arial"/>
          <w:sz w:val="24"/>
          <w:szCs w:val="24"/>
          <w:lang w:val="en-US"/>
        </w:rPr>
        <w:t xml:space="preserve"> - M.P. Arezzo" Hospital, </w:t>
      </w:r>
      <w:proofErr w:type="spellStart"/>
      <w:r w:rsidRPr="00D81CC1">
        <w:rPr>
          <w:rFonts w:ascii="Arial" w:eastAsia="Verdana" w:hAnsi="Arial" w:cs="Arial"/>
          <w:sz w:val="24"/>
          <w:szCs w:val="24"/>
          <w:lang w:val="en-US"/>
        </w:rPr>
        <w:t>Azienda</w:t>
      </w:r>
      <w:proofErr w:type="spellEnd"/>
      <w:r w:rsidRPr="00D81CC1">
        <w:rPr>
          <w:rFonts w:ascii="Arial" w:eastAsia="Verdana" w:hAnsi="Arial" w:cs="Arial"/>
          <w:sz w:val="24"/>
          <w:szCs w:val="24"/>
          <w:lang w:val="en-US"/>
        </w:rPr>
        <w:t xml:space="preserve"> Sanitaria </w:t>
      </w:r>
      <w:proofErr w:type="spellStart"/>
      <w:r w:rsidRPr="00D81CC1">
        <w:rPr>
          <w:rFonts w:ascii="Arial" w:eastAsia="Verdana" w:hAnsi="Arial" w:cs="Arial"/>
          <w:sz w:val="24"/>
          <w:szCs w:val="24"/>
          <w:lang w:val="en-US"/>
        </w:rPr>
        <w:t>Provinciale</w:t>
      </w:r>
      <w:proofErr w:type="spellEnd"/>
      <w:r w:rsidRPr="00D81CC1">
        <w:rPr>
          <w:rFonts w:ascii="Arial" w:eastAsia="Verdana" w:hAnsi="Arial" w:cs="Arial"/>
          <w:sz w:val="24"/>
          <w:szCs w:val="24"/>
          <w:lang w:val="en-US"/>
        </w:rPr>
        <w:t xml:space="preserve"> No 7, Via Dante </w:t>
      </w:r>
      <w:proofErr w:type="spellStart"/>
      <w:r w:rsidRPr="00D81CC1">
        <w:rPr>
          <w:rFonts w:ascii="Arial" w:eastAsia="Verdana" w:hAnsi="Arial" w:cs="Arial"/>
          <w:sz w:val="24"/>
          <w:szCs w:val="24"/>
          <w:lang w:val="en-US"/>
        </w:rPr>
        <w:t>Nr</w:t>
      </w:r>
      <w:proofErr w:type="spellEnd"/>
      <w:r w:rsidRPr="00D81CC1">
        <w:rPr>
          <w:rFonts w:ascii="Arial" w:eastAsia="Verdana" w:hAnsi="Arial" w:cs="Arial"/>
          <w:sz w:val="24"/>
          <w:szCs w:val="24"/>
          <w:lang w:val="en-US"/>
        </w:rPr>
        <w:t xml:space="preserve">. 109, 97100 Ragusa, Italy, (34) </w:t>
      </w:r>
      <w:proofErr w:type="spellStart"/>
      <w:r w:rsidRPr="00D81CC1">
        <w:rPr>
          <w:rFonts w:ascii="Arial" w:eastAsia="Verdana" w:hAnsi="Arial" w:cs="Arial"/>
          <w:sz w:val="24"/>
          <w:szCs w:val="24"/>
          <w:lang w:val="en-US"/>
        </w:rPr>
        <w:t>Associazone</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Iblea</w:t>
      </w:r>
      <w:proofErr w:type="spellEnd"/>
      <w:r w:rsidRPr="00D81CC1">
        <w:rPr>
          <w:rFonts w:ascii="Arial" w:eastAsia="Verdana" w:hAnsi="Arial" w:cs="Arial"/>
          <w:sz w:val="24"/>
          <w:szCs w:val="24"/>
          <w:lang w:val="en-US"/>
        </w:rPr>
        <w:t xml:space="preserve"> per la </w:t>
      </w:r>
      <w:proofErr w:type="spellStart"/>
      <w:r w:rsidRPr="00D81CC1">
        <w:rPr>
          <w:rFonts w:ascii="Arial" w:eastAsia="Verdana" w:hAnsi="Arial" w:cs="Arial"/>
          <w:sz w:val="24"/>
          <w:szCs w:val="24"/>
          <w:lang w:val="en-US"/>
        </w:rPr>
        <w:t>Ricerca</w:t>
      </w:r>
      <w:proofErr w:type="spellEnd"/>
      <w:r w:rsidRPr="00D81CC1">
        <w:rPr>
          <w:rFonts w:ascii="Arial" w:eastAsia="Verdana" w:hAnsi="Arial" w:cs="Arial"/>
          <w:sz w:val="24"/>
          <w:szCs w:val="24"/>
          <w:lang w:val="en-US"/>
        </w:rPr>
        <w:t xml:space="preserve"> </w:t>
      </w:r>
      <w:proofErr w:type="spellStart"/>
      <w:r w:rsidRPr="00D81CC1">
        <w:rPr>
          <w:rFonts w:ascii="Arial" w:eastAsia="Verdana" w:hAnsi="Arial" w:cs="Arial"/>
          <w:sz w:val="24"/>
          <w:szCs w:val="24"/>
          <w:lang w:val="en-US"/>
        </w:rPr>
        <w:t>Epidemiologica</w:t>
      </w:r>
      <w:proofErr w:type="spellEnd"/>
      <w:r w:rsidRPr="00D81CC1">
        <w:rPr>
          <w:rFonts w:ascii="Arial" w:eastAsia="Verdana" w:hAnsi="Arial" w:cs="Arial"/>
          <w:sz w:val="24"/>
          <w:szCs w:val="24"/>
          <w:lang w:val="en-US"/>
        </w:rPr>
        <w:t xml:space="preserve"> - </w:t>
      </w:r>
      <w:proofErr w:type="spellStart"/>
      <w:r w:rsidRPr="00D81CC1">
        <w:rPr>
          <w:rFonts w:ascii="Arial" w:eastAsia="Verdana" w:hAnsi="Arial" w:cs="Arial"/>
          <w:sz w:val="24"/>
          <w:szCs w:val="24"/>
          <w:lang w:val="en-US"/>
        </w:rPr>
        <w:t>Onlus</w:t>
      </w:r>
      <w:proofErr w:type="spellEnd"/>
      <w:r w:rsidRPr="00D81CC1">
        <w:rPr>
          <w:rFonts w:ascii="Arial" w:eastAsia="Verdana" w:hAnsi="Arial" w:cs="Arial"/>
          <w:sz w:val="24"/>
          <w:szCs w:val="24"/>
          <w:lang w:val="en-US"/>
        </w:rPr>
        <w:t xml:space="preserve">, Piazza </w:t>
      </w:r>
      <w:proofErr w:type="spellStart"/>
      <w:r w:rsidRPr="00D81CC1">
        <w:rPr>
          <w:rFonts w:ascii="Arial" w:eastAsia="Verdana" w:hAnsi="Arial" w:cs="Arial"/>
          <w:sz w:val="24"/>
          <w:szCs w:val="24"/>
          <w:lang w:val="en-US"/>
        </w:rPr>
        <w:t>Ancione</w:t>
      </w:r>
      <w:proofErr w:type="spellEnd"/>
      <w:r w:rsidRPr="00D81CC1">
        <w:rPr>
          <w:rFonts w:ascii="Arial" w:eastAsia="Verdana" w:hAnsi="Arial" w:cs="Arial"/>
          <w:sz w:val="24"/>
          <w:szCs w:val="24"/>
          <w:lang w:val="en-US"/>
        </w:rPr>
        <w:t xml:space="preserve"> No 2, 97100, Ragusa (Italy), (35) Division of Human Nutrition - Section Nutrition and Epidemiology, </w:t>
      </w:r>
      <w:proofErr w:type="spellStart"/>
      <w:r w:rsidRPr="00D81CC1">
        <w:rPr>
          <w:rFonts w:ascii="Arial" w:eastAsia="Verdana" w:hAnsi="Arial" w:cs="Arial"/>
          <w:sz w:val="24"/>
          <w:szCs w:val="24"/>
          <w:lang w:val="en-US"/>
        </w:rPr>
        <w:t>Wageningen</w:t>
      </w:r>
      <w:proofErr w:type="spellEnd"/>
      <w:r w:rsidRPr="00D81CC1">
        <w:rPr>
          <w:rFonts w:ascii="Arial" w:eastAsia="Verdana" w:hAnsi="Arial" w:cs="Arial"/>
          <w:sz w:val="24"/>
          <w:szCs w:val="24"/>
          <w:lang w:val="en-US"/>
        </w:rPr>
        <w:t xml:space="preserve"> University, PO Box 8129, 6700 EV </w:t>
      </w:r>
      <w:proofErr w:type="spellStart"/>
      <w:r w:rsidRPr="00D81CC1">
        <w:rPr>
          <w:rFonts w:ascii="Arial" w:eastAsia="Verdana" w:hAnsi="Arial" w:cs="Arial"/>
          <w:sz w:val="24"/>
          <w:szCs w:val="24"/>
          <w:lang w:val="en-US"/>
        </w:rPr>
        <w:t>Wageningen</w:t>
      </w:r>
      <w:proofErr w:type="spellEnd"/>
      <w:r w:rsidRPr="00D81CC1">
        <w:rPr>
          <w:rFonts w:ascii="Arial" w:eastAsia="Verdana" w:hAnsi="Arial" w:cs="Arial"/>
          <w:sz w:val="24"/>
          <w:szCs w:val="24"/>
          <w:lang w:val="en-US"/>
        </w:rPr>
        <w:t>, The Netherlands, (36) School of Public Health, Imperial College London, Norfolk Place, London W2 1PG, UK</w:t>
      </w:r>
    </w:p>
    <w:p w:rsidR="00E460EA" w:rsidRPr="00E460EA" w:rsidRDefault="00E460EA" w:rsidP="00F328BE">
      <w:pPr>
        <w:spacing w:after="0" w:line="360" w:lineRule="auto"/>
        <w:jc w:val="both"/>
        <w:rPr>
          <w:rFonts w:ascii="Arial" w:eastAsia="Verdana" w:hAnsi="Arial" w:cs="Arial"/>
          <w:color w:val="FF0000"/>
          <w:sz w:val="24"/>
          <w:szCs w:val="24"/>
          <w:lang w:val="en-US"/>
        </w:rPr>
      </w:pPr>
    </w:p>
    <w:p w:rsidR="0071594B" w:rsidRPr="006447BA" w:rsidRDefault="0071594B" w:rsidP="00F328BE">
      <w:pPr>
        <w:spacing w:after="0" w:line="360" w:lineRule="auto"/>
        <w:jc w:val="both"/>
        <w:rPr>
          <w:rFonts w:ascii="Arial" w:eastAsia="Verdana" w:hAnsi="Arial" w:cs="Arial"/>
          <w:sz w:val="24"/>
          <w:szCs w:val="24"/>
          <w:lang w:val="en-US"/>
        </w:rPr>
      </w:pPr>
      <w:r w:rsidRPr="006447BA">
        <w:rPr>
          <w:rFonts w:ascii="Arial" w:eastAsia="Verdana" w:hAnsi="Arial" w:cs="Arial"/>
          <w:sz w:val="24"/>
          <w:szCs w:val="24"/>
          <w:lang w:val="en-US"/>
        </w:rPr>
        <w:t xml:space="preserve">Corresponding author: </w:t>
      </w:r>
    </w:p>
    <w:p w:rsidR="0071594B" w:rsidRPr="0018334E" w:rsidRDefault="00B83B60" w:rsidP="00F328BE">
      <w:pPr>
        <w:spacing w:after="0" w:line="240" w:lineRule="auto"/>
        <w:jc w:val="both"/>
        <w:rPr>
          <w:rFonts w:ascii="Arial" w:eastAsiaTheme="minorEastAsia" w:hAnsi="Arial" w:cs="Arial"/>
          <w:noProof/>
          <w:sz w:val="24"/>
          <w:szCs w:val="24"/>
          <w:lang w:eastAsia="en-GB"/>
        </w:rPr>
      </w:pPr>
      <w:bookmarkStart w:id="0" w:name="_MailAutoSig"/>
      <w:r>
        <w:rPr>
          <w:rFonts w:ascii="Arial" w:eastAsiaTheme="minorEastAsia" w:hAnsi="Arial" w:cs="Arial"/>
          <w:noProof/>
          <w:sz w:val="24"/>
          <w:szCs w:val="24"/>
          <w:lang w:eastAsia="en-GB"/>
        </w:rPr>
        <w:t>Dr Clara Podmore</w:t>
      </w:r>
    </w:p>
    <w:p w:rsidR="0071594B" w:rsidRPr="0018334E" w:rsidRDefault="0071594B" w:rsidP="00F328BE">
      <w:pPr>
        <w:spacing w:after="0" w:line="240" w:lineRule="auto"/>
        <w:jc w:val="both"/>
        <w:rPr>
          <w:rFonts w:ascii="Arial" w:eastAsiaTheme="minorEastAsia" w:hAnsi="Arial" w:cs="Arial"/>
          <w:noProof/>
          <w:sz w:val="24"/>
          <w:szCs w:val="24"/>
          <w:lang w:eastAsia="en-GB"/>
        </w:rPr>
      </w:pPr>
      <w:r w:rsidRPr="0018334E">
        <w:rPr>
          <w:rFonts w:ascii="Arial" w:eastAsiaTheme="minorEastAsia" w:hAnsi="Arial" w:cs="Arial"/>
          <w:noProof/>
          <w:sz w:val="24"/>
          <w:szCs w:val="24"/>
          <w:lang w:eastAsia="en-GB"/>
        </w:rPr>
        <w:t>MRC Epidemiology Unit</w:t>
      </w:r>
    </w:p>
    <w:p w:rsidR="0071594B" w:rsidRPr="0018334E" w:rsidRDefault="0071594B" w:rsidP="00F328BE">
      <w:pPr>
        <w:spacing w:after="0" w:line="240" w:lineRule="auto"/>
        <w:jc w:val="both"/>
        <w:rPr>
          <w:rFonts w:ascii="Arial" w:eastAsiaTheme="minorEastAsia" w:hAnsi="Arial" w:cs="Arial"/>
          <w:noProof/>
          <w:sz w:val="24"/>
          <w:szCs w:val="24"/>
          <w:lang w:eastAsia="en-GB"/>
        </w:rPr>
      </w:pPr>
      <w:r w:rsidRPr="0018334E">
        <w:rPr>
          <w:rFonts w:ascii="Arial" w:eastAsiaTheme="minorEastAsia" w:hAnsi="Arial" w:cs="Arial"/>
          <w:noProof/>
          <w:sz w:val="24"/>
          <w:szCs w:val="24"/>
          <w:lang w:eastAsia="en-GB"/>
        </w:rPr>
        <w:t xml:space="preserve">University of Cambridge </w:t>
      </w:r>
    </w:p>
    <w:p w:rsidR="0071594B" w:rsidRPr="0018334E" w:rsidRDefault="0071594B" w:rsidP="00F328BE">
      <w:pPr>
        <w:spacing w:after="0" w:line="240" w:lineRule="auto"/>
        <w:jc w:val="both"/>
        <w:rPr>
          <w:rFonts w:ascii="Arial" w:eastAsiaTheme="minorEastAsia" w:hAnsi="Arial" w:cs="Arial"/>
          <w:noProof/>
          <w:sz w:val="24"/>
          <w:szCs w:val="24"/>
          <w:lang w:eastAsia="en-GB"/>
        </w:rPr>
      </w:pPr>
      <w:r w:rsidRPr="0018334E">
        <w:rPr>
          <w:rFonts w:ascii="Arial" w:eastAsiaTheme="minorEastAsia" w:hAnsi="Arial" w:cs="Arial"/>
          <w:noProof/>
          <w:sz w:val="24"/>
          <w:szCs w:val="24"/>
          <w:lang w:eastAsia="en-GB"/>
        </w:rPr>
        <w:t>School of Clinical Medicine</w:t>
      </w:r>
    </w:p>
    <w:p w:rsidR="0071594B" w:rsidRPr="0018334E" w:rsidRDefault="0071594B" w:rsidP="00F328BE">
      <w:pPr>
        <w:spacing w:after="0" w:line="240" w:lineRule="auto"/>
        <w:jc w:val="both"/>
        <w:rPr>
          <w:rFonts w:ascii="Arial" w:eastAsiaTheme="minorEastAsia" w:hAnsi="Arial" w:cs="Arial"/>
          <w:noProof/>
          <w:sz w:val="24"/>
          <w:szCs w:val="24"/>
          <w:lang w:eastAsia="en-GB"/>
        </w:rPr>
      </w:pPr>
      <w:r w:rsidRPr="0018334E">
        <w:rPr>
          <w:rFonts w:ascii="Arial" w:eastAsiaTheme="minorEastAsia" w:hAnsi="Arial" w:cs="Arial"/>
          <w:noProof/>
          <w:sz w:val="24"/>
          <w:szCs w:val="24"/>
          <w:lang w:eastAsia="en-GB"/>
        </w:rPr>
        <w:t>Box 285 Institute of Metabolic Science</w:t>
      </w:r>
    </w:p>
    <w:p w:rsidR="0071594B" w:rsidRPr="0018334E" w:rsidRDefault="0071594B" w:rsidP="00F328BE">
      <w:pPr>
        <w:spacing w:after="0" w:line="240" w:lineRule="auto"/>
        <w:jc w:val="both"/>
        <w:rPr>
          <w:rFonts w:ascii="Arial" w:eastAsiaTheme="minorEastAsia" w:hAnsi="Arial" w:cs="Arial"/>
          <w:noProof/>
          <w:sz w:val="24"/>
          <w:szCs w:val="24"/>
          <w:lang w:eastAsia="en-GB"/>
        </w:rPr>
      </w:pPr>
      <w:r w:rsidRPr="0018334E">
        <w:rPr>
          <w:rFonts w:ascii="Arial" w:eastAsiaTheme="minorEastAsia" w:hAnsi="Arial" w:cs="Arial"/>
          <w:noProof/>
          <w:sz w:val="24"/>
          <w:szCs w:val="24"/>
          <w:lang w:eastAsia="en-GB"/>
        </w:rPr>
        <w:t>Cambridge Biomedical Campus</w:t>
      </w:r>
    </w:p>
    <w:p w:rsidR="0071594B" w:rsidRPr="0018334E" w:rsidRDefault="0071594B" w:rsidP="00F328BE">
      <w:pPr>
        <w:spacing w:after="0" w:line="240" w:lineRule="auto"/>
        <w:jc w:val="both"/>
        <w:rPr>
          <w:rFonts w:ascii="Arial" w:eastAsiaTheme="minorEastAsia" w:hAnsi="Arial" w:cs="Arial"/>
          <w:noProof/>
          <w:sz w:val="24"/>
          <w:szCs w:val="24"/>
          <w:lang w:eastAsia="en-GB"/>
        </w:rPr>
      </w:pPr>
      <w:r w:rsidRPr="0018334E">
        <w:rPr>
          <w:rFonts w:ascii="Arial" w:eastAsiaTheme="minorEastAsia" w:hAnsi="Arial" w:cs="Arial"/>
          <w:noProof/>
          <w:sz w:val="24"/>
          <w:szCs w:val="24"/>
          <w:lang w:eastAsia="en-GB"/>
        </w:rPr>
        <w:t>Cambridge CB2 0QQ</w:t>
      </w:r>
    </w:p>
    <w:p w:rsidR="0071594B" w:rsidRPr="0018334E" w:rsidRDefault="0071594B" w:rsidP="00F328BE">
      <w:pPr>
        <w:spacing w:after="0" w:line="240" w:lineRule="auto"/>
        <w:jc w:val="both"/>
        <w:rPr>
          <w:rFonts w:ascii="Arial" w:eastAsiaTheme="minorEastAsia" w:hAnsi="Arial" w:cs="Arial"/>
          <w:noProof/>
          <w:sz w:val="24"/>
          <w:szCs w:val="24"/>
          <w:lang w:eastAsia="en-GB"/>
        </w:rPr>
      </w:pPr>
      <w:r w:rsidRPr="0018334E">
        <w:rPr>
          <w:rFonts w:ascii="Arial" w:eastAsiaTheme="minorEastAsia" w:hAnsi="Arial" w:cs="Arial"/>
          <w:noProof/>
          <w:sz w:val="24"/>
          <w:szCs w:val="24"/>
          <w:lang w:eastAsia="en-GB"/>
        </w:rPr>
        <w:t>United Kingdom</w:t>
      </w:r>
    </w:p>
    <w:p w:rsidR="002F34F2" w:rsidRDefault="0071594B" w:rsidP="00F328BE">
      <w:pPr>
        <w:spacing w:after="0" w:line="240" w:lineRule="auto"/>
        <w:jc w:val="both"/>
        <w:rPr>
          <w:rFonts w:ascii="Arial" w:eastAsiaTheme="minorEastAsia" w:hAnsi="Arial" w:cs="Arial"/>
          <w:noProof/>
          <w:sz w:val="24"/>
          <w:szCs w:val="24"/>
          <w:lang w:eastAsia="en-GB"/>
        </w:rPr>
      </w:pPr>
      <w:r w:rsidRPr="0018334E">
        <w:rPr>
          <w:rFonts w:ascii="Arial" w:eastAsiaTheme="minorEastAsia" w:hAnsi="Arial" w:cs="Arial"/>
          <w:noProof/>
          <w:sz w:val="24"/>
          <w:szCs w:val="24"/>
          <w:lang w:eastAsia="en-GB"/>
        </w:rPr>
        <w:t>Telephone: +</w:t>
      </w:r>
      <w:r w:rsidRPr="0045610D">
        <w:rPr>
          <w:rFonts w:ascii="Arial" w:eastAsiaTheme="minorEastAsia" w:hAnsi="Arial" w:cs="Arial"/>
          <w:noProof/>
          <w:sz w:val="24"/>
          <w:szCs w:val="24"/>
          <w:lang w:eastAsia="en-GB"/>
        </w:rPr>
        <w:t xml:space="preserve">44  </w:t>
      </w:r>
      <w:r w:rsidR="00B83B60" w:rsidRPr="0045610D">
        <w:rPr>
          <w:rFonts w:ascii="Arial" w:eastAsiaTheme="minorEastAsia" w:hAnsi="Arial" w:cs="Arial"/>
          <w:noProof/>
          <w:sz w:val="24"/>
          <w:szCs w:val="24"/>
          <w:lang w:eastAsia="en-GB"/>
        </w:rPr>
        <w:t>(0)</w:t>
      </w:r>
      <w:r w:rsidR="00953DE9">
        <w:rPr>
          <w:rFonts w:ascii="Arial" w:eastAsiaTheme="minorEastAsia" w:hAnsi="Arial" w:cs="Arial"/>
          <w:noProof/>
          <w:sz w:val="24"/>
          <w:szCs w:val="24"/>
          <w:lang w:eastAsia="en-GB"/>
        </w:rPr>
        <w:t xml:space="preserve"> 1223 769168</w:t>
      </w:r>
      <w:r w:rsidR="00B83B60" w:rsidRPr="0045610D">
        <w:rPr>
          <w:rFonts w:ascii="Arial" w:eastAsiaTheme="minorEastAsia" w:hAnsi="Arial" w:cs="Arial"/>
          <w:noProof/>
          <w:sz w:val="24"/>
          <w:szCs w:val="24"/>
          <w:lang w:eastAsia="en-GB"/>
        </w:rPr>
        <w:t xml:space="preserve"> </w:t>
      </w:r>
    </w:p>
    <w:p w:rsidR="0071594B" w:rsidRPr="007656D2" w:rsidRDefault="0071594B" w:rsidP="00F328BE">
      <w:pPr>
        <w:spacing w:after="0" w:line="240" w:lineRule="auto"/>
        <w:jc w:val="both"/>
        <w:rPr>
          <w:rFonts w:ascii="Arial" w:eastAsiaTheme="minorEastAsia" w:hAnsi="Arial" w:cs="Arial"/>
          <w:noProof/>
          <w:sz w:val="24"/>
          <w:szCs w:val="24"/>
          <w:lang w:eastAsia="en-GB"/>
        </w:rPr>
      </w:pPr>
      <w:r w:rsidRPr="007656D2">
        <w:rPr>
          <w:rFonts w:ascii="Arial" w:eastAsiaTheme="minorEastAsia" w:hAnsi="Arial" w:cs="Arial"/>
          <w:noProof/>
          <w:sz w:val="24"/>
          <w:szCs w:val="24"/>
          <w:lang w:eastAsia="en-GB"/>
        </w:rPr>
        <w:t>Fax: +44 (0)1223 330316</w:t>
      </w:r>
    </w:p>
    <w:bookmarkEnd w:id="0"/>
    <w:p w:rsidR="0071594B" w:rsidRPr="007656D2" w:rsidRDefault="0071594B" w:rsidP="00F328BE">
      <w:pPr>
        <w:spacing w:after="0" w:line="240" w:lineRule="auto"/>
        <w:jc w:val="both"/>
        <w:rPr>
          <w:rFonts w:ascii="Arial" w:eastAsiaTheme="minorEastAsia" w:hAnsi="Arial" w:cs="Arial"/>
          <w:noProof/>
          <w:sz w:val="24"/>
          <w:szCs w:val="24"/>
          <w:lang w:eastAsia="en-GB"/>
        </w:rPr>
      </w:pPr>
      <w:r w:rsidRPr="007656D2">
        <w:rPr>
          <w:rFonts w:ascii="Arial" w:eastAsiaTheme="minorEastAsia" w:hAnsi="Arial" w:cs="Arial"/>
          <w:noProof/>
          <w:sz w:val="24"/>
          <w:szCs w:val="24"/>
          <w:lang w:eastAsia="en-GB"/>
        </w:rPr>
        <w:t xml:space="preserve">Email: </w:t>
      </w:r>
      <w:r w:rsidR="0045610D" w:rsidRPr="007656D2">
        <w:rPr>
          <w:rFonts w:ascii="Arial" w:eastAsiaTheme="minorEastAsia" w:hAnsi="Arial" w:cs="Arial"/>
          <w:noProof/>
          <w:sz w:val="24"/>
          <w:szCs w:val="24"/>
          <w:lang w:eastAsia="en-GB"/>
        </w:rPr>
        <w:t>clara.podmore</w:t>
      </w:r>
      <w:hyperlink r:id="rId9" w:history="1">
        <w:r w:rsidRPr="007656D2">
          <w:rPr>
            <w:rStyle w:val="Hyperlink"/>
            <w:rFonts w:ascii="Arial" w:eastAsiaTheme="minorEastAsia" w:hAnsi="Arial" w:cs="Arial"/>
            <w:noProof/>
            <w:color w:val="auto"/>
            <w:sz w:val="24"/>
            <w:szCs w:val="24"/>
            <w:u w:val="none"/>
            <w:lang w:eastAsia="en-GB"/>
          </w:rPr>
          <w:t>@mrc-epid.cam.ac.uk</w:t>
        </w:r>
      </w:hyperlink>
    </w:p>
    <w:p w:rsidR="00891484" w:rsidRPr="007656D2" w:rsidRDefault="00891484" w:rsidP="00F328BE">
      <w:pPr>
        <w:spacing w:after="0" w:line="360" w:lineRule="auto"/>
        <w:jc w:val="both"/>
        <w:rPr>
          <w:rFonts w:ascii="Arial" w:eastAsia="Verdana" w:hAnsi="Arial" w:cs="Arial"/>
          <w:b/>
          <w:sz w:val="24"/>
          <w:szCs w:val="24"/>
        </w:rPr>
      </w:pPr>
    </w:p>
    <w:p w:rsidR="00B2117A" w:rsidRPr="0018334E" w:rsidRDefault="00A46774" w:rsidP="00F328BE">
      <w:pPr>
        <w:spacing w:after="0" w:line="360" w:lineRule="auto"/>
        <w:jc w:val="both"/>
        <w:rPr>
          <w:rFonts w:ascii="Arial" w:eastAsia="Verdana" w:hAnsi="Arial" w:cs="Arial"/>
          <w:sz w:val="24"/>
          <w:szCs w:val="24"/>
          <w:lang w:val="en-US"/>
        </w:rPr>
      </w:pPr>
      <w:r w:rsidRPr="006447BA">
        <w:rPr>
          <w:rFonts w:ascii="Arial" w:eastAsia="Verdana" w:hAnsi="Arial" w:cs="Arial"/>
          <w:sz w:val="24"/>
          <w:szCs w:val="24"/>
          <w:lang w:val="en-US"/>
        </w:rPr>
        <w:t>Abbreviations:</w:t>
      </w:r>
      <w:r w:rsidR="00B11732" w:rsidRPr="0018334E">
        <w:rPr>
          <w:rFonts w:ascii="Arial" w:eastAsia="Verdana" w:hAnsi="Arial" w:cs="Arial"/>
          <w:sz w:val="24"/>
          <w:szCs w:val="24"/>
          <w:lang w:val="en-US"/>
        </w:rPr>
        <w:t xml:space="preserve"> </w:t>
      </w:r>
      <w:r w:rsidRPr="0018334E">
        <w:rPr>
          <w:rFonts w:ascii="Arial" w:eastAsia="Verdana" w:hAnsi="Arial" w:cs="Arial"/>
          <w:sz w:val="24"/>
          <w:szCs w:val="24"/>
          <w:lang w:val="en-US"/>
        </w:rPr>
        <w:t>ALT: alanine aminotransferase</w:t>
      </w:r>
      <w:r w:rsidR="00B11732" w:rsidRPr="0018334E">
        <w:rPr>
          <w:rFonts w:ascii="Arial" w:eastAsia="Verdana" w:hAnsi="Arial" w:cs="Arial"/>
          <w:sz w:val="24"/>
          <w:szCs w:val="24"/>
          <w:lang w:val="en-US"/>
        </w:rPr>
        <w:t xml:space="preserve">; </w:t>
      </w:r>
      <w:r w:rsidRPr="0018334E">
        <w:rPr>
          <w:rFonts w:ascii="Arial" w:eastAsia="Verdana" w:hAnsi="Arial" w:cs="Arial"/>
          <w:sz w:val="24"/>
          <w:szCs w:val="24"/>
          <w:lang w:val="en-US"/>
        </w:rPr>
        <w:t>AST: aspartate aminotransferase</w:t>
      </w:r>
      <w:r w:rsidR="00B11732" w:rsidRPr="0018334E">
        <w:rPr>
          <w:rFonts w:ascii="Arial" w:eastAsia="Verdana" w:hAnsi="Arial" w:cs="Arial"/>
          <w:sz w:val="24"/>
          <w:szCs w:val="24"/>
          <w:lang w:val="en-US"/>
        </w:rPr>
        <w:t xml:space="preserve">; </w:t>
      </w:r>
      <w:r w:rsidR="00477057" w:rsidRPr="0018334E">
        <w:rPr>
          <w:rFonts w:ascii="Arial" w:eastAsia="Verdana" w:hAnsi="Arial" w:cs="Arial"/>
          <w:sz w:val="24"/>
          <w:szCs w:val="24"/>
          <w:lang w:val="en-US"/>
        </w:rPr>
        <w:t>BMI: body mass index</w:t>
      </w:r>
      <w:r w:rsidR="00B11732" w:rsidRPr="0018334E">
        <w:rPr>
          <w:rFonts w:ascii="Arial" w:eastAsia="Verdana" w:hAnsi="Arial" w:cs="Arial"/>
          <w:sz w:val="24"/>
          <w:szCs w:val="24"/>
          <w:lang w:val="en-US"/>
        </w:rPr>
        <w:t xml:space="preserve">; </w:t>
      </w:r>
      <w:r w:rsidRPr="0018334E">
        <w:rPr>
          <w:rFonts w:ascii="Arial" w:eastAsia="Verdana" w:hAnsi="Arial" w:cs="Arial"/>
          <w:sz w:val="24"/>
          <w:szCs w:val="24"/>
          <w:lang w:val="en-US"/>
        </w:rPr>
        <w:t xml:space="preserve">EPIC: </w:t>
      </w:r>
      <w:r w:rsidRPr="0018334E">
        <w:rPr>
          <w:rFonts w:ascii="Arial" w:hAnsi="Arial" w:cs="Arial"/>
          <w:sz w:val="24"/>
          <w:szCs w:val="24"/>
          <w:lang w:val="en-US"/>
        </w:rPr>
        <w:t>European Prospective Investigation into Cancer and Nutrition</w:t>
      </w:r>
      <w:r w:rsidR="00B11732" w:rsidRPr="0018334E">
        <w:rPr>
          <w:rFonts w:ascii="Arial" w:hAnsi="Arial" w:cs="Arial"/>
          <w:sz w:val="24"/>
          <w:szCs w:val="24"/>
          <w:lang w:val="en-US"/>
        </w:rPr>
        <w:t xml:space="preserve">; </w:t>
      </w:r>
      <w:r w:rsidRPr="0018334E">
        <w:rPr>
          <w:rFonts w:ascii="Arial" w:eastAsia="Verdana" w:hAnsi="Arial" w:cs="Arial"/>
          <w:sz w:val="24"/>
          <w:szCs w:val="24"/>
          <w:lang w:val="en-US"/>
        </w:rPr>
        <w:t>GGT: gamma-</w:t>
      </w:r>
      <w:proofErr w:type="spellStart"/>
      <w:r w:rsidRPr="0018334E">
        <w:rPr>
          <w:rFonts w:ascii="Arial" w:hAnsi="Arial" w:cs="Arial"/>
          <w:bCs/>
          <w:iCs/>
          <w:sz w:val="24"/>
          <w:szCs w:val="24"/>
          <w:shd w:val="clear" w:color="auto" w:fill="FFFFFF"/>
          <w:lang w:val="en-US"/>
        </w:rPr>
        <w:t>g</w:t>
      </w:r>
      <w:r w:rsidRPr="0018334E">
        <w:rPr>
          <w:rStyle w:val="Emphasis"/>
          <w:rFonts w:ascii="Arial" w:hAnsi="Arial" w:cs="Arial"/>
          <w:bCs/>
          <w:i w:val="0"/>
          <w:iCs w:val="0"/>
          <w:sz w:val="24"/>
          <w:szCs w:val="24"/>
          <w:shd w:val="clear" w:color="auto" w:fill="FFFFFF"/>
          <w:lang w:val="en-US"/>
        </w:rPr>
        <w:t>lutamyl</w:t>
      </w:r>
      <w:proofErr w:type="spellEnd"/>
      <w:r w:rsidRPr="0018334E">
        <w:rPr>
          <w:rStyle w:val="Emphasis"/>
          <w:rFonts w:ascii="Arial" w:hAnsi="Arial" w:cs="Arial"/>
          <w:bCs/>
          <w:i w:val="0"/>
          <w:iCs w:val="0"/>
          <w:sz w:val="24"/>
          <w:szCs w:val="24"/>
          <w:shd w:val="clear" w:color="auto" w:fill="FFFFFF"/>
          <w:lang w:val="en-US"/>
        </w:rPr>
        <w:t xml:space="preserve"> </w:t>
      </w:r>
      <w:proofErr w:type="spellStart"/>
      <w:r w:rsidRPr="0018334E">
        <w:rPr>
          <w:rStyle w:val="Emphasis"/>
          <w:rFonts w:ascii="Arial" w:hAnsi="Arial" w:cs="Arial"/>
          <w:bCs/>
          <w:i w:val="0"/>
          <w:iCs w:val="0"/>
          <w:sz w:val="24"/>
          <w:szCs w:val="24"/>
          <w:shd w:val="clear" w:color="auto" w:fill="FFFFFF"/>
          <w:lang w:val="en-US"/>
        </w:rPr>
        <w:t>transpeptidase</w:t>
      </w:r>
      <w:proofErr w:type="spellEnd"/>
      <w:r w:rsidR="00B11732" w:rsidRPr="0018334E">
        <w:rPr>
          <w:rStyle w:val="Emphasis"/>
          <w:rFonts w:ascii="Arial" w:hAnsi="Arial" w:cs="Arial"/>
          <w:bCs/>
          <w:i w:val="0"/>
          <w:iCs w:val="0"/>
          <w:sz w:val="24"/>
          <w:szCs w:val="24"/>
          <w:shd w:val="clear" w:color="auto" w:fill="FFFFFF"/>
          <w:lang w:val="en-US"/>
        </w:rPr>
        <w:t xml:space="preserve">; </w:t>
      </w:r>
      <w:r w:rsidR="00646AD7" w:rsidRPr="0018334E">
        <w:rPr>
          <w:rFonts w:ascii="Arial" w:eastAsia="Verdana" w:hAnsi="Arial" w:cs="Arial"/>
          <w:sz w:val="24"/>
          <w:szCs w:val="24"/>
          <w:lang w:val="en-US"/>
        </w:rPr>
        <w:t xml:space="preserve">HHC: hereditary hemochromatosis; </w:t>
      </w:r>
      <w:r w:rsidRPr="0018334E">
        <w:rPr>
          <w:rFonts w:ascii="Arial" w:eastAsia="Verdana" w:hAnsi="Arial" w:cs="Arial"/>
          <w:sz w:val="24"/>
          <w:szCs w:val="24"/>
          <w:lang w:val="en-US"/>
        </w:rPr>
        <w:t>HR: hazard ratio</w:t>
      </w:r>
      <w:r w:rsidR="00B11732" w:rsidRPr="0018334E">
        <w:rPr>
          <w:rFonts w:ascii="Arial" w:eastAsia="Verdana" w:hAnsi="Arial" w:cs="Arial"/>
          <w:sz w:val="24"/>
          <w:szCs w:val="24"/>
          <w:lang w:val="en-US"/>
        </w:rPr>
        <w:t xml:space="preserve">; </w:t>
      </w:r>
      <w:proofErr w:type="spellStart"/>
      <w:r w:rsidRPr="0018334E">
        <w:rPr>
          <w:rFonts w:ascii="Arial" w:eastAsia="Verdana" w:hAnsi="Arial" w:cs="Arial"/>
          <w:sz w:val="24"/>
          <w:szCs w:val="24"/>
          <w:lang w:val="en-US"/>
        </w:rPr>
        <w:t>hsCRP</w:t>
      </w:r>
      <w:proofErr w:type="spellEnd"/>
      <w:r w:rsidRPr="0018334E">
        <w:rPr>
          <w:rFonts w:ascii="Arial" w:eastAsia="Verdana" w:hAnsi="Arial" w:cs="Arial"/>
          <w:sz w:val="24"/>
          <w:szCs w:val="24"/>
          <w:lang w:val="en-US"/>
        </w:rPr>
        <w:t xml:space="preserve">: </w:t>
      </w:r>
      <w:r w:rsidR="00A9063B" w:rsidRPr="0018334E">
        <w:rPr>
          <w:rFonts w:ascii="Arial" w:eastAsia="Verdana" w:hAnsi="Arial" w:cs="Arial"/>
          <w:sz w:val="24"/>
          <w:szCs w:val="24"/>
          <w:lang w:val="en-US"/>
        </w:rPr>
        <w:t xml:space="preserve">high sensitivity </w:t>
      </w:r>
      <w:r w:rsidRPr="0018334E">
        <w:rPr>
          <w:rFonts w:ascii="Arial" w:eastAsia="Verdana" w:hAnsi="Arial" w:cs="Arial"/>
          <w:sz w:val="24"/>
          <w:szCs w:val="24"/>
          <w:lang w:val="en-US"/>
        </w:rPr>
        <w:t>C-reactive protein</w:t>
      </w:r>
      <w:r w:rsidR="00B11732" w:rsidRPr="0018334E">
        <w:rPr>
          <w:rFonts w:ascii="Arial" w:eastAsia="Verdana" w:hAnsi="Arial" w:cs="Arial"/>
          <w:sz w:val="24"/>
          <w:szCs w:val="24"/>
          <w:lang w:val="en-US"/>
        </w:rPr>
        <w:t xml:space="preserve">; </w:t>
      </w:r>
      <w:r w:rsidR="00444BC7" w:rsidRPr="0018334E">
        <w:rPr>
          <w:rFonts w:ascii="Arial" w:hAnsi="Arial" w:cs="Arial"/>
          <w:sz w:val="24"/>
          <w:szCs w:val="24"/>
          <w:lang w:val="en-US"/>
        </w:rPr>
        <w:t xml:space="preserve">NAFLD: non-alcoholic </w:t>
      </w:r>
      <w:r w:rsidR="00163C6B" w:rsidRPr="0018334E">
        <w:rPr>
          <w:rFonts w:ascii="Arial" w:hAnsi="Arial" w:cs="Arial"/>
          <w:sz w:val="24"/>
          <w:szCs w:val="24"/>
          <w:lang w:val="en-US"/>
        </w:rPr>
        <w:t xml:space="preserve">fatty </w:t>
      </w:r>
      <w:r w:rsidR="00444BC7" w:rsidRPr="0018334E">
        <w:rPr>
          <w:rFonts w:ascii="Arial" w:hAnsi="Arial" w:cs="Arial"/>
          <w:sz w:val="24"/>
          <w:szCs w:val="24"/>
          <w:lang w:val="en-US"/>
        </w:rPr>
        <w:t>liver disease</w:t>
      </w:r>
      <w:r w:rsidR="00B11732" w:rsidRPr="0018334E">
        <w:rPr>
          <w:rFonts w:ascii="Arial" w:hAnsi="Arial" w:cs="Arial"/>
          <w:sz w:val="24"/>
          <w:szCs w:val="24"/>
          <w:lang w:val="en-US"/>
        </w:rPr>
        <w:t xml:space="preserve">; </w:t>
      </w:r>
      <w:r w:rsidRPr="0018334E">
        <w:rPr>
          <w:rFonts w:ascii="Arial" w:eastAsia="Verdana" w:hAnsi="Arial" w:cs="Arial"/>
          <w:sz w:val="24"/>
          <w:szCs w:val="24"/>
          <w:lang w:val="en-US"/>
        </w:rPr>
        <w:t>SD: standard deviation</w:t>
      </w:r>
      <w:r w:rsidR="00B11732" w:rsidRPr="0018334E">
        <w:rPr>
          <w:rFonts w:ascii="Arial" w:eastAsia="Verdana" w:hAnsi="Arial" w:cs="Arial"/>
          <w:sz w:val="24"/>
          <w:szCs w:val="24"/>
          <w:lang w:val="en-US"/>
        </w:rPr>
        <w:t xml:space="preserve">; </w:t>
      </w:r>
      <w:r w:rsidR="00D26C7E" w:rsidRPr="0018334E">
        <w:rPr>
          <w:rFonts w:ascii="Arial" w:eastAsia="Verdana" w:hAnsi="Arial" w:cs="Arial"/>
          <w:sz w:val="24"/>
          <w:szCs w:val="24"/>
          <w:lang w:val="en-US"/>
        </w:rPr>
        <w:t>TSAT: transferrin saturation</w:t>
      </w:r>
      <w:r w:rsidR="00B11732" w:rsidRPr="0018334E">
        <w:rPr>
          <w:rFonts w:ascii="Arial" w:eastAsia="Verdana" w:hAnsi="Arial" w:cs="Arial"/>
          <w:sz w:val="24"/>
          <w:szCs w:val="24"/>
          <w:lang w:val="en-US"/>
        </w:rPr>
        <w:t xml:space="preserve">; </w:t>
      </w:r>
      <w:r w:rsidRPr="0018334E">
        <w:rPr>
          <w:rFonts w:ascii="Arial" w:eastAsia="Verdana" w:hAnsi="Arial" w:cs="Arial"/>
          <w:sz w:val="24"/>
          <w:szCs w:val="24"/>
          <w:lang w:val="en-US"/>
        </w:rPr>
        <w:t>T2D: type 2 diabetes</w:t>
      </w:r>
      <w:r w:rsidR="00B11732" w:rsidRPr="0018334E">
        <w:rPr>
          <w:rFonts w:ascii="Arial" w:eastAsia="Verdana" w:hAnsi="Arial" w:cs="Arial"/>
          <w:sz w:val="24"/>
          <w:szCs w:val="24"/>
          <w:lang w:val="en-US"/>
        </w:rPr>
        <w:t xml:space="preserve">; </w:t>
      </w:r>
      <w:r w:rsidRPr="0018334E">
        <w:rPr>
          <w:rFonts w:ascii="Arial" w:eastAsia="Verdana" w:hAnsi="Arial" w:cs="Arial"/>
          <w:sz w:val="24"/>
          <w:szCs w:val="24"/>
          <w:lang w:val="en-US"/>
        </w:rPr>
        <w:t>95% CI: 95% confidence intervals</w:t>
      </w:r>
    </w:p>
    <w:p w:rsidR="00D34F38" w:rsidRPr="0018334E" w:rsidRDefault="00D34F38" w:rsidP="00F328BE">
      <w:pPr>
        <w:jc w:val="both"/>
        <w:rPr>
          <w:rFonts w:ascii="Arial" w:eastAsia="Verdana" w:hAnsi="Arial" w:cs="Arial"/>
          <w:b/>
          <w:sz w:val="24"/>
          <w:szCs w:val="24"/>
          <w:lang w:val="en-US"/>
        </w:rPr>
      </w:pPr>
      <w:r w:rsidRPr="0018334E">
        <w:rPr>
          <w:rFonts w:ascii="Arial" w:hAnsi="Arial" w:cs="Arial"/>
          <w:b/>
          <w:sz w:val="24"/>
          <w:szCs w:val="24"/>
          <w:lang w:val="en-US"/>
        </w:rPr>
        <w:br w:type="page"/>
      </w:r>
      <w:r w:rsidRPr="0018334E">
        <w:rPr>
          <w:rFonts w:ascii="Arial" w:eastAsia="Verdana" w:hAnsi="Arial" w:cs="Arial"/>
          <w:b/>
          <w:sz w:val="24"/>
          <w:szCs w:val="24"/>
          <w:lang w:val="en-US"/>
        </w:rPr>
        <w:lastRenderedPageBreak/>
        <w:t xml:space="preserve">Abstract </w:t>
      </w:r>
    </w:p>
    <w:p w:rsidR="00D34F38" w:rsidRPr="0018334E" w:rsidRDefault="00D34F38" w:rsidP="00F328BE">
      <w:pPr>
        <w:spacing w:after="0" w:line="360" w:lineRule="auto"/>
        <w:jc w:val="both"/>
        <w:rPr>
          <w:rFonts w:ascii="Arial" w:eastAsia="Verdana" w:hAnsi="Arial" w:cs="Arial"/>
          <w:b/>
          <w:sz w:val="24"/>
          <w:szCs w:val="24"/>
          <w:lang w:val="en-US"/>
        </w:rPr>
      </w:pPr>
    </w:p>
    <w:p w:rsidR="00D34F38" w:rsidRPr="00022037" w:rsidRDefault="0081794C" w:rsidP="00F328BE">
      <w:pPr>
        <w:spacing w:after="0" w:line="360" w:lineRule="auto"/>
        <w:jc w:val="both"/>
        <w:rPr>
          <w:rFonts w:ascii="Arial" w:eastAsia="Verdana" w:hAnsi="Arial" w:cs="Arial"/>
          <w:i/>
          <w:sz w:val="24"/>
          <w:szCs w:val="24"/>
          <w:lang w:val="en-US"/>
        </w:rPr>
      </w:pPr>
      <w:r w:rsidRPr="00022037">
        <w:rPr>
          <w:rFonts w:ascii="Arial" w:eastAsia="Verdana" w:hAnsi="Arial" w:cs="Arial"/>
          <w:i/>
          <w:sz w:val="24"/>
          <w:szCs w:val="24"/>
          <w:lang w:val="en-US"/>
        </w:rPr>
        <w:t>Objective</w:t>
      </w:r>
    </w:p>
    <w:p w:rsidR="00A2199F" w:rsidRPr="0018334E" w:rsidRDefault="00A2199F" w:rsidP="00F328BE">
      <w:pPr>
        <w:spacing w:after="0" w:line="360" w:lineRule="auto"/>
        <w:jc w:val="both"/>
        <w:rPr>
          <w:rFonts w:ascii="Arial" w:eastAsia="Verdana" w:hAnsi="Arial" w:cs="Arial"/>
          <w:sz w:val="24"/>
          <w:szCs w:val="24"/>
          <w:lang w:val="en-US"/>
        </w:rPr>
      </w:pPr>
      <w:r w:rsidRPr="0018334E">
        <w:rPr>
          <w:rFonts w:ascii="Arial" w:eastAsia="Verdana" w:hAnsi="Arial" w:cs="Arial"/>
          <w:sz w:val="24"/>
          <w:szCs w:val="24"/>
          <w:lang w:val="en-US"/>
        </w:rPr>
        <w:t>Observational studies show a</w:t>
      </w:r>
      <w:r w:rsidR="00FA37C4" w:rsidRPr="0018334E">
        <w:rPr>
          <w:rFonts w:ascii="Arial" w:eastAsia="Verdana" w:hAnsi="Arial" w:cs="Arial"/>
          <w:sz w:val="24"/>
          <w:szCs w:val="24"/>
          <w:lang w:val="en-US"/>
        </w:rPr>
        <w:t>n</w:t>
      </w:r>
      <w:r w:rsidRPr="0018334E">
        <w:rPr>
          <w:rFonts w:ascii="Arial" w:eastAsia="Verdana" w:hAnsi="Arial" w:cs="Arial"/>
          <w:sz w:val="24"/>
          <w:szCs w:val="24"/>
          <w:lang w:val="en-US"/>
        </w:rPr>
        <w:t xml:space="preserve"> association between ferritin and type 2 diabetes (T2D), suggesting a role of high iron stores for T2D development. However, ferritin is influenced by factors other than iron stores, </w:t>
      </w:r>
      <w:r w:rsidR="008E6B08">
        <w:rPr>
          <w:rFonts w:ascii="Arial" w:eastAsia="Verdana" w:hAnsi="Arial" w:cs="Arial"/>
          <w:sz w:val="24"/>
          <w:szCs w:val="24"/>
          <w:lang w:val="en-US"/>
        </w:rPr>
        <w:t>which is less the case for</w:t>
      </w:r>
      <w:r w:rsidR="008E6B08" w:rsidRPr="0018334E">
        <w:rPr>
          <w:rFonts w:ascii="Arial" w:eastAsia="Verdana" w:hAnsi="Arial" w:cs="Arial"/>
          <w:sz w:val="24"/>
          <w:szCs w:val="24"/>
          <w:lang w:val="en-US"/>
        </w:rPr>
        <w:t xml:space="preserve"> </w:t>
      </w:r>
      <w:r w:rsidRPr="0018334E">
        <w:rPr>
          <w:rFonts w:ascii="Arial" w:eastAsia="Verdana" w:hAnsi="Arial" w:cs="Arial"/>
          <w:sz w:val="24"/>
          <w:szCs w:val="24"/>
          <w:lang w:val="en-US"/>
        </w:rPr>
        <w:t xml:space="preserve">other biomarkers of iron metabolism. </w:t>
      </w:r>
      <w:r w:rsidR="00490331" w:rsidRPr="0018334E">
        <w:rPr>
          <w:rFonts w:ascii="Arial" w:eastAsia="Verdana" w:hAnsi="Arial" w:cs="Arial"/>
          <w:sz w:val="24"/>
          <w:szCs w:val="24"/>
          <w:lang w:val="en-US"/>
        </w:rPr>
        <w:t>We</w:t>
      </w:r>
      <w:r w:rsidRPr="0018334E">
        <w:rPr>
          <w:rFonts w:ascii="Arial" w:eastAsia="Verdana" w:hAnsi="Arial" w:cs="Arial"/>
          <w:sz w:val="24"/>
          <w:szCs w:val="24"/>
          <w:lang w:val="en-US"/>
        </w:rPr>
        <w:t xml:space="preserve"> investigate association</w:t>
      </w:r>
      <w:r w:rsidR="006133FB" w:rsidRPr="0018334E">
        <w:rPr>
          <w:rFonts w:ascii="Arial" w:eastAsia="Verdana" w:hAnsi="Arial" w:cs="Arial"/>
          <w:sz w:val="24"/>
          <w:szCs w:val="24"/>
          <w:lang w:val="en-US"/>
        </w:rPr>
        <w:t>s of</w:t>
      </w:r>
      <w:r w:rsidRPr="0018334E">
        <w:rPr>
          <w:rFonts w:ascii="Arial" w:eastAsia="Verdana" w:hAnsi="Arial" w:cs="Arial"/>
          <w:sz w:val="24"/>
          <w:szCs w:val="24"/>
          <w:lang w:val="en-US"/>
        </w:rPr>
        <w:t xml:space="preserve"> ferritin, transferrin saturation (TSAT), serum iron and transferrin with T2D</w:t>
      </w:r>
      <w:r w:rsidR="006133FB" w:rsidRPr="0018334E">
        <w:rPr>
          <w:rFonts w:ascii="Arial" w:eastAsia="Verdana" w:hAnsi="Arial" w:cs="Arial"/>
          <w:sz w:val="24"/>
          <w:szCs w:val="24"/>
          <w:lang w:val="en-US"/>
        </w:rPr>
        <w:t xml:space="preserve"> incidence</w:t>
      </w:r>
      <w:r w:rsidRPr="0018334E">
        <w:rPr>
          <w:rFonts w:ascii="Arial" w:eastAsia="Verdana" w:hAnsi="Arial" w:cs="Arial"/>
          <w:sz w:val="24"/>
          <w:szCs w:val="24"/>
          <w:lang w:val="en-US"/>
        </w:rPr>
        <w:t xml:space="preserve">, to clarify the role of iron in the pathogenesis of T2D. </w:t>
      </w:r>
    </w:p>
    <w:p w:rsidR="00325D15" w:rsidRPr="0018334E" w:rsidRDefault="00325D15" w:rsidP="00F328BE">
      <w:pPr>
        <w:spacing w:after="0" w:line="360" w:lineRule="auto"/>
        <w:jc w:val="both"/>
        <w:rPr>
          <w:rFonts w:ascii="Arial" w:eastAsia="Verdana" w:hAnsi="Arial" w:cs="Arial"/>
          <w:b/>
          <w:sz w:val="24"/>
          <w:szCs w:val="24"/>
          <w:lang w:val="en-US"/>
        </w:rPr>
      </w:pPr>
    </w:p>
    <w:p w:rsidR="00D34F38" w:rsidRPr="00022037" w:rsidRDefault="0081794C" w:rsidP="00F328BE">
      <w:pPr>
        <w:spacing w:after="0" w:line="360" w:lineRule="auto"/>
        <w:jc w:val="both"/>
        <w:rPr>
          <w:rFonts w:ascii="Arial" w:eastAsia="Verdana" w:hAnsi="Arial" w:cs="Arial"/>
          <w:i/>
          <w:sz w:val="24"/>
          <w:szCs w:val="24"/>
          <w:lang w:val="en-US"/>
        </w:rPr>
      </w:pPr>
      <w:r w:rsidRPr="00022037">
        <w:rPr>
          <w:rFonts w:ascii="Arial" w:eastAsia="Verdana" w:hAnsi="Arial" w:cs="Arial"/>
          <w:i/>
          <w:sz w:val="24"/>
          <w:szCs w:val="24"/>
          <w:lang w:val="en-US"/>
        </w:rPr>
        <w:t>Research and Design Methods</w:t>
      </w:r>
    </w:p>
    <w:p w:rsidR="0081794C" w:rsidRPr="0018334E" w:rsidRDefault="00D34F38" w:rsidP="00F328BE">
      <w:pPr>
        <w:spacing w:after="0" w:line="360" w:lineRule="auto"/>
        <w:jc w:val="both"/>
        <w:rPr>
          <w:rFonts w:ascii="Arial" w:hAnsi="Arial" w:cs="Arial"/>
          <w:sz w:val="24"/>
          <w:szCs w:val="24"/>
          <w:lang w:val="en-US"/>
        </w:rPr>
      </w:pPr>
      <w:r w:rsidRPr="0018334E">
        <w:rPr>
          <w:rFonts w:ascii="Arial" w:eastAsia="Verdana" w:hAnsi="Arial" w:cs="Arial"/>
          <w:sz w:val="24"/>
          <w:szCs w:val="24"/>
          <w:lang w:val="en-US"/>
        </w:rPr>
        <w:t>The EPIC-</w:t>
      </w:r>
      <w:proofErr w:type="spellStart"/>
      <w:r w:rsidRPr="0018334E">
        <w:rPr>
          <w:rFonts w:ascii="Arial" w:eastAsia="Verdana" w:hAnsi="Arial" w:cs="Arial"/>
          <w:sz w:val="24"/>
          <w:szCs w:val="24"/>
          <w:lang w:val="en-US"/>
        </w:rPr>
        <w:t>InterAct</w:t>
      </w:r>
      <w:proofErr w:type="spellEnd"/>
      <w:r w:rsidRPr="0018334E">
        <w:rPr>
          <w:rFonts w:ascii="Arial" w:eastAsia="Verdana" w:hAnsi="Arial" w:cs="Arial"/>
          <w:sz w:val="24"/>
          <w:szCs w:val="24"/>
          <w:lang w:val="en-US"/>
        </w:rPr>
        <w:t xml:space="preserve"> study includes 12,403 incident T2D cases and a representative sub-cohort of 16,154 individuals from a </w:t>
      </w:r>
      <w:r w:rsidR="00325D15" w:rsidRPr="0018334E">
        <w:rPr>
          <w:rFonts w:ascii="Arial" w:eastAsia="Verdana" w:hAnsi="Arial" w:cs="Arial"/>
          <w:sz w:val="24"/>
          <w:szCs w:val="24"/>
          <w:lang w:val="en-US"/>
        </w:rPr>
        <w:t xml:space="preserve">European </w:t>
      </w:r>
      <w:r w:rsidRPr="0018334E">
        <w:rPr>
          <w:rFonts w:ascii="Arial" w:eastAsia="Verdana" w:hAnsi="Arial" w:cs="Arial"/>
          <w:sz w:val="24"/>
          <w:szCs w:val="24"/>
          <w:lang w:val="en-US"/>
        </w:rPr>
        <w:t xml:space="preserve">cohort with 3.99 million person-years of follow-up. We studied the prospective association of ferritin, TSAT, serum iron and transferrin with incident T2D </w:t>
      </w:r>
      <w:r w:rsidR="003016BB">
        <w:rPr>
          <w:rFonts w:ascii="Arial" w:eastAsia="Verdana" w:hAnsi="Arial" w:cs="Arial"/>
          <w:sz w:val="24"/>
          <w:szCs w:val="24"/>
          <w:lang w:val="en-US"/>
        </w:rPr>
        <w:t xml:space="preserve">in 11,052 cases and a random sub-cohort of 15,182 individuals </w:t>
      </w:r>
      <w:r w:rsidR="00490331" w:rsidRPr="0018334E">
        <w:rPr>
          <w:rFonts w:ascii="Arial" w:eastAsia="Verdana" w:hAnsi="Arial" w:cs="Arial"/>
          <w:sz w:val="24"/>
          <w:szCs w:val="24"/>
          <w:lang w:val="en-US"/>
        </w:rPr>
        <w:t>and</w:t>
      </w:r>
      <w:r w:rsidRPr="0018334E">
        <w:rPr>
          <w:rFonts w:ascii="Arial" w:hAnsi="Arial" w:cs="Arial"/>
          <w:sz w:val="24"/>
          <w:szCs w:val="24"/>
          <w:lang w:val="en-US"/>
        </w:rPr>
        <w:t xml:space="preserve"> assessed whether these associations </w:t>
      </w:r>
      <w:r w:rsidR="002A0519" w:rsidRPr="0018334E">
        <w:rPr>
          <w:rFonts w:ascii="Arial" w:hAnsi="Arial" w:cs="Arial"/>
          <w:sz w:val="24"/>
          <w:szCs w:val="24"/>
          <w:lang w:val="en-US"/>
        </w:rPr>
        <w:t xml:space="preserve">differed </w:t>
      </w:r>
      <w:r w:rsidRPr="0018334E">
        <w:rPr>
          <w:rFonts w:ascii="Arial" w:hAnsi="Arial" w:cs="Arial"/>
          <w:sz w:val="24"/>
          <w:szCs w:val="24"/>
          <w:lang w:val="en-US"/>
        </w:rPr>
        <w:t xml:space="preserve">by subgroups of the population. </w:t>
      </w:r>
    </w:p>
    <w:p w:rsidR="0081794C" w:rsidRPr="0018334E" w:rsidRDefault="0081794C" w:rsidP="00F328BE">
      <w:pPr>
        <w:spacing w:after="0" w:line="360" w:lineRule="auto"/>
        <w:jc w:val="both"/>
        <w:rPr>
          <w:rFonts w:ascii="Arial" w:hAnsi="Arial" w:cs="Arial"/>
          <w:sz w:val="24"/>
          <w:szCs w:val="24"/>
          <w:lang w:val="en-US"/>
        </w:rPr>
      </w:pPr>
    </w:p>
    <w:p w:rsidR="0081794C" w:rsidRPr="00022037" w:rsidRDefault="0081794C" w:rsidP="00F328BE">
      <w:pPr>
        <w:spacing w:after="0" w:line="360" w:lineRule="auto"/>
        <w:jc w:val="both"/>
        <w:rPr>
          <w:rFonts w:ascii="Arial" w:hAnsi="Arial" w:cs="Arial"/>
          <w:i/>
          <w:sz w:val="24"/>
          <w:szCs w:val="24"/>
          <w:lang w:val="en-US"/>
        </w:rPr>
      </w:pPr>
      <w:r w:rsidRPr="00022037">
        <w:rPr>
          <w:rFonts w:ascii="Arial" w:hAnsi="Arial" w:cs="Arial"/>
          <w:i/>
          <w:sz w:val="24"/>
          <w:szCs w:val="24"/>
          <w:lang w:val="en-US"/>
        </w:rPr>
        <w:t>Results</w:t>
      </w:r>
    </w:p>
    <w:p w:rsidR="00D34F38" w:rsidRPr="0018334E" w:rsidRDefault="00D34F38" w:rsidP="00F328BE">
      <w:pPr>
        <w:spacing w:after="0" w:line="360" w:lineRule="auto"/>
        <w:jc w:val="both"/>
        <w:rPr>
          <w:rFonts w:ascii="Arial" w:eastAsia="Verdana" w:hAnsi="Arial" w:cs="Arial"/>
          <w:sz w:val="24"/>
          <w:szCs w:val="24"/>
          <w:lang w:val="en-US"/>
        </w:rPr>
      </w:pPr>
      <w:r w:rsidRPr="0018334E">
        <w:rPr>
          <w:rFonts w:ascii="Arial" w:eastAsia="Verdana" w:hAnsi="Arial" w:cs="Arial"/>
          <w:sz w:val="24"/>
          <w:szCs w:val="24"/>
          <w:lang w:val="en-US"/>
        </w:rPr>
        <w:t xml:space="preserve">Higher levels of ferritin and transferrin were associated with a higher risk of T2D [HR in men and women, respectively: 1.07 (95% CI: 1.01; 1.12) and 1.12 (1.05; 1.19) per 100 </w:t>
      </w:r>
      <w:proofErr w:type="spellStart"/>
      <w:r w:rsidRPr="0018334E">
        <w:rPr>
          <w:rFonts w:ascii="Arial" w:eastAsia="Verdana" w:hAnsi="Arial" w:cs="Arial"/>
          <w:sz w:val="24"/>
          <w:szCs w:val="24"/>
          <w:lang w:val="en-US"/>
        </w:rPr>
        <w:t>μg</w:t>
      </w:r>
      <w:proofErr w:type="spellEnd"/>
      <w:r w:rsidRPr="0018334E">
        <w:rPr>
          <w:rFonts w:ascii="Arial" w:eastAsia="Verdana" w:hAnsi="Arial" w:cs="Arial"/>
          <w:sz w:val="24"/>
          <w:szCs w:val="24"/>
          <w:lang w:val="en-US"/>
        </w:rPr>
        <w:t>/L higher ferritin level; 1.11 (1.00; 1.24) and 1.22 (1.12; 1.33) per 0.5 g/L higher transferrin level]</w:t>
      </w:r>
      <w:r w:rsidR="008310AF">
        <w:rPr>
          <w:rFonts w:ascii="Arial" w:eastAsia="Verdana" w:hAnsi="Arial" w:cs="Arial"/>
          <w:sz w:val="24"/>
          <w:szCs w:val="24"/>
          <w:lang w:val="en-US"/>
        </w:rPr>
        <w:t xml:space="preserve"> after adjustment for age, </w:t>
      </w:r>
      <w:proofErr w:type="spellStart"/>
      <w:r w:rsidR="008310AF">
        <w:rPr>
          <w:rFonts w:ascii="Arial" w:eastAsia="Verdana" w:hAnsi="Arial" w:cs="Arial"/>
          <w:sz w:val="24"/>
          <w:szCs w:val="24"/>
          <w:lang w:val="en-US"/>
        </w:rPr>
        <w:t>centre</w:t>
      </w:r>
      <w:proofErr w:type="spellEnd"/>
      <w:r w:rsidR="008310AF">
        <w:rPr>
          <w:rFonts w:ascii="Arial" w:eastAsia="Verdana" w:hAnsi="Arial" w:cs="Arial"/>
          <w:sz w:val="24"/>
          <w:szCs w:val="24"/>
          <w:lang w:val="en-US"/>
        </w:rPr>
        <w:t xml:space="preserve">, BMI, physical activity, smoking status, education, </w:t>
      </w:r>
      <w:proofErr w:type="spellStart"/>
      <w:r w:rsidR="008310AF">
        <w:rPr>
          <w:rFonts w:ascii="Arial" w:eastAsia="Verdana" w:hAnsi="Arial" w:cs="Arial"/>
          <w:sz w:val="24"/>
          <w:szCs w:val="24"/>
          <w:lang w:val="en-US"/>
        </w:rPr>
        <w:t>hsCRP</w:t>
      </w:r>
      <w:proofErr w:type="spellEnd"/>
      <w:r w:rsidR="008310AF">
        <w:rPr>
          <w:rFonts w:ascii="Arial" w:eastAsia="Verdana" w:hAnsi="Arial" w:cs="Arial"/>
          <w:sz w:val="24"/>
          <w:szCs w:val="24"/>
          <w:lang w:val="en-US"/>
        </w:rPr>
        <w:t>, ALT and GGT</w:t>
      </w:r>
      <w:r w:rsidRPr="0018334E">
        <w:rPr>
          <w:rFonts w:ascii="Arial" w:eastAsia="Verdana" w:hAnsi="Arial" w:cs="Arial"/>
          <w:sz w:val="24"/>
          <w:szCs w:val="24"/>
          <w:lang w:val="en-US"/>
        </w:rPr>
        <w:t>. Elevated TSAT (</w:t>
      </w:r>
      <w:r w:rsidR="00F94E42">
        <w:rPr>
          <w:rFonts w:ascii="Arial" w:eastAsia="Verdana" w:hAnsi="Arial" w:cs="Arial"/>
          <w:sz w:val="24"/>
          <w:szCs w:val="24"/>
          <w:lang w:val="en-US"/>
        </w:rPr>
        <w:t>≥</w:t>
      </w:r>
      <w:r w:rsidRPr="0018334E">
        <w:rPr>
          <w:rFonts w:ascii="Arial" w:eastAsia="Verdana" w:hAnsi="Arial" w:cs="Arial"/>
          <w:sz w:val="24"/>
          <w:szCs w:val="24"/>
          <w:lang w:val="en-US"/>
        </w:rPr>
        <w:t xml:space="preserve">45% versus </w:t>
      </w:r>
      <w:r w:rsidR="00F94E42">
        <w:rPr>
          <w:rFonts w:ascii="Arial" w:eastAsia="Verdana" w:hAnsi="Arial" w:cs="Arial"/>
          <w:sz w:val="24"/>
          <w:szCs w:val="24"/>
          <w:lang w:val="en-US"/>
        </w:rPr>
        <w:t>&lt;</w:t>
      </w:r>
      <w:r w:rsidRPr="0018334E">
        <w:rPr>
          <w:rFonts w:ascii="Arial" w:eastAsia="Verdana" w:hAnsi="Arial" w:cs="Arial"/>
          <w:sz w:val="24"/>
          <w:szCs w:val="24"/>
          <w:lang w:val="en-US"/>
        </w:rPr>
        <w:t xml:space="preserve">45%) was associated with a lower risk of T2D </w:t>
      </w:r>
      <w:r w:rsidR="000C371A">
        <w:rPr>
          <w:rFonts w:ascii="Arial" w:eastAsia="Verdana" w:hAnsi="Arial" w:cs="Arial"/>
          <w:sz w:val="24"/>
          <w:szCs w:val="24"/>
          <w:lang w:val="en-US"/>
        </w:rPr>
        <w:t>in women [</w:t>
      </w:r>
      <w:r w:rsidR="000C371A" w:rsidRPr="0018334E">
        <w:rPr>
          <w:rFonts w:ascii="Arial" w:eastAsia="Verdana" w:hAnsi="Arial" w:cs="Arial"/>
          <w:sz w:val="24"/>
          <w:szCs w:val="24"/>
          <w:lang w:val="en-US"/>
        </w:rPr>
        <w:t>0.68 (0.54; 0.86)</w:t>
      </w:r>
      <w:r w:rsidR="000C371A">
        <w:rPr>
          <w:rFonts w:ascii="Arial" w:eastAsia="Verdana" w:hAnsi="Arial" w:cs="Arial"/>
          <w:sz w:val="24"/>
          <w:szCs w:val="24"/>
          <w:lang w:val="en-US"/>
        </w:rPr>
        <w:t>] but was not statistically significantly associated in men</w:t>
      </w:r>
      <w:r w:rsidR="000C371A" w:rsidRPr="0018334E">
        <w:rPr>
          <w:rFonts w:ascii="Arial" w:eastAsia="Verdana" w:hAnsi="Arial" w:cs="Arial"/>
          <w:sz w:val="24"/>
          <w:szCs w:val="24"/>
          <w:lang w:val="en-US"/>
        </w:rPr>
        <w:t xml:space="preserve"> </w:t>
      </w:r>
      <w:r w:rsidRPr="0018334E">
        <w:rPr>
          <w:rFonts w:ascii="Arial" w:eastAsia="Verdana" w:hAnsi="Arial" w:cs="Arial"/>
          <w:sz w:val="24"/>
          <w:szCs w:val="24"/>
          <w:lang w:val="en-US"/>
        </w:rPr>
        <w:t>[0.90 (0.75; 1.08)</w:t>
      </w:r>
      <w:r w:rsidR="000C371A">
        <w:rPr>
          <w:rFonts w:ascii="Arial" w:eastAsia="Verdana" w:hAnsi="Arial" w:cs="Arial"/>
          <w:sz w:val="24"/>
          <w:szCs w:val="24"/>
          <w:lang w:val="en-US"/>
        </w:rPr>
        <w:t>]</w:t>
      </w:r>
      <w:r w:rsidRPr="0018334E">
        <w:rPr>
          <w:rFonts w:ascii="Arial" w:eastAsia="Verdana" w:hAnsi="Arial" w:cs="Arial"/>
          <w:sz w:val="24"/>
          <w:szCs w:val="24"/>
          <w:lang w:val="en-US"/>
        </w:rPr>
        <w:t>. Serum iron was not associated with T2D. The association of ferritin with T2D was stronger among leaner individuals (</w:t>
      </w:r>
      <w:proofErr w:type="spellStart"/>
      <w:r w:rsidRPr="0018334E">
        <w:rPr>
          <w:rFonts w:ascii="Arial" w:eastAsia="Verdana" w:hAnsi="Arial" w:cs="Arial"/>
          <w:i/>
          <w:sz w:val="24"/>
          <w:szCs w:val="24"/>
          <w:lang w:val="en-US"/>
        </w:rPr>
        <w:t>p</w:t>
      </w:r>
      <w:r w:rsidRPr="0018334E">
        <w:rPr>
          <w:rFonts w:ascii="Arial" w:eastAsia="Verdana" w:hAnsi="Arial" w:cs="Arial"/>
          <w:sz w:val="24"/>
          <w:szCs w:val="24"/>
          <w:vertAlign w:val="subscript"/>
          <w:lang w:val="en-US"/>
        </w:rPr>
        <w:t>interaction</w:t>
      </w:r>
      <w:proofErr w:type="spellEnd"/>
      <w:r w:rsidRPr="0018334E">
        <w:rPr>
          <w:rFonts w:ascii="Arial" w:eastAsia="Verdana" w:hAnsi="Arial" w:cs="Arial"/>
          <w:sz w:val="24"/>
          <w:szCs w:val="24"/>
          <w:lang w:val="en-US"/>
        </w:rPr>
        <w:t xml:space="preserve">&lt;0.01). </w:t>
      </w:r>
    </w:p>
    <w:p w:rsidR="00542B04" w:rsidRPr="0018334E" w:rsidRDefault="00542B04" w:rsidP="00F328BE">
      <w:pPr>
        <w:spacing w:after="0" w:line="360" w:lineRule="auto"/>
        <w:jc w:val="both"/>
        <w:rPr>
          <w:rFonts w:ascii="Arial" w:eastAsia="Verdana" w:hAnsi="Arial" w:cs="Arial"/>
          <w:b/>
          <w:sz w:val="24"/>
          <w:szCs w:val="24"/>
          <w:lang w:val="en-US"/>
        </w:rPr>
      </w:pPr>
    </w:p>
    <w:p w:rsidR="00D34F38" w:rsidRPr="00022037" w:rsidRDefault="00D34F38" w:rsidP="00F328BE">
      <w:pPr>
        <w:spacing w:after="0" w:line="360" w:lineRule="auto"/>
        <w:jc w:val="both"/>
        <w:rPr>
          <w:rFonts w:ascii="Arial" w:eastAsia="Verdana" w:hAnsi="Arial" w:cs="Arial"/>
          <w:i/>
          <w:sz w:val="24"/>
          <w:szCs w:val="24"/>
          <w:lang w:val="en-US"/>
        </w:rPr>
      </w:pPr>
      <w:r w:rsidRPr="00022037">
        <w:rPr>
          <w:rFonts w:ascii="Arial" w:eastAsia="Verdana" w:hAnsi="Arial" w:cs="Arial"/>
          <w:i/>
          <w:sz w:val="24"/>
          <w:szCs w:val="24"/>
          <w:lang w:val="en-US"/>
        </w:rPr>
        <w:t>Conclusions</w:t>
      </w:r>
    </w:p>
    <w:p w:rsidR="000B60E4" w:rsidRPr="0018334E" w:rsidRDefault="00D34F38" w:rsidP="00F328BE">
      <w:pPr>
        <w:spacing w:after="0" w:line="360" w:lineRule="auto"/>
        <w:jc w:val="both"/>
        <w:rPr>
          <w:rFonts w:ascii="Arial" w:hAnsi="Arial" w:cs="Arial"/>
          <w:b/>
          <w:sz w:val="24"/>
          <w:szCs w:val="24"/>
          <w:lang w:val="en-US"/>
        </w:rPr>
      </w:pPr>
      <w:r w:rsidRPr="0018334E">
        <w:rPr>
          <w:rFonts w:ascii="Arial" w:eastAsia="Verdana" w:hAnsi="Arial" w:cs="Arial"/>
          <w:sz w:val="24"/>
          <w:szCs w:val="24"/>
          <w:lang w:val="en-US"/>
        </w:rPr>
        <w:t xml:space="preserve">The pattern of association of TSAT and transferrin with T2D suggests that the underlying relationship between iron stores and T2D is more complex than the simple link suggested by the association of ferritin with T2D. </w:t>
      </w:r>
      <w:r w:rsidR="000B60E4" w:rsidRPr="0018334E">
        <w:rPr>
          <w:rFonts w:ascii="Arial" w:hAnsi="Arial" w:cs="Arial"/>
          <w:b/>
          <w:sz w:val="24"/>
          <w:szCs w:val="24"/>
          <w:lang w:val="en-US"/>
        </w:rPr>
        <w:br w:type="page"/>
      </w:r>
    </w:p>
    <w:p w:rsidR="009B2568" w:rsidRPr="0018334E" w:rsidRDefault="00791440" w:rsidP="00F328BE">
      <w:pPr>
        <w:pStyle w:val="Normail"/>
        <w:spacing w:line="480" w:lineRule="auto"/>
        <w:jc w:val="both"/>
        <w:rPr>
          <w:rFonts w:cs="Arial"/>
          <w:sz w:val="24"/>
          <w:szCs w:val="24"/>
          <w:lang w:val="en-US"/>
        </w:rPr>
      </w:pPr>
      <w:r w:rsidRPr="0018334E">
        <w:rPr>
          <w:rFonts w:cs="Arial"/>
          <w:sz w:val="24"/>
          <w:szCs w:val="24"/>
          <w:lang w:val="en-US"/>
        </w:rPr>
        <w:lastRenderedPageBreak/>
        <w:t>Hereditary hemochromatosis (</w:t>
      </w:r>
      <w:r w:rsidR="00680497" w:rsidRPr="0018334E">
        <w:rPr>
          <w:rFonts w:cs="Arial"/>
          <w:sz w:val="24"/>
          <w:szCs w:val="24"/>
          <w:lang w:val="en-US"/>
        </w:rPr>
        <w:t>HHC</w:t>
      </w:r>
      <w:r w:rsidR="005247C2" w:rsidRPr="0018334E">
        <w:rPr>
          <w:rFonts w:cs="Arial"/>
          <w:sz w:val="24"/>
          <w:szCs w:val="24"/>
          <w:lang w:val="en-US"/>
        </w:rPr>
        <w:t>),</w:t>
      </w:r>
      <w:r w:rsidRPr="0018334E">
        <w:rPr>
          <w:rFonts w:cs="Arial"/>
          <w:sz w:val="24"/>
          <w:szCs w:val="24"/>
          <w:lang w:val="en-US"/>
        </w:rPr>
        <w:t xml:space="preserve"> </w:t>
      </w:r>
      <w:r w:rsidR="009D7C59" w:rsidRPr="0018334E">
        <w:rPr>
          <w:rFonts w:cs="Arial"/>
          <w:sz w:val="24"/>
          <w:szCs w:val="24"/>
          <w:lang w:val="en-US"/>
        </w:rPr>
        <w:t>a</w:t>
      </w:r>
      <w:r w:rsidR="005247C2" w:rsidRPr="0018334E">
        <w:rPr>
          <w:rFonts w:cs="Arial"/>
          <w:sz w:val="24"/>
          <w:szCs w:val="24"/>
          <w:lang w:val="en-US"/>
        </w:rPr>
        <w:t xml:space="preserve"> </w:t>
      </w:r>
      <w:r w:rsidR="00EE1E42" w:rsidRPr="0018334E">
        <w:rPr>
          <w:rFonts w:cs="Arial"/>
          <w:sz w:val="24"/>
          <w:szCs w:val="24"/>
          <w:lang w:val="en-US"/>
        </w:rPr>
        <w:t>genetic</w:t>
      </w:r>
      <w:r w:rsidR="005247C2" w:rsidRPr="0018334E">
        <w:rPr>
          <w:rFonts w:cs="Arial"/>
          <w:sz w:val="24"/>
          <w:szCs w:val="24"/>
          <w:lang w:val="en-US"/>
        </w:rPr>
        <w:t xml:space="preserve"> disorder </w:t>
      </w:r>
      <w:r w:rsidR="00B72DC0" w:rsidRPr="0018334E">
        <w:rPr>
          <w:rFonts w:cs="Arial"/>
          <w:sz w:val="24"/>
          <w:szCs w:val="24"/>
          <w:lang w:val="en-US"/>
        </w:rPr>
        <w:t>characterized by</w:t>
      </w:r>
      <w:r w:rsidR="00B705CA" w:rsidRPr="0018334E">
        <w:rPr>
          <w:rFonts w:cs="Arial"/>
          <w:sz w:val="24"/>
          <w:szCs w:val="24"/>
          <w:lang w:val="en-US"/>
        </w:rPr>
        <w:t xml:space="preserve"> </w:t>
      </w:r>
      <w:r w:rsidR="00C11B0E" w:rsidRPr="0018334E">
        <w:rPr>
          <w:rFonts w:cs="Arial"/>
          <w:sz w:val="24"/>
          <w:szCs w:val="24"/>
          <w:lang w:val="en-US"/>
        </w:rPr>
        <w:t>systemic iron overload</w:t>
      </w:r>
      <w:r w:rsidR="005247C2" w:rsidRPr="0018334E">
        <w:rPr>
          <w:rFonts w:cs="Arial"/>
          <w:sz w:val="24"/>
          <w:szCs w:val="24"/>
          <w:lang w:val="en-US"/>
        </w:rPr>
        <w:t>,</w:t>
      </w:r>
      <w:r w:rsidR="00581CCE" w:rsidRPr="0018334E">
        <w:rPr>
          <w:rFonts w:cs="Arial"/>
          <w:sz w:val="24"/>
          <w:szCs w:val="24"/>
          <w:lang w:val="en-US"/>
        </w:rPr>
        <w:t xml:space="preserve"> is</w:t>
      </w:r>
      <w:r w:rsidR="00FA2FF9" w:rsidRPr="0018334E">
        <w:rPr>
          <w:rFonts w:cs="Arial"/>
          <w:sz w:val="24"/>
          <w:szCs w:val="24"/>
          <w:lang w:val="en-US"/>
        </w:rPr>
        <w:t xml:space="preserve"> </w:t>
      </w:r>
      <w:r w:rsidR="007A6D1C" w:rsidRPr="0018334E">
        <w:rPr>
          <w:rFonts w:cs="Arial"/>
          <w:sz w:val="24"/>
          <w:szCs w:val="24"/>
          <w:lang w:val="en-US"/>
        </w:rPr>
        <w:t xml:space="preserve">reported to be </w:t>
      </w:r>
      <w:r w:rsidR="00FA2FF9" w:rsidRPr="0018334E">
        <w:rPr>
          <w:rFonts w:cs="Arial"/>
          <w:sz w:val="24"/>
          <w:szCs w:val="24"/>
          <w:lang w:val="en-US"/>
        </w:rPr>
        <w:t>associated with d</w:t>
      </w:r>
      <w:r w:rsidR="00444C3E" w:rsidRPr="0018334E">
        <w:rPr>
          <w:rFonts w:cs="Arial"/>
          <w:sz w:val="24"/>
          <w:szCs w:val="24"/>
          <w:lang w:val="en-US"/>
        </w:rPr>
        <w:t>iabetes mellitus</w:t>
      </w:r>
      <w:r w:rsidR="0002697A" w:rsidRPr="0018334E">
        <w:rPr>
          <w:rFonts w:cs="Arial"/>
          <w:sz w:val="24"/>
          <w:szCs w:val="24"/>
          <w:lang w:val="en-US"/>
        </w:rPr>
        <w:t xml:space="preserve"> </w:t>
      </w:r>
      <w:r w:rsidR="00FA2FF9" w:rsidRPr="0018334E">
        <w:rPr>
          <w:rFonts w:cs="Arial"/>
          <w:sz w:val="24"/>
          <w:szCs w:val="24"/>
          <w:lang w:val="en-US"/>
        </w:rPr>
        <w:fldChar w:fldCharType="begin" w:fldLock="1"/>
      </w:r>
      <w:r w:rsidR="009702C5" w:rsidRPr="0018334E">
        <w:rPr>
          <w:rFonts w:cs="Arial"/>
          <w:sz w:val="24"/>
          <w:szCs w:val="24"/>
          <w:lang w:val="en-US"/>
        </w:rPr>
        <w:instrText>ADDIN CSL_CITATION { "citationItems" : [ { "id" : "ITEM-1", "itemData" : { "DOI" : "10.1053/j.gastro.2010.06.013", "ISSN" : "1528-0012", "PMID" : "20542038", "abstract" : "In the late 1800s, hemochromatosis was considered an odd autoptic finding. More than a century later, it was finally recognized as a hereditary, multi-organ disorder associated with a polymorphism that is common among white people: a 845G--&gt;A change in HFE that results in C282Y in the gene product. Hemochromatosis is now a well-defined syndrome characterized by normal iron-driven erythropoiesis and the toxic accumulation of iron in parenchymal cells of liver, heart, and endocrine glands. It can be caused by mutations that affect any of the proteins that limit the entry of iron into the blood. In mice, deletion of the iron hormone hepcidin and any of 8 genes that regulate its biology, including Hfe, transferrin receptor 2 (Tfr2), and hemojuvelin (Hjv) (which all sense the accumulation of iron that hepcidin corrects) or ferroportin (Fpn) (the cellular iron exporter down-regulated by hepcidin), cause iron overload but not organ disease. In humans, loss of TfR2, HJV, and hepcidin itself or FPN mutations result in full-blown hemochromatosis. Unlike these rare instances, in white people, homozygotes for C282Y polymorphism in HFE are numerous, but they are only predisposed to hemochromatosis; complete organ disease develops in a minority, when these individuals abuse alcohol or from other unidentified modifying factors. HFE gene testing can be used to diagnose hemochromatosis, but analyses of liver histology and clinical features are still required to identify patients with rare, non-HFE forms of the disease. The role of hepcidin in the pathogenesis of hemochromatosis reveals its similarities to endocrine diseases such as diabetes and indicates new approaches to diagnosis and management of this common disorder in iron metabolism.", "author" : [ { "dropping-particle" : "", "family" : "Pietrangelo", "given" : "Antonello", "non-dropping-particle" : "", "parse-names" : false, "suffix" : "" } ], "container-title" : "Gastroenterology", "id" : "ITEM-1", "issue" : "2", "issued" : { "date-parts" : [ [ "2010", "8" ] ] }, "page" : "393-408, 408.e1-2", "publisher" : "Elsevier Inc.", "title" : "Hereditary hemochromatosis: pathogenesis, diagnosis, and treatment.", "type" : "article-journal", "volume" : "139" }, "uris" : [ "http://www.mendeley.com/documents/?uuid=62fb35b7-76ba-4940-bc92-291a95eef973" ] } ], "mendeley" : { "formattedCitation" : "(1)", "plainTextFormattedCitation" : "(1)", "previouslyFormattedCitation" : "(1)" }, "properties" : { "noteIndex" : 0 }, "schema" : "https://github.com/citation-style-language/schema/raw/master/csl-citation.json" }</w:instrText>
      </w:r>
      <w:r w:rsidR="00FA2FF9" w:rsidRPr="0018334E">
        <w:rPr>
          <w:rFonts w:cs="Arial"/>
          <w:sz w:val="24"/>
          <w:szCs w:val="24"/>
          <w:lang w:val="en-US"/>
        </w:rPr>
        <w:fldChar w:fldCharType="separate"/>
      </w:r>
      <w:r w:rsidR="00CC5AD7" w:rsidRPr="0018334E">
        <w:rPr>
          <w:rFonts w:cs="Arial"/>
          <w:noProof/>
          <w:sz w:val="24"/>
          <w:szCs w:val="24"/>
          <w:lang w:val="en-US"/>
        </w:rPr>
        <w:t>(1)</w:t>
      </w:r>
      <w:r w:rsidR="00FA2FF9" w:rsidRPr="0018334E">
        <w:rPr>
          <w:rFonts w:cs="Arial"/>
          <w:sz w:val="24"/>
          <w:szCs w:val="24"/>
          <w:lang w:val="en-US"/>
        </w:rPr>
        <w:fldChar w:fldCharType="end"/>
      </w:r>
      <w:r w:rsidR="0002697A" w:rsidRPr="0018334E">
        <w:rPr>
          <w:rFonts w:cs="Arial"/>
          <w:sz w:val="24"/>
          <w:szCs w:val="24"/>
          <w:lang w:val="en-US"/>
        </w:rPr>
        <w:t>.</w:t>
      </w:r>
      <w:r w:rsidR="00FA2FF9" w:rsidRPr="0018334E">
        <w:rPr>
          <w:rFonts w:cs="Arial"/>
          <w:sz w:val="24"/>
          <w:szCs w:val="24"/>
          <w:lang w:val="en-US"/>
        </w:rPr>
        <w:t xml:space="preserve"> Similarly, an overrepresentation of diabetes mellitus cases has </w:t>
      </w:r>
      <w:r w:rsidR="00C11B0E" w:rsidRPr="0018334E">
        <w:rPr>
          <w:rFonts w:cs="Arial"/>
          <w:sz w:val="24"/>
          <w:szCs w:val="24"/>
          <w:lang w:val="en-US"/>
        </w:rPr>
        <w:t xml:space="preserve">also </w:t>
      </w:r>
      <w:r w:rsidR="00444C3E" w:rsidRPr="0018334E">
        <w:rPr>
          <w:rFonts w:cs="Arial"/>
          <w:sz w:val="24"/>
          <w:szCs w:val="24"/>
          <w:lang w:val="en-US"/>
        </w:rPr>
        <w:t xml:space="preserve">been </w:t>
      </w:r>
      <w:r w:rsidR="007A6D1C" w:rsidRPr="0018334E">
        <w:rPr>
          <w:rFonts w:cs="Arial"/>
          <w:sz w:val="24"/>
          <w:szCs w:val="24"/>
          <w:lang w:val="en-US"/>
        </w:rPr>
        <w:t xml:space="preserve">described </w:t>
      </w:r>
      <w:r w:rsidR="00FA2FF9" w:rsidRPr="0018334E">
        <w:rPr>
          <w:rFonts w:cs="Arial"/>
          <w:sz w:val="24"/>
          <w:szCs w:val="24"/>
          <w:lang w:val="en-US"/>
        </w:rPr>
        <w:t>among individuals with</w:t>
      </w:r>
      <w:r w:rsidR="008E169D" w:rsidRPr="0018334E">
        <w:rPr>
          <w:rFonts w:cs="Arial"/>
          <w:sz w:val="24"/>
          <w:szCs w:val="24"/>
          <w:lang w:val="en-US"/>
        </w:rPr>
        <w:t xml:space="preserve"> conditions of acquired iron over</w:t>
      </w:r>
      <w:r w:rsidR="0002697A" w:rsidRPr="0018334E">
        <w:rPr>
          <w:rFonts w:cs="Arial"/>
          <w:sz w:val="24"/>
          <w:szCs w:val="24"/>
          <w:lang w:val="en-US"/>
        </w:rPr>
        <w:t>load</w:t>
      </w:r>
      <w:r w:rsidR="00CE762D" w:rsidRPr="0018334E">
        <w:rPr>
          <w:rFonts w:cs="Arial"/>
          <w:sz w:val="24"/>
          <w:szCs w:val="24"/>
          <w:lang w:val="en-US"/>
        </w:rPr>
        <w:t>, such as thalassemia major</w:t>
      </w:r>
      <w:r w:rsidR="00B74949" w:rsidRPr="0018334E">
        <w:rPr>
          <w:rFonts w:cs="Arial"/>
          <w:sz w:val="24"/>
          <w:szCs w:val="24"/>
          <w:lang w:val="en-US"/>
        </w:rPr>
        <w:t xml:space="preserve"> </w:t>
      </w:r>
      <w:r w:rsidR="008E169D" w:rsidRPr="0018334E">
        <w:rPr>
          <w:rFonts w:cs="Arial"/>
          <w:sz w:val="24"/>
          <w:szCs w:val="24"/>
          <w:lang w:val="en-US"/>
        </w:rPr>
        <w:fldChar w:fldCharType="begin" w:fldLock="1"/>
      </w:r>
      <w:r w:rsidR="006372DC">
        <w:rPr>
          <w:rFonts w:cs="Arial"/>
          <w:sz w:val="24"/>
          <w:szCs w:val="24"/>
          <w:lang w:val="en-US"/>
        </w:rPr>
        <w:instrText>ADDIN CSL_CITATION { "citationItems" : [ { "id" : "ITEM-1", "itemData" : { "DOI" : "10.1002/ajh.22223", "ISSN" : "1096-8652", "PMID" : "22120775", "abstract" : "Pancreatic iron overload and diabetes mellitus (DM) are common in thalassemia major patients. However, the relationship between iron stores and glucose disturbances is not well defined. We used a frequently sampled oral glucose tolerance test (OGTT), coupled with mathematical modeling, and magnetic resonance imaging (MRI) to examine the impact of pancreatic, cardiac, and hepatic iron overload on glucose regulation in 59 patients with thalassemia major. According to OGTT results, 11 patients had DM, 12 had impaired glucose tolerance (IGT), 8 had isolated impaired fasting glucose (IFG), and 28 patients had normal glucose tolerance (NGT). Patients with DM had significantly impaired insulin sensitivity and insulin release. Insulin resistance was most strongly associated with markers of inflammation and somatic iron overload, while disposition index (DI) (a measure of beta cell function) was most strongly correlated with pancreas R2*. Patients with DM and IGT had significantly worse DI than those with NGT or IFG, suggesting significant beta cell toxicity. One-third of patients having elevated pancreas R2* had normal glucose regulation (preclinical iron burden), but these patients were younger and had lower hepatic iron burdens. Our study indicates that pancreatic iron is the strongest predictor of beta cell toxicity, but total body iron burden, age, and body habitus also influence glucose regulation. We also demonstrate that MRI and fasting glucose/insulin are complementary screening tools, reducing the need for oral glucose tolerance testing, and identify high-risk patients before irreversible pancreatic damage.", "author" : [ { "dropping-particle" : "", "family" : "Noetzli", "given" : "Leila J", "non-dropping-particle" : "", "parse-names" : false, "suffix" : "" }, { "dropping-particle" : "", "family" : "Mittelman", "given" : "Steven D", "non-dropping-particle" : "", "parse-names" : false, "suffix" : "" }, { "dropping-particle" : "", "family" : "Watanabe", "given" : "Richard M", "non-dropping-particle" : "", "parse-names" : false, "suffix" : "" }, { "dropping-particle" : "", "family" : "Coates", "given" : "Thomas D", "non-dropping-particle" : "", "parse-names" : false, "suffix" : "" }, { "dropping-particle" : "", "family" : "Wood", "given" : "John C", "non-dropping-particle" : "", "parse-names" : false, "suffix" : "" } ], "container-title" : "American Journal of Hematology", "id" : "ITEM-1", "issue" : "2", "issued" : { "date-parts" : [ [ "2012", "2" ] ] }, "note" : "prevalence of 6.4-14.1% of DM in thalassemia major patients (cross-sectional)", "page" : "155-60", "title" : "Pancreatic iron and glucose dysregulation in thalassemia major.", "type" : "article-journal", "volume" : "87" }, "uris" : [ "http://www.mendeley.com/documents/?uuid=034ac4d7-88ce-4ed0-b6a1-0a58fb06d0bc" ] } ], "mendeley" : { "formattedCitation" : "(2)", "plainTextFormattedCitation" : "(2)", "previouslyFormattedCitation" : "(2)" }, "properties" : { "noteIndex" : 0 }, "schema" : "https://github.com/citation-style-language/schema/raw/master/csl-citation.json" }</w:instrText>
      </w:r>
      <w:r w:rsidR="008E169D" w:rsidRPr="0018334E">
        <w:rPr>
          <w:rFonts w:cs="Arial"/>
          <w:sz w:val="24"/>
          <w:szCs w:val="24"/>
          <w:lang w:val="en-US"/>
        </w:rPr>
        <w:fldChar w:fldCharType="separate"/>
      </w:r>
      <w:r w:rsidR="00422013" w:rsidRPr="00422013">
        <w:rPr>
          <w:rFonts w:cs="Arial"/>
          <w:noProof/>
          <w:sz w:val="24"/>
          <w:szCs w:val="24"/>
          <w:lang w:val="en-US"/>
        </w:rPr>
        <w:t>(2)</w:t>
      </w:r>
      <w:r w:rsidR="008E169D" w:rsidRPr="0018334E">
        <w:rPr>
          <w:rFonts w:cs="Arial"/>
          <w:sz w:val="24"/>
          <w:szCs w:val="24"/>
          <w:lang w:val="en-US"/>
        </w:rPr>
        <w:fldChar w:fldCharType="end"/>
      </w:r>
      <w:r w:rsidR="0002697A" w:rsidRPr="0018334E">
        <w:rPr>
          <w:rFonts w:cs="Arial"/>
          <w:sz w:val="24"/>
          <w:szCs w:val="24"/>
          <w:lang w:val="en-US"/>
        </w:rPr>
        <w:t>.</w:t>
      </w:r>
      <w:r w:rsidR="009B2568" w:rsidRPr="0018334E">
        <w:rPr>
          <w:rFonts w:cs="Arial"/>
          <w:sz w:val="24"/>
          <w:szCs w:val="24"/>
          <w:lang w:val="en-US"/>
        </w:rPr>
        <w:t xml:space="preserve"> This raises the question </w:t>
      </w:r>
      <w:r w:rsidR="00CC5AD7" w:rsidRPr="0018334E">
        <w:rPr>
          <w:rFonts w:cs="Arial"/>
          <w:sz w:val="24"/>
          <w:szCs w:val="24"/>
          <w:lang w:val="en-US"/>
        </w:rPr>
        <w:t>whether</w:t>
      </w:r>
      <w:r w:rsidR="00CE762D" w:rsidRPr="0018334E">
        <w:rPr>
          <w:rFonts w:cs="Arial"/>
          <w:sz w:val="24"/>
          <w:szCs w:val="24"/>
          <w:lang w:val="en-US"/>
        </w:rPr>
        <w:t xml:space="preserve"> </w:t>
      </w:r>
      <w:r w:rsidR="00CC5AD7" w:rsidRPr="0018334E">
        <w:rPr>
          <w:rFonts w:cs="Arial"/>
          <w:sz w:val="24"/>
          <w:szCs w:val="24"/>
          <w:lang w:val="en-US"/>
        </w:rPr>
        <w:t xml:space="preserve">high </w:t>
      </w:r>
      <w:r w:rsidR="00522D64" w:rsidRPr="0018334E">
        <w:rPr>
          <w:rFonts w:cs="Arial"/>
          <w:sz w:val="24"/>
          <w:szCs w:val="24"/>
          <w:lang w:val="en-US"/>
        </w:rPr>
        <w:t xml:space="preserve">levels of body iron is </w:t>
      </w:r>
      <w:r w:rsidR="009B2568" w:rsidRPr="0018334E">
        <w:rPr>
          <w:rFonts w:cs="Arial"/>
          <w:sz w:val="24"/>
          <w:szCs w:val="24"/>
          <w:lang w:val="en-US"/>
        </w:rPr>
        <w:t xml:space="preserve">a risk factor for type 2 diabetes </w:t>
      </w:r>
      <w:r w:rsidR="00082093" w:rsidRPr="0018334E">
        <w:rPr>
          <w:rFonts w:cs="Arial"/>
          <w:sz w:val="24"/>
          <w:szCs w:val="24"/>
          <w:lang w:val="en-US"/>
        </w:rPr>
        <w:t>in the general population</w:t>
      </w:r>
      <w:r w:rsidR="00522D64" w:rsidRPr="0018334E">
        <w:rPr>
          <w:rFonts w:cs="Arial"/>
          <w:sz w:val="24"/>
          <w:szCs w:val="24"/>
          <w:lang w:val="en-US"/>
        </w:rPr>
        <w:t>, as this</w:t>
      </w:r>
      <w:r w:rsidR="009B2568" w:rsidRPr="0018334E">
        <w:rPr>
          <w:rFonts w:cs="Arial"/>
          <w:sz w:val="24"/>
          <w:szCs w:val="24"/>
          <w:lang w:val="en-US"/>
        </w:rPr>
        <w:t xml:space="preserve"> would have implications for the prevention and treatment of </w:t>
      </w:r>
      <w:r w:rsidR="008C722E" w:rsidRPr="0018334E">
        <w:rPr>
          <w:rFonts w:cs="Arial"/>
          <w:sz w:val="24"/>
          <w:szCs w:val="24"/>
          <w:lang w:val="en-US"/>
        </w:rPr>
        <w:t>type 2 diabetes</w:t>
      </w:r>
      <w:r w:rsidR="009B2568" w:rsidRPr="0018334E">
        <w:rPr>
          <w:rFonts w:cs="Arial"/>
          <w:sz w:val="24"/>
          <w:szCs w:val="24"/>
          <w:lang w:val="en-US"/>
        </w:rPr>
        <w:t xml:space="preserve">. </w:t>
      </w:r>
      <w:r w:rsidR="00224BE4" w:rsidRPr="0018334E">
        <w:rPr>
          <w:rFonts w:cs="Arial"/>
          <w:sz w:val="24"/>
          <w:szCs w:val="24"/>
          <w:lang w:val="en-US"/>
        </w:rPr>
        <w:t>C</w:t>
      </w:r>
      <w:r w:rsidR="00724782" w:rsidRPr="0018334E">
        <w:rPr>
          <w:rFonts w:cs="Arial"/>
          <w:sz w:val="24"/>
          <w:szCs w:val="24"/>
          <w:lang w:val="en-US"/>
        </w:rPr>
        <w:t xml:space="preserve">ross-sectional and prospective </w:t>
      </w:r>
      <w:r w:rsidR="00224BE4" w:rsidRPr="0018334E">
        <w:rPr>
          <w:rFonts w:cs="Arial"/>
          <w:sz w:val="24"/>
          <w:szCs w:val="24"/>
          <w:lang w:val="en-US"/>
        </w:rPr>
        <w:t>population</w:t>
      </w:r>
      <w:r w:rsidR="00150164" w:rsidRPr="0018334E">
        <w:rPr>
          <w:rFonts w:cs="Arial"/>
          <w:sz w:val="24"/>
          <w:szCs w:val="24"/>
          <w:lang w:val="en-US"/>
        </w:rPr>
        <w:t xml:space="preserve"> studies</w:t>
      </w:r>
      <w:r w:rsidR="007B4AA1" w:rsidRPr="0018334E">
        <w:rPr>
          <w:rFonts w:cs="Arial"/>
          <w:sz w:val="24"/>
          <w:szCs w:val="24"/>
          <w:lang w:val="en-US"/>
        </w:rPr>
        <w:t xml:space="preserve"> </w:t>
      </w:r>
      <w:r w:rsidR="00357E6D" w:rsidRPr="0018334E">
        <w:rPr>
          <w:rFonts w:cs="Arial"/>
          <w:sz w:val="24"/>
          <w:szCs w:val="24"/>
          <w:lang w:val="en-US"/>
        </w:rPr>
        <w:t>report a</w:t>
      </w:r>
      <w:r w:rsidR="00382A2E" w:rsidRPr="0018334E">
        <w:rPr>
          <w:rFonts w:cs="Arial"/>
          <w:sz w:val="24"/>
          <w:szCs w:val="24"/>
          <w:lang w:val="en-US"/>
        </w:rPr>
        <w:t xml:space="preserve"> positive</w:t>
      </w:r>
      <w:r w:rsidR="00357E6D" w:rsidRPr="0018334E">
        <w:rPr>
          <w:rFonts w:cs="Arial"/>
          <w:sz w:val="24"/>
          <w:szCs w:val="24"/>
          <w:lang w:val="en-US"/>
        </w:rPr>
        <w:t xml:space="preserve"> association</w:t>
      </w:r>
      <w:r w:rsidR="00150164" w:rsidRPr="0018334E">
        <w:rPr>
          <w:rFonts w:cs="Arial"/>
          <w:sz w:val="24"/>
          <w:szCs w:val="24"/>
          <w:lang w:val="en-US"/>
        </w:rPr>
        <w:t xml:space="preserve"> between </w:t>
      </w:r>
      <w:r w:rsidR="00526CDE" w:rsidRPr="0018334E">
        <w:rPr>
          <w:rFonts w:cs="Arial"/>
          <w:sz w:val="24"/>
          <w:szCs w:val="24"/>
          <w:lang w:val="en-US"/>
        </w:rPr>
        <w:t>f</w:t>
      </w:r>
      <w:r w:rsidR="00BB2320" w:rsidRPr="0018334E">
        <w:rPr>
          <w:rFonts w:cs="Arial"/>
          <w:sz w:val="24"/>
          <w:szCs w:val="24"/>
          <w:lang w:val="en-US"/>
        </w:rPr>
        <w:t xml:space="preserve">erritin </w:t>
      </w:r>
      <w:r w:rsidR="00150164" w:rsidRPr="0018334E">
        <w:rPr>
          <w:rFonts w:cs="Arial"/>
          <w:sz w:val="24"/>
          <w:szCs w:val="24"/>
          <w:lang w:val="en-US"/>
        </w:rPr>
        <w:t xml:space="preserve">and </w:t>
      </w:r>
      <w:r w:rsidR="008C722E" w:rsidRPr="0018334E">
        <w:rPr>
          <w:rFonts w:cs="Arial"/>
          <w:sz w:val="24"/>
          <w:szCs w:val="24"/>
          <w:lang w:val="en-US"/>
        </w:rPr>
        <w:t>type 2 diabetes</w:t>
      </w:r>
      <w:r w:rsidR="0002697A" w:rsidRPr="0018334E">
        <w:rPr>
          <w:rFonts w:cs="Arial"/>
          <w:sz w:val="24"/>
          <w:szCs w:val="24"/>
          <w:lang w:val="en-US"/>
        </w:rPr>
        <w:t xml:space="preserve"> </w:t>
      </w:r>
      <w:r w:rsidR="00224BE4" w:rsidRPr="0018334E">
        <w:rPr>
          <w:rFonts w:cs="Arial"/>
          <w:sz w:val="24"/>
          <w:szCs w:val="24"/>
          <w:lang w:val="en-US"/>
        </w:rPr>
        <w:fldChar w:fldCharType="begin" w:fldLock="1"/>
      </w:r>
      <w:r w:rsidR="001F4FA1">
        <w:rPr>
          <w:rFonts w:cs="Arial"/>
          <w:sz w:val="24"/>
          <w:szCs w:val="24"/>
          <w:lang w:val="en-US"/>
        </w:rPr>
        <w:instrText>ADDIN CSL_CITATION { "citationItems" : [ { "id" : "ITEM-1", "itemData" : { "DOI" : "10.1002/dmrr.2394", "ISSN" : "1520-7560", "PMID" : "23381919", "abstract" : "BACKGROUND: Emerging evidence suggests that a strong link that exists between elevated baseline body iron stores and high risk of incident type 2 diabetes mellitus (T2DM) in general populations, but the precise magnitude of the associations remains uncertain. METHODS: We conducted a systematic review and meta-analysis of published prospective studies evaluating the associations of baseline ferritin (a biomarker of body iron stores) levels with risk of T2DM in general populations. A subsidiary review of dietary heme iron status and T2DM risk associations was also conducted. Studies were identified in a literature search of PubMed, EMBASE, and Web of Science up to October 2012. RESULTS: Of the 730 studies reviewed for eligibility, 12 published studies involving 185 462 participants and 11 079 incident T2DM events were included in the analyses. Nine studies assessed associations between ferritin levels and T2DM with heterogeneous findings (I(2) = 58%, 12-80%, p = 0.014). The pooled fully adjusted relative risk (RR) with (95% confidence interval) for T2DM was 1.73 (1.35-2.22) in a comparison of extreme fifths of baseline ferritin levels. Three studies evaluated associations between dietary heme iron status and T2DM with a corresponding RR for T2DM of 1.28 (1.16-1.41). In dose-response analyses, the pooled RRs for an increment of 5 ng/mL in ferritin levels and 5 mg/day in dietary heme iron were, respectively, 1.01 (0.99-1.02) and 3.24 (2.05-5.10). CONCLUSION: Elevated levels of ferritin may help identify individuals at high risk of T2DM. Further research is warranted to establish causality of these associations and to ascertain which patients are likely to benefit from lifestyle or therapeutic interventions.", "author" : [ { "dropping-particle" : "", "family" : "Kunutsor", "given" : "Setor K", "non-dropping-particle" : "", "parse-names" : false, "suffix" : "" }, { "dropping-particle" : "", "family" : "Apekey", "given" : "Tanefa A", "non-dropping-particle" : "", "parse-names" : false, "suffix" : "" }, { "dropping-particle" : "", "family" : "Walley", "given" : "John", "non-dropping-particle" : "", "parse-names" : false, "suffix" : "" }, { "dropping-particle" : "", "family" : "Kain", "given" : "Kirti", "non-dropping-particle" : "", "parse-names" : false, "suffix" : "" } ], "container-title" : "Diabetes/metabolism research and reviews", "id" : "ITEM-1", "issue" : "4", "issued" : { "date-parts" : [ [ "2013", "5" ] ] }, "page" : "308-18", "title" : "Ferritin levels and risk of type 2 diabetes mellitus: an updated systematic review and meta-analysis of prospective evidence.", "type" : "article-journal", "volume" : "29" }, "uris" : [ "http://www.mendeley.com/documents/?uuid=ea13285a-1001-4dcb-899a-91d9a0914311" ] }, { "id" : "ITEM-2", "itemData" : { "DOI" : "10.1002/dmrr.2506", "ISSN" : "1520-7560", "PMID" : "24327370", "abstract" : "The literature on the role of body iron status in the development of type 2 diabetes (T2D) in humans is inconsistent. We aimed to assess the association between iron indices and T2D by a meta-analysis of previously published studies. A systematic literature search was conducted in PubMed and EMBASE. Observational studies on the association of ferritin (when controlled for age and sex), transferrin saturation, soluble transferrin receptor and transferrin with T2D were included. Pooled association estimates were calculated using a random effects model. Forty-six eligible studies were identified. The pooled multivariable adjusted relative risks of T2D in the highest versus lowest quartile of ferritin levels were significantly elevated in both cross-sectional as well as prospective studies and after restriction to inflammation-adjusted studies [overall: 1.67 (95% CI 1.41-1.99)]. The mean difference indicated 43.54 ng/mL (95% CI 28.14-58.94) higher ferritin levels in type 2 diabetic individuals. The relative risk for a transferrin saturation \u2265 50% was 1.59 (95% CI 1.28-1.97), the mean difference was -1.92% [95% CI -2.99-(-0.85)]. Study-specific results of soluble transferrin receptor and transferrin levels were extremely heterogeneous. Ferritin and clinically elevated transferrin saturation were strongly associated with an increased risk of T2D, overall and in prospective studies. Ferritin was also significantly associated after multivariable adjustment including inflammation. Thus, the current evidence hints at a causal effect; however, publication bias and unmeasured confounding cannot be excluded.", "author" : [ { "dropping-particle" : "", "family" : "Orban", "given" : "Ester", "non-dropping-particle" : "", "parse-names" : false, "suffix" : "" }, { "dropping-particle" : "", "family" : "Schwab", "given" : "Sigrid", "non-dropping-particle" : "", "parse-names" : false, "suffix" : "" }, { "dropping-particle" : "", "family" : "Thorand", "given" : "Barbara", "non-dropping-particle" : "", "parse-names" : false, "suffix" : "" }, { "dropping-particle" : "", "family" : "Huth", "given" : "Cornelia", "non-dropping-particle" : "", "parse-names" : false, "suffix" : "" } ], "container-title" : "Diabetes/metabolism research and reviews", "id" : "ITEM-2", "issue" : "5", "issued" : { "date-parts" : [ [ "2014", "7", "10" ] ] }, "page" : "372-94", "title" : "Association of iron indices and type 2 diabetes: a meta-analysis of observational studies.", "type" : "article-journal", "volume" : "30" }, "uris" : [ "http://www.mendeley.com/documents/?uuid=6526b922-ba7c-4e27-a8dd-cf82a21d2386" ] } ], "mendeley" : { "formattedCitation" : "(3,4)", "plainTextFormattedCitation" : "(3,4)", "previouslyFormattedCitation" : "(3,4)" }, "properties" : { "noteIndex" : 0 }, "schema" : "https://github.com/citation-style-language/schema/raw/master/csl-citation.json" }</w:instrText>
      </w:r>
      <w:r w:rsidR="00224BE4" w:rsidRPr="0018334E">
        <w:rPr>
          <w:rFonts w:cs="Arial"/>
          <w:sz w:val="24"/>
          <w:szCs w:val="24"/>
          <w:lang w:val="en-US"/>
        </w:rPr>
        <w:fldChar w:fldCharType="separate"/>
      </w:r>
      <w:r w:rsidR="00422013" w:rsidRPr="00422013">
        <w:rPr>
          <w:rFonts w:cs="Arial"/>
          <w:noProof/>
          <w:sz w:val="24"/>
          <w:szCs w:val="24"/>
          <w:lang w:val="en-US"/>
        </w:rPr>
        <w:t>(3,4)</w:t>
      </w:r>
      <w:r w:rsidR="00224BE4" w:rsidRPr="0018334E">
        <w:rPr>
          <w:rFonts w:cs="Arial"/>
          <w:sz w:val="24"/>
          <w:szCs w:val="24"/>
          <w:lang w:val="en-US"/>
        </w:rPr>
        <w:fldChar w:fldCharType="end"/>
      </w:r>
      <w:r w:rsidR="0002697A" w:rsidRPr="0018334E">
        <w:rPr>
          <w:rFonts w:cs="Arial"/>
          <w:sz w:val="24"/>
          <w:szCs w:val="24"/>
          <w:lang w:val="en-US"/>
        </w:rPr>
        <w:t>.</w:t>
      </w:r>
      <w:r w:rsidR="000B16EB" w:rsidRPr="0018334E">
        <w:rPr>
          <w:rFonts w:cs="Arial"/>
          <w:sz w:val="24"/>
          <w:szCs w:val="24"/>
          <w:lang w:val="en-US"/>
        </w:rPr>
        <w:t xml:space="preserve"> </w:t>
      </w:r>
      <w:r w:rsidR="00CC5AD7" w:rsidRPr="0018334E">
        <w:rPr>
          <w:rFonts w:cs="Arial"/>
          <w:sz w:val="24"/>
          <w:szCs w:val="24"/>
          <w:lang w:val="en-US"/>
        </w:rPr>
        <w:t>However, a</w:t>
      </w:r>
      <w:r w:rsidR="00EE1E42" w:rsidRPr="0018334E">
        <w:rPr>
          <w:rFonts w:cs="Arial"/>
          <w:sz w:val="24"/>
          <w:szCs w:val="24"/>
          <w:lang w:val="en-US"/>
        </w:rPr>
        <w:t>lthough f</w:t>
      </w:r>
      <w:r w:rsidR="00841951" w:rsidRPr="0018334E">
        <w:rPr>
          <w:rFonts w:cs="Arial"/>
          <w:sz w:val="24"/>
          <w:szCs w:val="24"/>
          <w:lang w:val="en-US"/>
        </w:rPr>
        <w:t>e</w:t>
      </w:r>
      <w:r w:rsidR="00EE6A58" w:rsidRPr="0018334E">
        <w:rPr>
          <w:rFonts w:cs="Arial"/>
          <w:sz w:val="24"/>
          <w:szCs w:val="24"/>
          <w:lang w:val="en-US"/>
        </w:rPr>
        <w:t>rritin</w:t>
      </w:r>
      <w:r w:rsidR="00B6115A" w:rsidRPr="0018334E">
        <w:rPr>
          <w:rFonts w:cs="Arial"/>
          <w:sz w:val="24"/>
          <w:szCs w:val="24"/>
          <w:lang w:val="en-US"/>
        </w:rPr>
        <w:t xml:space="preserve"> </w:t>
      </w:r>
      <w:r w:rsidR="00EE1E42" w:rsidRPr="0018334E">
        <w:rPr>
          <w:rFonts w:cs="Arial"/>
          <w:sz w:val="24"/>
          <w:szCs w:val="24"/>
          <w:lang w:val="en-US"/>
        </w:rPr>
        <w:t xml:space="preserve">is considered a marker of iron stores in healthy individuals </w:t>
      </w:r>
      <w:r w:rsidR="00EE1E42" w:rsidRPr="0018334E">
        <w:rPr>
          <w:rFonts w:cs="Arial"/>
          <w:sz w:val="24"/>
          <w:szCs w:val="24"/>
          <w:lang w:val="en-US"/>
        </w:rPr>
        <w:fldChar w:fldCharType="begin" w:fldLock="1"/>
      </w:r>
      <w:r w:rsidR="001F4FA1">
        <w:rPr>
          <w:rFonts w:cs="Arial"/>
          <w:sz w:val="24"/>
          <w:szCs w:val="24"/>
          <w:lang w:val="en-US"/>
        </w:rPr>
        <w:instrText>ADDIN CSL_CITATION { "citationItems" : [ { "id" : "ITEM-1", "itemData" : { "ISSN" : "0021-9746", "PMID" : "4750458", "abstract" : "The relationship between serum ferritin concentration and the amount of storage iron has been studied in normal subjects. A high degree of correlation was demonstrated between serum ferritin concentration and storage iron measured by quantitative phlebotomy. The possible advantages of assessing iron stores by using the serum ferritin concentration are discussed.", "author" : [ { "dropping-particle" : "", "family" : "Walters", "given" : "G O", "non-dropping-particle" : "", "parse-names" : false, "suffix" : "" }, { "dropping-particle" : "", "family" : "Miller", "given" : "F M", "non-dropping-particle" : "", "parse-names" : false, "suffix" : "" }, { "dropping-particle" : "", "family" : "Worwood", "given" : "Mark", "non-dropping-particle" : "", "parse-names" : false, "suffix" : "" } ], "container-title" : "Journal of Clinical Pathology", "id" : "ITEM-1", "issue" : "10", "issued" : { "date-parts" : [ [ "1973", "10" ] ] }, "note" : "\n        Strong correlation between ferritin and quantitative phlebotomy in healthy individuals.\n      ", "page" : "770-2", "title" : "Serum ferritin concentration and iron stores in normal subjects.", "type" : "article-journal", "volume" : "26" }, "uris" : [ "http://www.mendeley.com/documents/?uuid=5b94e3a8-21c0-471d-9cd9-25a10a1876fe" ] }, { "id" : "ITEM-2", "itemData" : { "ISSN" : "0007-1447", "PMID" : "5082548", "abstract" : "The concentration of ferritin in serum gives a quantitative measure of the amount of storage iron in normal subjects and those with iron deficiency or overload. The mean level in normal men is 69 ng/ml, compared with 35 ng/ml in normal women. A concentration below 10 ng/ml is associated with a low transferrin saturation and iron-deficient erythropoiesis.", "author" : [ { "dropping-particle" : "", "family" : "Jacobs", "given" : "A", "non-dropping-particle" : "", "parse-names" : false, "suffix" : "" }, { "dropping-particle" : "", "family" : "Miller", "given" : "F", "non-dropping-particle" : "", "parse-names" : false, "suffix" : "" }, { "dropping-particle" : "", "family" : "Worwood", "given" : "Mark", "non-dropping-particle" : "", "parse-names" : false, "suffix" : "" }, { "dropping-particle" : "", "family" : "Beamish", "given" : "M R", "non-dropping-particle" : "", "parse-names" : false, "suffix" : "" }, { "dropping-particle" : "", "family" : "Wardrop", "given" : "C A", "non-dropping-particle" : "", "parse-names" : false, "suffix" : "" } ], "container-title" : "British Medical Journal", "id" : "ITEM-2", "issue" : "5834", "issued" : { "date-parts" : [ [ "1972", "10", "28" ] ] }, "note" : "\n        ferritin is a quantitative measure of the amount of storage iron in normal subjects as well as in those with iron deficieny and overload\n      ", "page" : "206-8", "title" : "Ferritin in the serum of normal subjects and patients with iron deficiency and iron overload.", "type" : "article-journal", "volume" : "4" }, "uris" : [ "http://www.mendeley.com/documents/?uuid=4047d9d8-a753-4521-a7c5-0db2e6a0447c" ] }, { "id" : "ITEM-3", "itemData" : { "DOI" : "57632", "ISSN" : "0001-5792", "PMID" : "11978935", "abstract" : "None of the methods for assessing total body iron burden in patients with hemochromatosis is satisfactory. Although it is commonly believed that a relationship exists between serum ferritin levels and total iron burden, the extent of this relationship has not previously been documented. In the present investigation we measured the total body iron burden of 88 patients with putative hemochromatosis, 54 of whom were homozygotes for the 845G--&gt;A (C282Y) mutation. The total body iron stores were estimated from the volume of red cells removed during therapeutic phlebotomy corrected for an estimated 2 mg/day dietary iron absorbed during the phlebotomy period; the amount of storage iron was compared to the serum ferritin, serum iron, unsaturated iron binding capacity, and transferrin saturation before the beginning of phlebotomy. The serum ferritin proved to be the best predictor of body iron stores. The correlation between all of the analytes and the body iron burden was greater in patients homozygous for the C282Y mutation than in those who were not, including the compound heterozygotes for C282Y and H63D. The body iron burden tended to be greater in patients homozygous for the C282Y mutation than the other patients at any other given ferritin level. We conclude that the serum ferritin level does provide some information regarding total iron burden but even in the case of C282Y homozygotes, the correlation is not very strong.", "author" : [ { "dropping-particle" : "", "family" : "Beutler", "given" : "Ernest", "non-dropping-particle" : "", "parse-names" : false, "suffix" : "" }, { "dropping-particle" : "", "family" : "Felitti", "given" : "Vincent", "non-dropping-particle" : "", "parse-names" : false, "suffix" : "" }, { "dropping-particle" : "", "family" : "Ho", "given" : "Ngoc J", "non-dropping-particle" : "", "parse-names" : false, "suffix" : "" }, { "dropping-particle" : "", "family" : "Gelbart", "given" : "Terri", "non-dropping-particle" : "", "parse-names" : false, "suffix" : "" } ], "container-title" : "Acta Haematologica", "id" : "ITEM-3", "issue" : "3", "issued" : { "date-parts" : [ [ "2002", "1" ] ] }, "note" : "Correlation of ferritin with iron burden in HHC patients", "page" : "145-9", "title" : "Relationship of body iron stores to levels of serum ferritin, serum iron, unsaturated iron binding capacity and transferrin saturation in patients with iron storage disease.", "type" : "article-journal", "volume" : "107" }, "uris" : [ "http://www.mendeley.com/documents/?uuid=0766ab2b-5707-41ec-96a2-539adb623556" ] } ], "mendeley" : { "formattedCitation" : "(5\u20137)", "plainTextFormattedCitation" : "(5\u20137)", "previouslyFormattedCitation" : "(5\u20137)" }, "properties" : { "noteIndex" : 0 }, "schema" : "https://github.com/citation-style-language/schema/raw/master/csl-citation.json" }</w:instrText>
      </w:r>
      <w:r w:rsidR="00EE1E42" w:rsidRPr="0018334E">
        <w:rPr>
          <w:rFonts w:cs="Arial"/>
          <w:sz w:val="24"/>
          <w:szCs w:val="24"/>
          <w:lang w:val="en-US"/>
        </w:rPr>
        <w:fldChar w:fldCharType="separate"/>
      </w:r>
      <w:r w:rsidR="006372DC" w:rsidRPr="006372DC">
        <w:rPr>
          <w:rFonts w:cs="Arial"/>
          <w:noProof/>
          <w:sz w:val="24"/>
          <w:szCs w:val="24"/>
          <w:lang w:val="en-US"/>
        </w:rPr>
        <w:t>(5–7)</w:t>
      </w:r>
      <w:r w:rsidR="00EE1E42" w:rsidRPr="0018334E">
        <w:rPr>
          <w:rFonts w:cs="Arial"/>
          <w:sz w:val="24"/>
          <w:szCs w:val="24"/>
          <w:lang w:val="en-US"/>
        </w:rPr>
        <w:fldChar w:fldCharType="end"/>
      </w:r>
      <w:r w:rsidR="00841951" w:rsidRPr="0018334E">
        <w:rPr>
          <w:rFonts w:cs="Arial"/>
          <w:sz w:val="24"/>
          <w:szCs w:val="24"/>
          <w:lang w:val="en-US"/>
        </w:rPr>
        <w:t>,</w:t>
      </w:r>
      <w:r w:rsidR="00B6115A" w:rsidRPr="0018334E">
        <w:rPr>
          <w:rFonts w:cs="Arial"/>
          <w:sz w:val="24"/>
          <w:szCs w:val="24"/>
          <w:lang w:val="en-US"/>
        </w:rPr>
        <w:t xml:space="preserve"> it</w:t>
      </w:r>
      <w:r w:rsidR="00224BE4" w:rsidRPr="0018334E">
        <w:rPr>
          <w:rFonts w:cs="Arial"/>
          <w:sz w:val="24"/>
          <w:szCs w:val="24"/>
          <w:lang w:val="en-US"/>
        </w:rPr>
        <w:t xml:space="preserve"> is also an acute</w:t>
      </w:r>
      <w:r w:rsidR="00581CCE" w:rsidRPr="0018334E">
        <w:rPr>
          <w:rFonts w:cs="Arial"/>
          <w:sz w:val="24"/>
          <w:szCs w:val="24"/>
          <w:lang w:val="en-US"/>
        </w:rPr>
        <w:t xml:space="preserve"> phase</w:t>
      </w:r>
      <w:r w:rsidR="00224BE4" w:rsidRPr="0018334E">
        <w:rPr>
          <w:rFonts w:cs="Arial"/>
          <w:sz w:val="24"/>
          <w:szCs w:val="24"/>
          <w:lang w:val="en-US"/>
        </w:rPr>
        <w:t xml:space="preserve"> </w:t>
      </w:r>
      <w:r w:rsidR="00486EFD" w:rsidRPr="0018334E">
        <w:rPr>
          <w:rFonts w:cs="Arial"/>
          <w:sz w:val="24"/>
          <w:szCs w:val="24"/>
          <w:lang w:val="en-US"/>
        </w:rPr>
        <w:t>r</w:t>
      </w:r>
      <w:r w:rsidR="00E47948" w:rsidRPr="0018334E">
        <w:rPr>
          <w:rFonts w:cs="Arial"/>
          <w:sz w:val="24"/>
          <w:szCs w:val="24"/>
          <w:lang w:val="en-US"/>
        </w:rPr>
        <w:t>eactant and</w:t>
      </w:r>
      <w:r w:rsidR="00CE762D" w:rsidRPr="0018334E">
        <w:rPr>
          <w:rFonts w:cs="Arial"/>
          <w:sz w:val="24"/>
          <w:szCs w:val="24"/>
          <w:lang w:val="en-US"/>
        </w:rPr>
        <w:t xml:space="preserve"> </w:t>
      </w:r>
      <w:r w:rsidR="009B2568" w:rsidRPr="0018334E">
        <w:rPr>
          <w:rFonts w:cs="Arial"/>
          <w:sz w:val="24"/>
          <w:szCs w:val="24"/>
          <w:lang w:val="en-US"/>
        </w:rPr>
        <w:t>is influenced by</w:t>
      </w:r>
      <w:r w:rsidR="00546FF9" w:rsidRPr="0018334E">
        <w:rPr>
          <w:rFonts w:cs="Arial"/>
          <w:sz w:val="24"/>
          <w:szCs w:val="24"/>
          <w:lang w:val="en-US"/>
        </w:rPr>
        <w:t xml:space="preserve"> </w:t>
      </w:r>
      <w:r w:rsidR="00E47948" w:rsidRPr="0018334E">
        <w:rPr>
          <w:rFonts w:cs="Arial"/>
          <w:sz w:val="24"/>
          <w:szCs w:val="24"/>
          <w:lang w:val="en-US"/>
        </w:rPr>
        <w:t>inflammation, liver</w:t>
      </w:r>
      <w:r w:rsidR="00841951" w:rsidRPr="0018334E">
        <w:rPr>
          <w:rFonts w:cs="Arial"/>
          <w:sz w:val="24"/>
          <w:szCs w:val="24"/>
          <w:lang w:val="en-US"/>
        </w:rPr>
        <w:t xml:space="preserve"> disease </w:t>
      </w:r>
      <w:r w:rsidR="00EA10AE" w:rsidRPr="0018334E">
        <w:rPr>
          <w:rFonts w:cs="Arial"/>
          <w:sz w:val="24"/>
          <w:szCs w:val="24"/>
          <w:lang w:val="en-US"/>
        </w:rPr>
        <w:t>and</w:t>
      </w:r>
      <w:r w:rsidR="00841951" w:rsidRPr="0018334E">
        <w:rPr>
          <w:rFonts w:cs="Arial"/>
          <w:sz w:val="24"/>
          <w:szCs w:val="24"/>
          <w:lang w:val="en-US"/>
        </w:rPr>
        <w:t xml:space="preserve"> insulin resistance</w:t>
      </w:r>
      <w:r w:rsidR="005247C2" w:rsidRPr="0018334E">
        <w:rPr>
          <w:rFonts w:cs="Arial"/>
          <w:sz w:val="24"/>
          <w:szCs w:val="24"/>
          <w:lang w:val="en-US"/>
        </w:rPr>
        <w:t xml:space="preserve">, which are also associated with </w:t>
      </w:r>
      <w:r w:rsidR="008C722E" w:rsidRPr="0018334E">
        <w:rPr>
          <w:rFonts w:cs="Arial"/>
          <w:sz w:val="24"/>
          <w:szCs w:val="24"/>
          <w:lang w:val="en-US"/>
        </w:rPr>
        <w:t xml:space="preserve">type 2 </w:t>
      </w:r>
      <w:r w:rsidR="008C722E" w:rsidRPr="007632BD">
        <w:rPr>
          <w:rFonts w:cs="Arial"/>
          <w:sz w:val="24"/>
          <w:szCs w:val="24"/>
          <w:lang w:val="en-US"/>
        </w:rPr>
        <w:t>diabetes</w:t>
      </w:r>
      <w:r w:rsidR="0002697A" w:rsidRPr="007632BD">
        <w:rPr>
          <w:rFonts w:cs="Arial"/>
          <w:sz w:val="24"/>
          <w:szCs w:val="24"/>
          <w:lang w:val="en-US"/>
        </w:rPr>
        <w:t xml:space="preserve"> </w:t>
      </w:r>
      <w:r w:rsidR="00841951" w:rsidRPr="007632BD">
        <w:rPr>
          <w:rFonts w:cs="Arial"/>
          <w:sz w:val="24"/>
          <w:szCs w:val="24"/>
          <w:lang w:val="en-US"/>
        </w:rPr>
        <w:fldChar w:fldCharType="begin" w:fldLock="1"/>
      </w:r>
      <w:r w:rsidR="001F4FA1">
        <w:rPr>
          <w:rFonts w:cs="Arial"/>
          <w:sz w:val="24"/>
          <w:szCs w:val="24"/>
          <w:lang w:val="en-US"/>
        </w:rPr>
        <w:instrText>ADDIN CSL_CITATION { "citationItems" : [ { "id" : "ITEM-1", "itemData" : { "DOI" : "10.7326/0003-4819-139-10-200311180-00029", "ISSN" : "1539-3704", "PMID" : "14623634", "author" : [ { "dropping-particle" : "", "family" : "Haap", "given" : "Michael", "non-dropping-particle" : "", "parse-names" : false, "suffix" : "" }, { "dropping-particle" : "", "family" : "Fritsche", "given" : "Andreas", "non-dropping-particle" : "", "parse-names" : false, "suffix" : "" }, { "dropping-particle" : "", "family" : "Mensing", "given" : "Heinz Joachim", "non-dropping-particle" : "", "parse-names" : false, "suffix" : "" }, { "dropping-particle" : "", "family" : "H\u00e4ring", "given" : "Hans-Ulrich", "non-dropping-particle" : "", "parse-names" : false, "suffix" : "" }, { "dropping-particle" : "", "family" : "Stumvoll", "given" : "Michael", "non-dropping-particle" : "", "parse-names" : false, "suffix" : "" } ], "container-title" : "Annals of Internal Medicine", "id" : "ITEM-1", "issue" : "10", "issued" : { "date-parts" : [ [ "2003", "11", "18" ] ] }, "page" : "869-71", "publisher" : "American College of Physicians", "title" : "Association of high serum ferritin concentration with glucose intolerance and insulin resistance in healthy people.", "type" : "article-journal", "volume" : "139" }, "uris" : [ "http://www.mendeley.com/documents/?uuid=a4c5a098-ef88-4e62-becf-bd4897fe51f7" ] }, { "id" : "ITEM-2", "itemData" : { "ISSN" : "0009-9147", "PMID" : "2372951", "abstract" : "We measured by different techniques the ferritin concentration in serum in two large asymptomatic Australian population samples: 1367 bank employees and 601 insurance corporation employees. Ethanol intake, diet, the frequency of blood donation, smoking and exercise habits, and past medical history were documented. The median concentration of ferritin in serum varied according to age and sex, but was generally higher than in previously reported populations under age 65 years. Results for the two population samples were in close agreement. Apart from the blood donation status, the most important factors influencing the concentration of ferritin in serum were ethanol intake in men and diet in women. Heavy ethanol intake was associated with increased values, even among men without evidence of liver disease. We conclude that the reference range for ferritin concentration in serum in the Australian population should be significantly increased and should be related to age as well as sex. This study emphasizes the need to determine local reference ranges for ferritin concentrations in serum.", "author" : [ { "dropping-particle" : "", "family" : "Leggett", "given" : "B A", "non-dropping-particle" : "", "parse-names" : false, "suffix" : "" }, { "dropping-particle" : "", "family" : "Brown", "given" : "N N", "non-dropping-particle" : "", "parse-names" : false, "suffix" : "" }, { "dropping-particle" : "", "family" : "Bryant", "given" : "S J", "non-dropping-particle" : "", "parse-names" : false, "suffix" : "" }, { "dropping-particle" : "", "family" : "Duplock", "given" : "L", "non-dropping-particle" : "", "parse-names" : false, "suffix" : "" }, { "dropping-particle" : "", "family" : "Powell", "given" : "L W", "non-dropping-particle" : "", "parse-names" : false, "suffix" : "" }, { "dropping-particle" : "", "family" : "Halliday", "given" : "J W", "non-dropping-particle" : "", "parse-names" : false, "suffix" : "" } ], "container-title" : "Clinical Chemistry", "id" : "ITEM-2", "issue" : "7", "issued" : { "date-parts" : [ [ "1990", "7" ] ] }, "page" : "1350-5", "title" : "Factors affecting the concentrations of ferritin in serum in a healthy Australian population.", "type" : "article-journal", "volume" : "36" }, "uris" : [ "http://www.mendeley.com/documents/?uuid=1e2e7be0-458c-4e68-9c60-ac9f24570206" ] }, { "id" : "ITEM-3", "itemData" : { "DOI" : "10.1111/j.1464-5491.2012.03732.x", "ISSN" : "1464-5491", "PMID" : "22672330", "abstract" : "Non-alcoholic fatty liver disease is now recognized as the hepatic component of the metabolic syndrome. Non-alcoholic fatty liver disease is a spectrum of fat-associated liver conditions that can result in end-stage liver disease and the need for liver transplantation. Simple steatosis, or fatty liver, occurs early in non-alcoholic fatty liver disease and may progress to non-alcoholic steatohepatitis, fibrosis and cirrhosis with increased risk of hepatocellular carcinoma. Prevalence estimates for non-alcoholic fatty liver disease range from 17 to 33% in the general populations and it has been estimated that non-alcoholic fatty liver disease exists in up to 70% of people with Type 2 diabetes. Non-alcoholic fatty liver disease increases risk of Type 2 diabetes and cardiovascular disease. In people with Type 2 diabetes, non-alcoholic fatty liver disease is the most frequent cause (\u223c80%) of fatty liver diagnosed by ultrasound. As non-alcoholic fatty liver disease is strongly associated with insulin resistance, the presence of non-alcoholic fatty liver disease with diabetes often contributes to poor glycaemic control. Consequently, strategies that decrease liver fat and improve whole-body insulin sensitivity may both contribute to prevention of Type 2 diabetes and to better glycaemic control in people who already have developed diabetes. This review summarizes the Dorothy Hodgkin lecture given by the author at the 2012 Diabetes UK annual scientific conference, proposing that fatty acid fluxes through the liver are crucial for the pathogenesis of non-alcoholic fatty liver disease and for increasing insulin resistance.", "author" : [ { "dropping-particle" : "", "family" : "Byrne", "given" : "Christopher D", "non-dropping-particle" : "", "parse-names" : false, "suffix" : "" } ], "container-title" : "Diabetic Medicine", "id" : "ITEM-3", "issue" : "9", "issued" : { "date-parts" : [ [ "2012", "9" ] ] }, "page" : "1098-107", "title" : "Dorothy Hodgkin Lecture 2012: non-alcoholic fatty liver disease, insulin resistance and ectopic fat: a new problem in diabetes management.", "type" : "article-journal", "volume" : "29" }, "uris" : [ "http://www.mendeley.com/documents/?uuid=0eadcb19-ea8e-40a5-b986-c72e4d5a7ee9" ] }, { "id" : "ITEM-4", "itemData" : { "DOI" : "10.1007/s11892-013-0375-y", "ISSN" : "1539-0829", "PMID" : "23494755", "abstract" : "Type 2 diabetes mellitus (T2DM) is increasingly common worldwide. Related complications account for increased morbidity and mortality, and enormous healthcare spending. Knowledge of the pathophysiological derangements involved in the occurrence of diabetes and related complications is critical for successful prevention and control solutions. Epidemiologic studies have established an association between inflammatory biomarkers and the occurrence of T2DM and complications. Adipose tissue appears to be a major site of production of those inflammatory biomarkers, as a result of the cross-talk between adipose cells, macrophages, and other immune cells that infiltrate the expanding adipose tissue. The triggering mechanisms of the inflammation in T2DM are still ill-understood. Inflammatory response likely contributes to T2DM occurrence by causing insulin resistance, and is in turn intensified in the presence of hyperglycemia to promote long-term complications of diabetes. Targeting inflammatory pathways could possibly be a component of the strategies to prevent and control diabetes and related complications.", "author" : [ { "dropping-particle" : "", "family" : "Lontchi-Yimagou", "given" : "Eric", "non-dropping-particle" : "", "parse-names" : false, "suffix" : "" }, { "dropping-particle" : "", "family" : "Sobngwi", "given" : "Eugene", "non-dropping-particle" : "", "parse-names" : false, "suffix" : "" }, { "dropping-particle" : "", "family" : "Matsha", "given" : "Tandi E", "non-dropping-particle" : "", "parse-names" : false, "suffix" : "" }, { "dropping-particle" : "", "family" : "Kengne", "given" : "Andre Pascal", "non-dropping-particle" : "", "parse-names" : false, "suffix" : "" } ], "container-title" : "Current Diabetes Reports", "id" : "ITEM-4", "issue" : "3", "issued" : { "date-parts" : [ [ "2013", "6" ] ] }, "note" : "From Duplicate 1 ( Diabetes mellitus and inflammation. - Lontchi-Yimagou, Eric; Sobngwi, Eugene; Matsha, Tandi E; Kengne, Andre Pascal )\n\nFrom Duplicate 1 ( Diabetes mellitus and inflammation. - Lontchi-Yimagou, Eric; Sobngwi, Eugene; Matsha, Tandi E; Kengne, Andre Pascal )\n", "page" : "435-44", "title" : "Diabetes mellitus and inflammation.", "type" : "article-journal", "volume" : "13" }, "uris" : [ "http://www.mendeley.com/documents/?uuid=c13e36a9-0202-4a50-909a-7567eb6c7b2d" ] } ], "mendeley" : { "formattedCitation" : "(8\u201311)", "plainTextFormattedCitation" : "(8\u201311)", "previouslyFormattedCitation" : "(8\u201311)" }, "properties" : { "noteIndex" : 0 }, "schema" : "https://github.com/citation-style-language/schema/raw/master/csl-citation.json" }</w:instrText>
      </w:r>
      <w:r w:rsidR="00841951" w:rsidRPr="007632BD">
        <w:rPr>
          <w:rFonts w:cs="Arial"/>
          <w:sz w:val="24"/>
          <w:szCs w:val="24"/>
          <w:lang w:val="en-US"/>
        </w:rPr>
        <w:fldChar w:fldCharType="separate"/>
      </w:r>
      <w:r w:rsidR="006372DC" w:rsidRPr="007632BD">
        <w:rPr>
          <w:rFonts w:cs="Arial"/>
          <w:noProof/>
          <w:sz w:val="24"/>
          <w:szCs w:val="24"/>
          <w:lang w:val="en-US"/>
        </w:rPr>
        <w:t>(8–11)</w:t>
      </w:r>
      <w:r w:rsidR="00841951" w:rsidRPr="007632BD">
        <w:rPr>
          <w:rFonts w:cs="Arial"/>
          <w:sz w:val="24"/>
          <w:szCs w:val="24"/>
          <w:lang w:val="en-US"/>
        </w:rPr>
        <w:fldChar w:fldCharType="end"/>
      </w:r>
      <w:r w:rsidR="0002697A" w:rsidRPr="007632BD">
        <w:rPr>
          <w:rFonts w:cs="Arial"/>
          <w:sz w:val="24"/>
          <w:szCs w:val="24"/>
          <w:lang w:val="en-US"/>
        </w:rPr>
        <w:t>.</w:t>
      </w:r>
      <w:r w:rsidR="00841951" w:rsidRPr="0018334E">
        <w:rPr>
          <w:rFonts w:cs="Arial"/>
          <w:sz w:val="24"/>
          <w:szCs w:val="24"/>
          <w:lang w:val="en-US"/>
        </w:rPr>
        <w:t xml:space="preserve"> </w:t>
      </w:r>
    </w:p>
    <w:p w:rsidR="009B2568" w:rsidRPr="0018334E" w:rsidRDefault="009B2568" w:rsidP="00F328BE">
      <w:pPr>
        <w:pStyle w:val="Normail"/>
        <w:spacing w:line="480" w:lineRule="auto"/>
        <w:jc w:val="both"/>
        <w:rPr>
          <w:rFonts w:cs="Arial"/>
          <w:sz w:val="24"/>
          <w:szCs w:val="24"/>
          <w:lang w:val="en-US"/>
        </w:rPr>
      </w:pPr>
    </w:p>
    <w:p w:rsidR="00526CDE" w:rsidRPr="0018334E" w:rsidRDefault="00181393" w:rsidP="00F328BE">
      <w:pPr>
        <w:pStyle w:val="Normail"/>
        <w:spacing w:line="480" w:lineRule="auto"/>
        <w:jc w:val="both"/>
        <w:rPr>
          <w:rFonts w:cs="Arial"/>
          <w:sz w:val="24"/>
          <w:szCs w:val="24"/>
          <w:lang w:val="en-US"/>
        </w:rPr>
      </w:pPr>
      <w:r w:rsidRPr="0018334E">
        <w:rPr>
          <w:rFonts w:cs="Arial"/>
          <w:sz w:val="24"/>
          <w:szCs w:val="24"/>
          <w:lang w:val="en-US"/>
        </w:rPr>
        <w:t xml:space="preserve">The </w:t>
      </w:r>
      <w:r w:rsidR="00E00979" w:rsidRPr="0018334E">
        <w:rPr>
          <w:rFonts w:cs="Arial"/>
          <w:sz w:val="24"/>
          <w:szCs w:val="24"/>
          <w:lang w:val="en-US"/>
        </w:rPr>
        <w:t>use</w:t>
      </w:r>
      <w:r w:rsidRPr="0018334E">
        <w:rPr>
          <w:rFonts w:cs="Arial"/>
          <w:sz w:val="24"/>
          <w:szCs w:val="24"/>
          <w:lang w:val="en-US"/>
        </w:rPr>
        <w:t xml:space="preserve"> of o</w:t>
      </w:r>
      <w:r w:rsidR="00F12744" w:rsidRPr="0018334E">
        <w:rPr>
          <w:rFonts w:cs="Arial"/>
          <w:sz w:val="24"/>
          <w:szCs w:val="24"/>
          <w:lang w:val="en-US"/>
        </w:rPr>
        <w:t xml:space="preserve">ther </w:t>
      </w:r>
      <w:r w:rsidR="00EA2C28" w:rsidRPr="0018334E">
        <w:rPr>
          <w:rFonts w:cs="Arial"/>
          <w:sz w:val="24"/>
          <w:szCs w:val="24"/>
          <w:lang w:val="en-US"/>
        </w:rPr>
        <w:t xml:space="preserve">commonly measured </w:t>
      </w:r>
      <w:r w:rsidR="00F15752" w:rsidRPr="0018334E">
        <w:rPr>
          <w:rFonts w:cs="Arial"/>
          <w:sz w:val="24"/>
          <w:szCs w:val="24"/>
          <w:lang w:val="en-US"/>
        </w:rPr>
        <w:t>biomarkers</w:t>
      </w:r>
      <w:r w:rsidR="00844460" w:rsidRPr="0018334E">
        <w:rPr>
          <w:rFonts w:cs="Arial"/>
          <w:sz w:val="24"/>
          <w:szCs w:val="24"/>
          <w:lang w:val="en-US"/>
        </w:rPr>
        <w:t xml:space="preserve"> </w:t>
      </w:r>
      <w:r w:rsidR="007250EC" w:rsidRPr="0018334E">
        <w:rPr>
          <w:rFonts w:cs="Arial"/>
          <w:sz w:val="24"/>
          <w:szCs w:val="24"/>
          <w:lang w:val="en-US"/>
        </w:rPr>
        <w:t>of iron metabolism</w:t>
      </w:r>
      <w:r w:rsidRPr="0018334E">
        <w:rPr>
          <w:rFonts w:cs="Arial"/>
          <w:sz w:val="24"/>
          <w:szCs w:val="24"/>
          <w:lang w:val="en-US"/>
        </w:rPr>
        <w:t xml:space="preserve"> </w:t>
      </w:r>
      <w:r w:rsidR="007250EC" w:rsidRPr="0018334E">
        <w:rPr>
          <w:rFonts w:cs="Arial"/>
          <w:sz w:val="24"/>
          <w:szCs w:val="24"/>
          <w:lang w:val="en-US"/>
        </w:rPr>
        <w:t xml:space="preserve">may provide additional information on the role of iron in the pathogenesis of </w:t>
      </w:r>
      <w:r w:rsidR="008C722E" w:rsidRPr="0018334E">
        <w:rPr>
          <w:rFonts w:cs="Arial"/>
          <w:sz w:val="24"/>
          <w:szCs w:val="24"/>
          <w:lang w:val="en-US"/>
        </w:rPr>
        <w:t>type 2 diabetes</w:t>
      </w:r>
      <w:r w:rsidR="00CC5AD7" w:rsidRPr="0018334E">
        <w:rPr>
          <w:rFonts w:cs="Arial"/>
          <w:sz w:val="24"/>
          <w:szCs w:val="24"/>
          <w:lang w:val="en-US"/>
        </w:rPr>
        <w:t>, because they reflect different aspects of iron metabolism and are less influenced by the above mentioned conditions</w:t>
      </w:r>
      <w:r w:rsidR="007250EC" w:rsidRPr="0018334E">
        <w:rPr>
          <w:rFonts w:cs="Arial"/>
          <w:sz w:val="24"/>
          <w:szCs w:val="24"/>
          <w:lang w:val="en-US"/>
        </w:rPr>
        <w:t xml:space="preserve">. </w:t>
      </w:r>
      <w:r w:rsidR="007250EC" w:rsidRPr="00B123A4">
        <w:rPr>
          <w:rFonts w:cs="Arial"/>
          <w:sz w:val="24"/>
          <w:szCs w:val="24"/>
          <w:lang w:val="en-US"/>
        </w:rPr>
        <w:t>T</w:t>
      </w:r>
      <w:r w:rsidR="00BB2320" w:rsidRPr="00736D30">
        <w:rPr>
          <w:rFonts w:cs="Arial"/>
          <w:sz w:val="24"/>
          <w:szCs w:val="24"/>
          <w:lang w:val="en-US"/>
        </w:rPr>
        <w:t>ransferrin</w:t>
      </w:r>
      <w:r w:rsidR="007250EC" w:rsidRPr="00736D30">
        <w:rPr>
          <w:rFonts w:cs="Arial"/>
          <w:sz w:val="24"/>
          <w:szCs w:val="24"/>
          <w:lang w:val="en-US"/>
        </w:rPr>
        <w:t xml:space="preserve"> is </w:t>
      </w:r>
      <w:r w:rsidR="00E35249" w:rsidRPr="006E1ABC">
        <w:rPr>
          <w:rFonts w:cs="Arial"/>
          <w:sz w:val="24"/>
          <w:szCs w:val="24"/>
          <w:lang w:val="en-US"/>
        </w:rPr>
        <w:t>the iron binding protein in circulation</w:t>
      </w:r>
      <w:r w:rsidR="00891484">
        <w:rPr>
          <w:rFonts w:cs="Arial"/>
          <w:sz w:val="24"/>
          <w:szCs w:val="24"/>
          <w:lang w:val="en-US"/>
        </w:rPr>
        <w:t xml:space="preserve"> and its levels rise with increasing iron requirements</w:t>
      </w:r>
      <w:r w:rsidR="00301A2B" w:rsidRPr="006E1ABC">
        <w:rPr>
          <w:rFonts w:cs="Arial"/>
          <w:sz w:val="24"/>
          <w:szCs w:val="24"/>
          <w:lang w:val="en-US"/>
        </w:rPr>
        <w:t xml:space="preserve">. </w:t>
      </w:r>
      <w:r w:rsidR="00891484">
        <w:rPr>
          <w:rFonts w:cs="Arial"/>
          <w:sz w:val="24"/>
          <w:szCs w:val="24"/>
          <w:lang w:val="en-US"/>
        </w:rPr>
        <w:t xml:space="preserve">Serum iron is difficult to interpret in isolation as it has a diurnal variation and hence varies significantly without changes in total body iron </w:t>
      </w:r>
      <w:r w:rsidR="00891484">
        <w:rPr>
          <w:rFonts w:cs="Arial"/>
          <w:sz w:val="24"/>
          <w:szCs w:val="24"/>
          <w:lang w:val="en-US"/>
        </w:rPr>
        <w:fldChar w:fldCharType="begin" w:fldLock="1"/>
      </w:r>
      <w:r w:rsidR="00891484">
        <w:rPr>
          <w:rFonts w:cs="Arial"/>
          <w:sz w:val="24"/>
          <w:szCs w:val="24"/>
          <w:lang w:val="en-US"/>
        </w:rPr>
        <w:instrText>ADDIN CSL_CITATION { "citationItems" : [ { "id" : "ITEM-1", "itemData" : { "ISSN" : "0009-8981", "PMID" : "9086290", "abstract" : "The description by Ramsay in 1957 of a practical way of determining the total iron binding capacity of serum (a measure of transferrin concentration) provided a diagnostic test for both iron deficiency and iron overload. Since 1957 the introduction of the assay for serum ferritin (in 1972) has made it possible to assess the levels of storage iron in normal subjects and assays for free erythrocyte protoporphyrin and the circulating transferrin receptor methods to evaluate iron supply for erythropoiesis. In 1957 iron metabolism in man was already well understood but its evaluation relied on measurement of tissue iron concentrations and the use of radioisotopes of iron to measure rates of erythropoiesis. The evaluation can now be carried out using the various blood assays along with the measurement of haemoglobin concentration but interpretation of the measurements in disease still requires an understanding of the way in which these measures are influenced by pathological processes.", "author" : [ { "dropping-particle" : "", "family" : "Worwood", "given" : "Mark", "non-dropping-particle" : "", "parse-names" : false, "suffix" : "" } ], "container-title" : "Clinica Chimica Acta", "id" : "ITEM-1", "issue" : "1-2", "issued" : { "date-parts" : [ [ "1997", "3", "18" ] ] }, "note" : "Good table comparing various measures of iron stores and functional iron. ", "page" : "3-23", "title" : "The laboratory assessment of iron status--an update.", "type" : "article-journal", "volume" : "259" }, "uris" : [ "http://www.mendeley.com/documents/?uuid=e78fffb1-4eb4-4a8e-afd4-ed968c29c100" ] } ], "mendeley" : { "formattedCitation" : "(12)", "plainTextFormattedCitation" : "(12)", "previouslyFormattedCitation" : "(12)" }, "properties" : { "noteIndex" : 0 }, "schema" : "https://github.com/citation-style-language/schema/raw/master/csl-citation.json" }</w:instrText>
      </w:r>
      <w:r w:rsidR="00891484">
        <w:rPr>
          <w:rFonts w:cs="Arial"/>
          <w:sz w:val="24"/>
          <w:szCs w:val="24"/>
          <w:lang w:val="en-US"/>
        </w:rPr>
        <w:fldChar w:fldCharType="separate"/>
      </w:r>
      <w:r w:rsidR="00891484" w:rsidRPr="00891484">
        <w:rPr>
          <w:rFonts w:cs="Arial"/>
          <w:noProof/>
          <w:sz w:val="24"/>
          <w:szCs w:val="24"/>
          <w:lang w:val="en-US"/>
        </w:rPr>
        <w:t>(12)</w:t>
      </w:r>
      <w:r w:rsidR="00891484">
        <w:rPr>
          <w:rFonts w:cs="Arial"/>
          <w:sz w:val="24"/>
          <w:szCs w:val="24"/>
          <w:lang w:val="en-US"/>
        </w:rPr>
        <w:fldChar w:fldCharType="end"/>
      </w:r>
      <w:r w:rsidR="00891484">
        <w:rPr>
          <w:rFonts w:cs="Arial"/>
          <w:sz w:val="24"/>
          <w:szCs w:val="24"/>
          <w:lang w:val="en-US"/>
        </w:rPr>
        <w:t xml:space="preserve">. </w:t>
      </w:r>
      <w:r w:rsidR="00301A2B" w:rsidRPr="006E1ABC">
        <w:rPr>
          <w:rFonts w:cs="Arial"/>
          <w:sz w:val="24"/>
          <w:szCs w:val="24"/>
          <w:lang w:val="en-US"/>
        </w:rPr>
        <w:t>T</w:t>
      </w:r>
      <w:r w:rsidR="00F15752" w:rsidRPr="006E1ABC">
        <w:rPr>
          <w:rFonts w:cs="Arial"/>
          <w:sz w:val="24"/>
          <w:szCs w:val="24"/>
          <w:lang w:val="en-US"/>
        </w:rPr>
        <w:t>ransferrin saturation</w:t>
      </w:r>
      <w:r w:rsidR="0040489E" w:rsidRPr="006E1ABC">
        <w:rPr>
          <w:rFonts w:cs="Arial"/>
          <w:sz w:val="24"/>
          <w:szCs w:val="24"/>
          <w:lang w:val="en-US"/>
        </w:rPr>
        <w:t xml:space="preserve"> (TSAT)</w:t>
      </w:r>
      <w:r w:rsidR="00387C96" w:rsidRPr="006E1ABC">
        <w:rPr>
          <w:rFonts w:cs="Arial"/>
          <w:sz w:val="24"/>
          <w:szCs w:val="24"/>
          <w:lang w:val="en-US"/>
        </w:rPr>
        <w:t xml:space="preserve"> </w:t>
      </w:r>
      <w:r w:rsidR="00B123A4" w:rsidRPr="006E1ABC">
        <w:rPr>
          <w:rFonts w:cs="Arial"/>
          <w:sz w:val="24"/>
          <w:szCs w:val="24"/>
          <w:lang w:val="en-US"/>
        </w:rPr>
        <w:t xml:space="preserve">is the </w:t>
      </w:r>
      <w:r w:rsidR="00B123A4" w:rsidRPr="00B123A4">
        <w:rPr>
          <w:rFonts w:cs="Arial"/>
          <w:sz w:val="24"/>
          <w:szCs w:val="24"/>
        </w:rPr>
        <w:t xml:space="preserve">proportion of transferrin </w:t>
      </w:r>
      <w:r w:rsidR="003F692C">
        <w:rPr>
          <w:rFonts w:cs="Arial"/>
          <w:sz w:val="24"/>
          <w:szCs w:val="24"/>
        </w:rPr>
        <w:t>bound to</w:t>
      </w:r>
      <w:r w:rsidR="00891484">
        <w:rPr>
          <w:rFonts w:cs="Arial"/>
          <w:sz w:val="24"/>
          <w:szCs w:val="24"/>
        </w:rPr>
        <w:t xml:space="preserve"> serum</w:t>
      </w:r>
      <w:r w:rsidR="00B123A4" w:rsidRPr="00B123A4">
        <w:rPr>
          <w:rFonts w:cs="Arial"/>
          <w:sz w:val="24"/>
          <w:szCs w:val="24"/>
        </w:rPr>
        <w:t xml:space="preserve"> iron</w:t>
      </w:r>
      <w:r w:rsidR="00B123A4" w:rsidRPr="00B123A4">
        <w:rPr>
          <w:rFonts w:cs="Arial"/>
          <w:sz w:val="24"/>
          <w:szCs w:val="24"/>
          <w:lang w:val="en-US"/>
        </w:rPr>
        <w:t xml:space="preserve"> and </w:t>
      </w:r>
      <w:r w:rsidR="00B123A4" w:rsidRPr="00736D30">
        <w:rPr>
          <w:rFonts w:cs="Arial"/>
          <w:sz w:val="24"/>
          <w:szCs w:val="24"/>
          <w:lang w:val="en-US"/>
        </w:rPr>
        <w:t xml:space="preserve">is in part </w:t>
      </w:r>
      <w:r w:rsidR="007F08AD" w:rsidRPr="006E1ABC">
        <w:rPr>
          <w:rFonts w:cs="Arial"/>
          <w:sz w:val="24"/>
          <w:szCs w:val="24"/>
          <w:lang w:val="en-US"/>
        </w:rPr>
        <w:t xml:space="preserve">a marker of iron </w:t>
      </w:r>
      <w:r w:rsidR="00405342" w:rsidRPr="006E1ABC">
        <w:rPr>
          <w:rFonts w:cs="Arial"/>
          <w:sz w:val="24"/>
          <w:szCs w:val="24"/>
          <w:lang w:val="en-US"/>
        </w:rPr>
        <w:t>absorption</w:t>
      </w:r>
      <w:r w:rsidR="00891484">
        <w:rPr>
          <w:rFonts w:cs="Arial"/>
          <w:sz w:val="24"/>
          <w:szCs w:val="24"/>
          <w:lang w:val="en-US"/>
        </w:rPr>
        <w:t>, as it reflects the proportion of circulating iron in the context of iron requirements</w:t>
      </w:r>
      <w:r w:rsidR="00B123A4" w:rsidRPr="006E1ABC">
        <w:rPr>
          <w:rFonts w:cs="Arial"/>
          <w:sz w:val="24"/>
          <w:szCs w:val="24"/>
          <w:lang w:val="en-US"/>
        </w:rPr>
        <w:t>. TSAT</w:t>
      </w:r>
      <w:r w:rsidR="00C83CCB" w:rsidRPr="006E1ABC">
        <w:rPr>
          <w:rFonts w:cs="Arial"/>
          <w:sz w:val="24"/>
          <w:szCs w:val="24"/>
          <w:lang w:val="en-US"/>
        </w:rPr>
        <w:t xml:space="preserve"> </w:t>
      </w:r>
      <w:r w:rsidR="00301A2B" w:rsidRPr="006E1ABC">
        <w:rPr>
          <w:rFonts w:cs="Arial"/>
          <w:sz w:val="24"/>
          <w:szCs w:val="24"/>
          <w:lang w:val="en-US"/>
        </w:rPr>
        <w:t>is</w:t>
      </w:r>
      <w:r w:rsidR="007250EC" w:rsidRPr="006E1ABC">
        <w:rPr>
          <w:rFonts w:cs="Arial"/>
          <w:sz w:val="24"/>
          <w:szCs w:val="24"/>
          <w:lang w:val="en-US"/>
        </w:rPr>
        <w:t xml:space="preserve"> elevated </w:t>
      </w:r>
      <w:r w:rsidR="00301A2B" w:rsidRPr="006E1ABC">
        <w:rPr>
          <w:rFonts w:cs="Arial"/>
          <w:sz w:val="24"/>
          <w:szCs w:val="24"/>
          <w:lang w:val="en-US"/>
        </w:rPr>
        <w:t>in</w:t>
      </w:r>
      <w:r w:rsidR="00E35249" w:rsidRPr="006E1ABC">
        <w:rPr>
          <w:rFonts w:cs="Arial"/>
          <w:sz w:val="24"/>
          <w:szCs w:val="24"/>
          <w:lang w:val="en-US"/>
        </w:rPr>
        <w:t xml:space="preserve"> </w:t>
      </w:r>
      <w:r w:rsidR="007250EC" w:rsidRPr="006E1ABC">
        <w:rPr>
          <w:rFonts w:cs="Arial"/>
          <w:sz w:val="24"/>
          <w:szCs w:val="24"/>
          <w:lang w:val="en-US"/>
        </w:rPr>
        <w:t xml:space="preserve">the presence of </w:t>
      </w:r>
      <w:r w:rsidR="00E35249" w:rsidRPr="006E1ABC">
        <w:rPr>
          <w:rFonts w:cs="Arial"/>
          <w:sz w:val="24"/>
          <w:szCs w:val="24"/>
          <w:lang w:val="en-US"/>
        </w:rPr>
        <w:t>non-transferrin bound iron</w:t>
      </w:r>
      <w:r w:rsidR="00AC47BA" w:rsidRPr="006E1ABC">
        <w:rPr>
          <w:rFonts w:cs="Arial"/>
          <w:sz w:val="24"/>
          <w:szCs w:val="24"/>
          <w:lang w:val="en-US"/>
        </w:rPr>
        <w:t xml:space="preserve">, which </w:t>
      </w:r>
      <w:r w:rsidR="00301A2B" w:rsidRPr="006E1ABC">
        <w:rPr>
          <w:rFonts w:cs="Arial"/>
          <w:sz w:val="24"/>
          <w:szCs w:val="24"/>
          <w:lang w:val="en-US"/>
        </w:rPr>
        <w:t xml:space="preserve">in turn </w:t>
      </w:r>
      <w:r w:rsidR="00AC47BA" w:rsidRPr="006E1ABC">
        <w:rPr>
          <w:rFonts w:cs="Arial"/>
          <w:sz w:val="24"/>
          <w:szCs w:val="24"/>
          <w:lang w:val="en-US"/>
        </w:rPr>
        <w:t>is responsible for iron-related oxidative damage</w:t>
      </w:r>
      <w:r w:rsidR="007250EC" w:rsidRPr="006E1ABC">
        <w:rPr>
          <w:rFonts w:cs="Arial"/>
          <w:sz w:val="24"/>
          <w:szCs w:val="24"/>
          <w:lang w:val="en-US"/>
        </w:rPr>
        <w:t xml:space="preserve"> </w:t>
      </w:r>
      <w:r w:rsidR="00891484">
        <w:rPr>
          <w:rFonts w:cs="Arial"/>
          <w:sz w:val="24"/>
          <w:szCs w:val="24"/>
          <w:lang w:val="en-US"/>
        </w:rPr>
        <w:fldChar w:fldCharType="begin" w:fldLock="1"/>
      </w:r>
      <w:r w:rsidR="00891484">
        <w:rPr>
          <w:rFonts w:cs="Arial"/>
          <w:sz w:val="24"/>
          <w:szCs w:val="24"/>
          <w:lang w:val="en-US"/>
        </w:rPr>
        <w:instrText>ADDIN CSL_CITATION { "citationItems" : [ { "id" : "ITEM-1", "itemData" : { "DOI" : "10.1056/NEJMra1004967", "ISSN" : "1533-4406", "PMID" : "22276824", "author" : [ { "dropping-particle" : "", "family" : "Fleming", "given" : "Robert E", "non-dropping-particle" : "", "parse-names" : false, "suffix" : "" }, { "dropping-particle" : "", "family" : "Ponka", "given" : "Prem", "non-dropping-particle" : "", "parse-names" : false, "suffix" : "" } ], "container-title" : "The New England journal of medicine", "id" : "ITEM-1", "issue" : "4", "issued" : { "date-parts" : [ [ "2012", "1", "26" ] ] }, "note" : "biochemical and clinical penetrance of HFE C282Y, affected by modifier genes and environmental factors", "page" : "348-59", "title" : "Iron overload in human disease.", "type" : "article-journal", "volume" : "366" }, "uris" : [ "http://www.mendeley.com/documents/?uuid=1cc80265-6673-4103-8873-f59ccd12262a" ] }, { "id" : "ITEM-2", "itemData" : { "DOI" : "10.1016/j.bbagen.2011.07.014", "ISSN" : "0006-3002", "PMID" : "21855608", "abstract" : "BACKGROUND: Besides transferrin iron, which represents the normal form of circulating iron, non-transferrin bound iron (NTBI) has been identified in the plasma of patients with various pathological conditions in which transferrin saturation is significantly elevated. SCOPE OF THE REVIEW: To show that: i) NTBI is present not only during chronic iron overload disorders (hemochromatosis, transfusional iron overload) but also in miscellaneous diseases which are not primarily iron overloaded conditions; ii) this iron species represents a potentially toxic iron form due to its high propensity to induce reactive oxygen species and is responsible for cellular damage not only at the plasma membrane level but also towards different intracellular organelles; iii) the NTBI concept may be expanded to include intracytosolic iron forms which are not linked to ferritin, the major storage protein which exerts, at the cellular level, the same type of protective effect towards the intracellular environment as transferrin in the plasma. MAJOR CONCLUSIONS: Plasma NTBI and especially labile plasma iron determinations represent a new important biological tool since elimination of this toxic iron species is a major therapeutic goal. GENERAL SIGNIFICANCE: The NTBI approach represents an important mechanistic concept for explaining cellular iron excess and toxicity and provides new important biochemical diagnostic tools. This article is part of a Special Issue entitled Transferrins: Molecular mechanisms of iron transport and disorders.", "author" : [ { "dropping-particle" : "", "family" : "Brissot", "given" : "Pierre", "non-dropping-particle" : "", "parse-names" : false, "suffix" : "" }, { "dropping-particle" : "", "family" : "Ropert", "given" : "Martine", "non-dropping-particle" : "", "parse-names" : false, "suffix" : "" }, { "dropping-particle" : "", "family" : "Lan", "given" : "Caroline", "non-dropping-particle" : "Le", "parse-names" : false, "suffix" : "" }, { "dropping-particle" : "", "family" : "Lor\u00e9al", "given" : "Olivier", "non-dropping-particle" : "", "parse-names" : false, "suffix" : "" } ], "container-title" : "Biochimica et Biophysica Acta", "id" : "ITEM-2", "issue" : "3", "issued" : { "date-parts" : [ [ "2012", "3" ] ] }, "page" : "403-10", "publisher" : "Elsevier B.V.", "title" : "Non-transferrin bound iron: a key role in iron overload and iron toxicity.", "type" : "article-journal", "volume" : "1820" }, "uris" : [ "http://www.mendeley.com/documents/?uuid=b1229880-05e7-4a9d-950d-e3ef10738243" ] } ], "mendeley" : { "formattedCitation" : "(13,14)", "plainTextFormattedCitation" : "(13,14)", "previouslyFormattedCitation" : "(13,14)" }, "properties" : { "noteIndex" : 0 }, "schema" : "https://github.com/citation-style-language/schema/raw/master/csl-citation.json" }</w:instrText>
      </w:r>
      <w:r w:rsidR="00891484">
        <w:rPr>
          <w:rFonts w:cs="Arial"/>
          <w:sz w:val="24"/>
          <w:szCs w:val="24"/>
          <w:lang w:val="en-US"/>
        </w:rPr>
        <w:fldChar w:fldCharType="separate"/>
      </w:r>
      <w:r w:rsidR="00891484" w:rsidRPr="00891484">
        <w:rPr>
          <w:rFonts w:cs="Arial"/>
          <w:noProof/>
          <w:sz w:val="24"/>
          <w:szCs w:val="24"/>
          <w:lang w:val="en-US"/>
        </w:rPr>
        <w:t>(13,14)</w:t>
      </w:r>
      <w:r w:rsidR="00891484">
        <w:rPr>
          <w:rFonts w:cs="Arial"/>
          <w:sz w:val="24"/>
          <w:szCs w:val="24"/>
          <w:lang w:val="en-US"/>
        </w:rPr>
        <w:fldChar w:fldCharType="end"/>
      </w:r>
      <w:r w:rsidR="00891484">
        <w:rPr>
          <w:rFonts w:cs="Arial"/>
          <w:noProof/>
          <w:sz w:val="24"/>
          <w:szCs w:val="24"/>
          <w:lang w:val="en-US"/>
        </w:rPr>
        <w:t xml:space="preserve">. </w:t>
      </w:r>
    </w:p>
    <w:p w:rsidR="00526CDE" w:rsidRPr="0018334E" w:rsidRDefault="00526CDE" w:rsidP="00F328BE">
      <w:pPr>
        <w:autoSpaceDE w:val="0"/>
        <w:autoSpaceDN w:val="0"/>
        <w:adjustRightInd w:val="0"/>
        <w:spacing w:after="0" w:line="480" w:lineRule="auto"/>
        <w:jc w:val="both"/>
        <w:rPr>
          <w:rFonts w:ascii="Arial" w:hAnsi="Arial" w:cs="Arial"/>
          <w:sz w:val="24"/>
          <w:szCs w:val="24"/>
          <w:lang w:val="en-US"/>
        </w:rPr>
      </w:pPr>
    </w:p>
    <w:p w:rsidR="00526CDE" w:rsidRPr="0018334E" w:rsidRDefault="00982C25" w:rsidP="00F328BE">
      <w:pPr>
        <w:autoSpaceDE w:val="0"/>
        <w:autoSpaceDN w:val="0"/>
        <w:adjustRightInd w:val="0"/>
        <w:spacing w:after="0" w:line="480" w:lineRule="auto"/>
        <w:jc w:val="both"/>
        <w:rPr>
          <w:rFonts w:ascii="Arial" w:hAnsi="Arial" w:cs="Arial"/>
          <w:sz w:val="24"/>
          <w:szCs w:val="24"/>
          <w:lang w:val="en-US"/>
        </w:rPr>
      </w:pPr>
      <w:r w:rsidRPr="0018334E">
        <w:rPr>
          <w:rFonts w:ascii="Arial" w:hAnsi="Arial" w:cs="Arial"/>
          <w:sz w:val="24"/>
          <w:szCs w:val="24"/>
          <w:lang w:val="en-US"/>
        </w:rPr>
        <w:lastRenderedPageBreak/>
        <w:t>We investigated</w:t>
      </w:r>
      <w:r w:rsidR="00CA252F" w:rsidRPr="0018334E">
        <w:rPr>
          <w:rFonts w:ascii="Arial" w:hAnsi="Arial" w:cs="Arial"/>
          <w:sz w:val="24"/>
          <w:szCs w:val="24"/>
          <w:lang w:val="en-US"/>
        </w:rPr>
        <w:t xml:space="preserve"> </w:t>
      </w:r>
      <w:r w:rsidR="00526CDE" w:rsidRPr="0018334E">
        <w:rPr>
          <w:rFonts w:ascii="Arial" w:hAnsi="Arial" w:cs="Arial"/>
          <w:sz w:val="24"/>
          <w:szCs w:val="24"/>
          <w:lang w:val="en-US"/>
        </w:rPr>
        <w:t xml:space="preserve">the association of </w:t>
      </w:r>
      <w:r w:rsidR="005247C2" w:rsidRPr="0018334E">
        <w:rPr>
          <w:rFonts w:ascii="Arial" w:hAnsi="Arial" w:cs="Arial"/>
          <w:sz w:val="24"/>
          <w:szCs w:val="24"/>
          <w:lang w:val="en-US"/>
        </w:rPr>
        <w:t xml:space="preserve">ferritin, TSAT, serum iron and transferrin </w:t>
      </w:r>
      <w:r w:rsidR="00526CDE" w:rsidRPr="0018334E">
        <w:rPr>
          <w:rFonts w:ascii="Arial" w:hAnsi="Arial" w:cs="Arial"/>
          <w:sz w:val="24"/>
          <w:szCs w:val="24"/>
          <w:lang w:val="en-US"/>
        </w:rPr>
        <w:t xml:space="preserve">with incident </w:t>
      </w:r>
      <w:r w:rsidR="008C722E" w:rsidRPr="0018334E">
        <w:rPr>
          <w:rFonts w:ascii="Arial" w:hAnsi="Arial" w:cs="Arial"/>
          <w:sz w:val="24"/>
          <w:szCs w:val="24"/>
          <w:lang w:val="en-US"/>
        </w:rPr>
        <w:t xml:space="preserve">type </w:t>
      </w:r>
      <w:proofErr w:type="gramStart"/>
      <w:r w:rsidR="008C722E" w:rsidRPr="0018334E">
        <w:rPr>
          <w:rFonts w:ascii="Arial" w:hAnsi="Arial" w:cs="Arial"/>
          <w:sz w:val="24"/>
          <w:szCs w:val="24"/>
          <w:lang w:val="en-US"/>
        </w:rPr>
        <w:t>2 diabetes</w:t>
      </w:r>
      <w:r w:rsidR="00526CDE" w:rsidRPr="0018334E">
        <w:rPr>
          <w:rFonts w:ascii="Arial" w:hAnsi="Arial" w:cs="Arial"/>
          <w:sz w:val="24"/>
          <w:szCs w:val="24"/>
          <w:lang w:val="en-US"/>
        </w:rPr>
        <w:t xml:space="preserve"> in a large prospective </w:t>
      </w:r>
      <w:r w:rsidR="00844460" w:rsidRPr="0018334E">
        <w:rPr>
          <w:rFonts w:ascii="Arial" w:hAnsi="Arial" w:cs="Arial"/>
          <w:sz w:val="24"/>
          <w:szCs w:val="24"/>
          <w:lang w:val="en-US"/>
        </w:rPr>
        <w:t xml:space="preserve">European </w:t>
      </w:r>
      <w:r w:rsidR="00841951" w:rsidRPr="0018334E">
        <w:rPr>
          <w:rFonts w:ascii="Arial" w:hAnsi="Arial" w:cs="Arial"/>
          <w:sz w:val="24"/>
          <w:szCs w:val="24"/>
          <w:lang w:val="en-US"/>
        </w:rPr>
        <w:t>case-cohort</w:t>
      </w:r>
      <w:r w:rsidR="00526CDE" w:rsidRPr="0018334E">
        <w:rPr>
          <w:rFonts w:ascii="Arial" w:hAnsi="Arial" w:cs="Arial"/>
          <w:sz w:val="24"/>
          <w:szCs w:val="24"/>
          <w:lang w:val="en-US"/>
        </w:rPr>
        <w:t xml:space="preserve"> study</w:t>
      </w:r>
      <w:proofErr w:type="gramEnd"/>
      <w:r w:rsidR="00526CDE" w:rsidRPr="0018334E">
        <w:rPr>
          <w:rFonts w:ascii="Arial" w:hAnsi="Arial" w:cs="Arial"/>
          <w:sz w:val="24"/>
          <w:szCs w:val="24"/>
          <w:lang w:val="en-US"/>
        </w:rPr>
        <w:t xml:space="preserve">. </w:t>
      </w:r>
      <w:r w:rsidR="00CA252F" w:rsidRPr="0018334E">
        <w:rPr>
          <w:rFonts w:ascii="Arial" w:hAnsi="Arial" w:cs="Arial"/>
          <w:sz w:val="24"/>
          <w:szCs w:val="24"/>
          <w:lang w:val="en-US"/>
        </w:rPr>
        <w:t xml:space="preserve">We also </w:t>
      </w:r>
      <w:r w:rsidRPr="0018334E">
        <w:rPr>
          <w:rFonts w:ascii="Arial" w:hAnsi="Arial" w:cs="Arial"/>
          <w:sz w:val="24"/>
          <w:szCs w:val="24"/>
          <w:lang w:val="en-US"/>
        </w:rPr>
        <w:t xml:space="preserve">assessed </w:t>
      </w:r>
      <w:r w:rsidR="00EE6A58" w:rsidRPr="0018334E">
        <w:rPr>
          <w:rFonts w:ascii="Arial" w:hAnsi="Arial" w:cs="Arial"/>
          <w:sz w:val="24"/>
          <w:szCs w:val="24"/>
          <w:lang w:val="en-US"/>
        </w:rPr>
        <w:t xml:space="preserve">whether these associations </w:t>
      </w:r>
      <w:r w:rsidR="00340E6D" w:rsidRPr="0018334E">
        <w:rPr>
          <w:rFonts w:ascii="Arial" w:hAnsi="Arial" w:cs="Arial"/>
          <w:sz w:val="24"/>
          <w:szCs w:val="24"/>
          <w:lang w:val="en-US"/>
        </w:rPr>
        <w:t>have a threshold effect or</w:t>
      </w:r>
      <w:r w:rsidR="00F15752" w:rsidRPr="0018334E">
        <w:rPr>
          <w:rFonts w:ascii="Arial" w:hAnsi="Arial" w:cs="Arial"/>
          <w:sz w:val="24"/>
          <w:szCs w:val="24"/>
          <w:lang w:val="en-US"/>
        </w:rPr>
        <w:t xml:space="preserve"> </w:t>
      </w:r>
      <w:r w:rsidR="00EE6A58" w:rsidRPr="0018334E">
        <w:rPr>
          <w:rFonts w:ascii="Arial" w:hAnsi="Arial" w:cs="Arial"/>
          <w:sz w:val="24"/>
          <w:szCs w:val="24"/>
          <w:lang w:val="en-US"/>
        </w:rPr>
        <w:t>differ</w:t>
      </w:r>
      <w:r w:rsidR="00340E6D" w:rsidRPr="0018334E">
        <w:rPr>
          <w:rFonts w:ascii="Arial" w:hAnsi="Arial" w:cs="Arial"/>
          <w:sz w:val="24"/>
          <w:szCs w:val="24"/>
          <w:lang w:val="en-US"/>
        </w:rPr>
        <w:t xml:space="preserve"> by subgroups of</w:t>
      </w:r>
      <w:r w:rsidR="00841951" w:rsidRPr="0018334E">
        <w:rPr>
          <w:rFonts w:ascii="Arial" w:hAnsi="Arial" w:cs="Arial"/>
          <w:sz w:val="24"/>
          <w:szCs w:val="24"/>
          <w:lang w:val="en-US"/>
        </w:rPr>
        <w:t xml:space="preserve"> the population</w:t>
      </w:r>
      <w:r w:rsidR="00322695" w:rsidRPr="0018334E">
        <w:rPr>
          <w:rFonts w:ascii="Arial" w:hAnsi="Arial" w:cs="Arial"/>
          <w:sz w:val="24"/>
          <w:szCs w:val="24"/>
          <w:lang w:val="en-US"/>
        </w:rPr>
        <w:t xml:space="preserve">, such as individuals not presenting signs of </w:t>
      </w:r>
      <w:r w:rsidR="000B60E4" w:rsidRPr="0018334E">
        <w:rPr>
          <w:rFonts w:ascii="Arial" w:hAnsi="Arial" w:cs="Arial"/>
          <w:sz w:val="24"/>
          <w:szCs w:val="24"/>
          <w:lang w:val="en-US"/>
        </w:rPr>
        <w:t>conditions commonly associated with</w:t>
      </w:r>
      <w:r w:rsidR="00322695" w:rsidRPr="0018334E">
        <w:rPr>
          <w:rFonts w:ascii="Arial" w:hAnsi="Arial" w:cs="Arial"/>
          <w:sz w:val="24"/>
          <w:szCs w:val="24"/>
          <w:lang w:val="en-US"/>
        </w:rPr>
        <w:t xml:space="preserve"> </w:t>
      </w:r>
      <w:proofErr w:type="spellStart"/>
      <w:r w:rsidR="00322695" w:rsidRPr="0018334E">
        <w:rPr>
          <w:rFonts w:ascii="Arial" w:hAnsi="Arial" w:cs="Arial"/>
          <w:sz w:val="24"/>
          <w:szCs w:val="24"/>
          <w:lang w:val="en-US"/>
        </w:rPr>
        <w:t>hyperferritinemia</w:t>
      </w:r>
      <w:proofErr w:type="spellEnd"/>
      <w:r w:rsidR="00F15752" w:rsidRPr="0018334E">
        <w:rPr>
          <w:rFonts w:ascii="Arial" w:hAnsi="Arial" w:cs="Arial"/>
          <w:sz w:val="24"/>
          <w:szCs w:val="24"/>
          <w:lang w:val="en-US"/>
        </w:rPr>
        <w:t xml:space="preserve">. </w:t>
      </w:r>
    </w:p>
    <w:p w:rsidR="00BE2C40" w:rsidRPr="0018334E" w:rsidRDefault="00BE2C40" w:rsidP="00F328BE">
      <w:pPr>
        <w:spacing w:after="0" w:line="480" w:lineRule="auto"/>
        <w:jc w:val="both"/>
        <w:rPr>
          <w:rFonts w:ascii="Arial" w:hAnsi="Arial" w:cs="Arial"/>
          <w:b/>
          <w:sz w:val="24"/>
          <w:szCs w:val="24"/>
          <w:lang w:val="en-US"/>
        </w:rPr>
      </w:pPr>
    </w:p>
    <w:p w:rsidR="00B74949" w:rsidRPr="0018334E" w:rsidRDefault="00B74949" w:rsidP="00F328BE">
      <w:pPr>
        <w:spacing w:after="0" w:line="480" w:lineRule="auto"/>
        <w:jc w:val="both"/>
        <w:rPr>
          <w:rFonts w:ascii="Arial" w:hAnsi="Arial" w:cs="Arial"/>
          <w:b/>
          <w:sz w:val="24"/>
          <w:szCs w:val="24"/>
          <w:lang w:val="en-US"/>
        </w:rPr>
      </w:pPr>
    </w:p>
    <w:p w:rsidR="00202FA4" w:rsidRPr="0018334E" w:rsidRDefault="00202FA4" w:rsidP="00F328BE">
      <w:pPr>
        <w:jc w:val="both"/>
        <w:rPr>
          <w:rFonts w:ascii="Arial" w:hAnsi="Arial" w:cs="Arial"/>
          <w:b/>
          <w:sz w:val="24"/>
          <w:szCs w:val="24"/>
          <w:lang w:val="en-US"/>
        </w:rPr>
      </w:pPr>
      <w:r w:rsidRPr="0018334E">
        <w:rPr>
          <w:rFonts w:ascii="Arial" w:hAnsi="Arial" w:cs="Arial"/>
          <w:b/>
          <w:sz w:val="24"/>
          <w:szCs w:val="24"/>
          <w:lang w:val="en-US"/>
        </w:rPr>
        <w:br w:type="page"/>
      </w:r>
    </w:p>
    <w:p w:rsidR="002135D0" w:rsidRPr="00022037" w:rsidRDefault="00270896" w:rsidP="00F328BE">
      <w:pPr>
        <w:spacing w:after="0" w:line="480" w:lineRule="auto"/>
        <w:jc w:val="both"/>
        <w:rPr>
          <w:rFonts w:ascii="Arial" w:hAnsi="Arial" w:cs="Arial"/>
          <w:sz w:val="24"/>
          <w:szCs w:val="24"/>
          <w:lang w:val="en-US"/>
        </w:rPr>
      </w:pPr>
      <w:r w:rsidRPr="00022037">
        <w:rPr>
          <w:rFonts w:ascii="Arial" w:hAnsi="Arial" w:cs="Arial"/>
          <w:sz w:val="24"/>
          <w:szCs w:val="24"/>
          <w:lang w:val="en-US"/>
        </w:rPr>
        <w:lastRenderedPageBreak/>
        <w:t xml:space="preserve">RESEARCH DESIGN AND </w:t>
      </w:r>
      <w:r w:rsidR="002135D0" w:rsidRPr="00022037">
        <w:rPr>
          <w:rFonts w:ascii="Arial" w:hAnsi="Arial" w:cs="Arial"/>
          <w:sz w:val="24"/>
          <w:szCs w:val="24"/>
          <w:lang w:val="en-US"/>
        </w:rPr>
        <w:t>METHODS</w:t>
      </w:r>
    </w:p>
    <w:p w:rsidR="00D7290A" w:rsidRPr="00022037" w:rsidRDefault="00D7290A" w:rsidP="00F328BE">
      <w:pPr>
        <w:spacing w:after="0" w:line="480" w:lineRule="auto"/>
        <w:jc w:val="both"/>
        <w:rPr>
          <w:rFonts w:ascii="Arial" w:hAnsi="Arial" w:cs="Arial"/>
          <w:b/>
          <w:i/>
          <w:sz w:val="24"/>
          <w:szCs w:val="24"/>
          <w:lang w:val="en-US"/>
        </w:rPr>
      </w:pPr>
    </w:p>
    <w:p w:rsidR="00605766" w:rsidRPr="00137E10" w:rsidRDefault="00A9063B" w:rsidP="00F328BE">
      <w:pPr>
        <w:spacing w:after="0" w:line="480" w:lineRule="auto"/>
        <w:jc w:val="both"/>
        <w:rPr>
          <w:rFonts w:ascii="Arial" w:hAnsi="Arial" w:cs="Arial"/>
          <w:sz w:val="24"/>
          <w:szCs w:val="24"/>
          <w:lang w:val="en-US"/>
        </w:rPr>
      </w:pPr>
      <w:r w:rsidRPr="00137E10">
        <w:rPr>
          <w:rFonts w:ascii="Arial" w:eastAsia="Verdana" w:hAnsi="Arial" w:cs="Arial"/>
          <w:sz w:val="24"/>
          <w:szCs w:val="24"/>
          <w:lang w:val="en-US"/>
        </w:rPr>
        <w:t>The EPIC-</w:t>
      </w:r>
      <w:proofErr w:type="spellStart"/>
      <w:r w:rsidRPr="00137E10">
        <w:rPr>
          <w:rFonts w:ascii="Arial" w:eastAsia="Verdana" w:hAnsi="Arial" w:cs="Arial"/>
          <w:sz w:val="24"/>
          <w:szCs w:val="24"/>
          <w:lang w:val="en-US"/>
        </w:rPr>
        <w:t>InterAct</w:t>
      </w:r>
      <w:proofErr w:type="spellEnd"/>
      <w:r w:rsidRPr="00137E10">
        <w:rPr>
          <w:rFonts w:ascii="Arial" w:eastAsia="Verdana" w:hAnsi="Arial" w:cs="Arial"/>
          <w:sz w:val="24"/>
          <w:szCs w:val="24"/>
          <w:lang w:val="en-US"/>
        </w:rPr>
        <w:t xml:space="preserve"> </w:t>
      </w:r>
      <w:r w:rsidR="00605766" w:rsidRPr="00137E10">
        <w:rPr>
          <w:rFonts w:ascii="Arial" w:hAnsi="Arial" w:cs="Arial"/>
          <w:sz w:val="24"/>
          <w:szCs w:val="24"/>
          <w:lang w:val="en-US"/>
        </w:rPr>
        <w:t>study</w:t>
      </w:r>
    </w:p>
    <w:p w:rsidR="00D7290A" w:rsidRPr="0018334E" w:rsidRDefault="00D7290A" w:rsidP="00F328BE">
      <w:pPr>
        <w:spacing w:after="0" w:line="480" w:lineRule="auto"/>
        <w:jc w:val="both"/>
        <w:rPr>
          <w:rFonts w:ascii="Arial" w:hAnsi="Arial" w:cs="Arial"/>
          <w:b/>
          <w:sz w:val="24"/>
          <w:szCs w:val="24"/>
          <w:lang w:val="en-US"/>
        </w:rPr>
      </w:pPr>
    </w:p>
    <w:p w:rsidR="00D7290A" w:rsidRPr="007632BD" w:rsidRDefault="00605766" w:rsidP="00F328BE">
      <w:pPr>
        <w:pStyle w:val="ListParagraph"/>
        <w:spacing w:after="0" w:line="480" w:lineRule="auto"/>
        <w:ind w:left="1080"/>
        <w:jc w:val="both"/>
        <w:rPr>
          <w:rFonts w:ascii="Arial" w:hAnsi="Arial" w:cs="Arial"/>
          <w:i/>
          <w:sz w:val="24"/>
          <w:szCs w:val="24"/>
          <w:lang w:val="en-US"/>
        </w:rPr>
      </w:pPr>
      <w:r w:rsidRPr="007632BD">
        <w:rPr>
          <w:rFonts w:ascii="Arial" w:hAnsi="Arial" w:cs="Arial"/>
          <w:i/>
          <w:sz w:val="24"/>
          <w:szCs w:val="24"/>
          <w:lang w:val="en-US"/>
        </w:rPr>
        <w:t>Participants and study design</w:t>
      </w:r>
    </w:p>
    <w:p w:rsidR="00B74949" w:rsidRDefault="00605766" w:rsidP="00F328BE">
      <w:pPr>
        <w:autoSpaceDE w:val="0"/>
        <w:autoSpaceDN w:val="0"/>
        <w:adjustRightInd w:val="0"/>
        <w:spacing w:after="0" w:line="480" w:lineRule="auto"/>
        <w:jc w:val="both"/>
        <w:rPr>
          <w:rFonts w:ascii="Arial" w:hAnsi="Arial" w:cs="Arial"/>
          <w:sz w:val="24"/>
          <w:szCs w:val="24"/>
          <w:lang w:val="en-US"/>
        </w:rPr>
      </w:pPr>
      <w:r w:rsidRPr="0018334E">
        <w:rPr>
          <w:rFonts w:ascii="Arial" w:hAnsi="Arial" w:cs="Arial"/>
          <w:sz w:val="24"/>
          <w:szCs w:val="24"/>
          <w:lang w:val="en-US"/>
        </w:rPr>
        <w:t xml:space="preserve">The </w:t>
      </w:r>
      <w:proofErr w:type="spellStart"/>
      <w:r w:rsidR="00A9063B" w:rsidRPr="0018334E">
        <w:rPr>
          <w:rFonts w:ascii="Arial" w:hAnsi="Arial" w:cs="Arial"/>
          <w:sz w:val="24"/>
          <w:szCs w:val="24"/>
          <w:lang w:val="en-US"/>
        </w:rPr>
        <w:t>InterAct</w:t>
      </w:r>
      <w:proofErr w:type="spellEnd"/>
      <w:r w:rsidRPr="0018334E">
        <w:rPr>
          <w:rFonts w:ascii="Arial" w:hAnsi="Arial" w:cs="Arial"/>
          <w:sz w:val="24"/>
          <w:szCs w:val="24"/>
          <w:lang w:val="en-US"/>
        </w:rPr>
        <w:t xml:space="preserve"> study is a large case-cohort study of incident </w:t>
      </w:r>
      <w:r w:rsidR="008C722E" w:rsidRPr="0018334E">
        <w:rPr>
          <w:rFonts w:ascii="Arial" w:hAnsi="Arial" w:cs="Arial"/>
          <w:sz w:val="24"/>
          <w:szCs w:val="24"/>
          <w:lang w:val="en-US"/>
        </w:rPr>
        <w:t>type 2 diabetes</w:t>
      </w:r>
      <w:r w:rsidRPr="0018334E">
        <w:rPr>
          <w:rFonts w:ascii="Arial" w:hAnsi="Arial" w:cs="Arial"/>
          <w:sz w:val="24"/>
          <w:szCs w:val="24"/>
          <w:lang w:val="en-US"/>
        </w:rPr>
        <w:t xml:space="preserve"> nested within the European Prospective Investigation into Cancer and Nutrition (EPIC) </w:t>
      </w:r>
      <w:r w:rsidR="00C11E62" w:rsidRPr="0018334E">
        <w:rPr>
          <w:rFonts w:ascii="Arial" w:hAnsi="Arial" w:cs="Arial"/>
          <w:sz w:val="24"/>
          <w:szCs w:val="24"/>
          <w:lang w:val="en-US"/>
        </w:rPr>
        <w:t>study</w:t>
      </w:r>
      <w:r w:rsidR="00B233C0" w:rsidRPr="0018334E">
        <w:rPr>
          <w:rFonts w:ascii="Arial" w:hAnsi="Arial" w:cs="Arial"/>
          <w:sz w:val="24"/>
          <w:szCs w:val="24"/>
          <w:lang w:val="en-US"/>
        </w:rPr>
        <w:t xml:space="preserve">, the design and population characteristics </w:t>
      </w:r>
      <w:r w:rsidR="00C11E62" w:rsidRPr="0018334E">
        <w:rPr>
          <w:rFonts w:ascii="Arial" w:hAnsi="Arial" w:cs="Arial"/>
          <w:sz w:val="24"/>
          <w:szCs w:val="24"/>
          <w:lang w:val="en-US"/>
        </w:rPr>
        <w:t xml:space="preserve">of which </w:t>
      </w:r>
      <w:r w:rsidR="00B233C0" w:rsidRPr="0018334E">
        <w:rPr>
          <w:rFonts w:ascii="Arial" w:hAnsi="Arial" w:cs="Arial"/>
          <w:sz w:val="24"/>
          <w:szCs w:val="24"/>
          <w:lang w:val="en-US"/>
        </w:rPr>
        <w:t xml:space="preserve">have been published previously </w:t>
      </w:r>
      <w:r w:rsidR="00B233C0" w:rsidRPr="0018334E">
        <w:rPr>
          <w:rFonts w:ascii="Arial" w:hAnsi="Arial" w:cs="Arial"/>
          <w:sz w:val="24"/>
          <w:szCs w:val="24"/>
          <w:lang w:val="en-US"/>
        </w:rPr>
        <w:fldChar w:fldCharType="begin" w:fldLock="1"/>
      </w:r>
      <w:r w:rsidR="00891484">
        <w:rPr>
          <w:rFonts w:ascii="Arial" w:hAnsi="Arial" w:cs="Arial"/>
          <w:sz w:val="24"/>
          <w:szCs w:val="24"/>
          <w:lang w:val="en-US"/>
        </w:rPr>
        <w:instrText>ADDIN CSL_CITATION { "citationItems" : [ { "id" : "ITEM-1", "itemData" : { "DOI" : "10.1007/s00125-011-2182-9", "ISSN" : "1432-0428", "PMID" : "21717116", "abstract" : "AIMS/HYPOTHESIS: Studying gene-lifestyle interaction may help to identify lifestyle factors that modify genetic susceptibility and uncover genetic loci exerting important subgroup effects. Adequately powered studies with prospective, unbiased, standardised assessment of key behavioural factors for gene-lifestyle studies are lacking. This case-cohort study aims to investigate how genetic and potentially modifiable lifestyle and behavioural factors, particularly diet and physical activity, interact in their influence on the risk of developing type 2 diabetes. METHODS: Incident cases of type 2 diabetes occurring in European Prospective Investigation into Cancer and Nutrition (EPIC) cohorts between 1991 and 2007 from eight of the ten EPIC countries were ascertained and verified. Prentice-weighted Cox regression and random-effects meta-analyses were used to investigate differences in diabetes incidence by age and sex. RESULTS: A total of 12,403 verified incident cases of type 2 diabetes occurred during 3.99 million person-years of follow-up of 340,234 EPIC participants eligible for InterAct. We defined a centre-stratified subcohort of 16,154 individuals for comparative analyses. Individuals with incident diabetes who were randomly selected into the subcohort (n = 778) were included as cases in the analyses. All prevalent diabetes cases were excluded from the study. InterAct cases were followed-up for an average of 6.9 years; 49.7% were men. Mean baseline age and age at diagnosis were 55.6 and 62.5 years, mean BMI and waist circumference values were 29.4 kg/m(2) and 102.7 cm in men, and 30.1 kg/m(2) and 92.8 cm in women, respectively. Risk of type 2 diabetes increased linearly with age, with an overall HR of 1.56 (95% CI 1.48-1.64) for a 10 year age difference, adjusted for sex. A male excess in the risk of incident diabetes was consistently observed across all countries, with a pooled HR of 1.51 (95% CI 1.39-1.64), adjusted for age. CONCLUSIONS/INTERPRETATION: InterAct is a large, well-powered, prospective study that will inform our understanding of the interplay between genes and lifestyle factors on the risk of type 2 diabetes development.", "author" : [ { "dropping-particle" : "", "family" : "Langenberg", "given" : "Claudia", "non-dropping-particle" : "", "parse-names" : false, "suffix" : "" }, { "dropping-particle" : "", "family" : "Sharp", "given" : "S", "non-dropping-particle" : "", "parse-names" : false, "suffix" : "" }, { "dropping-particle" : "", "family" : "Forouhi", "given" : "Nita G", "non-dropping-particle" : "", "parse-names" : false, "suffix" : "" }, { "dropping-particle" : "", "family" : "Franks", "given" : "P W", "non-dropping-particle" : "", "parse-names" : false, "suffix" : "" }, { "dropping-particle" : "", "family" : "Schulze", "given" : "M B", "non-dropping-particle" : "", "parse-names" : false, "suffix" : "" }, { "dropping-particle" : "", "family" : "Kerrison", "given" : "N", "non-dropping-particle" : "", "parse-names" : false, "suffix" : "" }, { "dropping-particle" : "", "family" : "Ekelund", "given" : "U", "non-dropping-particle" : "", "parse-names" : false, "suffix" : "" }, { "dropping-particle" : "", "family" : "Barroso", "given" : "In\u00eas", "non-dropping-particle" : "", "parse-names" : false, "suffix" : "" }, { "dropping-particle" : "", "family" : "Panico", "given" : "S", "non-dropping-particle" : "", "parse-names" : false, "suffix" : "" }, { "dropping-particle" : "", "family" : "Tormo", "given" : "M J", "non-dropping-particle" : "", "parse-names" : false, "suffix" : "" }, { "dropping-particle" : "", "family" : "Spranger", "given" : "J", "non-dropping-particle" : "", "parse-names" : false, "suffix" : "" }, { "dropping-particle" : "", "family" : "Griffin", "given" : "S", "non-dropping-particle" : "", "parse-names" : false, "suffix" : "" }, { "dropping-particle" : "", "family" : "Schouw", "given" : "Yvonne T", "non-dropping-particle" : "van der", "parse-names" : false, "suffix" : "" }, { "dropping-particle" : "", "family" : "Amiano", "given" : "Pilar", "non-dropping-particle" : "", "parse-names" : false, "suffix" : "" }, { "dropping-particle" : "", "family" : "Ardanaz", "given" : "E", "non-dropping-particle" : "", "parse-names" : false, "suffix" : "" }, { "dropping-particle" : "", "family" : "Arriola", "given" : "Larraitz", "non-dropping-particle" : "", "parse-names" : false, "suffix" : "" }, { "dropping-particle" : "", "family" : "Balkau", "given" : "Beverley", "non-dropping-particle" : "", "parse-names" : false, "suffix" : "" }, { "dropping-particle" : "", "family" : "Barricarte", "given" : "A", "non-dropping-particle" : "", "parse-names" : false, "suffix" : "" }, { "dropping-particle" : "", "family" : "Beulens", "given" : "Joline W J", "non-dropping-particle" : "", "parse-names" : false, "suffix" : "" }, { "dropping-particle" : "", "family" : "Boeing", "given" : "H", "non-dropping-particle" : "", "parse-names" : false, "suffix" : "" }, { "dropping-particle" : "", "family" : "Bueno-de-Mesquita", "given" : "H B", "non-dropping-particle" : "", "parse-names" : false, "suffix" : "" }, { "dropping-particle" : "", "family" : "Buijsse", "given" : "B", "non-dropping-particle" : "", "parse-names" : false, "suffix" : "" }, { "dropping-particle" : "", "family" : "Chirlaque Lopez", "given" : "M D", "non-dropping-particle" : "", "parse-names" : false, "suffix" : "" }, { "dropping-particle" : "", "family" : "Clavel-Chapelon", "given" : "F", "non-dropping-particle" : "", "parse-names" : false, "suffix" : "" }, { "dropping-particle" : "", "family" : "Crowe", "given" : "F L", "non-dropping-particle" : "", "parse-names" : false, "suffix" : "" }, { "dropping-particle" : "", "family" : "Lauzon-Guillan", "given" : "B", "non-dropping-particle" : "de", "parse-names" : false, "suffix" : "" }, { "dropping-particle" : "", "family" : "Deloukas", "given" : "P", "non-dropping-particle" : "", "parse-names" : false, "suffix" : "" }, { "dropping-particle" : "", "family" : "Dorronsoro", "given" : "M", "non-dropping-particle" : "", "parse-names" : false, "suffix" : "" }, { "dropping-particle" : "", "family" : "Drogan", "given" : "D", "non-dropping-particle" : "", "parse-names" : false, "suffix" : "" }, { "dropping-particle" : "", "family" : "Froguel", "given" : "P", "non-dropping-particle" : "", "parse-names" : false, "suffix" : "" }, { "dropping-particle" : "", "family" : "Gonzalez", "given" : "C", "non-dropping-particle" : "", "parse-names" : false, "suffix" : "" }, { "dropping-particle" : "", "family" : "Grioni", "given" : "S", "non-dropping-particle" : "", "parse-names" : false, "suffix" : "" }, { "dropping-particle" : "", "family" : "Groop", "given" : "L", "non-dropping-particle" : "", "parse-names" : false, "suffix" : "" }, { "dropping-particle" : "", "family" : "Groves", "given" : "C", "non-dropping-particle" : "", "parse-names" : false, "suffix" : "" }, { "dropping-particle" : "", "family" : "Hainaut", "given" : "P", "non-dropping-particle" : "", "parse-names" : false, "suffix" : "" }, { "dropping-particle" : "", "family" : "Halkjaer", "given" : "J", "non-dropping-particle" : "", "parse-names" : false, "suffix" : "" }, { "dropping-particle" : "", "family" : "Hallmans", "given" : "G", "non-dropping-particle" : "", "parse-names" : false, "suffix" : "" }, { "dropping-particle" : "", "family" : "Hansen", "given" : "T", "non-dropping-particle" : "", "parse-names" : false, "suffix" : "" }, { "dropping-particle" : "", "family" : "Huerta Casta\u00f1o", "given" : "J M", "non-dropping-particle" : "", "parse-names" : false, "suffix" : "" }, { "dropping-particle" : "", "family" : "Kaaks", "given" : "R", "non-dropping-particle" : "", "parse-names" : false, "suffix" : "" }, { "dropping-particle" : "", "family" : "Key", "given" : "T J", "non-dropping-particle" : "", "parse-names" : false, "suffix" : "" }, { "dropping-particle" : "", "family" : "Khaw", "given" : "K T", "non-dropping-particle" : "", "parse-names" : false, "suffix" : "" }, { "dropping-particle" : "", "family" : "Koulman", "given" : "A", "non-dropping-particle" : "", "parse-names" : false, "suffix" : "" }, { "dropping-particle" : "", "family" : "Mattiello", "given" : "Amalia", "non-dropping-particle" : "", "parse-names" : false, "suffix" : "" }, { "dropping-particle" : "", "family" : "Navarro", "given" : "C", "non-dropping-particle" : "", "parse-names" : false, "suffix" : "" }, { "dropping-particle" : "", "family" : "Nilsson", "given" : "P", "non-dropping-particle" : "", "parse-names" : false, "suffix" : "" }, { "dropping-particle" : "", "family" : "Norat", "given" : "T", "non-dropping-particle" : "", "parse-names" : false, "suffix" : "" }, { "dropping-particle" : "", "family" : "Overvad", "given" : "K", "non-dropping-particle" : "", "parse-names" : false, "suffix" : "" }, { "dropping-particle" : "", "family" : "Palla", "given" : "L", "non-dropping-particle" : "", "parse-names" : false, "suffix" : "" }, { "dropping-particle" : "", "family" : "Palli", "given" : "D", "non-dropping-particle" : "", "parse-names" : false, "suffix" : "" }, { "dropping-particle" : "", "family" : "Pedersen", "given" : "O", "non-dropping-particle" : "", "parse-names" : false, "suffix" : "" }, { "dropping-particle" : "", "family" : "Peeters", "given" : "P H", "non-dropping-particle" : "", "parse-names" : false, "suffix" : "" }, { "dropping-particle" : "", "family" : "Quir\u00f3s", "given" : "J R", "non-dropping-particle" : "", "parse-names" : false, "suffix" : "" }, { "dropping-particle" : "", "family" : "Ramachandran", "given" : "A", "non-dropping-particle" : "", "parse-names" : false, "suffix" : "" }, { "dropping-particle" : "", "family" : "Rodriguez-Suarez", "given" : "L", "non-dropping-particle" : "", "parse-names" : false, "suffix" : "" }, { "dropping-particle" : "", "family" : "Rolandsson", "given" : "O", "non-dropping-particle" : "", "parse-names" : false, "suffix" : "" }, { "dropping-particle" : "", "family" : "Romaguera", "given" : "D", "non-dropping-particle" : "", "parse-names" : false, "suffix" : "" }, { "dropping-particle" : "", "family" : "Romieu", "given" : "I", "non-dropping-particle" : "", "parse-names" : false, "suffix" : "" }, { "dropping-particle" : "", "family" : "Sacerdote", "given" : "C", "non-dropping-particle" : "", "parse-names" : false, "suffix" : "" }, { "dropping-particle" : "", "family" : "S\u00e1nchez", "given" : "M J", "non-dropping-particle" : "", "parse-names" : false, "suffix" : "" }, { "dropping-particle" : "", "family" : "Sandbaek", "given" : "A", "non-dropping-particle" : "", "parse-names" : false, "suffix" : "" }, { "dropping-particle" : "", "family" : "Slimani", "given" : "N", "non-dropping-particle" : "", "parse-names" : false, "suffix" : "" }, { "dropping-particle" : "", "family" : "Sluijs", "given" : "I", "non-dropping-particle" : "", "parse-names" : false, "suffix" : "" }, { "dropping-particle" : "", "family" : "Spijkerman", "given" : "a M W", "non-dropping-particle" : "", "parse-names" : false, "suffix" : "" }, { "dropping-particle" : "", "family" : "Teucher", "given" : "B", "non-dropping-particle" : "", "parse-names" : false, "suffix" : "" }, { "dropping-particle" : "", "family" : "Tjonneland", "given" : "A", "non-dropping-particle" : "", "parse-names" : false, "suffix" : "" }, { "dropping-particle" : "", "family" : "Tumino", "given" : "R", "non-dropping-particle" : "", "parse-names" : false, "suffix" : "" }, { "dropping-particle" : "", "family" : "A", "given" : "Daphne L", "non-dropping-particle" : "van der", "parse-names" : false, "suffix" : "" }, { "dropping-particle" : "", "family" : "Verschuren", "given" : "W M M", "non-dropping-particle" : "", "parse-names" : false, "suffix" : "" }, { "dropping-particle" : "", "family" : "Tuomilehto", "given" : "J", "non-dropping-particle" : "", "parse-names" : false, "suffix" : "" }, { "dropping-particle" : "", "family" : "Feskens", "given" : "E", "non-dropping-particle" : "", "parse-names" : false, "suffix" : "" }, { "dropping-particle" : "", "family" : "McCarthy", "given" : "M", "non-dropping-particle" : "", "parse-names" : false, "suffix" : "" }, { "dropping-particle" : "", "family" : "Riboli", "given" : "Elio", "non-dropping-particle" : "", "parse-names" : false, "suffix" : "" }, { "dropping-particle" : "", "family" : "Wareham", "given" : "Nicholas J", "non-dropping-particle" : "", "parse-names" : false, "suffix" : "" } ], "container-title" : "Diabetologia", "id" : "ITEM-1", "issue" : "9", "issued" : { "date-parts" : [ [ "2011", "9" ] ] }, "page" : "2272-82", "title" : "Design and cohort description of the InterAct Project: an examination of the interaction of genetic and lifestyle factors on the incidence of type 2 diabetes in the EPIC Study.", "type" : "article-journal", "volume" : "54" }, "uris" : [ "http://www.mendeley.com/documents/?uuid=a2b6b5ed-e9bb-4ce0-9be1-a788171cf43f" ] } ], "mendeley" : { "formattedCitation" : "(15)", "plainTextFormattedCitation" : "(15)", "previouslyFormattedCitation" : "(15)" }, "properties" : { "noteIndex" : 0 }, "schema" : "https://github.com/citation-style-language/schema/raw/master/csl-citation.json" }</w:instrText>
      </w:r>
      <w:r w:rsidR="00B233C0" w:rsidRPr="0018334E">
        <w:rPr>
          <w:rFonts w:ascii="Arial" w:hAnsi="Arial" w:cs="Arial"/>
          <w:sz w:val="24"/>
          <w:szCs w:val="24"/>
          <w:lang w:val="en-US"/>
        </w:rPr>
        <w:fldChar w:fldCharType="separate"/>
      </w:r>
      <w:r w:rsidR="00891484" w:rsidRPr="00891484">
        <w:rPr>
          <w:rFonts w:ascii="Arial" w:hAnsi="Arial" w:cs="Arial"/>
          <w:noProof/>
          <w:sz w:val="24"/>
          <w:szCs w:val="24"/>
          <w:lang w:val="en-US"/>
        </w:rPr>
        <w:t>(15)</w:t>
      </w:r>
      <w:r w:rsidR="00B233C0" w:rsidRPr="0018334E">
        <w:rPr>
          <w:rFonts w:ascii="Arial" w:hAnsi="Arial" w:cs="Arial"/>
          <w:sz w:val="24"/>
          <w:szCs w:val="24"/>
          <w:lang w:val="en-US"/>
        </w:rPr>
        <w:fldChar w:fldCharType="end"/>
      </w:r>
      <w:r w:rsidR="00BE2C40" w:rsidRPr="0018334E">
        <w:rPr>
          <w:rFonts w:ascii="Arial" w:hAnsi="Arial" w:cs="Arial"/>
          <w:sz w:val="24"/>
          <w:szCs w:val="24"/>
          <w:lang w:val="en-US"/>
        </w:rPr>
        <w:t>.</w:t>
      </w:r>
      <w:r w:rsidRPr="0018334E">
        <w:rPr>
          <w:rFonts w:ascii="Arial" w:hAnsi="Arial" w:cs="Arial"/>
          <w:sz w:val="24"/>
          <w:szCs w:val="24"/>
          <w:lang w:val="en-US"/>
        </w:rPr>
        <w:t xml:space="preserve"> In brief, a total of 12,403 incident cases of </w:t>
      </w:r>
      <w:r w:rsidR="00C67DEE" w:rsidRPr="0018334E">
        <w:rPr>
          <w:rFonts w:ascii="Arial" w:hAnsi="Arial" w:cs="Arial"/>
          <w:sz w:val="24"/>
          <w:szCs w:val="24"/>
          <w:lang w:val="en-US"/>
        </w:rPr>
        <w:t>type 2 diabetes</w:t>
      </w:r>
      <w:r w:rsidRPr="0018334E">
        <w:rPr>
          <w:rFonts w:ascii="Arial" w:hAnsi="Arial" w:cs="Arial"/>
          <w:sz w:val="24"/>
          <w:szCs w:val="24"/>
          <w:lang w:val="en-US"/>
        </w:rPr>
        <w:t xml:space="preserve"> were ascertained and verified during 3.99 million person-years of follow-up (mean follow-up</w:t>
      </w:r>
      <w:r w:rsidR="0010704E" w:rsidRPr="0018334E">
        <w:rPr>
          <w:rFonts w:ascii="Arial" w:hAnsi="Arial" w:cs="Arial"/>
          <w:sz w:val="24"/>
          <w:szCs w:val="24"/>
          <w:lang w:val="en-US"/>
        </w:rPr>
        <w:t xml:space="preserve"> of</w:t>
      </w:r>
      <w:r w:rsidRPr="0018334E">
        <w:rPr>
          <w:rFonts w:ascii="Arial" w:hAnsi="Arial" w:cs="Arial"/>
          <w:sz w:val="24"/>
          <w:szCs w:val="24"/>
          <w:lang w:val="en-US"/>
        </w:rPr>
        <w:t xml:space="preserve"> 11.7 years) of 340,234 </w:t>
      </w:r>
      <w:r w:rsidR="0086563A" w:rsidRPr="0018334E">
        <w:rPr>
          <w:rFonts w:ascii="Arial" w:hAnsi="Arial" w:cs="Arial"/>
          <w:sz w:val="24"/>
          <w:szCs w:val="24"/>
          <w:lang w:val="en-US"/>
        </w:rPr>
        <w:t>eligible E</w:t>
      </w:r>
      <w:r w:rsidRPr="0018334E">
        <w:rPr>
          <w:rFonts w:ascii="Arial" w:hAnsi="Arial" w:cs="Arial"/>
          <w:sz w:val="24"/>
          <w:szCs w:val="24"/>
          <w:lang w:val="en-US"/>
        </w:rPr>
        <w:t xml:space="preserve">PIC participants (men and women aged 20-80 years at baseline, with a stored blood sample and reported diabetes </w:t>
      </w:r>
      <w:r w:rsidR="009F45F7" w:rsidRPr="0018334E">
        <w:rPr>
          <w:rFonts w:ascii="Arial" w:hAnsi="Arial" w:cs="Arial"/>
          <w:sz w:val="24"/>
          <w:szCs w:val="24"/>
          <w:lang w:val="en-US"/>
        </w:rPr>
        <w:t xml:space="preserve">mellitus </w:t>
      </w:r>
      <w:r w:rsidRPr="0018334E">
        <w:rPr>
          <w:rFonts w:ascii="Arial" w:hAnsi="Arial" w:cs="Arial"/>
          <w:sz w:val="24"/>
          <w:szCs w:val="24"/>
          <w:lang w:val="en-US"/>
        </w:rPr>
        <w:t xml:space="preserve">status). </w:t>
      </w:r>
      <w:r w:rsidR="00BE2C40" w:rsidRPr="0018334E">
        <w:rPr>
          <w:rFonts w:ascii="Arial" w:hAnsi="Arial" w:cs="Arial"/>
          <w:sz w:val="24"/>
          <w:szCs w:val="24"/>
          <w:lang w:val="en-US"/>
        </w:rPr>
        <w:t xml:space="preserve">The </w:t>
      </w:r>
      <w:proofErr w:type="spellStart"/>
      <w:r w:rsidR="00BE2C40" w:rsidRPr="0018334E">
        <w:rPr>
          <w:rFonts w:ascii="Arial" w:hAnsi="Arial" w:cs="Arial"/>
          <w:sz w:val="24"/>
          <w:szCs w:val="24"/>
          <w:lang w:val="en-US"/>
        </w:rPr>
        <w:t>subcohort</w:t>
      </w:r>
      <w:proofErr w:type="spellEnd"/>
      <w:r w:rsidR="00994BA3" w:rsidRPr="0018334E">
        <w:rPr>
          <w:rFonts w:ascii="Arial" w:hAnsi="Arial" w:cs="Arial"/>
          <w:sz w:val="24"/>
          <w:szCs w:val="24"/>
          <w:lang w:val="en-US"/>
        </w:rPr>
        <w:t xml:space="preserve"> (</w:t>
      </w:r>
      <w:r w:rsidR="00994BA3" w:rsidRPr="0018334E">
        <w:rPr>
          <w:rFonts w:ascii="Arial" w:hAnsi="Arial" w:cs="Arial"/>
          <w:i/>
          <w:sz w:val="24"/>
          <w:szCs w:val="24"/>
          <w:lang w:val="en-US"/>
        </w:rPr>
        <w:t>n</w:t>
      </w:r>
      <w:r w:rsidR="00994BA3" w:rsidRPr="0018334E">
        <w:rPr>
          <w:rFonts w:ascii="Arial" w:hAnsi="Arial" w:cs="Arial"/>
          <w:sz w:val="24"/>
          <w:szCs w:val="24"/>
          <w:lang w:val="en-US"/>
        </w:rPr>
        <w:t>=16,154)</w:t>
      </w:r>
      <w:r w:rsidR="00FA4F5B" w:rsidRPr="0018334E">
        <w:rPr>
          <w:rFonts w:ascii="Arial" w:hAnsi="Arial" w:cs="Arial"/>
          <w:sz w:val="24"/>
          <w:szCs w:val="24"/>
          <w:lang w:val="en-US"/>
        </w:rPr>
        <w:t>, which was</w:t>
      </w:r>
      <w:r w:rsidR="00BE2C40" w:rsidRPr="0018334E">
        <w:rPr>
          <w:rFonts w:ascii="Arial" w:hAnsi="Arial" w:cs="Arial"/>
          <w:sz w:val="24"/>
          <w:szCs w:val="24"/>
          <w:lang w:val="en-US"/>
        </w:rPr>
        <w:t xml:space="preserve"> </w:t>
      </w:r>
      <w:r w:rsidR="0086563A" w:rsidRPr="0018334E">
        <w:rPr>
          <w:rFonts w:ascii="Arial" w:hAnsi="Arial" w:cs="Arial"/>
          <w:sz w:val="24"/>
          <w:szCs w:val="24"/>
          <w:lang w:val="en-US"/>
        </w:rPr>
        <w:t>a representative sample of the original cohort</w:t>
      </w:r>
      <w:r w:rsidR="00FA4F5B" w:rsidRPr="0018334E">
        <w:rPr>
          <w:rFonts w:ascii="Arial" w:hAnsi="Arial" w:cs="Arial"/>
          <w:sz w:val="24"/>
          <w:szCs w:val="24"/>
          <w:lang w:val="en-US"/>
        </w:rPr>
        <w:t>,</w:t>
      </w:r>
      <w:r w:rsidR="00C11E62" w:rsidRPr="0018334E">
        <w:rPr>
          <w:rFonts w:ascii="Arial" w:hAnsi="Arial" w:cs="Arial"/>
          <w:sz w:val="24"/>
          <w:szCs w:val="24"/>
          <w:lang w:val="en-US"/>
        </w:rPr>
        <w:t xml:space="preserve"> </w:t>
      </w:r>
      <w:r w:rsidR="0086563A" w:rsidRPr="0018334E">
        <w:rPr>
          <w:rFonts w:ascii="Arial" w:hAnsi="Arial" w:cs="Arial"/>
          <w:sz w:val="24"/>
          <w:szCs w:val="24"/>
          <w:lang w:val="en-US"/>
        </w:rPr>
        <w:t xml:space="preserve">was identified by randomly selecting </w:t>
      </w:r>
      <w:r w:rsidR="000A160F" w:rsidRPr="0018334E">
        <w:rPr>
          <w:rFonts w:ascii="Arial" w:hAnsi="Arial" w:cs="Arial"/>
          <w:sz w:val="24"/>
          <w:szCs w:val="24"/>
          <w:lang w:val="en-US"/>
        </w:rPr>
        <w:t xml:space="preserve">individuals </w:t>
      </w:r>
      <w:r w:rsidR="0086563A" w:rsidRPr="0018334E">
        <w:rPr>
          <w:rFonts w:ascii="Arial" w:hAnsi="Arial" w:cs="Arial"/>
          <w:sz w:val="24"/>
          <w:szCs w:val="24"/>
          <w:lang w:val="en-US"/>
        </w:rPr>
        <w:t>from</w:t>
      </w:r>
      <w:r w:rsidR="00323DB6" w:rsidRPr="0018334E">
        <w:rPr>
          <w:rFonts w:ascii="Arial" w:hAnsi="Arial" w:cs="Arial"/>
          <w:sz w:val="24"/>
          <w:szCs w:val="24"/>
          <w:lang w:val="en-US"/>
        </w:rPr>
        <w:t xml:space="preserve"> each </w:t>
      </w:r>
      <w:r w:rsidR="004E5595" w:rsidRPr="0018334E">
        <w:rPr>
          <w:rFonts w:ascii="Arial" w:hAnsi="Arial" w:cs="Arial"/>
          <w:sz w:val="24"/>
          <w:szCs w:val="24"/>
          <w:lang w:val="en-US"/>
        </w:rPr>
        <w:t>center</w:t>
      </w:r>
      <w:r w:rsidR="00903384" w:rsidRPr="0018334E">
        <w:rPr>
          <w:rFonts w:ascii="Arial" w:hAnsi="Arial" w:cs="Arial"/>
          <w:sz w:val="24"/>
          <w:szCs w:val="24"/>
          <w:lang w:val="en-US"/>
        </w:rPr>
        <w:t>.</w:t>
      </w:r>
      <w:r w:rsidR="009053D8">
        <w:rPr>
          <w:rFonts w:ascii="Arial" w:hAnsi="Arial" w:cs="Arial"/>
          <w:sz w:val="24"/>
          <w:szCs w:val="24"/>
          <w:lang w:val="en-US"/>
        </w:rPr>
        <w:t xml:space="preserve"> We excluded individuals who had prevalent clinically diagnosed diabetes at baseline. </w:t>
      </w:r>
      <w:r w:rsidR="00D7290A" w:rsidRPr="0018334E">
        <w:rPr>
          <w:rFonts w:ascii="Arial" w:hAnsi="Arial" w:cs="Arial"/>
          <w:sz w:val="24"/>
          <w:szCs w:val="24"/>
          <w:lang w:val="en-US"/>
        </w:rPr>
        <w:t xml:space="preserve">By design </w:t>
      </w:r>
      <w:r w:rsidR="00C11E62" w:rsidRPr="0018334E">
        <w:rPr>
          <w:rFonts w:ascii="Arial" w:hAnsi="Arial" w:cs="Arial"/>
          <w:sz w:val="24"/>
          <w:szCs w:val="24"/>
          <w:lang w:val="en-US"/>
        </w:rPr>
        <w:t>there are i</w:t>
      </w:r>
      <w:r w:rsidRPr="0018334E">
        <w:rPr>
          <w:rFonts w:ascii="Arial" w:hAnsi="Arial" w:cs="Arial"/>
          <w:sz w:val="24"/>
          <w:szCs w:val="24"/>
          <w:lang w:val="en-US"/>
        </w:rPr>
        <w:t xml:space="preserve">ndividuals with incident diabetes </w:t>
      </w:r>
      <w:r w:rsidR="00307557" w:rsidRPr="0018334E">
        <w:rPr>
          <w:rFonts w:ascii="Arial" w:hAnsi="Arial" w:cs="Arial"/>
          <w:sz w:val="24"/>
          <w:szCs w:val="24"/>
          <w:lang w:val="en-US"/>
        </w:rPr>
        <w:t xml:space="preserve">that </w:t>
      </w:r>
      <w:r w:rsidRPr="0018334E">
        <w:rPr>
          <w:rFonts w:ascii="Arial" w:hAnsi="Arial" w:cs="Arial"/>
          <w:sz w:val="24"/>
          <w:szCs w:val="24"/>
          <w:lang w:val="en-US"/>
        </w:rPr>
        <w:t xml:space="preserve">were </w:t>
      </w:r>
      <w:r w:rsidR="0086563A" w:rsidRPr="0018334E">
        <w:rPr>
          <w:rFonts w:ascii="Arial" w:hAnsi="Arial" w:cs="Arial"/>
          <w:sz w:val="24"/>
          <w:szCs w:val="24"/>
          <w:lang w:val="en-US"/>
        </w:rPr>
        <w:t xml:space="preserve">also </w:t>
      </w:r>
      <w:r w:rsidRPr="0018334E">
        <w:rPr>
          <w:rFonts w:ascii="Arial" w:hAnsi="Arial" w:cs="Arial"/>
          <w:sz w:val="24"/>
          <w:szCs w:val="24"/>
          <w:lang w:val="en-US"/>
        </w:rPr>
        <w:t xml:space="preserve">randomly selected into the </w:t>
      </w:r>
      <w:proofErr w:type="spellStart"/>
      <w:r w:rsidRPr="0018334E">
        <w:rPr>
          <w:rFonts w:ascii="Arial" w:hAnsi="Arial" w:cs="Arial"/>
          <w:sz w:val="24"/>
          <w:szCs w:val="24"/>
          <w:lang w:val="en-US"/>
        </w:rPr>
        <w:t>subcohort</w:t>
      </w:r>
      <w:proofErr w:type="spellEnd"/>
      <w:r w:rsidRPr="0018334E">
        <w:rPr>
          <w:rFonts w:ascii="Arial" w:hAnsi="Arial" w:cs="Arial"/>
          <w:sz w:val="24"/>
          <w:szCs w:val="24"/>
          <w:lang w:val="en-US"/>
        </w:rPr>
        <w:t xml:space="preserve"> (</w:t>
      </w:r>
      <w:r w:rsidRPr="0018334E">
        <w:rPr>
          <w:rFonts w:ascii="Arial" w:hAnsi="Arial" w:cs="Arial"/>
          <w:i/>
          <w:sz w:val="24"/>
          <w:szCs w:val="24"/>
          <w:lang w:val="en-US"/>
        </w:rPr>
        <w:t>n</w:t>
      </w:r>
      <w:r w:rsidRPr="0018334E">
        <w:rPr>
          <w:rFonts w:ascii="Arial" w:hAnsi="Arial" w:cs="Arial"/>
          <w:sz w:val="24"/>
          <w:szCs w:val="24"/>
          <w:lang w:val="en-US"/>
        </w:rPr>
        <w:t>=778)</w:t>
      </w:r>
      <w:r w:rsidR="004F4600" w:rsidRPr="0018334E">
        <w:rPr>
          <w:rFonts w:ascii="Arial" w:hAnsi="Arial" w:cs="Arial"/>
          <w:sz w:val="24"/>
          <w:szCs w:val="24"/>
          <w:lang w:val="en-US"/>
        </w:rPr>
        <w:t xml:space="preserve"> and </w:t>
      </w:r>
      <w:r w:rsidR="00CC5AD7" w:rsidRPr="0018334E">
        <w:rPr>
          <w:rFonts w:ascii="Arial" w:hAnsi="Arial" w:cs="Arial"/>
          <w:sz w:val="24"/>
          <w:szCs w:val="24"/>
          <w:lang w:val="en-US"/>
        </w:rPr>
        <w:t>these are</w:t>
      </w:r>
      <w:r w:rsidRPr="0018334E">
        <w:rPr>
          <w:rFonts w:ascii="Arial" w:hAnsi="Arial" w:cs="Arial"/>
          <w:sz w:val="24"/>
          <w:szCs w:val="24"/>
          <w:lang w:val="en-US"/>
        </w:rPr>
        <w:t xml:space="preserve"> included as cases in </w:t>
      </w:r>
      <w:r w:rsidR="00CC5AD7" w:rsidRPr="0018334E">
        <w:rPr>
          <w:rFonts w:ascii="Arial" w:hAnsi="Arial" w:cs="Arial"/>
          <w:sz w:val="24"/>
          <w:szCs w:val="24"/>
          <w:lang w:val="en-US"/>
        </w:rPr>
        <w:t>case-cohort</w:t>
      </w:r>
      <w:r w:rsidRPr="0018334E">
        <w:rPr>
          <w:rFonts w:ascii="Arial" w:hAnsi="Arial" w:cs="Arial"/>
          <w:sz w:val="24"/>
          <w:szCs w:val="24"/>
          <w:lang w:val="en-US"/>
        </w:rPr>
        <w:t xml:space="preserve"> analyses</w:t>
      </w:r>
      <w:r w:rsidR="00CC5AD7" w:rsidRPr="0018334E">
        <w:rPr>
          <w:rFonts w:ascii="Arial" w:hAnsi="Arial" w:cs="Arial"/>
          <w:sz w:val="24"/>
          <w:szCs w:val="24"/>
          <w:lang w:val="en-US"/>
        </w:rPr>
        <w:t xml:space="preserve"> </w:t>
      </w:r>
      <w:r w:rsidR="00CC5AD7" w:rsidRPr="0018334E">
        <w:rPr>
          <w:rFonts w:ascii="Arial" w:hAnsi="Arial" w:cs="Arial"/>
          <w:sz w:val="24"/>
          <w:szCs w:val="24"/>
          <w:lang w:val="en-US"/>
        </w:rPr>
        <w:fldChar w:fldCharType="begin" w:fldLock="1"/>
      </w:r>
      <w:r w:rsidR="00891484">
        <w:rPr>
          <w:rFonts w:ascii="Arial" w:hAnsi="Arial" w:cs="Arial"/>
          <w:sz w:val="24"/>
          <w:szCs w:val="24"/>
          <w:lang w:val="en-US"/>
        </w:rPr>
        <w:instrText>ADDIN CSL_CITATION { "citationItems" : [ { "id" : "ITEM-1", "itemData" : { "DOI" : "10.1007/s00125-011-2182-9", "ISSN" : "1432-0428", "PMID" : "21717116", "abstract" : "AIMS/HYPOTHESIS: Studying gene-lifestyle interaction may help to identify lifestyle factors that modify genetic susceptibility and uncover genetic loci exerting important subgroup effects. Adequately powered studies with prospective, unbiased, standardised assessment of key behavioural factors for gene-lifestyle studies are lacking. This case-cohort study aims to investigate how genetic and potentially modifiable lifestyle and behavioural factors, particularly diet and physical activity, interact in their influence on the risk of developing type 2 diabetes. METHODS: Incident cases of type 2 diabetes occurring in European Prospective Investigation into Cancer and Nutrition (EPIC) cohorts between 1991 and 2007 from eight of the ten EPIC countries were ascertained and verified. Prentice-weighted Cox regression and random-effects meta-analyses were used to investigate differences in diabetes incidence by age and sex. RESULTS: A total of 12,403 verified incident cases of type 2 diabetes occurred during 3.99 million person-years of follow-up of 340,234 EPIC participants eligible for InterAct. We defined a centre-stratified subcohort of 16,154 individuals for comparative analyses. Individuals with incident diabetes who were randomly selected into the subcohort (n = 778) were included as cases in the analyses. All prevalent diabetes cases were excluded from the study. InterAct cases were followed-up for an average of 6.9 years; 49.7% were men. Mean baseline age and age at diagnosis were 55.6 and 62.5 years, mean BMI and waist circumference values were 29.4 kg/m(2) and 102.7 cm in men, and 30.1 kg/m(2) and 92.8 cm in women, respectively. Risk of type 2 diabetes increased linearly with age, with an overall HR of 1.56 (95% CI 1.48-1.64) for a 10 year age difference, adjusted for sex. A male excess in the risk of incident diabetes was consistently observed across all countries, with a pooled HR of 1.51 (95% CI 1.39-1.64), adjusted for age. CONCLUSIONS/INTERPRETATION: InterAct is a large, well-powered, prospective study that will inform our understanding of the interplay between genes and lifestyle factors on the risk of type 2 diabetes development.", "author" : [ { "dropping-particle" : "", "family" : "Langenberg", "given" : "Claudia", "non-dropping-particle" : "", "parse-names" : false, "suffix" : "" }, { "dropping-particle" : "", "family" : "Sharp", "given" : "S", "non-dropping-particle" : "", "parse-names" : false, "suffix" : "" }, { "dropping-particle" : "", "family" : "Forouhi", "given" : "Nita G", "non-dropping-particle" : "", "parse-names" : false, "suffix" : "" }, { "dropping-particle" : "", "family" : "Franks", "given" : "P W", "non-dropping-particle" : "", "parse-names" : false, "suffix" : "" }, { "dropping-particle" : "", "family" : "Schulze", "given" : "M B", "non-dropping-particle" : "", "parse-names" : false, "suffix" : "" }, { "dropping-particle" : "", "family" : "Kerrison", "given" : "N", "non-dropping-particle" : "", "parse-names" : false, "suffix" : "" }, { "dropping-particle" : "", "family" : "Ekelund", "given" : "U", "non-dropping-particle" : "", "parse-names" : false, "suffix" : "" }, { "dropping-particle" : "", "family" : "Barroso", "given" : "In\u00eas", "non-dropping-particle" : "", "parse-names" : false, "suffix" : "" }, { "dropping-particle" : "", "family" : "Panico", "given" : "S", "non-dropping-particle" : "", "parse-names" : false, "suffix" : "" }, { "dropping-particle" : "", "family" : "Tormo", "given" : "M J", "non-dropping-particle" : "", "parse-names" : false, "suffix" : "" }, { "dropping-particle" : "", "family" : "Spranger", "given" : "J", "non-dropping-particle" : "", "parse-names" : false, "suffix" : "" }, { "dropping-particle" : "", "family" : "Griffin", "given" : "S", "non-dropping-particle" : "", "parse-names" : false, "suffix" : "" }, { "dropping-particle" : "", "family" : "Schouw", "given" : "Yvonne T", "non-dropping-particle" : "van der", "parse-names" : false, "suffix" : "" }, { "dropping-particle" : "", "family" : "Amiano", "given" : "Pilar", "non-dropping-particle" : "", "parse-names" : false, "suffix" : "" }, { "dropping-particle" : "", "family" : "Ardanaz", "given" : "E", "non-dropping-particle" : "", "parse-names" : false, "suffix" : "" }, { "dropping-particle" : "", "family" : "Arriola", "given" : "Larraitz", "non-dropping-particle" : "", "parse-names" : false, "suffix" : "" }, { "dropping-particle" : "", "family" : "Balkau", "given" : "Beverley", "non-dropping-particle" : "", "parse-names" : false, "suffix" : "" }, { "dropping-particle" : "", "family" : "Barricarte", "given" : "A", "non-dropping-particle" : "", "parse-names" : false, "suffix" : "" }, { "dropping-particle" : "", "family" : "Beulens", "given" : "Joline W J", "non-dropping-particle" : "", "parse-names" : false, "suffix" : "" }, { "dropping-particle" : "", "family" : "Boeing", "given" : "H", "non-dropping-particle" : "", "parse-names" : false, "suffix" : "" }, { "dropping-particle" : "", "family" : "Bueno-de-Mesquita", "given" : "H B", "non-dropping-particle" : "", "parse-names" : false, "suffix" : "" }, { "dropping-particle" : "", "family" : "Buijsse", "given" : "B", "non-dropping-particle" : "", "parse-names" : false, "suffix" : "" }, { "dropping-particle" : "", "family" : "Chirlaque Lopez", "given" : "M D", "non-dropping-particle" : "", "parse-names" : false, "suffix" : "" }, { "dropping-particle" : "", "family" : "Clavel-Chapelon", "given" : "F", "non-dropping-particle" : "", "parse-names" : false, "suffix" : "" }, { "dropping-particle" : "", "family" : "Crowe", "given" : "F L", "non-dropping-particle" : "", "parse-names" : false, "suffix" : "" }, { "dropping-particle" : "", "family" : "Lauzon-Guillan", "given" : "B", "non-dropping-particle" : "de", "parse-names" : false, "suffix" : "" }, { "dropping-particle" : "", "family" : "Deloukas", "given" : "P", "non-dropping-particle" : "", "parse-names" : false, "suffix" : "" }, { "dropping-particle" : "", "family" : "Dorronsoro", "given" : "M", "non-dropping-particle" : "", "parse-names" : false, "suffix" : "" }, { "dropping-particle" : "", "family" : "Drogan", "given" : "D", "non-dropping-particle" : "", "parse-names" : false, "suffix" : "" }, { "dropping-particle" : "", "family" : "Froguel", "given" : "P", "non-dropping-particle" : "", "parse-names" : false, "suffix" : "" }, { "dropping-particle" : "", "family" : "Gonzalez", "given" : "C", "non-dropping-particle" : "", "parse-names" : false, "suffix" : "" }, { "dropping-particle" : "", "family" : "Grioni", "given" : "S", "non-dropping-particle" : "", "parse-names" : false, "suffix" : "" }, { "dropping-particle" : "", "family" : "Groop", "given" : "L", "non-dropping-particle" : "", "parse-names" : false, "suffix" : "" }, { "dropping-particle" : "", "family" : "Groves", "given" : "C", "non-dropping-particle" : "", "parse-names" : false, "suffix" : "" }, { "dropping-particle" : "", "family" : "Hainaut", "given" : "P", "non-dropping-particle" : "", "parse-names" : false, "suffix" : "" }, { "dropping-particle" : "", "family" : "Halkjaer", "given" : "J", "non-dropping-particle" : "", "parse-names" : false, "suffix" : "" }, { "dropping-particle" : "", "family" : "Hallmans", "given" : "G", "non-dropping-particle" : "", "parse-names" : false, "suffix" : "" }, { "dropping-particle" : "", "family" : "Hansen", "given" : "T", "non-dropping-particle" : "", "parse-names" : false, "suffix" : "" }, { "dropping-particle" : "", "family" : "Huerta Casta\u00f1o", "given" : "J M", "non-dropping-particle" : "", "parse-names" : false, "suffix" : "" }, { "dropping-particle" : "", "family" : "Kaaks", "given" : "R", "non-dropping-particle" : "", "parse-names" : false, "suffix" : "" }, { "dropping-particle" : "", "family" : "Key", "given" : "T J", "non-dropping-particle" : "", "parse-names" : false, "suffix" : "" }, { "dropping-particle" : "", "family" : "Khaw", "given" : "K T", "non-dropping-particle" : "", "parse-names" : false, "suffix" : "" }, { "dropping-particle" : "", "family" : "Koulman", "given" : "A", "non-dropping-particle" : "", "parse-names" : false, "suffix" : "" }, { "dropping-particle" : "", "family" : "Mattiello", "given" : "Amalia", "non-dropping-particle" : "", "parse-names" : false, "suffix" : "" }, { "dropping-particle" : "", "family" : "Navarro", "given" : "C", "non-dropping-particle" : "", "parse-names" : false, "suffix" : "" }, { "dropping-particle" : "", "family" : "Nilsson", "given" : "P", "non-dropping-particle" : "", "parse-names" : false, "suffix" : "" }, { "dropping-particle" : "", "family" : "Norat", "given" : "T", "non-dropping-particle" : "", "parse-names" : false, "suffix" : "" }, { "dropping-particle" : "", "family" : "Overvad", "given" : "K", "non-dropping-particle" : "", "parse-names" : false, "suffix" : "" }, { "dropping-particle" : "", "family" : "Palla", "given" : "L", "non-dropping-particle" : "", "parse-names" : false, "suffix" : "" }, { "dropping-particle" : "", "family" : "Palli", "given" : "D", "non-dropping-particle" : "", "parse-names" : false, "suffix" : "" }, { "dropping-particle" : "", "family" : "Pedersen", "given" : "O", "non-dropping-particle" : "", "parse-names" : false, "suffix" : "" }, { "dropping-particle" : "", "family" : "Peeters", "given" : "P H", "non-dropping-particle" : "", "parse-names" : false, "suffix" : "" }, { "dropping-particle" : "", "family" : "Quir\u00f3s", "given" : "J R", "non-dropping-particle" : "", "parse-names" : false, "suffix" : "" }, { "dropping-particle" : "", "family" : "Ramachandran", "given" : "A", "non-dropping-particle" : "", "parse-names" : false, "suffix" : "" }, { "dropping-particle" : "", "family" : "Rodriguez-Suarez", "given" : "L", "non-dropping-particle" : "", "parse-names" : false, "suffix" : "" }, { "dropping-particle" : "", "family" : "Rolandsson", "given" : "O", "non-dropping-particle" : "", "parse-names" : false, "suffix" : "" }, { "dropping-particle" : "", "family" : "Romaguera", "given" : "D", "non-dropping-particle" : "", "parse-names" : false, "suffix" : "" }, { "dropping-particle" : "", "family" : "Romieu", "given" : "I", "non-dropping-particle" : "", "parse-names" : false, "suffix" : "" }, { "dropping-particle" : "", "family" : "Sacerdote", "given" : "C", "non-dropping-particle" : "", "parse-names" : false, "suffix" : "" }, { "dropping-particle" : "", "family" : "S\u00e1nchez", "given" : "M J", "non-dropping-particle" : "", "parse-names" : false, "suffix" : "" }, { "dropping-particle" : "", "family" : "Sandbaek", "given" : "A", "non-dropping-particle" : "", "parse-names" : false, "suffix" : "" }, { "dropping-particle" : "", "family" : "Slimani", "given" : "N", "non-dropping-particle" : "", "parse-names" : false, "suffix" : "" }, { "dropping-particle" : "", "family" : "Sluijs", "given" : "I", "non-dropping-particle" : "", "parse-names" : false, "suffix" : "" }, { "dropping-particle" : "", "family" : "Spijkerman", "given" : "a M W", "non-dropping-particle" : "", "parse-names" : false, "suffix" : "" }, { "dropping-particle" : "", "family" : "Teucher", "given" : "B", "non-dropping-particle" : "", "parse-names" : false, "suffix" : "" }, { "dropping-particle" : "", "family" : "Tjonneland", "given" : "A", "non-dropping-particle" : "", "parse-names" : false, "suffix" : "" }, { "dropping-particle" : "", "family" : "Tumino", "given" : "R", "non-dropping-particle" : "", "parse-names" : false, "suffix" : "" }, { "dropping-particle" : "", "family" : "A", "given" : "Daphne L", "non-dropping-particle" : "van der", "parse-names" : false, "suffix" : "" }, { "dropping-particle" : "", "family" : "Verschuren", "given" : "W M M", "non-dropping-particle" : "", "parse-names" : false, "suffix" : "" }, { "dropping-particle" : "", "family" : "Tuomilehto", "given" : "J", "non-dropping-particle" : "", "parse-names" : false, "suffix" : "" }, { "dropping-particle" : "", "family" : "Feskens", "given" : "E", "non-dropping-particle" : "", "parse-names" : false, "suffix" : "" }, { "dropping-particle" : "", "family" : "McCarthy", "given" : "M", "non-dropping-particle" : "", "parse-names" : false, "suffix" : "" }, { "dropping-particle" : "", "family" : "Riboli", "given" : "Elio", "non-dropping-particle" : "", "parse-names" : false, "suffix" : "" }, { "dropping-particle" : "", "family" : "Wareham", "given" : "Nicholas J", "non-dropping-particle" : "", "parse-names" : false, "suffix" : "" } ], "container-title" : "Diabetologia", "id" : "ITEM-1", "issue" : "9", "issued" : { "date-parts" : [ [ "2011", "9" ] ] }, "page" : "2272-82", "title" : "Design and cohort description of the InterAct Project: an examination of the interaction of genetic and lifestyle factors on the incidence of type 2 diabetes in the EPIC Study.", "type" : "article-journal", "volume" : "54" }, "uris" : [ "http://www.mendeley.com/documents/?uuid=a2b6b5ed-e9bb-4ce0-9be1-a788171cf43f" ] } ], "mendeley" : { "formattedCitation" : "(15)", "plainTextFormattedCitation" : "(15)", "previouslyFormattedCitation" : "(15)" }, "properties" : { "noteIndex" : 0 }, "schema" : "https://github.com/citation-style-language/schema/raw/master/csl-citation.json" }</w:instrText>
      </w:r>
      <w:r w:rsidR="00CC5AD7" w:rsidRPr="0018334E">
        <w:rPr>
          <w:rFonts w:ascii="Arial" w:hAnsi="Arial" w:cs="Arial"/>
          <w:sz w:val="24"/>
          <w:szCs w:val="24"/>
          <w:lang w:val="en-US"/>
        </w:rPr>
        <w:fldChar w:fldCharType="separate"/>
      </w:r>
      <w:r w:rsidR="00891484" w:rsidRPr="00891484">
        <w:rPr>
          <w:rFonts w:ascii="Arial" w:hAnsi="Arial" w:cs="Arial"/>
          <w:noProof/>
          <w:sz w:val="24"/>
          <w:szCs w:val="24"/>
          <w:lang w:val="en-US"/>
        </w:rPr>
        <w:t>(15)</w:t>
      </w:r>
      <w:r w:rsidR="00CC5AD7" w:rsidRPr="0018334E">
        <w:rPr>
          <w:rFonts w:ascii="Arial" w:hAnsi="Arial" w:cs="Arial"/>
          <w:sz w:val="24"/>
          <w:szCs w:val="24"/>
          <w:lang w:val="en-US"/>
        </w:rPr>
        <w:fldChar w:fldCharType="end"/>
      </w:r>
      <w:r w:rsidR="005F2A83" w:rsidRPr="0018334E">
        <w:rPr>
          <w:rFonts w:ascii="Arial" w:hAnsi="Arial" w:cs="Arial"/>
          <w:sz w:val="24"/>
          <w:szCs w:val="24"/>
          <w:lang w:val="en-US"/>
        </w:rPr>
        <w:t>.</w:t>
      </w:r>
      <w:r w:rsidR="00D7290A" w:rsidRPr="0018334E">
        <w:rPr>
          <w:rFonts w:ascii="Arial" w:hAnsi="Arial" w:cs="Arial"/>
          <w:sz w:val="24"/>
          <w:szCs w:val="24"/>
          <w:lang w:val="en-US"/>
        </w:rPr>
        <w:t xml:space="preserve"> </w:t>
      </w:r>
      <w:r w:rsidR="00030A98" w:rsidRPr="0018334E">
        <w:rPr>
          <w:rFonts w:ascii="Arial" w:hAnsi="Arial" w:cs="Arial"/>
          <w:sz w:val="24"/>
          <w:szCs w:val="24"/>
          <w:lang w:val="en-US"/>
        </w:rPr>
        <w:t xml:space="preserve">A detailed breakdown of participants with </w:t>
      </w:r>
      <w:r w:rsidR="008A0D22" w:rsidRPr="0018334E">
        <w:rPr>
          <w:rFonts w:ascii="Arial" w:hAnsi="Arial" w:cs="Arial"/>
          <w:sz w:val="24"/>
          <w:szCs w:val="24"/>
          <w:lang w:val="en-US"/>
        </w:rPr>
        <w:t xml:space="preserve">data on </w:t>
      </w:r>
      <w:r w:rsidR="004F4600" w:rsidRPr="0018334E">
        <w:rPr>
          <w:rFonts w:ascii="Arial" w:hAnsi="Arial" w:cs="Arial"/>
          <w:sz w:val="24"/>
          <w:szCs w:val="24"/>
          <w:lang w:val="en-US"/>
        </w:rPr>
        <w:t xml:space="preserve">the iron </w:t>
      </w:r>
      <w:r w:rsidR="00030A98" w:rsidRPr="0018334E">
        <w:rPr>
          <w:rFonts w:ascii="Arial" w:hAnsi="Arial" w:cs="Arial"/>
          <w:sz w:val="24"/>
          <w:szCs w:val="24"/>
          <w:lang w:val="en-US"/>
        </w:rPr>
        <w:t xml:space="preserve">biomarkers </w:t>
      </w:r>
      <w:r w:rsidR="008A0D22" w:rsidRPr="0018334E">
        <w:rPr>
          <w:rFonts w:ascii="Arial" w:hAnsi="Arial" w:cs="Arial"/>
          <w:sz w:val="24"/>
          <w:szCs w:val="24"/>
          <w:lang w:val="en-US"/>
        </w:rPr>
        <w:t xml:space="preserve">and covariates </w:t>
      </w:r>
      <w:r w:rsidR="00030A98" w:rsidRPr="0018334E">
        <w:rPr>
          <w:rFonts w:ascii="Arial" w:hAnsi="Arial" w:cs="Arial"/>
          <w:sz w:val="24"/>
          <w:szCs w:val="24"/>
          <w:lang w:val="en-US"/>
        </w:rPr>
        <w:t xml:space="preserve">are detailed in the results. </w:t>
      </w:r>
      <w:r w:rsidR="00D7290A" w:rsidRPr="0018334E">
        <w:rPr>
          <w:rFonts w:ascii="Arial" w:hAnsi="Arial" w:cs="Arial"/>
          <w:sz w:val="24"/>
          <w:szCs w:val="24"/>
          <w:lang w:val="en-US"/>
        </w:rPr>
        <w:t>P</w:t>
      </w:r>
      <w:r w:rsidRPr="0018334E">
        <w:rPr>
          <w:rFonts w:ascii="Arial" w:hAnsi="Arial" w:cs="Arial"/>
          <w:sz w:val="24"/>
          <w:szCs w:val="24"/>
          <w:lang w:val="en-US"/>
        </w:rPr>
        <w:t>articipants</w:t>
      </w:r>
      <w:r w:rsidR="007D22F4" w:rsidRPr="0018334E">
        <w:rPr>
          <w:rFonts w:ascii="Arial" w:hAnsi="Arial" w:cs="Arial"/>
          <w:sz w:val="24"/>
          <w:szCs w:val="24"/>
          <w:lang w:val="en-US"/>
        </w:rPr>
        <w:t xml:space="preserve"> gave written informed consent </w:t>
      </w:r>
      <w:r w:rsidRPr="0018334E">
        <w:rPr>
          <w:rFonts w:ascii="Arial" w:hAnsi="Arial" w:cs="Arial"/>
          <w:sz w:val="24"/>
          <w:szCs w:val="24"/>
          <w:lang w:val="en-US"/>
        </w:rPr>
        <w:t>and the study was approved by the local ethics committee in the participating countries and the Internal Review Board of the International Agency for Research on Cancer.</w:t>
      </w:r>
    </w:p>
    <w:p w:rsidR="007656D2" w:rsidRDefault="007656D2" w:rsidP="00F328BE">
      <w:pPr>
        <w:autoSpaceDE w:val="0"/>
        <w:autoSpaceDN w:val="0"/>
        <w:adjustRightInd w:val="0"/>
        <w:spacing w:after="0" w:line="480" w:lineRule="auto"/>
        <w:jc w:val="both"/>
        <w:rPr>
          <w:rFonts w:ascii="Arial" w:hAnsi="Arial" w:cs="Arial"/>
          <w:sz w:val="24"/>
          <w:szCs w:val="24"/>
          <w:lang w:val="en-US"/>
        </w:rPr>
      </w:pPr>
    </w:p>
    <w:p w:rsidR="007656D2" w:rsidRPr="0018334E" w:rsidRDefault="007656D2" w:rsidP="00F328BE">
      <w:pPr>
        <w:autoSpaceDE w:val="0"/>
        <w:autoSpaceDN w:val="0"/>
        <w:adjustRightInd w:val="0"/>
        <w:spacing w:after="0" w:line="480" w:lineRule="auto"/>
        <w:jc w:val="both"/>
        <w:rPr>
          <w:rFonts w:ascii="Arial" w:hAnsi="Arial" w:cs="Arial"/>
          <w:sz w:val="24"/>
          <w:szCs w:val="24"/>
          <w:lang w:val="en-US"/>
        </w:rPr>
      </w:pPr>
    </w:p>
    <w:p w:rsidR="00B74949" w:rsidRPr="0018334E" w:rsidRDefault="00B74949" w:rsidP="00F328BE">
      <w:pPr>
        <w:autoSpaceDE w:val="0"/>
        <w:autoSpaceDN w:val="0"/>
        <w:adjustRightInd w:val="0"/>
        <w:spacing w:after="0" w:line="480" w:lineRule="auto"/>
        <w:jc w:val="both"/>
        <w:rPr>
          <w:rFonts w:ascii="Arial" w:hAnsi="Arial" w:cs="Arial"/>
          <w:sz w:val="24"/>
          <w:szCs w:val="24"/>
          <w:lang w:val="en-US"/>
        </w:rPr>
      </w:pPr>
    </w:p>
    <w:p w:rsidR="00605766" w:rsidRPr="007632BD" w:rsidRDefault="00605766" w:rsidP="00F328BE">
      <w:pPr>
        <w:autoSpaceDE w:val="0"/>
        <w:autoSpaceDN w:val="0"/>
        <w:adjustRightInd w:val="0"/>
        <w:spacing w:after="0" w:line="480" w:lineRule="auto"/>
        <w:ind w:firstLine="720"/>
        <w:jc w:val="both"/>
        <w:rPr>
          <w:rFonts w:ascii="Arial" w:hAnsi="Arial" w:cs="Arial"/>
          <w:i/>
          <w:sz w:val="24"/>
          <w:szCs w:val="24"/>
          <w:lang w:val="en-US"/>
        </w:rPr>
      </w:pPr>
      <w:r w:rsidRPr="007632BD">
        <w:rPr>
          <w:rFonts w:ascii="Arial" w:hAnsi="Arial" w:cs="Arial"/>
          <w:i/>
          <w:sz w:val="24"/>
          <w:szCs w:val="24"/>
          <w:lang w:val="en-US"/>
        </w:rPr>
        <w:t>Measurements</w:t>
      </w:r>
    </w:p>
    <w:p w:rsidR="00D7290A" w:rsidRDefault="004E5595" w:rsidP="00F328BE">
      <w:pPr>
        <w:spacing w:after="0" w:line="480" w:lineRule="auto"/>
        <w:jc w:val="both"/>
        <w:rPr>
          <w:rFonts w:ascii="Arial" w:hAnsi="Arial" w:cs="Arial"/>
          <w:sz w:val="24"/>
          <w:szCs w:val="24"/>
          <w:lang w:val="en-US"/>
        </w:rPr>
      </w:pPr>
      <w:r w:rsidRPr="0018334E">
        <w:rPr>
          <w:rFonts w:ascii="Arial" w:hAnsi="Arial" w:cs="Arial"/>
          <w:sz w:val="24"/>
          <w:szCs w:val="24"/>
          <w:lang w:val="en-US"/>
        </w:rPr>
        <w:lastRenderedPageBreak/>
        <w:t>Standardized</w:t>
      </w:r>
      <w:r w:rsidR="00605766" w:rsidRPr="0018334E">
        <w:rPr>
          <w:rFonts w:ascii="Arial" w:hAnsi="Arial" w:cs="Arial"/>
          <w:sz w:val="24"/>
          <w:szCs w:val="24"/>
          <w:lang w:val="en-US"/>
        </w:rPr>
        <w:t xml:space="preserve"> information was collected </w:t>
      </w:r>
      <w:r w:rsidR="009F45F7" w:rsidRPr="0018334E">
        <w:rPr>
          <w:rFonts w:ascii="Arial" w:hAnsi="Arial" w:cs="Arial"/>
          <w:sz w:val="24"/>
          <w:szCs w:val="24"/>
          <w:lang w:val="en-US"/>
        </w:rPr>
        <w:t>by questionnaire</w:t>
      </w:r>
      <w:r w:rsidR="00B233C0" w:rsidRPr="0018334E">
        <w:rPr>
          <w:rFonts w:ascii="Arial" w:hAnsi="Arial" w:cs="Arial"/>
          <w:sz w:val="24"/>
          <w:szCs w:val="24"/>
          <w:lang w:val="en-US"/>
        </w:rPr>
        <w:t xml:space="preserve"> and physical examination </w:t>
      </w:r>
      <w:r w:rsidR="00605766" w:rsidRPr="0018334E">
        <w:rPr>
          <w:rFonts w:ascii="Arial" w:hAnsi="Arial" w:cs="Arial"/>
          <w:sz w:val="24"/>
          <w:szCs w:val="24"/>
          <w:lang w:val="en-US"/>
        </w:rPr>
        <w:t xml:space="preserve">at </w:t>
      </w:r>
      <w:r w:rsidR="00B233C0" w:rsidRPr="0018334E">
        <w:rPr>
          <w:rFonts w:ascii="Arial" w:hAnsi="Arial" w:cs="Arial"/>
          <w:sz w:val="24"/>
          <w:szCs w:val="24"/>
          <w:lang w:val="en-US"/>
        </w:rPr>
        <w:t>recruitment</w:t>
      </w:r>
      <w:r w:rsidR="007C067A" w:rsidRPr="0018334E">
        <w:rPr>
          <w:rFonts w:ascii="Arial" w:hAnsi="Arial" w:cs="Arial"/>
          <w:sz w:val="24"/>
          <w:szCs w:val="24"/>
          <w:lang w:val="en-US"/>
        </w:rPr>
        <w:t xml:space="preserve"> as part of EPIC</w:t>
      </w:r>
      <w:r w:rsidR="00B233C0" w:rsidRPr="0018334E">
        <w:rPr>
          <w:rFonts w:ascii="Arial" w:hAnsi="Arial" w:cs="Arial"/>
          <w:sz w:val="24"/>
          <w:szCs w:val="24"/>
          <w:lang w:val="en-US"/>
        </w:rPr>
        <w:t xml:space="preserve">. </w:t>
      </w:r>
      <w:r w:rsidR="00D7290A" w:rsidRPr="0018334E">
        <w:rPr>
          <w:rFonts w:ascii="Arial" w:hAnsi="Arial" w:cs="Arial"/>
          <w:sz w:val="24"/>
          <w:szCs w:val="24"/>
          <w:lang w:val="en-US"/>
        </w:rPr>
        <w:t>P</w:t>
      </w:r>
      <w:r w:rsidR="00B233C0" w:rsidRPr="0018334E">
        <w:rPr>
          <w:rFonts w:ascii="Arial" w:hAnsi="Arial" w:cs="Arial"/>
          <w:sz w:val="24"/>
          <w:szCs w:val="24"/>
          <w:lang w:val="en-US"/>
        </w:rPr>
        <w:t xml:space="preserve">articipants were asked about </w:t>
      </w:r>
      <w:r w:rsidR="00072460" w:rsidRPr="0018334E">
        <w:rPr>
          <w:rFonts w:ascii="Arial" w:hAnsi="Arial" w:cs="Arial"/>
          <w:sz w:val="24"/>
          <w:szCs w:val="24"/>
          <w:lang w:val="en-US"/>
        </w:rPr>
        <w:t xml:space="preserve">their </w:t>
      </w:r>
      <w:r w:rsidR="006432CF" w:rsidRPr="0018334E">
        <w:rPr>
          <w:rFonts w:ascii="Arial" w:hAnsi="Arial" w:cs="Arial"/>
          <w:sz w:val="24"/>
          <w:szCs w:val="24"/>
          <w:lang w:val="en-US"/>
        </w:rPr>
        <w:t>level of education</w:t>
      </w:r>
      <w:r w:rsidR="009F45F7" w:rsidRPr="0018334E">
        <w:rPr>
          <w:rFonts w:ascii="Arial" w:hAnsi="Arial" w:cs="Arial"/>
          <w:sz w:val="24"/>
          <w:szCs w:val="24"/>
          <w:lang w:val="en-US"/>
        </w:rPr>
        <w:t xml:space="preserve">, smoking status and </w:t>
      </w:r>
      <w:r w:rsidR="00052CAB">
        <w:rPr>
          <w:rFonts w:ascii="Arial" w:hAnsi="Arial" w:cs="Arial"/>
          <w:sz w:val="24"/>
          <w:szCs w:val="24"/>
          <w:lang w:val="en-US"/>
        </w:rPr>
        <w:t>alcohol consumption</w:t>
      </w:r>
      <w:r w:rsidR="00985174" w:rsidRPr="0018334E">
        <w:rPr>
          <w:rFonts w:ascii="Arial" w:hAnsi="Arial" w:cs="Arial"/>
          <w:sz w:val="24"/>
          <w:szCs w:val="24"/>
          <w:lang w:val="en-US"/>
        </w:rPr>
        <w:t xml:space="preserve"> </w:t>
      </w:r>
      <w:r w:rsidR="003628D1" w:rsidRPr="0018334E">
        <w:rPr>
          <w:rFonts w:ascii="Arial" w:hAnsi="Arial" w:cs="Arial"/>
          <w:sz w:val="24"/>
          <w:szCs w:val="24"/>
          <w:lang w:val="en-US"/>
        </w:rPr>
        <w:t>(which was subsequently</w:t>
      </w:r>
      <w:r w:rsidR="00B233C0" w:rsidRPr="0018334E">
        <w:rPr>
          <w:rFonts w:ascii="Arial" w:hAnsi="Arial" w:cs="Arial"/>
          <w:sz w:val="24"/>
          <w:szCs w:val="24"/>
          <w:lang w:val="en-US"/>
        </w:rPr>
        <w:t xml:space="preserve"> converted into </w:t>
      </w:r>
      <w:r w:rsidR="00B82044" w:rsidRPr="0018334E">
        <w:rPr>
          <w:rFonts w:ascii="Arial" w:hAnsi="Arial" w:cs="Arial"/>
          <w:sz w:val="24"/>
          <w:szCs w:val="24"/>
          <w:lang w:val="en-US"/>
        </w:rPr>
        <w:t xml:space="preserve">mean </w:t>
      </w:r>
      <w:r w:rsidR="007D22F4" w:rsidRPr="0018334E">
        <w:rPr>
          <w:rFonts w:ascii="Arial" w:hAnsi="Arial" w:cs="Arial"/>
          <w:sz w:val="24"/>
          <w:szCs w:val="24"/>
          <w:lang w:val="en-US"/>
        </w:rPr>
        <w:t>g</w:t>
      </w:r>
      <w:r w:rsidR="00B233C0" w:rsidRPr="0018334E">
        <w:rPr>
          <w:rFonts w:ascii="Arial" w:hAnsi="Arial" w:cs="Arial"/>
          <w:sz w:val="24"/>
          <w:szCs w:val="24"/>
          <w:lang w:val="en-US"/>
        </w:rPr>
        <w:t xml:space="preserve">/day). </w:t>
      </w:r>
      <w:r w:rsidR="009F45F7" w:rsidRPr="0018334E">
        <w:rPr>
          <w:rFonts w:ascii="Arial" w:hAnsi="Arial" w:cs="Arial"/>
          <w:sz w:val="24"/>
          <w:szCs w:val="24"/>
          <w:lang w:val="en-US"/>
        </w:rPr>
        <w:t xml:space="preserve">Diet </w:t>
      </w:r>
      <w:r w:rsidR="00522D64" w:rsidRPr="0018334E">
        <w:rPr>
          <w:rFonts w:ascii="Arial" w:hAnsi="Arial" w:cs="Arial"/>
          <w:sz w:val="24"/>
          <w:szCs w:val="24"/>
          <w:lang w:val="en-US"/>
        </w:rPr>
        <w:t xml:space="preserve">and physical activity were </w:t>
      </w:r>
      <w:r w:rsidR="009F45F7" w:rsidRPr="0018334E">
        <w:rPr>
          <w:rFonts w:ascii="Arial" w:hAnsi="Arial" w:cs="Arial"/>
          <w:sz w:val="24"/>
          <w:szCs w:val="24"/>
          <w:lang w:val="en-US"/>
        </w:rPr>
        <w:t>assessed</w:t>
      </w:r>
      <w:r w:rsidR="00605766" w:rsidRPr="0018334E">
        <w:rPr>
          <w:rFonts w:ascii="Arial" w:hAnsi="Arial" w:cs="Arial"/>
          <w:sz w:val="24"/>
          <w:szCs w:val="24"/>
          <w:lang w:val="en-US"/>
        </w:rPr>
        <w:t xml:space="preserve"> using </w:t>
      </w:r>
      <w:r w:rsidR="00522D64" w:rsidRPr="0018334E">
        <w:rPr>
          <w:rFonts w:ascii="Arial" w:hAnsi="Arial" w:cs="Arial"/>
          <w:sz w:val="24"/>
          <w:szCs w:val="24"/>
          <w:lang w:val="en-US"/>
        </w:rPr>
        <w:t xml:space="preserve">questionnaires </w:t>
      </w:r>
      <w:r w:rsidR="00522D64" w:rsidRPr="0018334E">
        <w:rPr>
          <w:rFonts w:ascii="Arial" w:hAnsi="Arial" w:cs="Arial"/>
          <w:sz w:val="24"/>
          <w:szCs w:val="24"/>
          <w:lang w:val="en-US"/>
        </w:rPr>
        <w:fldChar w:fldCharType="begin" w:fldLock="1"/>
      </w:r>
      <w:r w:rsidR="00891484">
        <w:rPr>
          <w:rFonts w:ascii="Arial" w:hAnsi="Arial" w:cs="Arial"/>
          <w:sz w:val="24"/>
          <w:szCs w:val="24"/>
          <w:lang w:val="en-US"/>
        </w:rPr>
        <w:instrText>ADDIN CSL_CITATION { "citationItems" : [ { "id" : "ITEM-1", "itemData" : { "DOI" : "10.1007/s00125-011-2182-9", "ISSN" : "1432-0428", "PMID" : "21717116", "abstract" : "AIMS/HYPOTHESIS: Studying gene-lifestyle interaction may help to identify lifestyle factors that modify genetic susceptibility and uncover genetic loci exerting important subgroup effects. Adequately powered studies with prospective, unbiased, standardised assessment of key behavioural factors for gene-lifestyle studies are lacking. This case-cohort study aims to investigate how genetic and potentially modifiable lifestyle and behavioural factors, particularly diet and physical activity, interact in their influence on the risk of developing type 2 diabetes. METHODS: Incident cases of type 2 diabetes occurring in European Prospective Investigation into Cancer and Nutrition (EPIC) cohorts between 1991 and 2007 from eight of the ten EPIC countries were ascertained and verified. Prentice-weighted Cox regression and random-effects meta-analyses were used to investigate differences in diabetes incidence by age and sex. RESULTS: A total of 12,403 verified incident cases of type 2 diabetes occurred during 3.99 million person-years of follow-up of 340,234 EPIC participants eligible for InterAct. We defined a centre-stratified subcohort of 16,154 individuals for comparative analyses. Individuals with incident diabetes who were randomly selected into the subcohort (n = 778) were included as cases in the analyses. All prevalent diabetes cases were excluded from the study. InterAct cases were followed-up for an average of 6.9 years; 49.7% were men. Mean baseline age and age at diagnosis were 55.6 and 62.5 years, mean BMI and waist circumference values were 29.4 kg/m(2) and 102.7 cm in men, and 30.1 kg/m(2) and 92.8 cm in women, respectively. Risk of type 2 diabetes increased linearly with age, with an overall HR of 1.56 (95% CI 1.48-1.64) for a 10 year age difference, adjusted for sex. A male excess in the risk of incident diabetes was consistently observed across all countries, with a pooled HR of 1.51 (95% CI 1.39-1.64), adjusted for age. CONCLUSIONS/INTERPRETATION: InterAct is a large, well-powered, prospective study that will inform our understanding of the interplay between genes and lifestyle factors on the risk of type 2 diabetes development.", "author" : [ { "dropping-particle" : "", "family" : "Langenberg", "given" : "Claudia", "non-dropping-particle" : "", "parse-names" : false, "suffix" : "" }, { "dropping-particle" : "", "family" : "Sharp", "given" : "S", "non-dropping-particle" : "", "parse-names" : false, "suffix" : "" }, { "dropping-particle" : "", "family" : "Forouhi", "given" : "Nita G", "non-dropping-particle" : "", "parse-names" : false, "suffix" : "" }, { "dropping-particle" : "", "family" : "Franks", "given" : "P W", "non-dropping-particle" : "", "parse-names" : false, "suffix" : "" }, { "dropping-particle" : "", "family" : "Schulze", "given" : "M B", "non-dropping-particle" : "", "parse-names" : false, "suffix" : "" }, { "dropping-particle" : "", "family" : "Kerrison", "given" : "N", "non-dropping-particle" : "", "parse-names" : false, "suffix" : "" }, { "dropping-particle" : "", "family" : "Ekelund", "given" : "U", "non-dropping-particle" : "", "parse-names" : false, "suffix" : "" }, { "dropping-particle" : "", "family" : "Barroso", "given" : "In\u00eas", "non-dropping-particle" : "", "parse-names" : false, "suffix" : "" }, { "dropping-particle" : "", "family" : "Panico", "given" : "S", "non-dropping-particle" : "", "parse-names" : false, "suffix" : "" }, { "dropping-particle" : "", "family" : "Tormo", "given" : "M J", "non-dropping-particle" : "", "parse-names" : false, "suffix" : "" }, { "dropping-particle" : "", "family" : "Spranger", "given" : "J", "non-dropping-particle" : "", "parse-names" : false, "suffix" : "" }, { "dropping-particle" : "", "family" : "Griffin", "given" : "S", "non-dropping-particle" : "", "parse-names" : false, "suffix" : "" }, { "dropping-particle" : "", "family" : "Schouw", "given" : "Yvonne T", "non-dropping-particle" : "van der", "parse-names" : false, "suffix" : "" }, { "dropping-particle" : "", "family" : "Amiano", "given" : "Pilar", "non-dropping-particle" : "", "parse-names" : false, "suffix" : "" }, { "dropping-particle" : "", "family" : "Ardanaz", "given" : "E", "non-dropping-particle" : "", "parse-names" : false, "suffix" : "" }, { "dropping-particle" : "", "family" : "Arriola", "given" : "Larraitz", "non-dropping-particle" : "", "parse-names" : false, "suffix" : "" }, { "dropping-particle" : "", "family" : "Balkau", "given" : "Beverley", "non-dropping-particle" : "", "parse-names" : false, "suffix" : "" }, { "dropping-particle" : "", "family" : "Barricarte", "given" : "A", "non-dropping-particle" : "", "parse-names" : false, "suffix" : "" }, { "dropping-particle" : "", "family" : "Beulens", "given" : "Joline W J", "non-dropping-particle" : "", "parse-names" : false, "suffix" : "" }, { "dropping-particle" : "", "family" : "Boeing", "given" : "H", "non-dropping-particle" : "", "parse-names" : false, "suffix" : "" }, { "dropping-particle" : "", "family" : "Bueno-de-Mesquita", "given" : "H B", "non-dropping-particle" : "", "parse-names" : false, "suffix" : "" }, { "dropping-particle" : "", "family" : "Buijsse", "given" : "B", "non-dropping-particle" : "", "parse-names" : false, "suffix" : "" }, { "dropping-particle" : "", "family" : "Chirlaque Lopez", "given" : "M D", "non-dropping-particle" : "", "parse-names" : false, "suffix" : "" }, { "dropping-particle" : "", "family" : "Clavel-Chapelon", "given" : "F", "non-dropping-particle" : "", "parse-names" : false, "suffix" : "" }, { "dropping-particle" : "", "family" : "Crowe", "given" : "F L", "non-dropping-particle" : "", "parse-names" : false, "suffix" : "" }, { "dropping-particle" : "", "family" : "Lauzon-Guillan", "given" : "B", "non-dropping-particle" : "de", "parse-names" : false, "suffix" : "" }, { "dropping-particle" : "", "family" : "Deloukas", "given" : "P", "non-dropping-particle" : "", "parse-names" : false, "suffix" : "" }, { "dropping-particle" : "", "family" : "Dorronsoro", "given" : "M", "non-dropping-particle" : "", "parse-names" : false, "suffix" : "" }, { "dropping-particle" : "", "family" : "Drogan", "given" : "D", "non-dropping-particle" : "", "parse-names" : false, "suffix" : "" }, { "dropping-particle" : "", "family" : "Froguel", "given" : "P", "non-dropping-particle" : "", "parse-names" : false, "suffix" : "" }, { "dropping-particle" : "", "family" : "Gonzalez", "given" : "C", "non-dropping-particle" : "", "parse-names" : false, "suffix" : "" }, { "dropping-particle" : "", "family" : "Grioni", "given" : "S", "non-dropping-particle" : "", "parse-names" : false, "suffix" : "" }, { "dropping-particle" : "", "family" : "Groop", "given" : "L", "non-dropping-particle" : "", "parse-names" : false, "suffix" : "" }, { "dropping-particle" : "", "family" : "Groves", "given" : "C", "non-dropping-particle" : "", "parse-names" : false, "suffix" : "" }, { "dropping-particle" : "", "family" : "Hainaut", "given" : "P", "non-dropping-particle" : "", "parse-names" : false, "suffix" : "" }, { "dropping-particle" : "", "family" : "Halkjaer", "given" : "J", "non-dropping-particle" : "", "parse-names" : false, "suffix" : "" }, { "dropping-particle" : "", "family" : "Hallmans", "given" : "G", "non-dropping-particle" : "", "parse-names" : false, "suffix" : "" }, { "dropping-particle" : "", "family" : "Hansen", "given" : "T", "non-dropping-particle" : "", "parse-names" : false, "suffix" : "" }, { "dropping-particle" : "", "family" : "Huerta Casta\u00f1o", "given" : "J M", "non-dropping-particle" : "", "parse-names" : false, "suffix" : "" }, { "dropping-particle" : "", "family" : "Kaaks", "given" : "R", "non-dropping-particle" : "", "parse-names" : false, "suffix" : "" }, { "dropping-particle" : "", "family" : "Key", "given" : "T J", "non-dropping-particle" : "", "parse-names" : false, "suffix" : "" }, { "dropping-particle" : "", "family" : "Khaw", "given" : "K T", "non-dropping-particle" : "", "parse-names" : false, "suffix" : "" }, { "dropping-particle" : "", "family" : "Koulman", "given" : "A", "non-dropping-particle" : "", "parse-names" : false, "suffix" : "" }, { "dropping-particle" : "", "family" : "Mattiello", "given" : "Amalia", "non-dropping-particle" : "", "parse-names" : false, "suffix" : "" }, { "dropping-particle" : "", "family" : "Navarro", "given" : "C", "non-dropping-particle" : "", "parse-names" : false, "suffix" : "" }, { "dropping-particle" : "", "family" : "Nilsson", "given" : "P", "non-dropping-particle" : "", "parse-names" : false, "suffix" : "" }, { "dropping-particle" : "", "family" : "Norat", "given" : "T", "non-dropping-particle" : "", "parse-names" : false, "suffix" : "" }, { "dropping-particle" : "", "family" : "Overvad", "given" : "K", "non-dropping-particle" : "", "parse-names" : false, "suffix" : "" }, { "dropping-particle" : "", "family" : "Palla", "given" : "L", "non-dropping-particle" : "", "parse-names" : false, "suffix" : "" }, { "dropping-particle" : "", "family" : "Palli", "given" : "D", "non-dropping-particle" : "", "parse-names" : false, "suffix" : "" }, { "dropping-particle" : "", "family" : "Pedersen", "given" : "O", "non-dropping-particle" : "", "parse-names" : false, "suffix" : "" }, { "dropping-particle" : "", "family" : "Peeters", "given" : "P H", "non-dropping-particle" : "", "parse-names" : false, "suffix" : "" }, { "dropping-particle" : "", "family" : "Quir\u00f3s", "given" : "J R", "non-dropping-particle" : "", "parse-names" : false, "suffix" : "" }, { "dropping-particle" : "", "family" : "Ramachandran", "given" : "A", "non-dropping-particle" : "", "parse-names" : false, "suffix" : "" }, { "dropping-particle" : "", "family" : "Rodriguez-Suarez", "given" : "L", "non-dropping-particle" : "", "parse-names" : false, "suffix" : "" }, { "dropping-particle" : "", "family" : "Rolandsson", "given" : "O", "non-dropping-particle" : "", "parse-names" : false, "suffix" : "" }, { "dropping-particle" : "", "family" : "Romaguera", "given" : "D", "non-dropping-particle" : "", "parse-names" : false, "suffix" : "" }, { "dropping-particle" : "", "family" : "Romieu", "given" : "I", "non-dropping-particle" : "", "parse-names" : false, "suffix" : "" }, { "dropping-particle" : "", "family" : "Sacerdote", "given" : "C", "non-dropping-particle" : "", "parse-names" : false, "suffix" : "" }, { "dropping-particle" : "", "family" : "S\u00e1nchez", "given" : "M J", "non-dropping-particle" : "", "parse-names" : false, "suffix" : "" }, { "dropping-particle" : "", "family" : "Sandbaek", "given" : "A", "non-dropping-particle" : "", "parse-names" : false, "suffix" : "" }, { "dropping-particle" : "", "family" : "Slimani", "given" : "N", "non-dropping-particle" : "", "parse-names" : false, "suffix" : "" }, { "dropping-particle" : "", "family" : "Sluijs", "given" : "I", "non-dropping-particle" : "", "parse-names" : false, "suffix" : "" }, { "dropping-particle" : "", "family" : "Spijkerman", "given" : "a M W", "non-dropping-particle" : "", "parse-names" : false, "suffix" : "" }, { "dropping-particle" : "", "family" : "Teucher", "given" : "B", "non-dropping-particle" : "", "parse-names" : false, "suffix" : "" }, { "dropping-particle" : "", "family" : "Tjonneland", "given" : "A", "non-dropping-particle" : "", "parse-names" : false, "suffix" : "" }, { "dropping-particle" : "", "family" : "Tumino", "given" : "R", "non-dropping-particle" : "", "parse-names" : false, "suffix" : "" }, { "dropping-particle" : "", "family" : "A", "given" : "Daphne L", "non-dropping-particle" : "van der", "parse-names" : false, "suffix" : "" }, { "dropping-particle" : "", "family" : "Verschuren", "given" : "W M M", "non-dropping-particle" : "", "parse-names" : false, "suffix" : "" }, { "dropping-particle" : "", "family" : "Tuomilehto", "given" : "J", "non-dropping-particle" : "", "parse-names" : false, "suffix" : "" }, { "dropping-particle" : "", "family" : "Feskens", "given" : "E", "non-dropping-particle" : "", "parse-names" : false, "suffix" : "" }, { "dropping-particle" : "", "family" : "McCarthy", "given" : "M", "non-dropping-particle" : "", "parse-names" : false, "suffix" : "" }, { "dropping-particle" : "", "family" : "Riboli", "given" : "Elio", "non-dropping-particle" : "", "parse-names" : false, "suffix" : "" }, { "dropping-particle" : "", "family" : "Wareham", "given" : "Nicholas J", "non-dropping-particle" : "", "parse-names" : false, "suffix" : "" } ], "container-title" : "Diabetologia", "id" : "ITEM-1", "issue" : "9", "issued" : { "date-parts" : [ [ "2011", "9" ] ] }, "page" : "2272-82", "title" : "Design and cohort description of the InterAct Project: an examination of the interaction of genetic and lifestyle factors on the incidence of type 2 diabetes in the EPIC Study.", "type" : "article-journal", "volume" : "54" }, "uris" : [ "http://www.mendeley.com/documents/?uuid=a2b6b5ed-e9bb-4ce0-9be1-a788171cf43f" ] }, { "id" : "ITEM-2", "itemData" : { "DOI" : "10.1007/s10654-011-9625-y", "ISSN" : "1573-7284", "PMID" : "22089423", "abstract" : "To accurately examine associations of physical activity (PA) with disease outcomes, a valid method of assessing free-living activity is required. We examined the validity of a brief PA questionnaire (PAQ) used in the European Prospective Investigation into Cancer and Nutrition (EPIC). PA energy expenditure (PAEE) and time spent in moderate and vigorous physical activity (MVPA) was measured in 1,941 healthy individuals from 10 European countries using individually-calibrated combined heart-rate and movement sensing. Participants also completed the short EPIC-PAQ, which refers to past year's activity. Pearson (r) and Spearman (\u03c3) correlation coefficients were calculated for each country, and random effects meta-analysis was used to calculate the combined correlation across countries to estimate the validity of two previously- and one newly-derived ordered, categorical PA indices (\"Cambridge index\", \"total PA index\", and \"recreational index\") that categorized individuals as inactive, moderately inactive, moderately active, or active. The strongest associations with PAEE and MVPA were observed for the Cambridge index (r = 0.33 and r = 0.25, respectively). No significant heterogeneity by country was observed for this index (I(2) = 36.3%, P = 0.12; I(2) = 0.0%, P = 0.85), whereas heterogeneity was suggested for other indices (I(2) &gt; 48%, P &lt; 0.05, I(2) &gt; 47%, P &lt; 0.05). PAEE increased linearly across self-reported PA categories (P for trend &lt;0.001), with an average difference of approximately 460 kJ/d for men and 365 kJ/d for women, between categories of the Cambridge index. The EPIC-PAQ is suitable for categorizing European men and women into four distinct categories of overall physical activity. The difference in PAEE between categories may be useful when estimating effect sizes from observational research.", "author" : [ { "dropping-particle" : "", "family" : "Peters", "given" : "Tricia", "non-dropping-particle" : "", "parse-names" : false, "suffix" : "" }, { "dropping-particle" : "", "family" : "Brage", "given" : "Soren", "non-dropping-particle" : "", "parse-names" : false, "suffix" : "" }, { "dropping-particle" : "", "family" : "Westgate", "given" : "Kate", "non-dropping-particle" : "", "parse-names" : false, "suffix" : "" }, { "dropping-particle" : "", "family" : "Franks", "given" : "Paul W", "non-dropping-particle" : "", "parse-names" : false, "suffix" : "" }, { "dropping-particle" : "", "family" : "Gradmark", "given" : "Anna", "non-dropping-particle" : "", "parse-names" : false, "suffix" : "" }, { "dropping-particle" : "", "family" : "Tormo Diaz", "given" : "Maria Jose", "non-dropping-particle" : "", "parse-names" : false, "suffix" : "" }, { "dropping-particle" : "", "family" : "Huerta", "given" : "Jose Maria", "non-dropping-particle" : "", "parse-names" : false, "suffix" : "" }, { "dropping-particle" : "", "family" : "Bendinelli", "given" : "Benedetta", "non-dropping-particle" : "", "parse-names" : false, "suffix" : "" }, { "dropping-particle" : "", "family" : "Vigl", "given" : "Mattheaus", "non-dropping-particle" : "", "parse-names" : false, "suffix" : "" }, { "dropping-particle" : "", "family" : "Boeing", "given" : "Heiner", "non-dropping-particle" : "", "parse-names" : false, "suffix" : "" }, { "dropping-particle" : "", "family" : "Wendel-Vos", "given" : "Wanda", "non-dropping-particle" : "", "parse-names" : false, "suffix" : "" }, { "dropping-particle" : "", "family" : "Spijkerman", "given" : "Annemieke", "non-dropping-particle" : "", "parse-names" : false, "suffix" : "" }, { "dropping-particle" : "", "family" : "Benjaminsen-Borch", "given" : "Kristin", "non-dropping-particle" : "", "parse-names" : false, "suffix" : "" }, { "dropping-particle" : "", "family" : "Valanou", "given" : "Elisavet", "non-dropping-particle" : "", "parse-names" : false, "suffix" : "" }, { "dropping-particle" : "", "family" : "Lauzon Guillain", "given" : "Blandine", "non-dropping-particle" : "de", "parse-names" : false, "suffix" : "" }, { "dropping-particle" : "", "family" : "Clavel-Chapelon", "given" : "Fran\u00e7oise", "non-dropping-particle" : "", "parse-names" : false, "suffix" : "" }, { "dropping-particle" : "", "family" : "Sharp", "given" : "Stephen", "non-dropping-particle" : "", "parse-names" : false, "suffix" : "" }, { "dropping-particle" : "", "family" : "Kerrison", "given" : "Nicola", "non-dropping-particle" : "", "parse-names" : false, "suffix" : "" }, { "dropping-particle" : "", "family" : "Langenberg", "given" : "Claudia", "non-dropping-particle" : "", "parse-names" : false, "suffix" : "" }, { "dropping-particle" : "", "family" : "Arriola", "given" : "Larraitz", "non-dropping-particle" : "", "parse-names" : false, "suffix" : "" }, { "dropping-particle" : "", "family" : "Barricarte", "given" : "Aurelio", "non-dropping-particle" : "", "parse-names" : false, "suffix" : "" }, { "dropping-particle" : "", "family" : "Gonzales", "given" : "Carlos", "non-dropping-particle" : "", "parse-names" : false, "suffix" : "" }, { "dropping-particle" : "", "family" : "Grioni", "given" : "Sara", "non-dropping-particle" : "", "parse-names" : false, "suffix" : "" }, { "dropping-particle" : "", "family" : "Kaaks", "given" : "Rudolf", "non-dropping-particle" : "", "parse-names" : false, "suffix" : "" }, { "dropping-particle" : "", "family" : "Key", "given" : "Timothy", "non-dropping-particle" : "", "parse-names" : false, "suffix" : "" }, { "dropping-particle" : "", "family" : "Khaw", "given" : "Kay Tee", "non-dropping-particle" : "", "parse-names" : false, "suffix" : "" }, { "dropping-particle" : "", "family" : "May", "given" : "Anne", "non-dropping-particle" : "", "parse-names" : false, "suffix" : "" }, { "dropping-particle" : "", "family" : "Nilsson", "given" : "Peter", "non-dropping-particle" : "", "parse-names" : false, "suffix" : "" }, { "dropping-particle" : "", "family" : "Norat", "given" : "Teresa", "non-dropping-particle" : "", "parse-names" : false, "suffix" : "" }, { "dropping-particle" : "", "family" : "Overvad", "given" : "Kim", "non-dropping-particle" : "", "parse-names" : false, "suffix" : "" }, { "dropping-particle" : "", "family" : "Palli", "given" : "Domenico", "non-dropping-particle" : "", "parse-names" : false, "suffix" : "" }, { "dropping-particle" : "", "family" : "Panico", "given" : "Salvatore", "non-dropping-particle" : "", "parse-names" : false, "suffix" : "" }, { "dropping-particle" : "", "family" : "Ram\u00f3n Quir\u00f3s", "given" : "Jose", "non-dropping-particle" : "", "parse-names" : false, "suffix" : "" }, { "dropping-particle" : "", "family" : "Ricceri", "given" : "Fulvio", "non-dropping-particle" : "", "parse-names" : false, "suffix" : "" }, { "dropping-particle" : "", "family" : "Sanchez", "given" : "Maria-Jose", "non-dropping-particle" : "", "parse-names" : false, "suffix" : "" }, { "dropping-particle" : "", "family" : "Slimani", "given" : "Nadia", "non-dropping-particle" : "", "parse-names" : false, "suffix" : "" }, { "dropping-particle" : "", "family" : "Tjonneland", "given" : "Anne", "non-dropping-particle" : "", "parse-names" : false, "suffix" : "" }, { "dropping-particle" : "", "family" : "Tumino", "given" : "Rosario", "non-dropping-particle" : "", "parse-names" : false, "suffix" : "" }, { "dropping-particle" : "", "family" : "Feskins", "given" : "Edith", "non-dropping-particle" : "", "parse-names" : false, "suffix" : "" }, { "dropping-particle" : "", "family" : "Riboli", "given" : "Elio", "non-dropping-particle" : "", "parse-names" : false, "suffix" : "" }, { "dropping-particle" : "", "family" : "Ekelund", "given" : "Ulf", "non-dropping-particle" : "", "parse-names" : false, "suffix" : "" }, { "dropping-particle" : "", "family" : "Wareham", "given" : "Nick", "non-dropping-particle" : "", "parse-names" : false, "suffix" : "" } ], "container-title" : "European Journal of Epidemiology", "id" : "ITEM-2", "issue" : "1", "issued" : { "date-parts" : [ [ "2012", "1" ] ] }, "page" : "15-25", "title" : "Validity of a short questionnaire to assess physical activity in 10 European countries.", "type" : "article-journal", "volume" : "27" }, "uris" : [ "http://www.mendeley.com/documents/?uuid=06560fc3-1ea4-4879-b68a-b7e843b69f31" ] } ], "mendeley" : { "formattedCitation" : "(15,16)", "plainTextFormattedCitation" : "(15,16)", "previouslyFormattedCitation" : "(15,16)" }, "properties" : { "noteIndex" : 0 }, "schema" : "https://github.com/citation-style-language/schema/raw/master/csl-citation.json" }</w:instrText>
      </w:r>
      <w:r w:rsidR="00522D64" w:rsidRPr="0018334E">
        <w:rPr>
          <w:rFonts w:ascii="Arial" w:hAnsi="Arial" w:cs="Arial"/>
          <w:sz w:val="24"/>
          <w:szCs w:val="24"/>
          <w:lang w:val="en-US"/>
        </w:rPr>
        <w:fldChar w:fldCharType="separate"/>
      </w:r>
      <w:r w:rsidR="00891484" w:rsidRPr="00891484">
        <w:rPr>
          <w:rFonts w:ascii="Arial" w:hAnsi="Arial" w:cs="Arial"/>
          <w:noProof/>
          <w:sz w:val="24"/>
          <w:szCs w:val="24"/>
          <w:lang w:val="en-US"/>
        </w:rPr>
        <w:t>(15,16)</w:t>
      </w:r>
      <w:r w:rsidR="00522D64" w:rsidRPr="0018334E">
        <w:rPr>
          <w:rFonts w:ascii="Arial" w:hAnsi="Arial" w:cs="Arial"/>
          <w:sz w:val="24"/>
          <w:szCs w:val="24"/>
          <w:lang w:val="en-US"/>
        </w:rPr>
        <w:fldChar w:fldCharType="end"/>
      </w:r>
      <w:r w:rsidR="00522D64" w:rsidRPr="0018334E">
        <w:rPr>
          <w:rFonts w:ascii="Arial" w:hAnsi="Arial" w:cs="Arial"/>
          <w:sz w:val="24"/>
          <w:szCs w:val="24"/>
          <w:lang w:val="en-US"/>
        </w:rPr>
        <w:t xml:space="preserve">. </w:t>
      </w:r>
      <w:r w:rsidR="00B233C0" w:rsidRPr="0018334E">
        <w:rPr>
          <w:rFonts w:ascii="Arial" w:hAnsi="Arial" w:cs="Arial"/>
          <w:sz w:val="24"/>
          <w:szCs w:val="24"/>
          <w:lang w:val="en-US"/>
        </w:rPr>
        <w:t>Presence of a f</w:t>
      </w:r>
      <w:r w:rsidR="00605766" w:rsidRPr="0018334E">
        <w:rPr>
          <w:rFonts w:ascii="Arial" w:hAnsi="Arial" w:cs="Arial"/>
          <w:sz w:val="24"/>
          <w:szCs w:val="24"/>
          <w:lang w:val="en-US"/>
        </w:rPr>
        <w:t xml:space="preserve">amily history of </w:t>
      </w:r>
      <w:r w:rsidR="003813A4" w:rsidRPr="0018334E">
        <w:rPr>
          <w:rFonts w:ascii="Arial" w:hAnsi="Arial" w:cs="Arial"/>
          <w:sz w:val="24"/>
          <w:szCs w:val="24"/>
          <w:lang w:val="en-US"/>
        </w:rPr>
        <w:t xml:space="preserve">type </w:t>
      </w:r>
      <w:proofErr w:type="gramStart"/>
      <w:r w:rsidR="003813A4" w:rsidRPr="0018334E">
        <w:rPr>
          <w:rFonts w:ascii="Arial" w:hAnsi="Arial" w:cs="Arial"/>
          <w:sz w:val="24"/>
          <w:szCs w:val="24"/>
          <w:lang w:val="en-US"/>
        </w:rPr>
        <w:t>2 diabetes</w:t>
      </w:r>
      <w:r w:rsidR="00B233C0" w:rsidRPr="0018334E">
        <w:rPr>
          <w:rFonts w:ascii="Arial" w:hAnsi="Arial" w:cs="Arial"/>
          <w:sz w:val="24"/>
          <w:szCs w:val="24"/>
          <w:lang w:val="en-US"/>
        </w:rPr>
        <w:t>,</w:t>
      </w:r>
      <w:proofErr w:type="gramEnd"/>
      <w:r w:rsidR="00B233C0" w:rsidRPr="0018334E">
        <w:rPr>
          <w:rFonts w:ascii="Arial" w:hAnsi="Arial" w:cs="Arial"/>
          <w:sz w:val="24"/>
          <w:szCs w:val="24"/>
          <w:lang w:val="en-US"/>
        </w:rPr>
        <w:t xml:space="preserve"> defined as </w:t>
      </w:r>
      <w:r w:rsidR="003813A4" w:rsidRPr="0018334E">
        <w:rPr>
          <w:rFonts w:ascii="Arial" w:hAnsi="Arial" w:cs="Arial"/>
          <w:sz w:val="24"/>
          <w:szCs w:val="24"/>
          <w:lang w:val="en-US"/>
        </w:rPr>
        <w:t>type 2 diabetes</w:t>
      </w:r>
      <w:r w:rsidR="00605766" w:rsidRPr="0018334E">
        <w:rPr>
          <w:rFonts w:ascii="Arial" w:hAnsi="Arial" w:cs="Arial"/>
          <w:sz w:val="24"/>
          <w:szCs w:val="24"/>
          <w:lang w:val="en-US"/>
        </w:rPr>
        <w:t xml:space="preserve"> </w:t>
      </w:r>
      <w:r w:rsidR="00B233C0" w:rsidRPr="0018334E">
        <w:rPr>
          <w:rFonts w:ascii="Arial" w:hAnsi="Arial" w:cs="Arial"/>
          <w:sz w:val="24"/>
          <w:szCs w:val="24"/>
          <w:lang w:val="en-US"/>
        </w:rPr>
        <w:t>in a first degree relative</w:t>
      </w:r>
      <w:r w:rsidR="00D7290A" w:rsidRPr="0018334E">
        <w:rPr>
          <w:rFonts w:ascii="Arial" w:hAnsi="Arial" w:cs="Arial"/>
          <w:sz w:val="24"/>
          <w:szCs w:val="24"/>
          <w:lang w:val="en-US"/>
        </w:rPr>
        <w:t>,</w:t>
      </w:r>
      <w:r w:rsidR="00B233C0" w:rsidRPr="0018334E">
        <w:rPr>
          <w:rFonts w:ascii="Arial" w:hAnsi="Arial" w:cs="Arial"/>
          <w:sz w:val="24"/>
          <w:szCs w:val="24"/>
          <w:lang w:val="en-US"/>
        </w:rPr>
        <w:t xml:space="preserve"> </w:t>
      </w:r>
      <w:r w:rsidR="005247C2" w:rsidRPr="0018334E">
        <w:rPr>
          <w:rFonts w:ascii="Arial" w:hAnsi="Arial" w:cs="Arial"/>
          <w:sz w:val="24"/>
          <w:szCs w:val="24"/>
          <w:lang w:val="en-US"/>
        </w:rPr>
        <w:t>was asked in most cohorts</w:t>
      </w:r>
      <w:r w:rsidR="00605766" w:rsidRPr="0018334E">
        <w:rPr>
          <w:rFonts w:ascii="Arial" w:hAnsi="Arial" w:cs="Arial"/>
          <w:sz w:val="24"/>
          <w:szCs w:val="24"/>
          <w:lang w:val="en-US"/>
        </w:rPr>
        <w:t xml:space="preserve"> except those in Italy, Spain, Oxford and Heidelberg. Menopausal status was defined as menopausal (post-menopausal or </w:t>
      </w:r>
      <w:r w:rsidR="00B11732" w:rsidRPr="0018334E">
        <w:rPr>
          <w:rFonts w:ascii="Arial" w:hAnsi="Arial" w:cs="Arial"/>
          <w:sz w:val="24"/>
          <w:szCs w:val="24"/>
          <w:lang w:val="en-US"/>
        </w:rPr>
        <w:t>post</w:t>
      </w:r>
      <w:r w:rsidR="00891484">
        <w:rPr>
          <w:rFonts w:ascii="Arial" w:hAnsi="Arial" w:cs="Arial"/>
          <w:sz w:val="24"/>
          <w:szCs w:val="24"/>
          <w:lang w:val="en-US"/>
        </w:rPr>
        <w:t>-</w:t>
      </w:r>
      <w:proofErr w:type="spellStart"/>
      <w:r w:rsidR="009F45F7" w:rsidRPr="0018334E">
        <w:rPr>
          <w:rFonts w:ascii="Arial" w:hAnsi="Arial" w:cs="Arial"/>
          <w:sz w:val="24"/>
          <w:szCs w:val="24"/>
          <w:lang w:val="en-US"/>
        </w:rPr>
        <w:t>ovariectomy</w:t>
      </w:r>
      <w:proofErr w:type="spellEnd"/>
      <w:r w:rsidR="009F45F7" w:rsidRPr="0018334E">
        <w:rPr>
          <w:rFonts w:ascii="Arial" w:hAnsi="Arial" w:cs="Arial"/>
          <w:sz w:val="24"/>
          <w:szCs w:val="24"/>
          <w:lang w:val="en-US"/>
        </w:rPr>
        <w:t>) and non-</w:t>
      </w:r>
      <w:r w:rsidR="00605766" w:rsidRPr="0018334E">
        <w:rPr>
          <w:rFonts w:ascii="Arial" w:hAnsi="Arial" w:cs="Arial"/>
          <w:sz w:val="24"/>
          <w:szCs w:val="24"/>
          <w:lang w:val="en-US"/>
        </w:rPr>
        <w:t xml:space="preserve">menopausal (pre- or </w:t>
      </w:r>
      <w:proofErr w:type="spellStart"/>
      <w:r w:rsidR="00605766" w:rsidRPr="0018334E">
        <w:rPr>
          <w:rFonts w:ascii="Arial" w:hAnsi="Arial" w:cs="Arial"/>
          <w:sz w:val="24"/>
          <w:szCs w:val="24"/>
          <w:lang w:val="en-US"/>
        </w:rPr>
        <w:t>peri</w:t>
      </w:r>
      <w:proofErr w:type="spellEnd"/>
      <w:r w:rsidR="00605766" w:rsidRPr="0018334E">
        <w:rPr>
          <w:rFonts w:ascii="Arial" w:hAnsi="Arial" w:cs="Arial"/>
          <w:sz w:val="24"/>
          <w:szCs w:val="24"/>
          <w:lang w:val="en-US"/>
        </w:rPr>
        <w:t>-menopausal). A bl</w:t>
      </w:r>
      <w:r w:rsidR="008B5A09" w:rsidRPr="0018334E">
        <w:rPr>
          <w:rFonts w:ascii="Arial" w:hAnsi="Arial" w:cs="Arial"/>
          <w:sz w:val="24"/>
          <w:szCs w:val="24"/>
          <w:lang w:val="en-US"/>
        </w:rPr>
        <w:t xml:space="preserve">ood sample was taken at varying </w:t>
      </w:r>
      <w:r w:rsidR="00605766" w:rsidRPr="0018334E">
        <w:rPr>
          <w:rFonts w:ascii="Arial" w:hAnsi="Arial" w:cs="Arial"/>
          <w:sz w:val="24"/>
          <w:szCs w:val="24"/>
          <w:lang w:val="en-US"/>
        </w:rPr>
        <w:t>times of the day</w:t>
      </w:r>
      <w:r w:rsidR="00B233C0" w:rsidRPr="0018334E">
        <w:rPr>
          <w:rFonts w:ascii="Arial" w:hAnsi="Arial" w:cs="Arial"/>
          <w:sz w:val="24"/>
          <w:szCs w:val="24"/>
          <w:lang w:val="en-US"/>
        </w:rPr>
        <w:t xml:space="preserve"> and stored frozen for future measurements</w:t>
      </w:r>
      <w:r w:rsidR="00C75EAC" w:rsidRPr="0018334E">
        <w:rPr>
          <w:rFonts w:ascii="Arial" w:hAnsi="Arial" w:cs="Arial"/>
          <w:sz w:val="24"/>
          <w:szCs w:val="24"/>
          <w:lang w:val="en-US"/>
        </w:rPr>
        <w:t xml:space="preserve"> </w:t>
      </w:r>
      <w:r w:rsidR="00C75EAC" w:rsidRPr="0018334E">
        <w:rPr>
          <w:rFonts w:ascii="Arial" w:hAnsi="Arial" w:cs="Arial"/>
          <w:sz w:val="24"/>
          <w:szCs w:val="24"/>
          <w:lang w:val="en-US"/>
        </w:rPr>
        <w:fldChar w:fldCharType="begin" w:fldLock="1"/>
      </w:r>
      <w:r w:rsidR="00891484">
        <w:rPr>
          <w:rFonts w:ascii="Arial" w:hAnsi="Arial" w:cs="Arial"/>
          <w:sz w:val="24"/>
          <w:szCs w:val="24"/>
          <w:lang w:val="en-US"/>
        </w:rPr>
        <w:instrText>ADDIN CSL_CITATION { "citationItems" : [ { "id" : "ITEM-1", "itemData" : { "DOI" : "10.1007/s00125-011-2182-9", "ISSN" : "1432-0428", "PMID" : "21717116", "abstract" : "AIMS/HYPOTHESIS: Studying gene-lifestyle interaction may help to identify lifestyle factors that modify genetic susceptibility and uncover genetic loci exerting important subgroup effects. Adequately powered studies with prospective, unbiased, standardised assessment of key behavioural factors for gene-lifestyle studies are lacking. This case-cohort study aims to investigate how genetic and potentially modifiable lifestyle and behavioural factors, particularly diet and physical activity, interact in their influence on the risk of developing type 2 diabetes. METHODS: Incident cases of type 2 diabetes occurring in European Prospective Investigation into Cancer and Nutrition (EPIC) cohorts between 1991 and 2007 from eight of the ten EPIC countries were ascertained and verified. Prentice-weighted Cox regression and random-effects meta-analyses were used to investigate differences in diabetes incidence by age and sex. RESULTS: A total of 12,403 verified incident cases of type 2 diabetes occurred during 3.99 million person-years of follow-up of 340,234 EPIC participants eligible for InterAct. We defined a centre-stratified subcohort of 16,154 individuals for comparative analyses. Individuals with incident diabetes who were randomly selected into the subcohort (n = 778) were included as cases in the analyses. All prevalent diabetes cases were excluded from the study. InterAct cases were followed-up for an average of 6.9 years; 49.7% were men. Mean baseline age and age at diagnosis were 55.6 and 62.5 years, mean BMI and waist circumference values were 29.4 kg/m(2) and 102.7 cm in men, and 30.1 kg/m(2) and 92.8 cm in women, respectively. Risk of type 2 diabetes increased linearly with age, with an overall HR of 1.56 (95% CI 1.48-1.64) for a 10 year age difference, adjusted for sex. A male excess in the risk of incident diabetes was consistently observed across all countries, with a pooled HR of 1.51 (95% CI 1.39-1.64), adjusted for age. CONCLUSIONS/INTERPRETATION: InterAct is a large, well-powered, prospective study that will inform our understanding of the interplay between genes and lifestyle factors on the risk of type 2 diabetes development.", "author" : [ { "dropping-particle" : "", "family" : "Langenberg", "given" : "Claudia", "non-dropping-particle" : "", "parse-names" : false, "suffix" : "" }, { "dropping-particle" : "", "family" : "Sharp", "given" : "S", "non-dropping-particle" : "", "parse-names" : false, "suffix" : "" }, { "dropping-particle" : "", "family" : "Forouhi", "given" : "Nita G", "non-dropping-particle" : "", "parse-names" : false, "suffix" : "" }, { "dropping-particle" : "", "family" : "Franks", "given" : "P W", "non-dropping-particle" : "", "parse-names" : false, "suffix" : "" }, { "dropping-particle" : "", "family" : "Schulze", "given" : "M B", "non-dropping-particle" : "", "parse-names" : false, "suffix" : "" }, { "dropping-particle" : "", "family" : "Kerrison", "given" : "N", "non-dropping-particle" : "", "parse-names" : false, "suffix" : "" }, { "dropping-particle" : "", "family" : "Ekelund", "given" : "U", "non-dropping-particle" : "", "parse-names" : false, "suffix" : "" }, { "dropping-particle" : "", "family" : "Barroso", "given" : "In\u00eas", "non-dropping-particle" : "", "parse-names" : false, "suffix" : "" }, { "dropping-particle" : "", "family" : "Panico", "given" : "S", "non-dropping-particle" : "", "parse-names" : false, "suffix" : "" }, { "dropping-particle" : "", "family" : "Tormo", "given" : "M J", "non-dropping-particle" : "", "parse-names" : false, "suffix" : "" }, { "dropping-particle" : "", "family" : "Spranger", "given" : "J", "non-dropping-particle" : "", "parse-names" : false, "suffix" : "" }, { "dropping-particle" : "", "family" : "Griffin", "given" : "S", "non-dropping-particle" : "", "parse-names" : false, "suffix" : "" }, { "dropping-particle" : "", "family" : "Schouw", "given" : "Yvonne T", "non-dropping-particle" : "van der", "parse-names" : false, "suffix" : "" }, { "dropping-particle" : "", "family" : "Amiano", "given" : "Pilar", "non-dropping-particle" : "", "parse-names" : false, "suffix" : "" }, { "dropping-particle" : "", "family" : "Ardanaz", "given" : "E", "non-dropping-particle" : "", "parse-names" : false, "suffix" : "" }, { "dropping-particle" : "", "family" : "Arriola", "given" : "Larraitz", "non-dropping-particle" : "", "parse-names" : false, "suffix" : "" }, { "dropping-particle" : "", "family" : "Balkau", "given" : "Beverley", "non-dropping-particle" : "", "parse-names" : false, "suffix" : "" }, { "dropping-particle" : "", "family" : "Barricarte", "given" : "A", "non-dropping-particle" : "", "parse-names" : false, "suffix" : "" }, { "dropping-particle" : "", "family" : "Beulens", "given" : "Joline W J", "non-dropping-particle" : "", "parse-names" : false, "suffix" : "" }, { "dropping-particle" : "", "family" : "Boeing", "given" : "H", "non-dropping-particle" : "", "parse-names" : false, "suffix" : "" }, { "dropping-particle" : "", "family" : "Bueno-de-Mesquita", "given" : "H B", "non-dropping-particle" : "", "parse-names" : false, "suffix" : "" }, { "dropping-particle" : "", "family" : "Buijsse", "given" : "B", "non-dropping-particle" : "", "parse-names" : false, "suffix" : "" }, { "dropping-particle" : "", "family" : "Chirlaque Lopez", "given" : "M D", "non-dropping-particle" : "", "parse-names" : false, "suffix" : "" }, { "dropping-particle" : "", "family" : "Clavel-Chapelon", "given" : "F", "non-dropping-particle" : "", "parse-names" : false, "suffix" : "" }, { "dropping-particle" : "", "family" : "Crowe", "given" : "F L", "non-dropping-particle" : "", "parse-names" : false, "suffix" : "" }, { "dropping-particle" : "", "family" : "Lauzon-Guillan", "given" : "B", "non-dropping-particle" : "de", "parse-names" : false, "suffix" : "" }, { "dropping-particle" : "", "family" : "Deloukas", "given" : "P", "non-dropping-particle" : "", "parse-names" : false, "suffix" : "" }, { "dropping-particle" : "", "family" : "Dorronsoro", "given" : "M", "non-dropping-particle" : "", "parse-names" : false, "suffix" : "" }, { "dropping-particle" : "", "family" : "Drogan", "given" : "D", "non-dropping-particle" : "", "parse-names" : false, "suffix" : "" }, { "dropping-particle" : "", "family" : "Froguel", "given" : "P", "non-dropping-particle" : "", "parse-names" : false, "suffix" : "" }, { "dropping-particle" : "", "family" : "Gonzalez", "given" : "C", "non-dropping-particle" : "", "parse-names" : false, "suffix" : "" }, { "dropping-particle" : "", "family" : "Grioni", "given" : "S", "non-dropping-particle" : "", "parse-names" : false, "suffix" : "" }, { "dropping-particle" : "", "family" : "Groop", "given" : "L", "non-dropping-particle" : "", "parse-names" : false, "suffix" : "" }, { "dropping-particle" : "", "family" : "Groves", "given" : "C", "non-dropping-particle" : "", "parse-names" : false, "suffix" : "" }, { "dropping-particle" : "", "family" : "Hainaut", "given" : "P", "non-dropping-particle" : "", "parse-names" : false, "suffix" : "" }, { "dropping-particle" : "", "family" : "Halkjaer", "given" : "J", "non-dropping-particle" : "", "parse-names" : false, "suffix" : "" }, { "dropping-particle" : "", "family" : "Hallmans", "given" : "G", "non-dropping-particle" : "", "parse-names" : false, "suffix" : "" }, { "dropping-particle" : "", "family" : "Hansen", "given" : "T", "non-dropping-particle" : "", "parse-names" : false, "suffix" : "" }, { "dropping-particle" : "", "family" : "Huerta Casta\u00f1o", "given" : "J M", "non-dropping-particle" : "", "parse-names" : false, "suffix" : "" }, { "dropping-particle" : "", "family" : "Kaaks", "given" : "R", "non-dropping-particle" : "", "parse-names" : false, "suffix" : "" }, { "dropping-particle" : "", "family" : "Key", "given" : "T J", "non-dropping-particle" : "", "parse-names" : false, "suffix" : "" }, { "dropping-particle" : "", "family" : "Khaw", "given" : "K T", "non-dropping-particle" : "", "parse-names" : false, "suffix" : "" }, { "dropping-particle" : "", "family" : "Koulman", "given" : "A", "non-dropping-particle" : "", "parse-names" : false, "suffix" : "" }, { "dropping-particle" : "", "family" : "Mattiello", "given" : "Amalia", "non-dropping-particle" : "", "parse-names" : false, "suffix" : "" }, { "dropping-particle" : "", "family" : "Navarro", "given" : "C", "non-dropping-particle" : "", "parse-names" : false, "suffix" : "" }, { "dropping-particle" : "", "family" : "Nilsson", "given" : "P", "non-dropping-particle" : "", "parse-names" : false, "suffix" : "" }, { "dropping-particle" : "", "family" : "Norat", "given" : "T", "non-dropping-particle" : "", "parse-names" : false, "suffix" : "" }, { "dropping-particle" : "", "family" : "Overvad", "given" : "K", "non-dropping-particle" : "", "parse-names" : false, "suffix" : "" }, { "dropping-particle" : "", "family" : "Palla", "given" : "L", "non-dropping-particle" : "", "parse-names" : false, "suffix" : "" }, { "dropping-particle" : "", "family" : "Palli", "given" : "D", "non-dropping-particle" : "", "parse-names" : false, "suffix" : "" }, { "dropping-particle" : "", "family" : "Pedersen", "given" : "O", "non-dropping-particle" : "", "parse-names" : false, "suffix" : "" }, { "dropping-particle" : "", "family" : "Peeters", "given" : "P H", "non-dropping-particle" : "", "parse-names" : false, "suffix" : "" }, { "dropping-particle" : "", "family" : "Quir\u00f3s", "given" : "J R", "non-dropping-particle" : "", "parse-names" : false, "suffix" : "" }, { "dropping-particle" : "", "family" : "Ramachandran", "given" : "A", "non-dropping-particle" : "", "parse-names" : false, "suffix" : "" }, { "dropping-particle" : "", "family" : "Rodriguez-Suarez", "given" : "L", "non-dropping-particle" : "", "parse-names" : false, "suffix" : "" }, { "dropping-particle" : "", "family" : "Rolandsson", "given" : "O", "non-dropping-particle" : "", "parse-names" : false, "suffix" : "" }, { "dropping-particle" : "", "family" : "Romaguera", "given" : "D", "non-dropping-particle" : "", "parse-names" : false, "suffix" : "" }, { "dropping-particle" : "", "family" : "Romieu", "given" : "I", "non-dropping-particle" : "", "parse-names" : false, "suffix" : "" }, { "dropping-particle" : "", "family" : "Sacerdote", "given" : "C", "non-dropping-particle" : "", "parse-names" : false, "suffix" : "" }, { "dropping-particle" : "", "family" : "S\u00e1nchez", "given" : "M J", "non-dropping-particle" : "", "parse-names" : false, "suffix" : "" }, { "dropping-particle" : "", "family" : "Sandbaek", "given" : "A", "non-dropping-particle" : "", "parse-names" : false, "suffix" : "" }, { "dropping-particle" : "", "family" : "Slimani", "given" : "N", "non-dropping-particle" : "", "parse-names" : false, "suffix" : "" }, { "dropping-particle" : "", "family" : "Sluijs", "given" : "I", "non-dropping-particle" : "", "parse-names" : false, "suffix" : "" }, { "dropping-particle" : "", "family" : "Spijkerman", "given" : "a M W", "non-dropping-particle" : "", "parse-names" : false, "suffix" : "" }, { "dropping-particle" : "", "family" : "Teucher", "given" : "B", "non-dropping-particle" : "", "parse-names" : false, "suffix" : "" }, { "dropping-particle" : "", "family" : "Tjonneland", "given" : "A", "non-dropping-particle" : "", "parse-names" : false, "suffix" : "" }, { "dropping-particle" : "", "family" : "Tumino", "given" : "R", "non-dropping-particle" : "", "parse-names" : false, "suffix" : "" }, { "dropping-particle" : "", "family" : "A", "given" : "Daphne L", "non-dropping-particle" : "van der", "parse-names" : false, "suffix" : "" }, { "dropping-particle" : "", "family" : "Verschuren", "given" : "W M M", "non-dropping-particle" : "", "parse-names" : false, "suffix" : "" }, { "dropping-particle" : "", "family" : "Tuomilehto", "given" : "J", "non-dropping-particle" : "", "parse-names" : false, "suffix" : "" }, { "dropping-particle" : "", "family" : "Feskens", "given" : "E", "non-dropping-particle" : "", "parse-names" : false, "suffix" : "" }, { "dropping-particle" : "", "family" : "McCarthy", "given" : "M", "non-dropping-particle" : "", "parse-names" : false, "suffix" : "" }, { "dropping-particle" : "", "family" : "Riboli", "given" : "Elio", "non-dropping-particle" : "", "parse-names" : false, "suffix" : "" }, { "dropping-particle" : "", "family" : "Wareham", "given" : "Nicholas J", "non-dropping-particle" : "", "parse-names" : false, "suffix" : "" } ], "container-title" : "Diabetologia", "id" : "ITEM-1", "issue" : "9", "issued" : { "date-parts" : [ [ "2011", "9" ] ] }, "page" : "2272-82", "title" : "Design and cohort description of the InterAct Project: an examination of the interaction of genetic and lifestyle factors on the incidence of type 2 diabetes in the EPIC Study.", "type" : "article-journal", "volume" : "54" }, "uris" : [ "http://www.mendeley.com/documents/?uuid=a2b6b5ed-e9bb-4ce0-9be1-a788171cf43f" ] } ], "mendeley" : { "formattedCitation" : "(15)", "plainTextFormattedCitation" : "(15)", "previouslyFormattedCitation" : "(15)" }, "properties" : { "noteIndex" : 0 }, "schema" : "https://github.com/citation-style-language/schema/raw/master/csl-citation.json" }</w:instrText>
      </w:r>
      <w:r w:rsidR="00C75EAC" w:rsidRPr="0018334E">
        <w:rPr>
          <w:rFonts w:ascii="Arial" w:hAnsi="Arial" w:cs="Arial"/>
          <w:sz w:val="24"/>
          <w:szCs w:val="24"/>
          <w:lang w:val="en-US"/>
        </w:rPr>
        <w:fldChar w:fldCharType="separate"/>
      </w:r>
      <w:r w:rsidR="00891484" w:rsidRPr="00891484">
        <w:rPr>
          <w:rFonts w:ascii="Arial" w:hAnsi="Arial" w:cs="Arial"/>
          <w:noProof/>
          <w:sz w:val="24"/>
          <w:szCs w:val="24"/>
          <w:lang w:val="en-US"/>
        </w:rPr>
        <w:t>(15)</w:t>
      </w:r>
      <w:r w:rsidR="00C75EAC" w:rsidRPr="0018334E">
        <w:rPr>
          <w:rFonts w:ascii="Arial" w:hAnsi="Arial" w:cs="Arial"/>
          <w:sz w:val="24"/>
          <w:szCs w:val="24"/>
          <w:lang w:val="en-US"/>
        </w:rPr>
        <w:fldChar w:fldCharType="end"/>
      </w:r>
      <w:r w:rsidR="007656D2">
        <w:rPr>
          <w:rFonts w:ascii="Arial" w:hAnsi="Arial" w:cs="Arial"/>
          <w:sz w:val="24"/>
          <w:szCs w:val="24"/>
          <w:lang w:val="en-US"/>
        </w:rPr>
        <w:t xml:space="preserve">. </w:t>
      </w:r>
      <w:r w:rsidR="00605766" w:rsidRPr="0018334E">
        <w:rPr>
          <w:rFonts w:ascii="Arial" w:hAnsi="Arial" w:cs="Arial"/>
          <w:sz w:val="24"/>
          <w:szCs w:val="24"/>
          <w:lang w:val="en-US"/>
        </w:rPr>
        <w:t xml:space="preserve">Follow-up data on mortality and disease status was ascertained via registries, clinical records and other sources of clinical information </w:t>
      </w:r>
      <w:r w:rsidR="00005990" w:rsidRPr="0018334E">
        <w:rPr>
          <w:rFonts w:ascii="Arial" w:hAnsi="Arial" w:cs="Arial"/>
          <w:sz w:val="24"/>
          <w:szCs w:val="24"/>
          <w:lang w:val="en-US"/>
        </w:rPr>
        <w:fldChar w:fldCharType="begin" w:fldLock="1"/>
      </w:r>
      <w:r w:rsidR="00891484">
        <w:rPr>
          <w:rFonts w:ascii="Arial" w:hAnsi="Arial" w:cs="Arial"/>
          <w:sz w:val="24"/>
          <w:szCs w:val="24"/>
          <w:lang w:val="en-US"/>
        </w:rPr>
        <w:instrText>ADDIN CSL_CITATION { "citationItems" : [ { "id" : "ITEM-1", "itemData" : { "DOI" : "10.1007/s00125-011-2182-9", "ISSN" : "1432-0428", "PMID" : "21717116", "abstract" : "AIMS/HYPOTHESIS: Studying gene-lifestyle interaction may help to identify lifestyle factors that modify genetic susceptibility and uncover genetic loci exerting important subgroup effects. Adequately powered studies with prospective, unbiased, standardised assessment of key behavioural factors for gene-lifestyle studies are lacking. This case-cohort study aims to investigate how genetic and potentially modifiable lifestyle and behavioural factors, particularly diet and physical activity, interact in their influence on the risk of developing type 2 diabetes. METHODS: Incident cases of type 2 diabetes occurring in European Prospective Investigation into Cancer and Nutrition (EPIC) cohorts between 1991 and 2007 from eight of the ten EPIC countries were ascertained and verified. Prentice-weighted Cox regression and random-effects meta-analyses were used to investigate differences in diabetes incidence by age and sex. RESULTS: A total of 12,403 verified incident cases of type 2 diabetes occurred during 3.99 million person-years of follow-up of 340,234 EPIC participants eligible for InterAct. We defined a centre-stratified subcohort of 16,154 individuals for comparative analyses. Individuals with incident diabetes who were randomly selected into the subcohort (n = 778) were included as cases in the analyses. All prevalent diabetes cases were excluded from the study. InterAct cases were followed-up for an average of 6.9 years; 49.7% were men. Mean baseline age and age at diagnosis were 55.6 and 62.5 years, mean BMI and waist circumference values were 29.4 kg/m(2) and 102.7 cm in men, and 30.1 kg/m(2) and 92.8 cm in women, respectively. Risk of type 2 diabetes increased linearly with age, with an overall HR of 1.56 (95% CI 1.48-1.64) for a 10 year age difference, adjusted for sex. A male excess in the risk of incident diabetes was consistently observed across all countries, with a pooled HR of 1.51 (95% CI 1.39-1.64), adjusted for age. CONCLUSIONS/INTERPRETATION: InterAct is a large, well-powered, prospective study that will inform our understanding of the interplay between genes and lifestyle factors on the risk of type 2 diabetes development.", "author" : [ { "dropping-particle" : "", "family" : "Langenberg", "given" : "Claudia", "non-dropping-particle" : "", "parse-names" : false, "suffix" : "" }, { "dropping-particle" : "", "family" : "Sharp", "given" : "S", "non-dropping-particle" : "", "parse-names" : false, "suffix" : "" }, { "dropping-particle" : "", "family" : "Forouhi", "given" : "Nita G", "non-dropping-particle" : "", "parse-names" : false, "suffix" : "" }, { "dropping-particle" : "", "family" : "Franks", "given" : "P W", "non-dropping-particle" : "", "parse-names" : false, "suffix" : "" }, { "dropping-particle" : "", "family" : "Schulze", "given" : "M B", "non-dropping-particle" : "", "parse-names" : false, "suffix" : "" }, { "dropping-particle" : "", "family" : "Kerrison", "given" : "N", "non-dropping-particle" : "", "parse-names" : false, "suffix" : "" }, { "dropping-particle" : "", "family" : "Ekelund", "given" : "U", "non-dropping-particle" : "", "parse-names" : false, "suffix" : "" }, { "dropping-particle" : "", "family" : "Barroso", "given" : "In\u00eas", "non-dropping-particle" : "", "parse-names" : false, "suffix" : "" }, { "dropping-particle" : "", "family" : "Panico", "given" : "S", "non-dropping-particle" : "", "parse-names" : false, "suffix" : "" }, { "dropping-particle" : "", "family" : "Tormo", "given" : "M J", "non-dropping-particle" : "", "parse-names" : false, "suffix" : "" }, { "dropping-particle" : "", "family" : "Spranger", "given" : "J", "non-dropping-particle" : "", "parse-names" : false, "suffix" : "" }, { "dropping-particle" : "", "family" : "Griffin", "given" : "S", "non-dropping-particle" : "", "parse-names" : false, "suffix" : "" }, { "dropping-particle" : "", "family" : "Schouw", "given" : "Yvonne T", "non-dropping-particle" : "van der", "parse-names" : false, "suffix" : "" }, { "dropping-particle" : "", "family" : "Amiano", "given" : "Pilar", "non-dropping-particle" : "", "parse-names" : false, "suffix" : "" }, { "dropping-particle" : "", "family" : "Ardanaz", "given" : "E", "non-dropping-particle" : "", "parse-names" : false, "suffix" : "" }, { "dropping-particle" : "", "family" : "Arriola", "given" : "Larraitz", "non-dropping-particle" : "", "parse-names" : false, "suffix" : "" }, { "dropping-particle" : "", "family" : "Balkau", "given" : "Beverley", "non-dropping-particle" : "", "parse-names" : false, "suffix" : "" }, { "dropping-particle" : "", "family" : "Barricarte", "given" : "A", "non-dropping-particle" : "", "parse-names" : false, "suffix" : "" }, { "dropping-particle" : "", "family" : "Beulens", "given" : "Joline W J", "non-dropping-particle" : "", "parse-names" : false, "suffix" : "" }, { "dropping-particle" : "", "family" : "Boeing", "given" : "H", "non-dropping-particle" : "", "parse-names" : false, "suffix" : "" }, { "dropping-particle" : "", "family" : "Bueno-de-Mesquita", "given" : "H B", "non-dropping-particle" : "", "parse-names" : false, "suffix" : "" }, { "dropping-particle" : "", "family" : "Buijsse", "given" : "B", "non-dropping-particle" : "", "parse-names" : false, "suffix" : "" }, { "dropping-particle" : "", "family" : "Chirlaque Lopez", "given" : "M D", "non-dropping-particle" : "", "parse-names" : false, "suffix" : "" }, { "dropping-particle" : "", "family" : "Clavel-Chapelon", "given" : "F", "non-dropping-particle" : "", "parse-names" : false, "suffix" : "" }, { "dropping-particle" : "", "family" : "Crowe", "given" : "F L", "non-dropping-particle" : "", "parse-names" : false, "suffix" : "" }, { "dropping-particle" : "", "family" : "Lauzon-Guillan", "given" : "B", "non-dropping-particle" : "de", "parse-names" : false, "suffix" : "" }, { "dropping-particle" : "", "family" : "Deloukas", "given" : "P", "non-dropping-particle" : "", "parse-names" : false, "suffix" : "" }, { "dropping-particle" : "", "family" : "Dorronsoro", "given" : "M", "non-dropping-particle" : "", "parse-names" : false, "suffix" : "" }, { "dropping-particle" : "", "family" : "Drogan", "given" : "D", "non-dropping-particle" : "", "parse-names" : false, "suffix" : "" }, { "dropping-particle" : "", "family" : "Froguel", "given" : "P", "non-dropping-particle" : "", "parse-names" : false, "suffix" : "" }, { "dropping-particle" : "", "family" : "Gonzalez", "given" : "C", "non-dropping-particle" : "", "parse-names" : false, "suffix" : "" }, { "dropping-particle" : "", "family" : "Grioni", "given" : "S", "non-dropping-particle" : "", "parse-names" : false, "suffix" : "" }, { "dropping-particle" : "", "family" : "Groop", "given" : "L", "non-dropping-particle" : "", "parse-names" : false, "suffix" : "" }, { "dropping-particle" : "", "family" : "Groves", "given" : "C", "non-dropping-particle" : "", "parse-names" : false, "suffix" : "" }, { "dropping-particle" : "", "family" : "Hainaut", "given" : "P", "non-dropping-particle" : "", "parse-names" : false, "suffix" : "" }, { "dropping-particle" : "", "family" : "Halkjaer", "given" : "J", "non-dropping-particle" : "", "parse-names" : false, "suffix" : "" }, { "dropping-particle" : "", "family" : "Hallmans", "given" : "G", "non-dropping-particle" : "", "parse-names" : false, "suffix" : "" }, { "dropping-particle" : "", "family" : "Hansen", "given" : "T", "non-dropping-particle" : "", "parse-names" : false, "suffix" : "" }, { "dropping-particle" : "", "family" : "Huerta Casta\u00f1o", "given" : "J M", "non-dropping-particle" : "", "parse-names" : false, "suffix" : "" }, { "dropping-particle" : "", "family" : "Kaaks", "given" : "R", "non-dropping-particle" : "", "parse-names" : false, "suffix" : "" }, { "dropping-particle" : "", "family" : "Key", "given" : "T J", "non-dropping-particle" : "", "parse-names" : false, "suffix" : "" }, { "dropping-particle" : "", "family" : "Khaw", "given" : "K T", "non-dropping-particle" : "", "parse-names" : false, "suffix" : "" }, { "dropping-particle" : "", "family" : "Koulman", "given" : "A", "non-dropping-particle" : "", "parse-names" : false, "suffix" : "" }, { "dropping-particle" : "", "family" : "Mattiello", "given" : "Amalia", "non-dropping-particle" : "", "parse-names" : false, "suffix" : "" }, { "dropping-particle" : "", "family" : "Navarro", "given" : "C", "non-dropping-particle" : "", "parse-names" : false, "suffix" : "" }, { "dropping-particle" : "", "family" : "Nilsson", "given" : "P", "non-dropping-particle" : "", "parse-names" : false, "suffix" : "" }, { "dropping-particle" : "", "family" : "Norat", "given" : "T", "non-dropping-particle" : "", "parse-names" : false, "suffix" : "" }, { "dropping-particle" : "", "family" : "Overvad", "given" : "K", "non-dropping-particle" : "", "parse-names" : false, "suffix" : "" }, { "dropping-particle" : "", "family" : "Palla", "given" : "L", "non-dropping-particle" : "", "parse-names" : false, "suffix" : "" }, { "dropping-particle" : "", "family" : "Palli", "given" : "D", "non-dropping-particle" : "", "parse-names" : false, "suffix" : "" }, { "dropping-particle" : "", "family" : "Pedersen", "given" : "O", "non-dropping-particle" : "", "parse-names" : false, "suffix" : "" }, { "dropping-particle" : "", "family" : "Peeters", "given" : "P H", "non-dropping-particle" : "", "parse-names" : false, "suffix" : "" }, { "dropping-particle" : "", "family" : "Quir\u00f3s", "given" : "J R", "non-dropping-particle" : "", "parse-names" : false, "suffix" : "" }, { "dropping-particle" : "", "family" : "Ramachandran", "given" : "A", "non-dropping-particle" : "", "parse-names" : false, "suffix" : "" }, { "dropping-particle" : "", "family" : "Rodriguez-Suarez", "given" : "L", "non-dropping-particle" : "", "parse-names" : false, "suffix" : "" }, { "dropping-particle" : "", "family" : "Rolandsson", "given" : "O", "non-dropping-particle" : "", "parse-names" : false, "suffix" : "" }, { "dropping-particle" : "", "family" : "Romaguera", "given" : "D", "non-dropping-particle" : "", "parse-names" : false, "suffix" : "" }, { "dropping-particle" : "", "family" : "Romieu", "given" : "I", "non-dropping-particle" : "", "parse-names" : false, "suffix" : "" }, { "dropping-particle" : "", "family" : "Sacerdote", "given" : "C", "non-dropping-particle" : "", "parse-names" : false, "suffix" : "" }, { "dropping-particle" : "", "family" : "S\u00e1nchez", "given" : "M J", "non-dropping-particle" : "", "parse-names" : false, "suffix" : "" }, { "dropping-particle" : "", "family" : "Sandbaek", "given" : "A", "non-dropping-particle" : "", "parse-names" : false, "suffix" : "" }, { "dropping-particle" : "", "family" : "Slimani", "given" : "N", "non-dropping-particle" : "", "parse-names" : false, "suffix" : "" }, { "dropping-particle" : "", "family" : "Sluijs", "given" : "I", "non-dropping-particle" : "", "parse-names" : false, "suffix" : "" }, { "dropping-particle" : "", "family" : "Spijkerman", "given" : "a M W", "non-dropping-particle" : "", "parse-names" : false, "suffix" : "" }, { "dropping-particle" : "", "family" : "Teucher", "given" : "B", "non-dropping-particle" : "", "parse-names" : false, "suffix" : "" }, { "dropping-particle" : "", "family" : "Tjonneland", "given" : "A", "non-dropping-particle" : "", "parse-names" : false, "suffix" : "" }, { "dropping-particle" : "", "family" : "Tumino", "given" : "R", "non-dropping-particle" : "", "parse-names" : false, "suffix" : "" }, { "dropping-particle" : "", "family" : "A", "given" : "Daphne L", "non-dropping-particle" : "van der", "parse-names" : false, "suffix" : "" }, { "dropping-particle" : "", "family" : "Verschuren", "given" : "W M M", "non-dropping-particle" : "", "parse-names" : false, "suffix" : "" }, { "dropping-particle" : "", "family" : "Tuomilehto", "given" : "J", "non-dropping-particle" : "", "parse-names" : false, "suffix" : "" }, { "dropping-particle" : "", "family" : "Feskens", "given" : "E", "non-dropping-particle" : "", "parse-names" : false, "suffix" : "" }, { "dropping-particle" : "", "family" : "McCarthy", "given" : "M", "non-dropping-particle" : "", "parse-names" : false, "suffix" : "" }, { "dropping-particle" : "", "family" : "Riboli", "given" : "Elio", "non-dropping-particle" : "", "parse-names" : false, "suffix" : "" }, { "dropping-particle" : "", "family" : "Wareham", "given" : "Nicholas J", "non-dropping-particle" : "", "parse-names" : false, "suffix" : "" } ], "container-title" : "Diabetologia", "id" : "ITEM-1", "issue" : "9", "issued" : { "date-parts" : [ [ "2011", "9" ] ] }, "page" : "2272-82", "title" : "Design and cohort description of the InterAct Project: an examination of the interaction of genetic and lifestyle factors on the incidence of type 2 diabetes in the EPIC Study.", "type" : "article-journal", "volume" : "54" }, "uris" : [ "http://www.mendeley.com/documents/?uuid=a2b6b5ed-e9bb-4ce0-9be1-a788171cf43f" ] } ], "mendeley" : { "formattedCitation" : "(15)", "plainTextFormattedCitation" : "(15)", "previouslyFormattedCitation" : "(15)" }, "properties" : { "noteIndex" : 0 }, "schema" : "https://github.com/citation-style-language/schema/raw/master/csl-citation.json" }</w:instrText>
      </w:r>
      <w:r w:rsidR="00005990" w:rsidRPr="0018334E">
        <w:rPr>
          <w:rFonts w:ascii="Arial" w:hAnsi="Arial" w:cs="Arial"/>
          <w:sz w:val="24"/>
          <w:szCs w:val="24"/>
          <w:lang w:val="en-US"/>
        </w:rPr>
        <w:fldChar w:fldCharType="separate"/>
      </w:r>
      <w:r w:rsidR="00891484" w:rsidRPr="00891484">
        <w:rPr>
          <w:rFonts w:ascii="Arial" w:hAnsi="Arial" w:cs="Arial"/>
          <w:noProof/>
          <w:sz w:val="24"/>
          <w:szCs w:val="24"/>
          <w:lang w:val="en-US"/>
        </w:rPr>
        <w:t>(15)</w:t>
      </w:r>
      <w:r w:rsidR="00005990" w:rsidRPr="0018334E">
        <w:rPr>
          <w:rFonts w:ascii="Arial" w:hAnsi="Arial" w:cs="Arial"/>
          <w:sz w:val="24"/>
          <w:szCs w:val="24"/>
          <w:lang w:val="en-US"/>
        </w:rPr>
        <w:fldChar w:fldCharType="end"/>
      </w:r>
      <w:r w:rsidR="00605766" w:rsidRPr="0018334E">
        <w:rPr>
          <w:rFonts w:ascii="Arial" w:hAnsi="Arial" w:cs="Arial"/>
          <w:sz w:val="24"/>
          <w:szCs w:val="24"/>
          <w:lang w:val="en-US"/>
        </w:rPr>
        <w:t xml:space="preserve">. </w:t>
      </w:r>
    </w:p>
    <w:p w:rsidR="009C1DE0" w:rsidRPr="0018334E" w:rsidRDefault="009C1DE0" w:rsidP="00F328BE">
      <w:pPr>
        <w:autoSpaceDE w:val="0"/>
        <w:autoSpaceDN w:val="0"/>
        <w:adjustRightInd w:val="0"/>
        <w:spacing w:after="0" w:line="480" w:lineRule="auto"/>
        <w:jc w:val="both"/>
        <w:rPr>
          <w:rFonts w:ascii="Arial" w:hAnsi="Arial" w:cs="Arial"/>
          <w:b/>
          <w:sz w:val="24"/>
          <w:szCs w:val="24"/>
          <w:lang w:val="en-US"/>
        </w:rPr>
      </w:pPr>
    </w:p>
    <w:p w:rsidR="00605766" w:rsidRPr="007632BD" w:rsidRDefault="003813A4" w:rsidP="00F328BE">
      <w:pPr>
        <w:pStyle w:val="ListParagraph"/>
        <w:spacing w:after="0" w:line="480" w:lineRule="auto"/>
        <w:ind w:left="1080"/>
        <w:jc w:val="both"/>
        <w:rPr>
          <w:rFonts w:ascii="Arial" w:hAnsi="Arial" w:cs="Arial"/>
          <w:i/>
          <w:sz w:val="24"/>
          <w:szCs w:val="24"/>
          <w:lang w:val="en-US"/>
        </w:rPr>
      </w:pPr>
      <w:r w:rsidRPr="007632BD">
        <w:rPr>
          <w:rFonts w:ascii="Arial" w:hAnsi="Arial" w:cs="Arial"/>
          <w:i/>
          <w:sz w:val="24"/>
          <w:szCs w:val="24"/>
          <w:lang w:val="en-US"/>
        </w:rPr>
        <w:t>Type 2 diabetes</w:t>
      </w:r>
      <w:r w:rsidR="00605766" w:rsidRPr="007632BD">
        <w:rPr>
          <w:rFonts w:ascii="Arial" w:hAnsi="Arial" w:cs="Arial"/>
          <w:i/>
          <w:sz w:val="24"/>
          <w:szCs w:val="24"/>
          <w:lang w:val="en-US"/>
        </w:rPr>
        <w:t xml:space="preserve"> case ascertainment and verification</w:t>
      </w:r>
    </w:p>
    <w:p w:rsidR="00E22AEC" w:rsidRPr="0018334E" w:rsidRDefault="00361C84" w:rsidP="00F328BE">
      <w:pPr>
        <w:autoSpaceDE w:val="0"/>
        <w:autoSpaceDN w:val="0"/>
        <w:adjustRightInd w:val="0"/>
        <w:spacing w:after="0" w:line="480" w:lineRule="auto"/>
        <w:jc w:val="both"/>
        <w:rPr>
          <w:rFonts w:ascii="Arial" w:hAnsi="Arial" w:cs="Arial"/>
          <w:sz w:val="24"/>
          <w:szCs w:val="24"/>
          <w:lang w:val="en-US"/>
        </w:rPr>
      </w:pPr>
      <w:r w:rsidRPr="0018334E">
        <w:rPr>
          <w:rFonts w:ascii="Arial" w:hAnsi="Arial" w:cs="Arial"/>
          <w:sz w:val="24"/>
          <w:szCs w:val="24"/>
          <w:lang w:val="en-US"/>
        </w:rPr>
        <w:t>I</w:t>
      </w:r>
      <w:r w:rsidR="00E22AEC" w:rsidRPr="0018334E">
        <w:rPr>
          <w:rFonts w:ascii="Arial" w:hAnsi="Arial" w:cs="Arial"/>
          <w:sz w:val="24"/>
          <w:szCs w:val="24"/>
          <w:lang w:val="en-US"/>
        </w:rPr>
        <w:t xml:space="preserve">ncident </w:t>
      </w:r>
      <w:r w:rsidR="003813A4" w:rsidRPr="0018334E">
        <w:rPr>
          <w:rFonts w:ascii="Arial" w:hAnsi="Arial" w:cs="Arial"/>
          <w:sz w:val="24"/>
          <w:szCs w:val="24"/>
          <w:lang w:val="en-US"/>
        </w:rPr>
        <w:t>type 2 diabetes</w:t>
      </w:r>
      <w:r w:rsidR="00E22AEC" w:rsidRPr="0018334E">
        <w:rPr>
          <w:rFonts w:ascii="Arial" w:hAnsi="Arial" w:cs="Arial"/>
          <w:sz w:val="24"/>
          <w:szCs w:val="24"/>
          <w:lang w:val="en-US"/>
        </w:rPr>
        <w:t xml:space="preserve"> </w:t>
      </w:r>
      <w:r w:rsidR="00D7290A" w:rsidRPr="0018334E">
        <w:rPr>
          <w:rFonts w:ascii="Arial" w:hAnsi="Arial" w:cs="Arial"/>
          <w:sz w:val="24"/>
          <w:szCs w:val="24"/>
          <w:lang w:val="en-US"/>
        </w:rPr>
        <w:t xml:space="preserve">cases </w:t>
      </w:r>
      <w:r w:rsidR="00E22AEC" w:rsidRPr="0018334E">
        <w:rPr>
          <w:rFonts w:ascii="Arial" w:hAnsi="Arial" w:cs="Arial"/>
          <w:sz w:val="24"/>
          <w:szCs w:val="24"/>
          <w:lang w:val="en-US"/>
        </w:rPr>
        <w:t>were identified</w:t>
      </w:r>
      <w:r w:rsidR="00605766" w:rsidRPr="0018334E">
        <w:rPr>
          <w:rFonts w:ascii="Arial" w:hAnsi="Arial" w:cs="Arial"/>
          <w:sz w:val="24"/>
          <w:szCs w:val="24"/>
          <w:lang w:val="en-US"/>
        </w:rPr>
        <w:t xml:space="preserve"> using multiple sources of evidence including self-report, linkage to primary-care registers, secondary-care registers, medication use, hospital admissions and mortality data. </w:t>
      </w:r>
      <w:r w:rsidR="00E22AEC" w:rsidRPr="0018334E">
        <w:rPr>
          <w:rFonts w:ascii="Arial" w:hAnsi="Arial" w:cs="Arial"/>
          <w:sz w:val="24"/>
          <w:szCs w:val="24"/>
          <w:lang w:val="en-US"/>
        </w:rPr>
        <w:t xml:space="preserve">Cases were </w:t>
      </w:r>
      <w:r w:rsidR="00B73DF0" w:rsidRPr="0018334E">
        <w:rPr>
          <w:rFonts w:ascii="Arial" w:hAnsi="Arial" w:cs="Arial"/>
          <w:sz w:val="24"/>
          <w:szCs w:val="24"/>
          <w:lang w:val="en-US"/>
        </w:rPr>
        <w:t xml:space="preserve">considered </w:t>
      </w:r>
      <w:r w:rsidR="00E22AEC" w:rsidRPr="0018334E">
        <w:rPr>
          <w:rFonts w:ascii="Arial" w:hAnsi="Arial" w:cs="Arial"/>
          <w:sz w:val="24"/>
          <w:szCs w:val="24"/>
          <w:lang w:val="en-US"/>
        </w:rPr>
        <w:t>verified if confirmed by a</w:t>
      </w:r>
      <w:r w:rsidRPr="0018334E">
        <w:rPr>
          <w:rFonts w:ascii="Arial" w:hAnsi="Arial" w:cs="Arial"/>
          <w:sz w:val="24"/>
          <w:szCs w:val="24"/>
          <w:lang w:val="en-US"/>
        </w:rPr>
        <w:t>t least two independent sources</w:t>
      </w:r>
      <w:r w:rsidR="00E22AEC" w:rsidRPr="0018334E">
        <w:rPr>
          <w:rFonts w:ascii="Arial" w:hAnsi="Arial" w:cs="Arial"/>
          <w:sz w:val="24"/>
          <w:szCs w:val="24"/>
          <w:lang w:val="en-US"/>
        </w:rPr>
        <w:t xml:space="preserve">. </w:t>
      </w:r>
      <w:r w:rsidRPr="0018334E">
        <w:rPr>
          <w:rFonts w:ascii="Arial" w:hAnsi="Arial" w:cs="Arial"/>
          <w:sz w:val="24"/>
          <w:szCs w:val="24"/>
          <w:lang w:val="en-US"/>
        </w:rPr>
        <w:t>Cases in Denmark and Sweden were identified via local and national diabetes and pharmaceutical registers and hence all ascertained cases were considered to be verified</w:t>
      </w:r>
      <w:r w:rsidR="00D7290A" w:rsidRPr="0018334E">
        <w:rPr>
          <w:rFonts w:ascii="Arial" w:hAnsi="Arial" w:cs="Arial"/>
          <w:sz w:val="24"/>
          <w:szCs w:val="24"/>
          <w:lang w:val="en-US"/>
        </w:rPr>
        <w:t xml:space="preserve"> </w:t>
      </w:r>
      <w:r w:rsidRPr="0018334E">
        <w:rPr>
          <w:rFonts w:ascii="Arial" w:hAnsi="Arial" w:cs="Arial"/>
          <w:sz w:val="24"/>
          <w:szCs w:val="24"/>
          <w:lang w:val="en-US"/>
        </w:rPr>
        <w:fldChar w:fldCharType="begin" w:fldLock="1"/>
      </w:r>
      <w:r w:rsidR="00891484">
        <w:rPr>
          <w:rFonts w:ascii="Arial" w:hAnsi="Arial" w:cs="Arial"/>
          <w:sz w:val="24"/>
          <w:szCs w:val="24"/>
          <w:lang w:val="en-US"/>
        </w:rPr>
        <w:instrText>ADDIN CSL_CITATION { "citationItems" : [ { "id" : "ITEM-1", "itemData" : { "DOI" : "10.1007/s00125-011-2182-9", "ISSN" : "1432-0428", "PMID" : "21717116", "abstract" : "AIMS/HYPOTHESIS: Studying gene-lifestyle interaction may help to identify lifestyle factors that modify genetic susceptibility and uncover genetic loci exerting important subgroup effects. Adequately powered studies with prospective, unbiased, standardised assessment of key behavioural factors for gene-lifestyle studies are lacking. This case-cohort study aims to investigate how genetic and potentially modifiable lifestyle and behavioural factors, particularly diet and physical activity, interact in their influence on the risk of developing type 2 diabetes. METHODS: Incident cases of type 2 diabetes occurring in European Prospective Investigation into Cancer and Nutrition (EPIC) cohorts between 1991 and 2007 from eight of the ten EPIC countries were ascertained and verified. Prentice-weighted Cox regression and random-effects meta-analyses were used to investigate differences in diabetes incidence by age and sex. RESULTS: A total of 12,403 verified incident cases of type 2 diabetes occurred during 3.99 million person-years of follow-up of 340,234 EPIC participants eligible for InterAct. We defined a centre-stratified subcohort of 16,154 individuals for comparative analyses. Individuals with incident diabetes who were randomly selected into the subcohort (n = 778) were included as cases in the analyses. All prevalent diabetes cases were excluded from the study. InterAct cases were followed-up for an average of 6.9 years; 49.7% were men. Mean baseline age and age at diagnosis were 55.6 and 62.5 years, mean BMI and waist circumference values were 29.4 kg/m(2) and 102.7 cm in men, and 30.1 kg/m(2) and 92.8 cm in women, respectively. Risk of type 2 diabetes increased linearly with age, with an overall HR of 1.56 (95% CI 1.48-1.64) for a 10 year age difference, adjusted for sex. A male excess in the risk of incident diabetes was consistently observed across all countries, with a pooled HR of 1.51 (95% CI 1.39-1.64), adjusted for age. CONCLUSIONS/INTERPRETATION: InterAct is a large, well-powered, prospective study that will inform our understanding of the interplay between genes and lifestyle factors on the risk of type 2 diabetes development.", "author" : [ { "dropping-particle" : "", "family" : "Langenberg", "given" : "Claudia", "non-dropping-particle" : "", "parse-names" : false, "suffix" : "" }, { "dropping-particle" : "", "family" : "Sharp", "given" : "S", "non-dropping-particle" : "", "parse-names" : false, "suffix" : "" }, { "dropping-particle" : "", "family" : "Forouhi", "given" : "Nita G", "non-dropping-particle" : "", "parse-names" : false, "suffix" : "" }, { "dropping-particle" : "", "family" : "Franks", "given" : "P W", "non-dropping-particle" : "", "parse-names" : false, "suffix" : "" }, { "dropping-particle" : "", "family" : "Schulze", "given" : "M B", "non-dropping-particle" : "", "parse-names" : false, "suffix" : "" }, { "dropping-particle" : "", "family" : "Kerrison", "given" : "N", "non-dropping-particle" : "", "parse-names" : false, "suffix" : "" }, { "dropping-particle" : "", "family" : "Ekelund", "given" : "U", "non-dropping-particle" : "", "parse-names" : false, "suffix" : "" }, { "dropping-particle" : "", "family" : "Barroso", "given" : "In\u00eas", "non-dropping-particle" : "", "parse-names" : false, "suffix" : "" }, { "dropping-particle" : "", "family" : "Panico", "given" : "S", "non-dropping-particle" : "", "parse-names" : false, "suffix" : "" }, { "dropping-particle" : "", "family" : "Tormo", "given" : "M J", "non-dropping-particle" : "", "parse-names" : false, "suffix" : "" }, { "dropping-particle" : "", "family" : "Spranger", "given" : "J", "non-dropping-particle" : "", "parse-names" : false, "suffix" : "" }, { "dropping-particle" : "", "family" : "Griffin", "given" : "S", "non-dropping-particle" : "", "parse-names" : false, "suffix" : "" }, { "dropping-particle" : "", "family" : "Schouw", "given" : "Yvonne T", "non-dropping-particle" : "van der", "parse-names" : false, "suffix" : "" }, { "dropping-particle" : "", "family" : "Amiano", "given" : "Pilar", "non-dropping-particle" : "", "parse-names" : false, "suffix" : "" }, { "dropping-particle" : "", "family" : "Ardanaz", "given" : "E", "non-dropping-particle" : "", "parse-names" : false, "suffix" : "" }, { "dropping-particle" : "", "family" : "Arriola", "given" : "Larraitz", "non-dropping-particle" : "", "parse-names" : false, "suffix" : "" }, { "dropping-particle" : "", "family" : "Balkau", "given" : "Beverley", "non-dropping-particle" : "", "parse-names" : false, "suffix" : "" }, { "dropping-particle" : "", "family" : "Barricarte", "given" : "A", "non-dropping-particle" : "", "parse-names" : false, "suffix" : "" }, { "dropping-particle" : "", "family" : "Beulens", "given" : "Joline W J", "non-dropping-particle" : "", "parse-names" : false, "suffix" : "" }, { "dropping-particle" : "", "family" : "Boeing", "given" : "H", "non-dropping-particle" : "", "parse-names" : false, "suffix" : "" }, { "dropping-particle" : "", "family" : "Bueno-de-Mesquita", "given" : "H B", "non-dropping-particle" : "", "parse-names" : false, "suffix" : "" }, { "dropping-particle" : "", "family" : "Buijsse", "given" : "B", "non-dropping-particle" : "", "parse-names" : false, "suffix" : "" }, { "dropping-particle" : "", "family" : "Chirlaque Lopez", "given" : "M D", "non-dropping-particle" : "", "parse-names" : false, "suffix" : "" }, { "dropping-particle" : "", "family" : "Clavel-Chapelon", "given" : "F", "non-dropping-particle" : "", "parse-names" : false, "suffix" : "" }, { "dropping-particle" : "", "family" : "Crowe", "given" : "F L", "non-dropping-particle" : "", "parse-names" : false, "suffix" : "" }, { "dropping-particle" : "", "family" : "Lauzon-Guillan", "given" : "B", "non-dropping-particle" : "de", "parse-names" : false, "suffix" : "" }, { "dropping-particle" : "", "family" : "Deloukas", "given" : "P", "non-dropping-particle" : "", "parse-names" : false, "suffix" : "" }, { "dropping-particle" : "", "family" : "Dorronsoro", "given" : "M", "non-dropping-particle" : "", "parse-names" : false, "suffix" : "" }, { "dropping-particle" : "", "family" : "Drogan", "given" : "D", "non-dropping-particle" : "", "parse-names" : false, "suffix" : "" }, { "dropping-particle" : "", "family" : "Froguel", "given" : "P", "non-dropping-particle" : "", "parse-names" : false, "suffix" : "" }, { "dropping-particle" : "", "family" : "Gonzalez", "given" : "C", "non-dropping-particle" : "", "parse-names" : false, "suffix" : "" }, { "dropping-particle" : "", "family" : "Grioni", "given" : "S", "non-dropping-particle" : "", "parse-names" : false, "suffix" : "" }, { "dropping-particle" : "", "family" : "Groop", "given" : "L", "non-dropping-particle" : "", "parse-names" : false, "suffix" : "" }, { "dropping-particle" : "", "family" : "Groves", "given" : "C", "non-dropping-particle" : "", "parse-names" : false, "suffix" : "" }, { "dropping-particle" : "", "family" : "Hainaut", "given" : "P", "non-dropping-particle" : "", "parse-names" : false, "suffix" : "" }, { "dropping-particle" : "", "family" : "Halkjaer", "given" : "J", "non-dropping-particle" : "", "parse-names" : false, "suffix" : "" }, { "dropping-particle" : "", "family" : "Hallmans", "given" : "G", "non-dropping-particle" : "", "parse-names" : false, "suffix" : "" }, { "dropping-particle" : "", "family" : "Hansen", "given" : "T", "non-dropping-particle" : "", "parse-names" : false, "suffix" : "" }, { "dropping-particle" : "", "family" : "Huerta Casta\u00f1o", "given" : "J M", "non-dropping-particle" : "", "parse-names" : false, "suffix" : "" }, { "dropping-particle" : "", "family" : "Kaaks", "given" : "R", "non-dropping-particle" : "", "parse-names" : false, "suffix" : "" }, { "dropping-particle" : "", "family" : "Key", "given" : "T J", "non-dropping-particle" : "", "parse-names" : false, "suffix" : "" }, { "dropping-particle" : "", "family" : "Khaw", "given" : "K T", "non-dropping-particle" : "", "parse-names" : false, "suffix" : "" }, { "dropping-particle" : "", "family" : "Koulman", "given" : "A", "non-dropping-particle" : "", "parse-names" : false, "suffix" : "" }, { "dropping-particle" : "", "family" : "Mattiello", "given" : "Amalia", "non-dropping-particle" : "", "parse-names" : false, "suffix" : "" }, { "dropping-particle" : "", "family" : "Navarro", "given" : "C", "non-dropping-particle" : "", "parse-names" : false, "suffix" : "" }, { "dropping-particle" : "", "family" : "Nilsson", "given" : "P", "non-dropping-particle" : "", "parse-names" : false, "suffix" : "" }, { "dropping-particle" : "", "family" : "Norat", "given" : "T", "non-dropping-particle" : "", "parse-names" : false, "suffix" : "" }, { "dropping-particle" : "", "family" : "Overvad", "given" : "K", "non-dropping-particle" : "", "parse-names" : false, "suffix" : "" }, { "dropping-particle" : "", "family" : "Palla", "given" : "L", "non-dropping-particle" : "", "parse-names" : false, "suffix" : "" }, { "dropping-particle" : "", "family" : "Palli", "given" : "D", "non-dropping-particle" : "", "parse-names" : false, "suffix" : "" }, { "dropping-particle" : "", "family" : "Pedersen", "given" : "O", "non-dropping-particle" : "", "parse-names" : false, "suffix" : "" }, { "dropping-particle" : "", "family" : "Peeters", "given" : "P H", "non-dropping-particle" : "", "parse-names" : false, "suffix" : "" }, { "dropping-particle" : "", "family" : "Quir\u00f3s", "given" : "J R", "non-dropping-particle" : "", "parse-names" : false, "suffix" : "" }, { "dropping-particle" : "", "family" : "Ramachandran", "given" : "A", "non-dropping-particle" : "", "parse-names" : false, "suffix" : "" }, { "dropping-particle" : "", "family" : "Rodriguez-Suarez", "given" : "L", "non-dropping-particle" : "", "parse-names" : false, "suffix" : "" }, { "dropping-particle" : "", "family" : "Rolandsson", "given" : "O", "non-dropping-particle" : "", "parse-names" : false, "suffix" : "" }, { "dropping-particle" : "", "family" : "Romaguera", "given" : "D", "non-dropping-particle" : "", "parse-names" : false, "suffix" : "" }, { "dropping-particle" : "", "family" : "Romieu", "given" : "I", "non-dropping-particle" : "", "parse-names" : false, "suffix" : "" }, { "dropping-particle" : "", "family" : "Sacerdote", "given" : "C", "non-dropping-particle" : "", "parse-names" : false, "suffix" : "" }, { "dropping-particle" : "", "family" : "S\u00e1nchez", "given" : "M J", "non-dropping-particle" : "", "parse-names" : false, "suffix" : "" }, { "dropping-particle" : "", "family" : "Sandbaek", "given" : "A", "non-dropping-particle" : "", "parse-names" : false, "suffix" : "" }, { "dropping-particle" : "", "family" : "Slimani", "given" : "N", "non-dropping-particle" : "", "parse-names" : false, "suffix" : "" }, { "dropping-particle" : "", "family" : "Sluijs", "given" : "I", "non-dropping-particle" : "", "parse-names" : false, "suffix" : "" }, { "dropping-particle" : "", "family" : "Spijkerman", "given" : "a M W", "non-dropping-particle" : "", "parse-names" : false, "suffix" : "" }, { "dropping-particle" : "", "family" : "Teucher", "given" : "B", "non-dropping-particle" : "", "parse-names" : false, "suffix" : "" }, { "dropping-particle" : "", "family" : "Tjonneland", "given" : "A", "non-dropping-particle" : "", "parse-names" : false, "suffix" : "" }, { "dropping-particle" : "", "family" : "Tumino", "given" : "R", "non-dropping-particle" : "", "parse-names" : false, "suffix" : "" }, { "dropping-particle" : "", "family" : "A", "given" : "Daphne L", "non-dropping-particle" : "van der", "parse-names" : false, "suffix" : "" }, { "dropping-particle" : "", "family" : "Verschuren", "given" : "W M M", "non-dropping-particle" : "", "parse-names" : false, "suffix" : "" }, { "dropping-particle" : "", "family" : "Tuomilehto", "given" : "J", "non-dropping-particle" : "", "parse-names" : false, "suffix" : "" }, { "dropping-particle" : "", "family" : "Feskens", "given" : "E", "non-dropping-particle" : "", "parse-names" : false, "suffix" : "" }, { "dropping-particle" : "", "family" : "McCarthy", "given" : "M", "non-dropping-particle" : "", "parse-names" : false, "suffix" : "" }, { "dropping-particle" : "", "family" : "Riboli", "given" : "Elio", "non-dropping-particle" : "", "parse-names" : false, "suffix" : "" }, { "dropping-particle" : "", "family" : "Wareham", "given" : "Nicholas J", "non-dropping-particle" : "", "parse-names" : false, "suffix" : "" } ], "container-title" : "Diabetologia", "id" : "ITEM-1", "issue" : "9", "issued" : { "date-parts" : [ [ "2011", "9" ] ] }, "page" : "2272-82", "title" : "Design and cohort description of the InterAct Project: an examination of the interaction of genetic and lifestyle factors on the incidence of type 2 diabetes in the EPIC Study.", "type" : "article-journal", "volume" : "54" }, "uris" : [ "http://www.mendeley.com/documents/?uuid=a2b6b5ed-e9bb-4ce0-9be1-a788171cf43f" ] } ], "mendeley" : { "formattedCitation" : "(15)", "plainTextFormattedCitation" : "(15)", "previouslyFormattedCitation" : "(15)" }, "properties" : { "noteIndex" : 0 }, "schema" : "https://github.com/citation-style-language/schema/raw/master/csl-citation.json" }</w:instrText>
      </w:r>
      <w:r w:rsidRPr="0018334E">
        <w:rPr>
          <w:rFonts w:ascii="Arial" w:hAnsi="Arial" w:cs="Arial"/>
          <w:sz w:val="24"/>
          <w:szCs w:val="24"/>
          <w:lang w:val="en-US"/>
        </w:rPr>
        <w:fldChar w:fldCharType="separate"/>
      </w:r>
      <w:r w:rsidR="00891484" w:rsidRPr="00891484">
        <w:rPr>
          <w:rFonts w:ascii="Arial" w:hAnsi="Arial" w:cs="Arial"/>
          <w:noProof/>
          <w:sz w:val="24"/>
          <w:szCs w:val="24"/>
          <w:lang w:val="en-US"/>
        </w:rPr>
        <w:t>(15)</w:t>
      </w:r>
      <w:r w:rsidRPr="0018334E">
        <w:rPr>
          <w:rFonts w:ascii="Arial" w:hAnsi="Arial" w:cs="Arial"/>
          <w:sz w:val="24"/>
          <w:szCs w:val="24"/>
          <w:lang w:val="en-US"/>
        </w:rPr>
        <w:fldChar w:fldCharType="end"/>
      </w:r>
      <w:r w:rsidR="00D7290A" w:rsidRPr="0018334E">
        <w:rPr>
          <w:rFonts w:ascii="Arial" w:hAnsi="Arial" w:cs="Arial"/>
          <w:sz w:val="24"/>
          <w:szCs w:val="24"/>
          <w:lang w:val="en-US"/>
        </w:rPr>
        <w:t>.</w:t>
      </w:r>
      <w:r w:rsidR="007C3BE1" w:rsidRPr="0018334E">
        <w:rPr>
          <w:rFonts w:ascii="Arial" w:hAnsi="Arial" w:cs="Arial"/>
          <w:sz w:val="24"/>
          <w:szCs w:val="24"/>
          <w:lang w:val="en-US"/>
        </w:rPr>
        <w:t xml:space="preserve"> </w:t>
      </w:r>
      <w:r w:rsidRPr="0018334E">
        <w:rPr>
          <w:rFonts w:ascii="Arial" w:hAnsi="Arial" w:cs="Arial"/>
          <w:sz w:val="24"/>
          <w:szCs w:val="24"/>
          <w:lang w:val="en-US"/>
        </w:rPr>
        <w:t>Follow-up was censored at date of diagnosis, 31</w:t>
      </w:r>
      <w:r w:rsidR="008B5A09" w:rsidRPr="0018334E">
        <w:rPr>
          <w:rFonts w:ascii="Arial" w:hAnsi="Arial" w:cs="Arial"/>
          <w:sz w:val="24"/>
          <w:szCs w:val="24"/>
          <w:vertAlign w:val="superscript"/>
          <w:lang w:val="en-US"/>
        </w:rPr>
        <w:t>st</w:t>
      </w:r>
      <w:r w:rsidR="008B5A09" w:rsidRPr="0018334E">
        <w:rPr>
          <w:rFonts w:ascii="Arial" w:hAnsi="Arial" w:cs="Arial"/>
          <w:sz w:val="24"/>
          <w:szCs w:val="24"/>
          <w:lang w:val="en-US"/>
        </w:rPr>
        <w:t xml:space="preserve"> December 2007 or </w:t>
      </w:r>
      <w:r w:rsidRPr="0018334E">
        <w:rPr>
          <w:rFonts w:ascii="Arial" w:hAnsi="Arial" w:cs="Arial"/>
          <w:sz w:val="24"/>
          <w:szCs w:val="24"/>
          <w:lang w:val="en-US"/>
        </w:rPr>
        <w:t xml:space="preserve">date of death, whichever occurred first. </w:t>
      </w:r>
    </w:p>
    <w:p w:rsidR="00D7290A" w:rsidRDefault="00D7290A" w:rsidP="00F328BE">
      <w:pPr>
        <w:autoSpaceDE w:val="0"/>
        <w:autoSpaceDN w:val="0"/>
        <w:adjustRightInd w:val="0"/>
        <w:spacing w:after="0" w:line="480" w:lineRule="auto"/>
        <w:jc w:val="both"/>
        <w:rPr>
          <w:rFonts w:ascii="Arial" w:hAnsi="Arial" w:cs="Arial"/>
          <w:sz w:val="24"/>
          <w:szCs w:val="24"/>
          <w:lang w:val="en-US"/>
        </w:rPr>
      </w:pPr>
    </w:p>
    <w:p w:rsidR="007656D2" w:rsidRPr="0018334E" w:rsidRDefault="007656D2" w:rsidP="00F328BE">
      <w:pPr>
        <w:autoSpaceDE w:val="0"/>
        <w:autoSpaceDN w:val="0"/>
        <w:adjustRightInd w:val="0"/>
        <w:spacing w:after="0" w:line="480" w:lineRule="auto"/>
        <w:jc w:val="both"/>
        <w:rPr>
          <w:rFonts w:ascii="Arial" w:hAnsi="Arial" w:cs="Arial"/>
          <w:sz w:val="24"/>
          <w:szCs w:val="24"/>
          <w:lang w:val="en-US"/>
        </w:rPr>
      </w:pPr>
    </w:p>
    <w:p w:rsidR="00605766" w:rsidRPr="007632BD" w:rsidRDefault="00605766" w:rsidP="00F328BE">
      <w:pPr>
        <w:pStyle w:val="ListParagraph"/>
        <w:spacing w:after="0" w:line="480" w:lineRule="auto"/>
        <w:ind w:left="1080"/>
        <w:jc w:val="both"/>
        <w:rPr>
          <w:rFonts w:ascii="Arial" w:hAnsi="Arial" w:cs="Arial"/>
          <w:i/>
          <w:sz w:val="24"/>
          <w:szCs w:val="24"/>
          <w:lang w:val="en-US"/>
        </w:rPr>
      </w:pPr>
      <w:r w:rsidRPr="007632BD">
        <w:rPr>
          <w:rFonts w:ascii="Arial" w:hAnsi="Arial" w:cs="Arial"/>
          <w:i/>
          <w:sz w:val="24"/>
          <w:szCs w:val="24"/>
          <w:lang w:val="en-US"/>
        </w:rPr>
        <w:t>Laboratory measurements</w:t>
      </w:r>
    </w:p>
    <w:p w:rsidR="00D7290A" w:rsidRPr="0018334E" w:rsidRDefault="00A62EC7" w:rsidP="00F328BE">
      <w:pPr>
        <w:spacing w:before="120" w:after="120" w:line="480" w:lineRule="auto"/>
        <w:jc w:val="both"/>
        <w:rPr>
          <w:rFonts w:ascii="Arial" w:hAnsi="Arial" w:cs="Arial"/>
          <w:sz w:val="24"/>
          <w:szCs w:val="24"/>
          <w:lang w:val="en-US"/>
        </w:rPr>
      </w:pPr>
      <w:r w:rsidRPr="0018334E">
        <w:rPr>
          <w:rFonts w:ascii="Arial" w:hAnsi="Arial" w:cs="Arial"/>
          <w:sz w:val="24"/>
          <w:szCs w:val="24"/>
          <w:lang w:val="en-US"/>
        </w:rPr>
        <w:lastRenderedPageBreak/>
        <w:t>S</w:t>
      </w:r>
      <w:r w:rsidR="00DD4D47" w:rsidRPr="0018334E">
        <w:rPr>
          <w:rFonts w:ascii="Arial" w:hAnsi="Arial" w:cs="Arial"/>
          <w:sz w:val="24"/>
          <w:szCs w:val="24"/>
          <w:lang w:val="en-US"/>
        </w:rPr>
        <w:t>erum samples were</w:t>
      </w:r>
      <w:r w:rsidR="00CC5AD7" w:rsidRPr="0018334E">
        <w:rPr>
          <w:rFonts w:ascii="Arial" w:hAnsi="Arial" w:cs="Arial"/>
          <w:sz w:val="24"/>
          <w:szCs w:val="24"/>
          <w:lang w:val="en-US"/>
        </w:rPr>
        <w:t xml:space="preserve"> used to measure the b</w:t>
      </w:r>
      <w:r w:rsidR="00B233C0" w:rsidRPr="0018334E">
        <w:rPr>
          <w:rFonts w:ascii="Arial" w:hAnsi="Arial" w:cs="Arial"/>
          <w:sz w:val="24"/>
          <w:szCs w:val="24"/>
          <w:lang w:val="en-US"/>
        </w:rPr>
        <w:t>iomarkers</w:t>
      </w:r>
      <w:r w:rsidR="0034768B" w:rsidRPr="0018334E">
        <w:rPr>
          <w:rFonts w:ascii="Arial" w:hAnsi="Arial" w:cs="Arial"/>
          <w:sz w:val="24"/>
          <w:szCs w:val="24"/>
          <w:lang w:val="en-US"/>
        </w:rPr>
        <w:t xml:space="preserve"> </w:t>
      </w:r>
      <w:r w:rsidR="00CC5AD7" w:rsidRPr="0018334E">
        <w:rPr>
          <w:rFonts w:ascii="Arial" w:hAnsi="Arial" w:cs="Arial"/>
          <w:sz w:val="24"/>
          <w:szCs w:val="24"/>
          <w:lang w:val="en-US"/>
        </w:rPr>
        <w:t>in all centers</w:t>
      </w:r>
      <w:r w:rsidR="00522D64" w:rsidRPr="0018334E">
        <w:rPr>
          <w:rFonts w:ascii="Arial" w:hAnsi="Arial" w:cs="Arial"/>
          <w:sz w:val="24"/>
          <w:szCs w:val="24"/>
          <w:lang w:val="en-US"/>
        </w:rPr>
        <w:t>,</w:t>
      </w:r>
      <w:r w:rsidR="00B233C0" w:rsidRPr="0018334E">
        <w:rPr>
          <w:rFonts w:ascii="Arial" w:hAnsi="Arial" w:cs="Arial"/>
          <w:sz w:val="24"/>
          <w:szCs w:val="24"/>
          <w:lang w:val="en-US"/>
        </w:rPr>
        <w:t xml:space="preserve"> except Umea (</w:t>
      </w:r>
      <w:r w:rsidR="00B233C0" w:rsidRPr="0018334E">
        <w:rPr>
          <w:rFonts w:ascii="Arial" w:hAnsi="Arial" w:cs="Arial"/>
          <w:i/>
          <w:sz w:val="24"/>
          <w:szCs w:val="24"/>
          <w:lang w:val="en-US"/>
        </w:rPr>
        <w:t>n</w:t>
      </w:r>
      <w:r w:rsidR="008B5A09" w:rsidRPr="0018334E">
        <w:rPr>
          <w:rFonts w:ascii="Arial" w:hAnsi="Arial" w:cs="Arial"/>
          <w:sz w:val="24"/>
          <w:szCs w:val="24"/>
          <w:lang w:val="en-US"/>
        </w:rPr>
        <w:t>=1,845)</w:t>
      </w:r>
      <w:r w:rsidR="00B233C0" w:rsidRPr="0018334E">
        <w:rPr>
          <w:rFonts w:ascii="Arial" w:hAnsi="Arial" w:cs="Arial"/>
          <w:sz w:val="24"/>
          <w:szCs w:val="24"/>
          <w:lang w:val="en-US"/>
        </w:rPr>
        <w:t xml:space="preserve"> where only plasma</w:t>
      </w:r>
      <w:r w:rsidR="000314CF" w:rsidRPr="0018334E">
        <w:rPr>
          <w:rFonts w:ascii="Arial" w:hAnsi="Arial" w:cs="Arial"/>
          <w:sz w:val="24"/>
          <w:szCs w:val="24"/>
          <w:lang w:val="en-US"/>
        </w:rPr>
        <w:t xml:space="preserve"> samples were </w:t>
      </w:r>
      <w:r w:rsidR="00B233C0" w:rsidRPr="0018334E">
        <w:rPr>
          <w:rFonts w:ascii="Arial" w:hAnsi="Arial" w:cs="Arial"/>
          <w:sz w:val="24"/>
          <w:szCs w:val="24"/>
          <w:lang w:val="en-US"/>
        </w:rPr>
        <w:t>available</w:t>
      </w:r>
      <w:r w:rsidR="00CC5AD7" w:rsidRPr="0018334E">
        <w:rPr>
          <w:rFonts w:ascii="Arial" w:hAnsi="Arial" w:cs="Arial"/>
          <w:sz w:val="24"/>
          <w:szCs w:val="24"/>
          <w:lang w:val="en-US"/>
        </w:rPr>
        <w:t xml:space="preserve"> and only ferritin </w:t>
      </w:r>
      <w:r w:rsidRPr="0018334E">
        <w:rPr>
          <w:rFonts w:ascii="Arial" w:hAnsi="Arial" w:cs="Arial"/>
          <w:sz w:val="24"/>
          <w:szCs w:val="24"/>
          <w:lang w:val="en-US"/>
        </w:rPr>
        <w:t>could be</w:t>
      </w:r>
      <w:r w:rsidR="00CC5AD7" w:rsidRPr="0018334E">
        <w:rPr>
          <w:rFonts w:ascii="Arial" w:hAnsi="Arial" w:cs="Arial"/>
          <w:sz w:val="24"/>
          <w:szCs w:val="24"/>
          <w:lang w:val="en-US"/>
        </w:rPr>
        <w:t xml:space="preserve"> measured</w:t>
      </w:r>
      <w:r w:rsidR="00605766" w:rsidRPr="0018334E">
        <w:rPr>
          <w:rFonts w:ascii="Arial" w:hAnsi="Arial" w:cs="Arial"/>
          <w:sz w:val="24"/>
          <w:szCs w:val="24"/>
          <w:lang w:val="en-US"/>
        </w:rPr>
        <w:t xml:space="preserve">. </w:t>
      </w:r>
      <w:r w:rsidR="003124DF" w:rsidRPr="0018334E">
        <w:rPr>
          <w:rFonts w:ascii="Arial" w:hAnsi="Arial" w:cs="Arial"/>
          <w:sz w:val="24"/>
          <w:szCs w:val="24"/>
          <w:lang w:val="en-US"/>
        </w:rPr>
        <w:t xml:space="preserve">All </w:t>
      </w:r>
      <w:r w:rsidR="00A74FB5" w:rsidRPr="0018334E">
        <w:rPr>
          <w:rFonts w:ascii="Arial" w:hAnsi="Arial" w:cs="Arial"/>
          <w:sz w:val="24"/>
          <w:szCs w:val="24"/>
          <w:lang w:val="en-US"/>
        </w:rPr>
        <w:t>measurements</w:t>
      </w:r>
      <w:r w:rsidR="003124DF" w:rsidRPr="0018334E">
        <w:rPr>
          <w:rFonts w:ascii="Arial" w:hAnsi="Arial" w:cs="Arial"/>
          <w:sz w:val="24"/>
          <w:szCs w:val="24"/>
          <w:lang w:val="en-US"/>
        </w:rPr>
        <w:t xml:space="preserve"> were done at the </w:t>
      </w:r>
      <w:proofErr w:type="spellStart"/>
      <w:r w:rsidR="005829C0" w:rsidRPr="0018334E">
        <w:rPr>
          <w:rFonts w:ascii="Arial" w:hAnsi="Arial" w:cs="Arial"/>
          <w:sz w:val="24"/>
          <w:szCs w:val="24"/>
        </w:rPr>
        <w:t>Stichting</w:t>
      </w:r>
      <w:proofErr w:type="spellEnd"/>
      <w:r w:rsidR="005829C0" w:rsidRPr="0018334E">
        <w:rPr>
          <w:rFonts w:ascii="Arial" w:hAnsi="Arial" w:cs="Arial"/>
          <w:sz w:val="24"/>
          <w:szCs w:val="24"/>
        </w:rPr>
        <w:t xml:space="preserve"> </w:t>
      </w:r>
      <w:proofErr w:type="spellStart"/>
      <w:r w:rsidR="005829C0" w:rsidRPr="0018334E">
        <w:rPr>
          <w:rFonts w:ascii="Arial" w:hAnsi="Arial" w:cs="Arial"/>
          <w:sz w:val="24"/>
          <w:szCs w:val="24"/>
        </w:rPr>
        <w:t>Huisartsen</w:t>
      </w:r>
      <w:proofErr w:type="spellEnd"/>
      <w:r w:rsidR="005829C0" w:rsidRPr="0018334E">
        <w:rPr>
          <w:rFonts w:ascii="Arial" w:hAnsi="Arial" w:cs="Arial"/>
          <w:sz w:val="24"/>
          <w:szCs w:val="24"/>
        </w:rPr>
        <w:t xml:space="preserve"> </w:t>
      </w:r>
      <w:proofErr w:type="spellStart"/>
      <w:r w:rsidR="005829C0" w:rsidRPr="0018334E">
        <w:rPr>
          <w:rFonts w:ascii="Arial" w:hAnsi="Arial" w:cs="Arial"/>
          <w:sz w:val="24"/>
          <w:szCs w:val="24"/>
        </w:rPr>
        <w:t>Laborator</w:t>
      </w:r>
      <w:r w:rsidR="00A74FB5" w:rsidRPr="0018334E">
        <w:rPr>
          <w:rFonts w:ascii="Arial" w:hAnsi="Arial" w:cs="Arial"/>
          <w:sz w:val="24"/>
          <w:szCs w:val="24"/>
        </w:rPr>
        <w:t>ium</w:t>
      </w:r>
      <w:proofErr w:type="spellEnd"/>
      <w:r w:rsidR="005829C0" w:rsidRPr="0018334E">
        <w:rPr>
          <w:rFonts w:ascii="Arial" w:hAnsi="Arial" w:cs="Arial"/>
          <w:sz w:val="24"/>
          <w:szCs w:val="24"/>
        </w:rPr>
        <w:t xml:space="preserve">, </w:t>
      </w:r>
      <w:proofErr w:type="spellStart"/>
      <w:r w:rsidR="005829C0" w:rsidRPr="0018334E">
        <w:rPr>
          <w:rFonts w:ascii="Arial" w:hAnsi="Arial" w:cs="Arial"/>
          <w:sz w:val="24"/>
          <w:szCs w:val="24"/>
          <w:lang w:eastAsia="en-GB"/>
        </w:rPr>
        <w:t>Etten-Leur</w:t>
      </w:r>
      <w:proofErr w:type="spellEnd"/>
      <w:r w:rsidR="005829C0" w:rsidRPr="0018334E">
        <w:rPr>
          <w:rFonts w:ascii="Arial" w:hAnsi="Arial" w:cs="Arial"/>
          <w:sz w:val="24"/>
          <w:szCs w:val="24"/>
          <w:lang w:eastAsia="en-GB"/>
        </w:rPr>
        <w:t xml:space="preserve">, </w:t>
      </w:r>
      <w:proofErr w:type="gramStart"/>
      <w:r w:rsidR="005829C0" w:rsidRPr="0018334E">
        <w:rPr>
          <w:rFonts w:ascii="Arial" w:hAnsi="Arial" w:cs="Arial"/>
          <w:sz w:val="24"/>
          <w:szCs w:val="24"/>
        </w:rPr>
        <w:t>the</w:t>
      </w:r>
      <w:proofErr w:type="gramEnd"/>
      <w:r w:rsidR="005829C0" w:rsidRPr="0018334E">
        <w:rPr>
          <w:rFonts w:ascii="Arial" w:hAnsi="Arial" w:cs="Arial"/>
          <w:sz w:val="24"/>
          <w:szCs w:val="24"/>
        </w:rPr>
        <w:t xml:space="preserve"> Netherlands</w:t>
      </w:r>
      <w:r w:rsidR="003124DF" w:rsidRPr="0018334E">
        <w:rPr>
          <w:rFonts w:ascii="Arial" w:hAnsi="Arial" w:cs="Arial"/>
          <w:sz w:val="24"/>
          <w:szCs w:val="24"/>
          <w:lang w:eastAsia="en-GB"/>
        </w:rPr>
        <w:t xml:space="preserve">. </w:t>
      </w:r>
      <w:proofErr w:type="spellStart"/>
      <w:r w:rsidR="00BD5CEA" w:rsidRPr="0018334E">
        <w:rPr>
          <w:rFonts w:ascii="Arial" w:hAnsi="Arial" w:cs="Arial"/>
          <w:sz w:val="24"/>
          <w:szCs w:val="24"/>
          <w:lang w:val="en-US"/>
        </w:rPr>
        <w:t>Cobas</w:t>
      </w:r>
      <w:proofErr w:type="spellEnd"/>
      <w:r w:rsidR="00BD5CEA" w:rsidRPr="0018334E">
        <w:rPr>
          <w:rFonts w:ascii="Arial" w:hAnsi="Arial" w:cs="Arial"/>
          <w:sz w:val="24"/>
          <w:szCs w:val="24"/>
          <w:lang w:val="en-US"/>
        </w:rPr>
        <w:t>® assays were used to measure ferritin (</w:t>
      </w:r>
      <w:proofErr w:type="spellStart"/>
      <w:r w:rsidR="00BD5CEA" w:rsidRPr="0018334E">
        <w:rPr>
          <w:rFonts w:ascii="Arial" w:hAnsi="Arial" w:cs="Arial"/>
          <w:sz w:val="24"/>
          <w:szCs w:val="24"/>
          <w:lang w:val="en-US"/>
        </w:rPr>
        <w:t>electrochemiluminescence</w:t>
      </w:r>
      <w:proofErr w:type="spellEnd"/>
      <w:r w:rsidR="00BD5CEA" w:rsidRPr="0018334E">
        <w:rPr>
          <w:rFonts w:ascii="Arial" w:hAnsi="Arial" w:cs="Arial"/>
          <w:sz w:val="24"/>
          <w:szCs w:val="24"/>
          <w:lang w:val="en-US"/>
        </w:rPr>
        <w:t xml:space="preserve"> immunoassay sandwich principle</w:t>
      </w:r>
      <w:r w:rsidR="00337850" w:rsidRPr="0018334E">
        <w:rPr>
          <w:rFonts w:ascii="Arial" w:hAnsi="Arial" w:cs="Arial"/>
          <w:sz w:val="24"/>
          <w:szCs w:val="24"/>
          <w:lang w:val="en-US"/>
        </w:rPr>
        <w:t>), iron (colorimetric assay) and transferrin (</w:t>
      </w:r>
      <w:proofErr w:type="spellStart"/>
      <w:r w:rsidR="00337850" w:rsidRPr="0018334E">
        <w:rPr>
          <w:rFonts w:ascii="Arial" w:hAnsi="Arial" w:cs="Arial"/>
          <w:sz w:val="24"/>
          <w:szCs w:val="24"/>
          <w:lang w:val="en-US"/>
        </w:rPr>
        <w:t>immunoturbidimetric</w:t>
      </w:r>
      <w:proofErr w:type="spellEnd"/>
      <w:r w:rsidR="00337850" w:rsidRPr="0018334E">
        <w:rPr>
          <w:rFonts w:ascii="Arial" w:hAnsi="Arial" w:cs="Arial"/>
          <w:sz w:val="24"/>
          <w:szCs w:val="24"/>
          <w:lang w:val="en-US"/>
        </w:rPr>
        <w:t xml:space="preserve"> assay)</w:t>
      </w:r>
      <w:r w:rsidR="00BD5CEA" w:rsidRPr="0018334E">
        <w:rPr>
          <w:rFonts w:ascii="Arial" w:hAnsi="Arial" w:cs="Arial"/>
          <w:sz w:val="24"/>
          <w:szCs w:val="24"/>
          <w:lang w:val="en-US"/>
        </w:rPr>
        <w:t xml:space="preserve"> on a Roche Hitachi Modular P </w:t>
      </w:r>
      <w:r w:rsidR="004E5595" w:rsidRPr="0018334E">
        <w:rPr>
          <w:rFonts w:ascii="Arial" w:hAnsi="Arial" w:cs="Arial"/>
          <w:sz w:val="24"/>
          <w:szCs w:val="24"/>
          <w:lang w:val="en-US"/>
        </w:rPr>
        <w:t>analyzer</w:t>
      </w:r>
      <w:r w:rsidR="00BD5CEA" w:rsidRPr="0018334E">
        <w:rPr>
          <w:rFonts w:ascii="Arial" w:hAnsi="Arial" w:cs="Arial"/>
          <w:sz w:val="24"/>
          <w:szCs w:val="24"/>
          <w:lang w:val="en-US"/>
        </w:rPr>
        <w:t>.</w:t>
      </w:r>
      <w:r w:rsidR="00337850" w:rsidRPr="0018334E">
        <w:rPr>
          <w:rFonts w:ascii="Arial" w:hAnsi="Arial" w:cs="Arial"/>
          <w:sz w:val="24"/>
          <w:szCs w:val="24"/>
          <w:lang w:val="en-US"/>
        </w:rPr>
        <w:t xml:space="preserve"> </w:t>
      </w:r>
      <w:r w:rsidR="00675D7B" w:rsidRPr="00675D7B">
        <w:rPr>
          <w:rFonts w:ascii="Arial" w:hAnsi="Arial" w:cs="Arial"/>
          <w:sz w:val="24"/>
          <w:szCs w:val="24"/>
          <w:lang w:val="en-US"/>
        </w:rPr>
        <w:t xml:space="preserve">The assay </w:t>
      </w:r>
      <w:r w:rsidR="004C009C">
        <w:rPr>
          <w:rFonts w:ascii="Arial" w:hAnsi="Arial" w:cs="Arial"/>
          <w:sz w:val="24"/>
          <w:szCs w:val="24"/>
          <w:lang w:val="en-US"/>
        </w:rPr>
        <w:t xml:space="preserve">range </w:t>
      </w:r>
      <w:r w:rsidR="00675D7B" w:rsidRPr="00675D7B">
        <w:rPr>
          <w:rFonts w:ascii="Arial" w:hAnsi="Arial" w:cs="Arial"/>
          <w:sz w:val="24"/>
          <w:szCs w:val="24"/>
          <w:lang w:val="en-US"/>
        </w:rPr>
        <w:t xml:space="preserve">for serum iron was 0.9-179 </w:t>
      </w:r>
      <w:proofErr w:type="spellStart"/>
      <w:r w:rsidR="00BB65FC" w:rsidRPr="0018334E">
        <w:rPr>
          <w:rFonts w:ascii="Arial" w:hAnsi="Arial" w:cs="Arial"/>
          <w:sz w:val="24"/>
          <w:szCs w:val="24"/>
          <w:lang w:val="en-US"/>
        </w:rPr>
        <w:t>μ</w:t>
      </w:r>
      <w:r w:rsidR="00675D7B" w:rsidRPr="00675D7B">
        <w:rPr>
          <w:rFonts w:ascii="Arial" w:hAnsi="Arial" w:cs="Arial"/>
          <w:sz w:val="24"/>
          <w:szCs w:val="24"/>
          <w:lang w:val="en-US"/>
        </w:rPr>
        <w:t>mol</w:t>
      </w:r>
      <w:proofErr w:type="spellEnd"/>
      <w:r w:rsidR="00675D7B" w:rsidRPr="00675D7B">
        <w:rPr>
          <w:rFonts w:ascii="Arial" w:hAnsi="Arial" w:cs="Arial"/>
          <w:sz w:val="24"/>
          <w:szCs w:val="24"/>
          <w:lang w:val="en-US"/>
        </w:rPr>
        <w:t xml:space="preserve">/l, that for transferrin was 1.26-63 </w:t>
      </w:r>
      <w:proofErr w:type="spellStart"/>
      <w:r w:rsidR="00BB65FC" w:rsidRPr="0018334E">
        <w:rPr>
          <w:rFonts w:ascii="Arial" w:hAnsi="Arial" w:cs="Arial"/>
          <w:sz w:val="24"/>
          <w:szCs w:val="24"/>
          <w:lang w:val="en-US"/>
        </w:rPr>
        <w:t>μ</w:t>
      </w:r>
      <w:r w:rsidR="00675D7B" w:rsidRPr="00675D7B">
        <w:rPr>
          <w:rFonts w:ascii="Arial" w:hAnsi="Arial" w:cs="Arial"/>
          <w:sz w:val="24"/>
          <w:szCs w:val="24"/>
          <w:lang w:val="en-US"/>
        </w:rPr>
        <w:t>mol</w:t>
      </w:r>
      <w:proofErr w:type="spellEnd"/>
      <w:r w:rsidR="00675D7B" w:rsidRPr="00675D7B">
        <w:rPr>
          <w:rFonts w:ascii="Arial" w:hAnsi="Arial" w:cs="Arial"/>
          <w:sz w:val="24"/>
          <w:szCs w:val="24"/>
          <w:lang w:val="en-US"/>
        </w:rPr>
        <w:t xml:space="preserve">/l and that </w:t>
      </w:r>
      <w:r w:rsidR="009543D9">
        <w:rPr>
          <w:rFonts w:ascii="Arial" w:hAnsi="Arial" w:cs="Arial"/>
          <w:sz w:val="24"/>
          <w:szCs w:val="24"/>
          <w:lang w:val="en-US"/>
        </w:rPr>
        <w:t xml:space="preserve">for </w:t>
      </w:r>
      <w:r w:rsidR="00675D7B" w:rsidRPr="00675D7B">
        <w:rPr>
          <w:rFonts w:ascii="Arial" w:hAnsi="Arial" w:cs="Arial"/>
          <w:sz w:val="24"/>
          <w:szCs w:val="24"/>
          <w:lang w:val="en-US"/>
        </w:rPr>
        <w:t xml:space="preserve">ferritin was 0.5-2000 </w:t>
      </w:r>
      <w:proofErr w:type="spellStart"/>
      <w:r w:rsidR="00BB65FC" w:rsidRPr="0018334E">
        <w:rPr>
          <w:rFonts w:ascii="Arial" w:hAnsi="Arial" w:cs="Arial"/>
          <w:sz w:val="24"/>
          <w:szCs w:val="24"/>
          <w:lang w:val="en-US"/>
        </w:rPr>
        <w:t>μ</w:t>
      </w:r>
      <w:r w:rsidR="00675D7B" w:rsidRPr="00675D7B">
        <w:rPr>
          <w:rFonts w:ascii="Arial" w:hAnsi="Arial" w:cs="Arial"/>
          <w:sz w:val="24"/>
          <w:szCs w:val="24"/>
          <w:lang w:val="en-US"/>
        </w:rPr>
        <w:t>g</w:t>
      </w:r>
      <w:proofErr w:type="spellEnd"/>
      <w:r w:rsidR="00675D7B" w:rsidRPr="00675D7B">
        <w:rPr>
          <w:rFonts w:ascii="Arial" w:hAnsi="Arial" w:cs="Arial"/>
          <w:sz w:val="24"/>
          <w:szCs w:val="24"/>
          <w:lang w:val="en-US"/>
        </w:rPr>
        <w:t>/l</w:t>
      </w:r>
      <w:r w:rsidR="00675D7B">
        <w:rPr>
          <w:rFonts w:ascii="Arial" w:hAnsi="Arial" w:cs="Arial"/>
          <w:sz w:val="24"/>
          <w:szCs w:val="24"/>
          <w:lang w:val="en-US"/>
        </w:rPr>
        <w:t xml:space="preserve">. </w:t>
      </w:r>
      <w:r w:rsidR="00337850" w:rsidRPr="0018334E">
        <w:rPr>
          <w:rFonts w:ascii="Arial" w:hAnsi="Arial" w:cs="Arial"/>
          <w:sz w:val="24"/>
          <w:szCs w:val="24"/>
          <w:lang w:val="en-US"/>
        </w:rPr>
        <w:t xml:space="preserve">Results below the lower detection limit for each assay were </w:t>
      </w:r>
      <w:r w:rsidR="002C210D" w:rsidRPr="0018334E">
        <w:rPr>
          <w:rFonts w:ascii="Arial" w:hAnsi="Arial" w:cs="Arial"/>
          <w:sz w:val="24"/>
          <w:szCs w:val="24"/>
          <w:lang w:val="en-US"/>
        </w:rPr>
        <w:t>considered</w:t>
      </w:r>
      <w:r w:rsidR="00114C42" w:rsidRPr="0018334E">
        <w:rPr>
          <w:rFonts w:ascii="Arial" w:hAnsi="Arial" w:cs="Arial"/>
          <w:sz w:val="24"/>
          <w:szCs w:val="24"/>
          <w:lang w:val="en-US"/>
        </w:rPr>
        <w:t xml:space="preserve"> missing</w:t>
      </w:r>
      <w:r w:rsidR="00FA7D87" w:rsidRPr="0018334E">
        <w:rPr>
          <w:rFonts w:ascii="Arial" w:hAnsi="Arial" w:cs="Arial"/>
          <w:sz w:val="24"/>
          <w:szCs w:val="24"/>
          <w:lang w:val="en-US"/>
        </w:rPr>
        <w:t xml:space="preserve"> (</w:t>
      </w:r>
      <w:r w:rsidR="00C75EAC" w:rsidRPr="0018334E">
        <w:rPr>
          <w:rFonts w:ascii="Arial" w:hAnsi="Arial" w:cs="Arial"/>
          <w:sz w:val="24"/>
          <w:szCs w:val="24"/>
          <w:lang w:val="en-US"/>
        </w:rPr>
        <w:t xml:space="preserve">2 </w:t>
      </w:r>
      <w:r w:rsidR="00C46AE5" w:rsidRPr="0018334E">
        <w:rPr>
          <w:rFonts w:ascii="Arial" w:hAnsi="Arial" w:cs="Arial"/>
          <w:sz w:val="24"/>
          <w:szCs w:val="24"/>
          <w:lang w:val="en-US"/>
        </w:rPr>
        <w:t xml:space="preserve">results </w:t>
      </w:r>
      <w:r w:rsidR="00C75EAC" w:rsidRPr="0018334E">
        <w:rPr>
          <w:rFonts w:ascii="Arial" w:hAnsi="Arial" w:cs="Arial"/>
          <w:sz w:val="24"/>
          <w:szCs w:val="24"/>
          <w:lang w:val="en-US"/>
        </w:rPr>
        <w:t>for serum iron only</w:t>
      </w:r>
      <w:r w:rsidR="00FA7D87" w:rsidRPr="0018334E">
        <w:rPr>
          <w:rFonts w:ascii="Arial" w:hAnsi="Arial" w:cs="Arial"/>
          <w:sz w:val="24"/>
          <w:szCs w:val="24"/>
          <w:lang w:val="en-US"/>
        </w:rPr>
        <w:t>)</w:t>
      </w:r>
      <w:r w:rsidR="00337850" w:rsidRPr="0018334E">
        <w:rPr>
          <w:rFonts w:ascii="Arial" w:hAnsi="Arial" w:cs="Arial"/>
          <w:sz w:val="24"/>
          <w:szCs w:val="24"/>
          <w:lang w:val="en-US"/>
        </w:rPr>
        <w:t>. TSAT was calculated as [iron (</w:t>
      </w:r>
      <w:proofErr w:type="spellStart"/>
      <w:r w:rsidR="00D7290A" w:rsidRPr="0018334E">
        <w:rPr>
          <w:rFonts w:ascii="Arial" w:hAnsi="Arial" w:cs="Arial"/>
          <w:sz w:val="24"/>
          <w:szCs w:val="24"/>
          <w:lang w:val="en-US"/>
        </w:rPr>
        <w:t>μmol</w:t>
      </w:r>
      <w:proofErr w:type="spellEnd"/>
      <w:r w:rsidR="006B7240" w:rsidRPr="0018334E">
        <w:rPr>
          <w:rFonts w:ascii="Arial" w:hAnsi="Arial" w:cs="Arial"/>
          <w:sz w:val="24"/>
          <w:szCs w:val="24"/>
          <w:lang w:val="en-US"/>
        </w:rPr>
        <w:t>/L</w:t>
      </w:r>
      <w:r w:rsidR="00D7290A" w:rsidRPr="0018334E">
        <w:rPr>
          <w:rFonts w:ascii="Arial" w:hAnsi="Arial" w:cs="Arial"/>
          <w:sz w:val="24"/>
          <w:szCs w:val="24"/>
          <w:lang w:val="en-US"/>
        </w:rPr>
        <w:t>) x 100)] / [transferrin (</w:t>
      </w:r>
      <w:r w:rsidR="002D2521" w:rsidRPr="0018334E">
        <w:rPr>
          <w:rFonts w:ascii="Arial" w:hAnsi="Arial" w:cs="Arial"/>
          <w:sz w:val="24"/>
          <w:szCs w:val="24"/>
          <w:lang w:val="en-US"/>
        </w:rPr>
        <w:t>g</w:t>
      </w:r>
      <w:r w:rsidR="006B7240" w:rsidRPr="0018334E">
        <w:rPr>
          <w:rFonts w:ascii="Arial" w:hAnsi="Arial" w:cs="Arial"/>
          <w:sz w:val="24"/>
          <w:szCs w:val="24"/>
          <w:lang w:val="en-US"/>
        </w:rPr>
        <w:t>/L</w:t>
      </w:r>
      <w:r w:rsidR="00337850" w:rsidRPr="0018334E">
        <w:rPr>
          <w:rFonts w:ascii="Arial" w:hAnsi="Arial" w:cs="Arial"/>
          <w:sz w:val="24"/>
          <w:szCs w:val="24"/>
          <w:lang w:val="en-US"/>
        </w:rPr>
        <w:t>) x 22.75]</w:t>
      </w:r>
      <w:r w:rsidR="00CC10BF" w:rsidRPr="0018334E">
        <w:rPr>
          <w:rFonts w:ascii="Arial" w:hAnsi="Arial" w:cs="Arial"/>
          <w:sz w:val="24"/>
          <w:szCs w:val="24"/>
          <w:lang w:val="en-US"/>
        </w:rPr>
        <w:t>.</w:t>
      </w:r>
      <w:r w:rsidR="00337850" w:rsidRPr="0018334E">
        <w:rPr>
          <w:rFonts w:ascii="Arial" w:hAnsi="Arial" w:cs="Arial"/>
          <w:sz w:val="24"/>
          <w:szCs w:val="24"/>
          <w:lang w:val="en-US"/>
        </w:rPr>
        <w:t xml:space="preserve"> </w:t>
      </w:r>
      <w:proofErr w:type="spellStart"/>
      <w:r w:rsidR="00337850" w:rsidRPr="0018334E">
        <w:rPr>
          <w:rFonts w:ascii="Arial" w:hAnsi="Arial" w:cs="Arial"/>
          <w:sz w:val="24"/>
          <w:szCs w:val="24"/>
          <w:lang w:val="en-US"/>
        </w:rPr>
        <w:t>Cobas</w:t>
      </w:r>
      <w:proofErr w:type="spellEnd"/>
      <w:r w:rsidR="00337850" w:rsidRPr="0018334E">
        <w:rPr>
          <w:rFonts w:ascii="Arial" w:hAnsi="Arial" w:cs="Arial"/>
          <w:sz w:val="24"/>
          <w:szCs w:val="24"/>
          <w:lang w:val="en-US"/>
        </w:rPr>
        <w:t xml:space="preserve">® assays </w:t>
      </w:r>
      <w:r w:rsidR="00D41123" w:rsidRPr="0018334E">
        <w:rPr>
          <w:rFonts w:ascii="Arial" w:hAnsi="Arial" w:cs="Arial"/>
          <w:sz w:val="24"/>
          <w:szCs w:val="24"/>
          <w:lang w:val="en-US"/>
        </w:rPr>
        <w:t xml:space="preserve">on the same analyzer </w:t>
      </w:r>
      <w:r w:rsidR="00337850" w:rsidRPr="0018334E">
        <w:rPr>
          <w:rFonts w:ascii="Arial" w:hAnsi="Arial" w:cs="Arial"/>
          <w:sz w:val="24"/>
          <w:szCs w:val="24"/>
          <w:lang w:val="en-US"/>
        </w:rPr>
        <w:t xml:space="preserve">were also used to measure </w:t>
      </w:r>
      <w:proofErr w:type="spellStart"/>
      <w:r w:rsidR="00337850" w:rsidRPr="0018334E">
        <w:rPr>
          <w:rFonts w:ascii="Arial" w:hAnsi="Arial" w:cs="Arial"/>
          <w:sz w:val="24"/>
          <w:szCs w:val="24"/>
          <w:lang w:val="en-US"/>
        </w:rPr>
        <w:t>hsCRP</w:t>
      </w:r>
      <w:proofErr w:type="spellEnd"/>
      <w:r w:rsidR="00337850" w:rsidRPr="0018334E">
        <w:rPr>
          <w:rFonts w:ascii="Arial" w:hAnsi="Arial" w:cs="Arial"/>
          <w:sz w:val="24"/>
          <w:szCs w:val="24"/>
          <w:lang w:val="en-US"/>
        </w:rPr>
        <w:t xml:space="preserve"> (particle-enhanced </w:t>
      </w:r>
      <w:proofErr w:type="spellStart"/>
      <w:r w:rsidR="00337850" w:rsidRPr="0018334E">
        <w:rPr>
          <w:rFonts w:ascii="Arial" w:hAnsi="Arial" w:cs="Arial"/>
          <w:sz w:val="24"/>
          <w:szCs w:val="24"/>
          <w:lang w:val="en-US"/>
        </w:rPr>
        <w:t>immunoturbidimetric</w:t>
      </w:r>
      <w:proofErr w:type="spellEnd"/>
      <w:r w:rsidR="00337850" w:rsidRPr="0018334E">
        <w:rPr>
          <w:rFonts w:ascii="Arial" w:hAnsi="Arial" w:cs="Arial"/>
          <w:sz w:val="24"/>
          <w:szCs w:val="24"/>
          <w:lang w:val="en-US"/>
        </w:rPr>
        <w:t xml:space="preserve"> assay), ALT and AST (UV test) and GGT (enzymatic calorimetric assay).</w:t>
      </w:r>
      <w:r w:rsidR="0001431A" w:rsidRPr="0018334E">
        <w:rPr>
          <w:rFonts w:ascii="Arial" w:hAnsi="Arial" w:cs="Arial"/>
          <w:sz w:val="24"/>
          <w:szCs w:val="24"/>
          <w:lang w:val="en-US"/>
        </w:rPr>
        <w:t xml:space="preserve"> </w:t>
      </w:r>
      <w:r w:rsidR="00371CF0" w:rsidRPr="0018334E">
        <w:rPr>
          <w:rFonts w:ascii="Arial" w:hAnsi="Arial" w:cs="Arial"/>
          <w:sz w:val="24"/>
          <w:szCs w:val="24"/>
          <w:lang w:val="en-US"/>
        </w:rPr>
        <w:t xml:space="preserve">Quality control was based on the </w:t>
      </w:r>
      <w:r w:rsidR="0001431A" w:rsidRPr="0018334E">
        <w:rPr>
          <w:rFonts w:ascii="Arial" w:hAnsi="Arial" w:cs="Arial"/>
          <w:sz w:val="24"/>
          <w:szCs w:val="24"/>
          <w:lang w:val="en-US"/>
        </w:rPr>
        <w:t>Westgard rules</w:t>
      </w:r>
      <w:r w:rsidR="00F872D4" w:rsidRPr="0018334E">
        <w:rPr>
          <w:rFonts w:ascii="Arial" w:hAnsi="Arial" w:cs="Arial"/>
          <w:sz w:val="24"/>
          <w:szCs w:val="24"/>
          <w:lang w:val="en-US"/>
        </w:rPr>
        <w:t xml:space="preserve"> </w:t>
      </w:r>
      <w:r w:rsidR="001D7EE2" w:rsidRPr="0018334E">
        <w:rPr>
          <w:rFonts w:ascii="Arial" w:hAnsi="Arial" w:cs="Arial"/>
          <w:sz w:val="24"/>
          <w:szCs w:val="24"/>
          <w:lang w:val="en-US"/>
        </w:rPr>
        <w:fldChar w:fldCharType="begin" w:fldLock="1"/>
      </w:r>
      <w:r w:rsidR="00891484">
        <w:rPr>
          <w:rFonts w:ascii="Arial" w:hAnsi="Arial" w:cs="Arial"/>
          <w:sz w:val="24"/>
          <w:szCs w:val="24"/>
          <w:lang w:val="en-US"/>
        </w:rPr>
        <w:instrText>ADDIN CSL_CITATION { "citationItems" : [ { "id" : "ITEM-1", "itemData" : { "URL" : "http://www.westgard.com/mltirule.htm", "id" : "ITEM-1", "issued" : { "date-parts" : [ [ "0" ] ] }, "title" : "Westgard Rules", "type" : "webpage" }, "uris" : [ "http://www.mendeley.com/documents/?uuid=d9d231fa-94ed-4083-8093-df012b100f1a" ] } ], "mendeley" : { "formattedCitation" : "(17)", "plainTextFormattedCitation" : "(17)", "previouslyFormattedCitation" : "(17)" }, "properties" : { "noteIndex" : 0 }, "schema" : "https://github.com/citation-style-language/schema/raw/master/csl-citation.json" }</w:instrText>
      </w:r>
      <w:r w:rsidR="001D7EE2" w:rsidRPr="0018334E">
        <w:rPr>
          <w:rFonts w:ascii="Arial" w:hAnsi="Arial" w:cs="Arial"/>
          <w:sz w:val="24"/>
          <w:szCs w:val="24"/>
          <w:lang w:val="en-US"/>
        </w:rPr>
        <w:fldChar w:fldCharType="separate"/>
      </w:r>
      <w:r w:rsidR="00891484" w:rsidRPr="00891484">
        <w:rPr>
          <w:rFonts w:ascii="Arial" w:hAnsi="Arial" w:cs="Arial"/>
          <w:noProof/>
          <w:sz w:val="24"/>
          <w:szCs w:val="24"/>
          <w:lang w:val="en-US"/>
        </w:rPr>
        <w:t>(17)</w:t>
      </w:r>
      <w:r w:rsidR="001D7EE2" w:rsidRPr="0018334E">
        <w:rPr>
          <w:rFonts w:ascii="Arial" w:hAnsi="Arial" w:cs="Arial"/>
          <w:sz w:val="24"/>
          <w:szCs w:val="24"/>
          <w:lang w:val="en-US"/>
        </w:rPr>
        <w:fldChar w:fldCharType="end"/>
      </w:r>
      <w:r w:rsidR="00F872D4" w:rsidRPr="0018334E">
        <w:rPr>
          <w:rFonts w:ascii="Arial" w:hAnsi="Arial" w:cs="Arial"/>
          <w:sz w:val="24"/>
          <w:szCs w:val="24"/>
          <w:lang w:val="en-US"/>
        </w:rPr>
        <w:t>.</w:t>
      </w:r>
    </w:p>
    <w:p w:rsidR="00F872D4" w:rsidRPr="00CB54AD" w:rsidRDefault="00F872D4" w:rsidP="00F328BE">
      <w:pPr>
        <w:spacing w:before="120" w:after="120" w:line="480" w:lineRule="auto"/>
        <w:jc w:val="both"/>
        <w:rPr>
          <w:rFonts w:ascii="Arial" w:hAnsi="Arial" w:cs="Arial"/>
          <w:sz w:val="24"/>
          <w:szCs w:val="24"/>
          <w:lang w:val="en-US"/>
        </w:rPr>
      </w:pPr>
    </w:p>
    <w:p w:rsidR="002135D0" w:rsidRPr="00CB54AD" w:rsidRDefault="002135D0" w:rsidP="00F328BE">
      <w:pPr>
        <w:spacing w:after="0" w:line="480" w:lineRule="auto"/>
        <w:ind w:firstLine="720"/>
        <w:jc w:val="both"/>
        <w:rPr>
          <w:rFonts w:ascii="Arial" w:hAnsi="Arial" w:cs="Arial"/>
          <w:i/>
          <w:sz w:val="24"/>
          <w:szCs w:val="24"/>
          <w:lang w:val="en-US"/>
        </w:rPr>
      </w:pPr>
      <w:r w:rsidRPr="00CB54AD">
        <w:rPr>
          <w:rFonts w:ascii="Arial" w:hAnsi="Arial" w:cs="Arial"/>
          <w:i/>
          <w:sz w:val="24"/>
          <w:szCs w:val="24"/>
          <w:lang w:val="en-US"/>
        </w:rPr>
        <w:t>Statistical analysis</w:t>
      </w:r>
    </w:p>
    <w:p w:rsidR="002135D0" w:rsidRPr="00CB54AD" w:rsidRDefault="002135D0" w:rsidP="00F328BE">
      <w:pPr>
        <w:spacing w:after="0" w:line="480" w:lineRule="auto"/>
        <w:jc w:val="both"/>
        <w:rPr>
          <w:rFonts w:ascii="Arial" w:hAnsi="Arial" w:cs="Arial"/>
          <w:sz w:val="24"/>
          <w:szCs w:val="24"/>
          <w:lang w:val="en-US"/>
        </w:rPr>
      </w:pPr>
      <w:r w:rsidRPr="00CB54AD">
        <w:rPr>
          <w:rFonts w:ascii="Arial" w:hAnsi="Arial" w:cs="Arial"/>
          <w:sz w:val="24"/>
          <w:szCs w:val="24"/>
          <w:lang w:val="en-US"/>
        </w:rPr>
        <w:t xml:space="preserve">Baseline characteristics </w:t>
      </w:r>
      <w:r w:rsidR="00F57149" w:rsidRPr="00CB54AD">
        <w:rPr>
          <w:rFonts w:ascii="Arial" w:hAnsi="Arial" w:cs="Arial"/>
          <w:sz w:val="24"/>
          <w:szCs w:val="24"/>
          <w:lang w:val="en-US"/>
        </w:rPr>
        <w:t xml:space="preserve">of individuals </w:t>
      </w:r>
      <w:r w:rsidRPr="00CB54AD">
        <w:rPr>
          <w:rFonts w:ascii="Arial" w:hAnsi="Arial" w:cs="Arial"/>
          <w:sz w:val="24"/>
          <w:szCs w:val="24"/>
          <w:lang w:val="en-US"/>
        </w:rPr>
        <w:t>were c</w:t>
      </w:r>
      <w:r w:rsidR="00F57149" w:rsidRPr="00CB54AD">
        <w:rPr>
          <w:rFonts w:ascii="Arial" w:hAnsi="Arial" w:cs="Arial"/>
          <w:sz w:val="24"/>
          <w:szCs w:val="24"/>
          <w:lang w:val="en-US"/>
        </w:rPr>
        <w:t xml:space="preserve">ompared across sex-specific </w:t>
      </w:r>
      <w:r w:rsidR="00760E15" w:rsidRPr="00CB54AD">
        <w:rPr>
          <w:rFonts w:ascii="Arial" w:hAnsi="Arial" w:cs="Arial"/>
          <w:sz w:val="24"/>
          <w:szCs w:val="24"/>
          <w:lang w:val="en-US"/>
        </w:rPr>
        <w:t>quartile</w:t>
      </w:r>
      <w:r w:rsidR="00F57149" w:rsidRPr="00CB54AD">
        <w:rPr>
          <w:rFonts w:ascii="Arial" w:hAnsi="Arial" w:cs="Arial"/>
          <w:sz w:val="24"/>
          <w:szCs w:val="24"/>
          <w:lang w:val="en-US"/>
        </w:rPr>
        <w:t xml:space="preserve">s </w:t>
      </w:r>
      <w:r w:rsidRPr="00CB54AD">
        <w:rPr>
          <w:rFonts w:ascii="Arial" w:hAnsi="Arial" w:cs="Arial"/>
          <w:sz w:val="24"/>
          <w:szCs w:val="24"/>
          <w:lang w:val="en-US"/>
        </w:rPr>
        <w:t xml:space="preserve">of </w:t>
      </w:r>
      <w:r w:rsidR="00D077D0" w:rsidRPr="00CB54AD">
        <w:rPr>
          <w:rFonts w:ascii="Arial" w:hAnsi="Arial" w:cs="Arial"/>
          <w:sz w:val="24"/>
          <w:szCs w:val="24"/>
          <w:lang w:val="en-US"/>
        </w:rPr>
        <w:t xml:space="preserve">the </w:t>
      </w:r>
      <w:r w:rsidRPr="00CB54AD">
        <w:rPr>
          <w:rFonts w:ascii="Arial" w:hAnsi="Arial" w:cs="Arial"/>
          <w:sz w:val="24"/>
          <w:szCs w:val="24"/>
          <w:lang w:val="en-US"/>
        </w:rPr>
        <w:t>fer</w:t>
      </w:r>
      <w:r w:rsidR="005F3715" w:rsidRPr="00CB54AD">
        <w:rPr>
          <w:rFonts w:ascii="Arial" w:hAnsi="Arial" w:cs="Arial"/>
          <w:sz w:val="24"/>
          <w:szCs w:val="24"/>
          <w:lang w:val="en-US"/>
        </w:rPr>
        <w:t>ritin</w:t>
      </w:r>
      <w:r w:rsidR="00982C25" w:rsidRPr="00CB54AD">
        <w:rPr>
          <w:rFonts w:ascii="Arial" w:hAnsi="Arial" w:cs="Arial"/>
          <w:sz w:val="24"/>
          <w:szCs w:val="24"/>
          <w:lang w:val="en-US"/>
        </w:rPr>
        <w:t xml:space="preserve"> distribution</w:t>
      </w:r>
      <w:r w:rsidR="00D077D0" w:rsidRPr="00CB54AD">
        <w:rPr>
          <w:rFonts w:ascii="Arial" w:hAnsi="Arial" w:cs="Arial"/>
          <w:sz w:val="24"/>
          <w:szCs w:val="24"/>
          <w:lang w:val="en-US"/>
        </w:rPr>
        <w:t xml:space="preserve"> in the </w:t>
      </w:r>
      <w:proofErr w:type="spellStart"/>
      <w:r w:rsidR="00D077D0" w:rsidRPr="00CB54AD">
        <w:rPr>
          <w:rFonts w:ascii="Arial" w:hAnsi="Arial" w:cs="Arial"/>
          <w:sz w:val="24"/>
          <w:szCs w:val="24"/>
          <w:lang w:val="en-US"/>
        </w:rPr>
        <w:t>subcohort</w:t>
      </w:r>
      <w:proofErr w:type="spellEnd"/>
      <w:r w:rsidR="004E0F0D">
        <w:rPr>
          <w:rFonts w:ascii="Arial" w:hAnsi="Arial" w:cs="Arial"/>
          <w:sz w:val="24"/>
          <w:szCs w:val="24"/>
          <w:lang w:val="en-US"/>
        </w:rPr>
        <w:t xml:space="preserve">. Distributions of </w:t>
      </w:r>
      <w:r w:rsidR="004E0F0D" w:rsidRPr="00D14630">
        <w:rPr>
          <w:rFonts w:ascii="Arial" w:hAnsi="Arial" w:cs="Arial"/>
          <w:sz w:val="24"/>
          <w:szCs w:val="24"/>
          <w:lang w:val="en-US"/>
        </w:rPr>
        <w:t>ferritin</w:t>
      </w:r>
      <w:r w:rsidR="004E0F0D">
        <w:rPr>
          <w:rFonts w:ascii="Arial" w:hAnsi="Arial" w:cs="Arial"/>
          <w:sz w:val="24"/>
          <w:szCs w:val="24"/>
          <w:lang w:val="en-US"/>
        </w:rPr>
        <w:t xml:space="preserve"> levels were compared </w:t>
      </w:r>
      <w:r w:rsidR="004E0F0D" w:rsidRPr="00D14630">
        <w:rPr>
          <w:rFonts w:ascii="Arial" w:hAnsi="Arial" w:cs="Arial"/>
          <w:sz w:val="24"/>
          <w:szCs w:val="24"/>
          <w:lang w:val="en-US"/>
        </w:rPr>
        <w:t xml:space="preserve">by </w:t>
      </w:r>
      <w:r w:rsidR="004E0F0D">
        <w:rPr>
          <w:rFonts w:ascii="Arial" w:hAnsi="Arial" w:cs="Arial"/>
          <w:sz w:val="24"/>
          <w:szCs w:val="24"/>
          <w:lang w:val="en-US"/>
        </w:rPr>
        <w:t xml:space="preserve">sex, as well as </w:t>
      </w:r>
      <w:r w:rsidR="004E0F0D" w:rsidRPr="00D14630">
        <w:rPr>
          <w:rFonts w:ascii="Arial" w:hAnsi="Arial" w:cs="Arial"/>
          <w:sz w:val="24"/>
          <w:szCs w:val="24"/>
          <w:lang w:val="en-US"/>
        </w:rPr>
        <w:t>BMI and waist circumference categor</w:t>
      </w:r>
      <w:r w:rsidR="004E0F0D">
        <w:rPr>
          <w:rFonts w:ascii="Arial" w:hAnsi="Arial" w:cs="Arial"/>
          <w:sz w:val="24"/>
          <w:szCs w:val="24"/>
          <w:lang w:val="en-US"/>
        </w:rPr>
        <w:t>ies</w:t>
      </w:r>
      <w:r w:rsidR="004E0F0D" w:rsidRPr="004E0F0D">
        <w:rPr>
          <w:rFonts w:ascii="Arial" w:hAnsi="Arial" w:cs="Arial"/>
          <w:sz w:val="24"/>
          <w:szCs w:val="24"/>
          <w:lang w:val="en-US"/>
        </w:rPr>
        <w:t xml:space="preserve"> </w:t>
      </w:r>
      <w:r w:rsidR="004E0F0D">
        <w:rPr>
          <w:rFonts w:ascii="Arial" w:hAnsi="Arial" w:cs="Arial"/>
          <w:sz w:val="24"/>
          <w:szCs w:val="24"/>
          <w:lang w:val="en-US"/>
        </w:rPr>
        <w:t xml:space="preserve">in the </w:t>
      </w:r>
      <w:proofErr w:type="spellStart"/>
      <w:r w:rsidR="004E0F0D">
        <w:rPr>
          <w:rFonts w:ascii="Arial" w:hAnsi="Arial" w:cs="Arial"/>
          <w:sz w:val="24"/>
          <w:szCs w:val="24"/>
          <w:lang w:val="en-US"/>
        </w:rPr>
        <w:t>subcohort</w:t>
      </w:r>
      <w:proofErr w:type="spellEnd"/>
      <w:r w:rsidR="00646AD7" w:rsidRPr="00CB54AD">
        <w:rPr>
          <w:rFonts w:ascii="Arial" w:hAnsi="Arial" w:cs="Arial"/>
          <w:sz w:val="24"/>
          <w:szCs w:val="24"/>
          <w:lang w:val="en-US"/>
        </w:rPr>
        <w:t xml:space="preserve">. </w:t>
      </w:r>
      <w:r w:rsidRPr="00CB54AD">
        <w:rPr>
          <w:rFonts w:ascii="Arial" w:hAnsi="Arial" w:cs="Arial"/>
          <w:sz w:val="24"/>
          <w:szCs w:val="24"/>
          <w:lang w:val="en-US"/>
        </w:rPr>
        <w:t>A</w:t>
      </w:r>
      <w:r w:rsidR="00646AD7" w:rsidRPr="00CB54AD">
        <w:rPr>
          <w:rFonts w:ascii="Arial" w:hAnsi="Arial" w:cs="Arial"/>
          <w:sz w:val="24"/>
          <w:szCs w:val="24"/>
          <w:lang w:val="en-US"/>
        </w:rPr>
        <w:t>fter log-transformation of variables with skewed distributions</w:t>
      </w:r>
      <w:r w:rsidRPr="00CB54AD">
        <w:rPr>
          <w:rFonts w:ascii="Arial" w:hAnsi="Arial" w:cs="Arial"/>
          <w:sz w:val="24"/>
          <w:szCs w:val="24"/>
          <w:lang w:val="en-US"/>
        </w:rPr>
        <w:t xml:space="preserve"> </w:t>
      </w:r>
      <w:r w:rsidR="00384C04" w:rsidRPr="00CB54AD">
        <w:rPr>
          <w:rFonts w:ascii="Arial" w:hAnsi="Arial" w:cs="Arial"/>
          <w:sz w:val="24"/>
          <w:szCs w:val="24"/>
          <w:lang w:val="en-US"/>
        </w:rPr>
        <w:t xml:space="preserve">(ferritin, </w:t>
      </w:r>
      <w:proofErr w:type="spellStart"/>
      <w:r w:rsidR="00384C04" w:rsidRPr="00CB54AD">
        <w:rPr>
          <w:rFonts w:ascii="Arial" w:hAnsi="Arial" w:cs="Arial"/>
          <w:sz w:val="24"/>
          <w:szCs w:val="24"/>
          <w:lang w:val="en-US"/>
        </w:rPr>
        <w:t>hsCRP</w:t>
      </w:r>
      <w:proofErr w:type="spellEnd"/>
      <w:r w:rsidR="00F46EBB">
        <w:rPr>
          <w:rFonts w:ascii="Arial" w:hAnsi="Arial" w:cs="Arial"/>
          <w:sz w:val="24"/>
          <w:szCs w:val="24"/>
          <w:lang w:val="en-US"/>
        </w:rPr>
        <w:t>, GGT</w:t>
      </w:r>
      <w:r w:rsidR="00384C04" w:rsidRPr="00CB54AD">
        <w:rPr>
          <w:rFonts w:ascii="Arial" w:hAnsi="Arial" w:cs="Arial"/>
          <w:sz w:val="24"/>
          <w:szCs w:val="24"/>
          <w:lang w:val="en-US"/>
        </w:rPr>
        <w:t xml:space="preserve"> </w:t>
      </w:r>
      <w:r w:rsidR="00646AD7" w:rsidRPr="00CB54AD">
        <w:rPr>
          <w:rFonts w:ascii="Arial" w:hAnsi="Arial" w:cs="Arial"/>
          <w:sz w:val="24"/>
          <w:szCs w:val="24"/>
          <w:lang w:val="en-US"/>
        </w:rPr>
        <w:t xml:space="preserve">and </w:t>
      </w:r>
      <w:r w:rsidR="00052CAB">
        <w:rPr>
          <w:rFonts w:ascii="Arial" w:hAnsi="Arial" w:cs="Arial"/>
          <w:sz w:val="24"/>
          <w:szCs w:val="24"/>
          <w:lang w:val="en-US"/>
        </w:rPr>
        <w:t>alcohol consumption</w:t>
      </w:r>
      <w:r w:rsidR="00646AD7" w:rsidRPr="00CB54AD">
        <w:rPr>
          <w:rFonts w:ascii="Arial" w:hAnsi="Arial" w:cs="Arial"/>
          <w:sz w:val="24"/>
          <w:szCs w:val="24"/>
          <w:lang w:val="en-US"/>
        </w:rPr>
        <w:t xml:space="preserve">), </w:t>
      </w:r>
      <w:r w:rsidR="00E424E1" w:rsidRPr="00CB54AD">
        <w:rPr>
          <w:rFonts w:ascii="Arial" w:hAnsi="Arial" w:cs="Arial"/>
          <w:sz w:val="24"/>
          <w:szCs w:val="24"/>
          <w:lang w:val="en-US"/>
        </w:rPr>
        <w:t xml:space="preserve">a </w:t>
      </w:r>
      <w:r w:rsidR="00982C25" w:rsidRPr="00CB54AD">
        <w:rPr>
          <w:rFonts w:ascii="Arial" w:hAnsi="Arial" w:cs="Arial"/>
          <w:sz w:val="24"/>
          <w:szCs w:val="24"/>
          <w:lang w:val="en-US"/>
        </w:rPr>
        <w:t>multivariable</w:t>
      </w:r>
      <w:r w:rsidRPr="00CB54AD">
        <w:rPr>
          <w:rFonts w:ascii="Arial" w:hAnsi="Arial" w:cs="Arial"/>
          <w:sz w:val="24"/>
          <w:szCs w:val="24"/>
          <w:lang w:val="en-US"/>
        </w:rPr>
        <w:t xml:space="preserve"> regression model adjusted for age</w:t>
      </w:r>
      <w:r w:rsidR="00F57149" w:rsidRPr="00CB54AD">
        <w:rPr>
          <w:rFonts w:ascii="Arial" w:hAnsi="Arial" w:cs="Arial"/>
          <w:sz w:val="24"/>
          <w:szCs w:val="24"/>
          <w:lang w:val="en-US"/>
        </w:rPr>
        <w:t xml:space="preserve">, </w:t>
      </w:r>
      <w:r w:rsidR="009417D2" w:rsidRPr="00CB54AD">
        <w:rPr>
          <w:rFonts w:ascii="Arial" w:hAnsi="Arial" w:cs="Arial"/>
          <w:sz w:val="24"/>
          <w:szCs w:val="24"/>
          <w:lang w:val="en-US"/>
        </w:rPr>
        <w:t>center</w:t>
      </w:r>
      <w:r w:rsidRPr="00CB54AD">
        <w:rPr>
          <w:rFonts w:ascii="Arial" w:hAnsi="Arial" w:cs="Arial"/>
          <w:sz w:val="24"/>
          <w:szCs w:val="24"/>
          <w:lang w:val="en-US"/>
        </w:rPr>
        <w:t xml:space="preserve"> and sex and </w:t>
      </w:r>
      <w:r w:rsidR="00A62EC7" w:rsidRPr="00CB54AD">
        <w:rPr>
          <w:rFonts w:ascii="Arial" w:hAnsi="Arial" w:cs="Arial"/>
          <w:sz w:val="24"/>
          <w:szCs w:val="24"/>
          <w:lang w:val="en-US"/>
        </w:rPr>
        <w:t xml:space="preserve">unadjusted </w:t>
      </w:r>
      <w:r w:rsidRPr="00CB54AD">
        <w:rPr>
          <w:rFonts w:ascii="Arial" w:hAnsi="Arial" w:cs="Arial"/>
          <w:sz w:val="24"/>
          <w:szCs w:val="24"/>
          <w:lang w:val="en-US"/>
        </w:rPr>
        <w:t>Pearson correlation coefficient</w:t>
      </w:r>
      <w:r w:rsidR="00384C04" w:rsidRPr="00CB54AD">
        <w:rPr>
          <w:rFonts w:ascii="Arial" w:hAnsi="Arial" w:cs="Arial"/>
          <w:sz w:val="24"/>
          <w:szCs w:val="24"/>
          <w:lang w:val="en-US"/>
        </w:rPr>
        <w:t>s</w:t>
      </w:r>
      <w:r w:rsidRPr="00CB54AD">
        <w:rPr>
          <w:rFonts w:ascii="Arial" w:hAnsi="Arial" w:cs="Arial"/>
          <w:sz w:val="24"/>
          <w:szCs w:val="24"/>
          <w:lang w:val="en-US"/>
        </w:rPr>
        <w:t xml:space="preserve"> were </w:t>
      </w:r>
      <w:r w:rsidR="00D077D0" w:rsidRPr="00CB54AD">
        <w:rPr>
          <w:rFonts w:ascii="Arial" w:hAnsi="Arial" w:cs="Arial"/>
          <w:sz w:val="24"/>
          <w:szCs w:val="24"/>
          <w:lang w:val="en-US"/>
        </w:rPr>
        <w:t xml:space="preserve">used </w:t>
      </w:r>
      <w:r w:rsidRPr="00CB54AD">
        <w:rPr>
          <w:rFonts w:ascii="Arial" w:hAnsi="Arial" w:cs="Arial"/>
          <w:sz w:val="24"/>
          <w:szCs w:val="24"/>
          <w:lang w:val="en-US"/>
        </w:rPr>
        <w:t xml:space="preserve">to </w:t>
      </w:r>
      <w:r w:rsidR="005E2483" w:rsidRPr="00CB54AD">
        <w:rPr>
          <w:rFonts w:ascii="Arial" w:hAnsi="Arial" w:cs="Arial"/>
          <w:sz w:val="24"/>
          <w:szCs w:val="24"/>
          <w:lang w:val="en-US"/>
        </w:rPr>
        <w:t>describe the relationships</w:t>
      </w:r>
      <w:r w:rsidR="001A3C99" w:rsidRPr="00CB54AD">
        <w:rPr>
          <w:rFonts w:ascii="Arial" w:hAnsi="Arial" w:cs="Arial"/>
          <w:sz w:val="24"/>
          <w:szCs w:val="24"/>
          <w:lang w:val="en-US"/>
        </w:rPr>
        <w:t xml:space="preserve"> </w:t>
      </w:r>
      <w:r w:rsidRPr="00CB54AD">
        <w:rPr>
          <w:rFonts w:ascii="Arial" w:hAnsi="Arial" w:cs="Arial"/>
          <w:sz w:val="24"/>
          <w:szCs w:val="24"/>
          <w:lang w:val="en-US"/>
        </w:rPr>
        <w:t xml:space="preserve">between </w:t>
      </w:r>
      <w:r w:rsidR="00384C04" w:rsidRPr="00CB54AD">
        <w:rPr>
          <w:rFonts w:ascii="Arial" w:hAnsi="Arial" w:cs="Arial"/>
          <w:sz w:val="24"/>
          <w:szCs w:val="24"/>
          <w:lang w:val="en-US"/>
        </w:rPr>
        <w:t xml:space="preserve">each </w:t>
      </w:r>
      <w:r w:rsidR="008B5A09" w:rsidRPr="00CB54AD">
        <w:rPr>
          <w:rFonts w:ascii="Arial" w:hAnsi="Arial" w:cs="Arial"/>
          <w:sz w:val="24"/>
          <w:szCs w:val="24"/>
          <w:lang w:val="en-US"/>
        </w:rPr>
        <w:t xml:space="preserve">biomarker of iron metabolism </w:t>
      </w:r>
      <w:r w:rsidRPr="00CB54AD">
        <w:rPr>
          <w:rFonts w:ascii="Arial" w:hAnsi="Arial" w:cs="Arial"/>
          <w:sz w:val="24"/>
          <w:szCs w:val="24"/>
          <w:lang w:val="en-US"/>
        </w:rPr>
        <w:t>and</w:t>
      </w:r>
      <w:r w:rsidR="00416A1F" w:rsidRPr="00CB54AD">
        <w:rPr>
          <w:rFonts w:ascii="Arial" w:hAnsi="Arial" w:cs="Arial"/>
          <w:sz w:val="24"/>
          <w:szCs w:val="24"/>
          <w:lang w:val="en-US"/>
        </w:rPr>
        <w:t xml:space="preserve"> </w:t>
      </w:r>
      <w:r w:rsidR="005E2483" w:rsidRPr="00CB54AD">
        <w:rPr>
          <w:rFonts w:ascii="Arial" w:hAnsi="Arial" w:cs="Arial"/>
          <w:sz w:val="24"/>
          <w:szCs w:val="24"/>
          <w:lang w:val="en-US"/>
        </w:rPr>
        <w:t>each other and with possible confound</w:t>
      </w:r>
      <w:r w:rsidR="002209AE">
        <w:rPr>
          <w:rFonts w:ascii="Arial" w:hAnsi="Arial" w:cs="Arial"/>
          <w:sz w:val="24"/>
          <w:szCs w:val="24"/>
          <w:lang w:val="en-US"/>
        </w:rPr>
        <w:t>ers</w:t>
      </w:r>
      <w:r w:rsidR="00416A1F" w:rsidRPr="00CB54AD">
        <w:rPr>
          <w:rFonts w:ascii="Arial" w:hAnsi="Arial" w:cs="Arial"/>
          <w:sz w:val="24"/>
          <w:szCs w:val="24"/>
          <w:lang w:val="en-US"/>
        </w:rPr>
        <w:t xml:space="preserve">. </w:t>
      </w:r>
    </w:p>
    <w:p w:rsidR="00D7290A" w:rsidRPr="00CB54AD" w:rsidRDefault="00D7290A" w:rsidP="00F328BE">
      <w:pPr>
        <w:spacing w:after="0" w:line="480" w:lineRule="auto"/>
        <w:jc w:val="both"/>
        <w:rPr>
          <w:rFonts w:ascii="Arial" w:hAnsi="Arial" w:cs="Arial"/>
          <w:sz w:val="24"/>
          <w:szCs w:val="24"/>
          <w:lang w:val="en-US"/>
        </w:rPr>
      </w:pPr>
    </w:p>
    <w:p w:rsidR="003476E5" w:rsidRPr="00F46EBB" w:rsidRDefault="00C46AE5" w:rsidP="00F328BE">
      <w:pPr>
        <w:pStyle w:val="PlainText"/>
        <w:spacing w:line="480" w:lineRule="auto"/>
        <w:jc w:val="both"/>
        <w:rPr>
          <w:rFonts w:ascii="Arial" w:hAnsi="Arial" w:cs="Arial"/>
          <w:color w:val="0070C0"/>
          <w:sz w:val="24"/>
          <w:szCs w:val="24"/>
        </w:rPr>
      </w:pPr>
      <w:r w:rsidRPr="00CB54AD">
        <w:rPr>
          <w:rFonts w:ascii="Arial" w:hAnsi="Arial" w:cs="Arial"/>
          <w:sz w:val="24"/>
          <w:szCs w:val="24"/>
          <w:lang w:val="en-US"/>
        </w:rPr>
        <w:lastRenderedPageBreak/>
        <w:t>We estimated a</w:t>
      </w:r>
      <w:r w:rsidR="002135D0" w:rsidRPr="00CB54AD">
        <w:rPr>
          <w:rFonts w:ascii="Arial" w:hAnsi="Arial" w:cs="Arial"/>
          <w:sz w:val="24"/>
          <w:szCs w:val="24"/>
          <w:lang w:val="en-US"/>
        </w:rPr>
        <w:t xml:space="preserve">ssociations </w:t>
      </w:r>
      <w:r w:rsidR="00D077D0" w:rsidRPr="00CB54AD">
        <w:rPr>
          <w:rFonts w:ascii="Arial" w:hAnsi="Arial" w:cs="Arial"/>
          <w:sz w:val="24"/>
          <w:szCs w:val="24"/>
          <w:lang w:val="en-US"/>
        </w:rPr>
        <w:t xml:space="preserve">of </w:t>
      </w:r>
      <w:r w:rsidRPr="00CB54AD">
        <w:rPr>
          <w:rFonts w:ascii="Arial" w:hAnsi="Arial" w:cs="Arial"/>
          <w:sz w:val="24"/>
          <w:szCs w:val="24"/>
          <w:lang w:val="en-US"/>
        </w:rPr>
        <w:t xml:space="preserve">differences </w:t>
      </w:r>
      <w:r w:rsidR="00A74FB5" w:rsidRPr="00CB54AD">
        <w:rPr>
          <w:rFonts w:ascii="Arial" w:hAnsi="Arial" w:cs="Arial"/>
          <w:sz w:val="24"/>
          <w:szCs w:val="24"/>
          <w:lang w:val="en-US"/>
        </w:rPr>
        <w:t xml:space="preserve">(defined in </w:t>
      </w:r>
      <w:r w:rsidR="00A74FB5" w:rsidRPr="00CB54AD">
        <w:rPr>
          <w:rFonts w:ascii="Arial" w:hAnsi="Arial" w:cs="Arial"/>
          <w:b/>
          <w:sz w:val="24"/>
          <w:szCs w:val="24"/>
          <w:lang w:val="en-US"/>
        </w:rPr>
        <w:t xml:space="preserve">Table </w:t>
      </w:r>
      <w:r w:rsidR="009053D8" w:rsidRPr="00CB54AD">
        <w:rPr>
          <w:rFonts w:ascii="Arial" w:hAnsi="Arial" w:cs="Arial"/>
          <w:b/>
          <w:sz w:val="24"/>
          <w:szCs w:val="24"/>
          <w:lang w:val="en-US"/>
        </w:rPr>
        <w:t>3</w:t>
      </w:r>
      <w:r w:rsidR="00A74FB5" w:rsidRPr="00CB54AD">
        <w:rPr>
          <w:rFonts w:ascii="Arial" w:hAnsi="Arial" w:cs="Arial"/>
          <w:sz w:val="24"/>
          <w:szCs w:val="24"/>
          <w:lang w:val="en-US"/>
        </w:rPr>
        <w:t xml:space="preserve">) </w:t>
      </w:r>
      <w:r w:rsidR="006A671B" w:rsidRPr="00CB54AD">
        <w:rPr>
          <w:rFonts w:ascii="Arial" w:hAnsi="Arial" w:cs="Arial"/>
          <w:sz w:val="24"/>
          <w:szCs w:val="24"/>
          <w:lang w:val="en-US"/>
        </w:rPr>
        <w:t xml:space="preserve">in </w:t>
      </w:r>
      <w:r w:rsidR="00D636A5" w:rsidRPr="00CB54AD">
        <w:rPr>
          <w:rFonts w:ascii="Arial" w:hAnsi="Arial" w:cs="Arial"/>
          <w:sz w:val="24"/>
          <w:szCs w:val="24"/>
          <w:lang w:val="en-US"/>
        </w:rPr>
        <w:t>ferritin, iron and transferrin in natural units</w:t>
      </w:r>
      <w:r w:rsidR="006A671B" w:rsidRPr="00CB54AD">
        <w:rPr>
          <w:rFonts w:ascii="Arial" w:hAnsi="Arial" w:cs="Arial"/>
          <w:sz w:val="24"/>
          <w:szCs w:val="24"/>
          <w:lang w:val="en-US"/>
        </w:rPr>
        <w:t xml:space="preserve"> with </w:t>
      </w:r>
      <w:r w:rsidRPr="00CB54AD">
        <w:rPr>
          <w:rFonts w:ascii="Arial" w:hAnsi="Arial" w:cs="Arial"/>
          <w:sz w:val="24"/>
          <w:szCs w:val="24"/>
          <w:lang w:val="en-US"/>
        </w:rPr>
        <w:t xml:space="preserve">the risk of </w:t>
      </w:r>
      <w:r w:rsidR="008C722E" w:rsidRPr="00CB54AD">
        <w:rPr>
          <w:rFonts w:ascii="Arial" w:hAnsi="Arial" w:cs="Arial"/>
          <w:sz w:val="24"/>
          <w:szCs w:val="24"/>
          <w:lang w:val="en-US"/>
        </w:rPr>
        <w:t>type 2 diabetes</w:t>
      </w:r>
      <w:r w:rsidR="00B25E1E" w:rsidRPr="00CB54AD">
        <w:rPr>
          <w:rFonts w:ascii="Arial" w:hAnsi="Arial" w:cs="Arial"/>
          <w:sz w:val="24"/>
          <w:szCs w:val="24"/>
          <w:lang w:val="en-US"/>
        </w:rPr>
        <w:t xml:space="preserve"> using Prentice </w:t>
      </w:r>
      <w:r w:rsidR="002135D0" w:rsidRPr="00CB54AD">
        <w:rPr>
          <w:rFonts w:ascii="Arial" w:hAnsi="Arial" w:cs="Arial"/>
          <w:sz w:val="24"/>
          <w:szCs w:val="24"/>
          <w:lang w:val="en-US"/>
        </w:rPr>
        <w:t>weighted Cox regression models with a</w:t>
      </w:r>
      <w:r w:rsidR="00DB7F6F" w:rsidRPr="00CB54AD">
        <w:rPr>
          <w:rFonts w:ascii="Arial" w:hAnsi="Arial" w:cs="Arial"/>
          <w:sz w:val="24"/>
          <w:szCs w:val="24"/>
          <w:lang w:val="en-US"/>
        </w:rPr>
        <w:t>ge as the underlying timescale</w:t>
      </w:r>
      <w:r w:rsidR="00D077D0" w:rsidRPr="00CB54AD">
        <w:rPr>
          <w:rFonts w:ascii="Arial" w:hAnsi="Arial" w:cs="Arial"/>
          <w:sz w:val="24"/>
          <w:szCs w:val="24"/>
          <w:lang w:val="en-US"/>
        </w:rPr>
        <w:t>,</w:t>
      </w:r>
      <w:r w:rsidR="00DB7F6F" w:rsidRPr="00CB54AD">
        <w:rPr>
          <w:rFonts w:ascii="Arial" w:hAnsi="Arial" w:cs="Arial"/>
          <w:sz w:val="24"/>
          <w:szCs w:val="24"/>
          <w:lang w:val="en-US"/>
        </w:rPr>
        <w:t xml:space="preserve"> </w:t>
      </w:r>
      <w:r w:rsidR="002135D0" w:rsidRPr="00CB54AD">
        <w:rPr>
          <w:rFonts w:ascii="Arial" w:hAnsi="Arial" w:cs="Arial"/>
          <w:sz w:val="24"/>
          <w:szCs w:val="24"/>
          <w:lang w:val="en-US"/>
        </w:rPr>
        <w:t xml:space="preserve">fitted </w:t>
      </w:r>
      <w:r w:rsidR="00D077D0" w:rsidRPr="00CB54AD">
        <w:rPr>
          <w:rFonts w:ascii="Arial" w:hAnsi="Arial" w:cs="Arial"/>
          <w:sz w:val="24"/>
          <w:szCs w:val="24"/>
          <w:lang w:val="en-US"/>
        </w:rPr>
        <w:t xml:space="preserve">separately </w:t>
      </w:r>
      <w:r w:rsidR="002135D0" w:rsidRPr="00CB54AD">
        <w:rPr>
          <w:rFonts w:ascii="Arial" w:hAnsi="Arial" w:cs="Arial"/>
          <w:sz w:val="24"/>
          <w:szCs w:val="24"/>
          <w:lang w:val="en-US"/>
        </w:rPr>
        <w:t xml:space="preserve">within </w:t>
      </w:r>
      <w:r w:rsidR="00D077D0" w:rsidRPr="00CB54AD">
        <w:rPr>
          <w:rFonts w:ascii="Arial" w:hAnsi="Arial" w:cs="Arial"/>
          <w:sz w:val="24"/>
          <w:szCs w:val="24"/>
          <w:lang w:val="en-US"/>
        </w:rPr>
        <w:t xml:space="preserve">each </w:t>
      </w:r>
      <w:r w:rsidR="002135D0" w:rsidRPr="00CB54AD">
        <w:rPr>
          <w:rFonts w:ascii="Arial" w:hAnsi="Arial" w:cs="Arial"/>
          <w:sz w:val="24"/>
          <w:szCs w:val="24"/>
          <w:lang w:val="en-US"/>
        </w:rPr>
        <w:t>country</w:t>
      </w:r>
      <w:r w:rsidR="00302D6B" w:rsidRPr="00CB54AD">
        <w:rPr>
          <w:rFonts w:ascii="Arial" w:hAnsi="Arial" w:cs="Arial"/>
          <w:sz w:val="24"/>
          <w:szCs w:val="24"/>
          <w:lang w:val="en-US"/>
        </w:rPr>
        <w:t>, with estimates combined across countries usin</w:t>
      </w:r>
      <w:r w:rsidR="002D2521" w:rsidRPr="00CB54AD">
        <w:rPr>
          <w:rFonts w:ascii="Arial" w:hAnsi="Arial" w:cs="Arial"/>
          <w:sz w:val="24"/>
          <w:szCs w:val="24"/>
          <w:lang w:val="en-US"/>
        </w:rPr>
        <w:t>g random effects meta-analysis</w:t>
      </w:r>
      <w:r w:rsidR="00891484">
        <w:rPr>
          <w:rFonts w:ascii="Arial" w:hAnsi="Arial" w:cs="Arial"/>
          <w:sz w:val="24"/>
          <w:szCs w:val="24"/>
          <w:lang w:val="en-US"/>
        </w:rPr>
        <w:t xml:space="preserve">. </w:t>
      </w:r>
      <w:r w:rsidR="00457F38" w:rsidRPr="00CB54AD">
        <w:rPr>
          <w:rFonts w:ascii="Arial" w:hAnsi="Arial" w:cs="Arial"/>
          <w:sz w:val="24"/>
          <w:szCs w:val="24"/>
          <w:lang w:val="en-US"/>
        </w:rPr>
        <w:t xml:space="preserve">Prentice weighted Cox regression is used to </w:t>
      </w:r>
      <w:r w:rsidR="00F46EBB" w:rsidRPr="00CB54AD">
        <w:rPr>
          <w:rFonts w:ascii="Arial" w:hAnsi="Arial" w:cs="Arial"/>
          <w:sz w:val="24"/>
          <w:szCs w:val="24"/>
          <w:lang w:val="en-US"/>
        </w:rPr>
        <w:t>analyze</w:t>
      </w:r>
      <w:r w:rsidR="00457F38" w:rsidRPr="00CB54AD">
        <w:rPr>
          <w:rFonts w:ascii="Arial" w:hAnsi="Arial" w:cs="Arial"/>
          <w:sz w:val="24"/>
          <w:szCs w:val="24"/>
          <w:lang w:val="en-US"/>
        </w:rPr>
        <w:t xml:space="preserve"> a case-cohort study to take account of the enrichment of incident cases occurring outside of the random </w:t>
      </w:r>
      <w:proofErr w:type="spellStart"/>
      <w:r w:rsidR="00457F38" w:rsidRPr="00CB54AD">
        <w:rPr>
          <w:rFonts w:ascii="Arial" w:hAnsi="Arial" w:cs="Arial"/>
          <w:sz w:val="24"/>
          <w:szCs w:val="24"/>
          <w:lang w:val="en-US"/>
        </w:rPr>
        <w:t>subcohort</w:t>
      </w:r>
      <w:proofErr w:type="spellEnd"/>
      <w:r w:rsidR="00457F38" w:rsidRPr="00CB54AD">
        <w:rPr>
          <w:rFonts w:ascii="Arial" w:hAnsi="Arial" w:cs="Arial"/>
          <w:sz w:val="24"/>
          <w:szCs w:val="24"/>
          <w:lang w:val="en-US"/>
        </w:rPr>
        <w:t xml:space="preserve">. </w:t>
      </w:r>
      <w:r w:rsidRPr="00CB54AD">
        <w:rPr>
          <w:rFonts w:ascii="Arial" w:hAnsi="Arial" w:cs="Arial"/>
          <w:sz w:val="24"/>
          <w:szCs w:val="24"/>
          <w:lang w:val="en-US"/>
        </w:rPr>
        <w:t xml:space="preserve">We used hazard ratios as estimates of risk. </w:t>
      </w:r>
      <w:r w:rsidR="00D636A5" w:rsidRPr="00CB54AD">
        <w:rPr>
          <w:rFonts w:ascii="Arial" w:hAnsi="Arial" w:cs="Arial"/>
          <w:sz w:val="24"/>
          <w:szCs w:val="24"/>
          <w:lang w:val="en-US"/>
        </w:rPr>
        <w:t>We used a cut-off of</w:t>
      </w:r>
      <w:r w:rsidR="00C83CCB" w:rsidRPr="00CB54AD">
        <w:rPr>
          <w:rFonts w:ascii="Arial" w:hAnsi="Arial" w:cs="Arial"/>
          <w:sz w:val="24"/>
          <w:szCs w:val="24"/>
          <w:lang w:val="en-US"/>
        </w:rPr>
        <w:t xml:space="preserve"> TSAT</w:t>
      </w:r>
      <w:r w:rsidR="00F94E42">
        <w:rPr>
          <w:rFonts w:ascii="Arial" w:hAnsi="Arial" w:cs="Arial"/>
          <w:sz w:val="24"/>
          <w:szCs w:val="24"/>
          <w:lang w:val="en-US"/>
        </w:rPr>
        <w:t>≥</w:t>
      </w:r>
      <w:r w:rsidR="001D4766" w:rsidRPr="00CB54AD">
        <w:rPr>
          <w:rFonts w:ascii="Arial" w:hAnsi="Arial" w:cs="Arial"/>
          <w:sz w:val="24"/>
          <w:szCs w:val="24"/>
          <w:lang w:val="en-US"/>
        </w:rPr>
        <w:t xml:space="preserve">45% </w:t>
      </w:r>
      <w:r w:rsidR="003E4E46" w:rsidRPr="00CB54AD">
        <w:rPr>
          <w:rFonts w:ascii="Arial" w:hAnsi="Arial" w:cs="Arial"/>
          <w:sz w:val="24"/>
          <w:szCs w:val="24"/>
          <w:lang w:val="en-US"/>
        </w:rPr>
        <w:t>as t</w:t>
      </w:r>
      <w:r w:rsidR="00D636A5" w:rsidRPr="00CB54AD">
        <w:rPr>
          <w:rFonts w:ascii="Arial" w:hAnsi="Arial" w:cs="Arial"/>
          <w:sz w:val="24"/>
          <w:szCs w:val="24"/>
          <w:lang w:val="en-US"/>
        </w:rPr>
        <w:t>his</w:t>
      </w:r>
      <w:r w:rsidR="003E4E46" w:rsidRPr="00CB54AD">
        <w:rPr>
          <w:rFonts w:ascii="Arial" w:hAnsi="Arial" w:cs="Arial"/>
          <w:sz w:val="24"/>
          <w:szCs w:val="24"/>
          <w:lang w:val="en-US"/>
        </w:rPr>
        <w:t xml:space="preserve"> is the threshold recommended by clinical guidelines </w:t>
      </w:r>
      <w:r w:rsidR="00D41123" w:rsidRPr="00CB54AD">
        <w:rPr>
          <w:rFonts w:ascii="Arial" w:hAnsi="Arial" w:cs="Arial"/>
          <w:sz w:val="24"/>
          <w:szCs w:val="24"/>
          <w:lang w:val="en-US"/>
        </w:rPr>
        <w:t>to rule out</w:t>
      </w:r>
      <w:r w:rsidR="003E4E46" w:rsidRPr="00CB54AD">
        <w:rPr>
          <w:rFonts w:ascii="Arial" w:hAnsi="Arial" w:cs="Arial"/>
          <w:sz w:val="24"/>
          <w:szCs w:val="24"/>
          <w:lang w:val="en-US"/>
        </w:rPr>
        <w:t xml:space="preserve"> genetic causes of </w:t>
      </w:r>
      <w:proofErr w:type="spellStart"/>
      <w:r w:rsidR="003E4E46" w:rsidRPr="00CB54AD">
        <w:rPr>
          <w:rFonts w:ascii="Arial" w:hAnsi="Arial" w:cs="Arial"/>
          <w:sz w:val="24"/>
          <w:szCs w:val="24"/>
          <w:lang w:val="en-US"/>
        </w:rPr>
        <w:t>hyperferritinemia</w:t>
      </w:r>
      <w:proofErr w:type="spellEnd"/>
      <w:r w:rsidR="003E4E46" w:rsidRPr="00CB54AD">
        <w:rPr>
          <w:rFonts w:ascii="Arial" w:hAnsi="Arial" w:cs="Arial"/>
          <w:sz w:val="24"/>
          <w:szCs w:val="24"/>
          <w:lang w:val="en-US"/>
        </w:rPr>
        <w:t xml:space="preserve"> </w:t>
      </w:r>
      <w:r w:rsidR="003E4E46" w:rsidRPr="00CB54AD">
        <w:rPr>
          <w:rFonts w:ascii="Arial" w:hAnsi="Arial" w:cs="Arial"/>
          <w:sz w:val="24"/>
          <w:szCs w:val="24"/>
          <w:lang w:val="en-US"/>
        </w:rPr>
        <w:fldChar w:fldCharType="begin" w:fldLock="1"/>
      </w:r>
      <w:r w:rsidR="00891484">
        <w:rPr>
          <w:rFonts w:ascii="Arial" w:hAnsi="Arial" w:cs="Arial"/>
          <w:sz w:val="24"/>
          <w:szCs w:val="24"/>
          <w:lang w:val="en-US"/>
        </w:rPr>
        <w:instrText>ADDIN CSL_CITATION { "citationItems" : [ { "id" : "ITEM-1", "itemData" : { "DOI" : "10.1016/j.jhep.2010.03.001", "ISSN" : "1600-0641", "PMID" : "20471131", "abstract" : "Iron overload in humans is associated with a variety of genetic and acquired conditions. Of these, HFE hemochromatosis (HFE-HC) is by far the most frequent and most well-defined inherited cause when considering epidemiological aspects and risks for iron-related morbidity and mortality. The majority of patients with HFE-HC are homozygotes for the C282Y polymorphism [1]. Without therapeutic intervention, there is a risk that iron overload will occur, with the potential for tissue damage and disease. While a specific genetic test now allows for the diagnosis of HFE-HC, the uncertainty in defining cases and disease burden, as well as the low phenotypic penetrance of C282Y homozygosity poses a number of clinical problems in the management of patients with HC. This Clinical Practice Guideline will therefore, focus on HFE-HC, while rarer forms of genetic iron overload recently attributed to pathogenic mutations of transferrin receptor 2, (TFR2), hepcidin (HAMP), hemojuvelin (HJV), or to a sub-type of ferroportin (FPN) mutations, on which limited and sparse clinical and epidemiologic data are available, will not be discussed. We have developed recommendations for the screening, diagnosis, and management of HFE-HC.", "author" : [ { "dropping-particle" : "", "family" : "European Association for the Study of the Liver", "given" : "", "non-dropping-particle" : "", "parse-names" : false, "suffix" : "" } ], "container-title" : "Journal of Hepatology", "id" : "ITEM-1", "issue" : "1", "issued" : { "date-parts" : [ [ "2010", "7" ] ] }, "page" : "3-22", "title" : "EASL clinical practice guidelines for HFE hemochromatosis.", "type" : "article-journal", "volume" : "53" }, "uris" : [ "http://www.mendeley.com/documents/?uuid=4995f1ac-62c1-4558-ac51-ea56d4fbf4b6" ] } ], "mendeley" : { "formattedCitation" : "(18)", "plainTextFormattedCitation" : "(18)", "previouslyFormattedCitation" : "(18)" }, "properties" : { "noteIndex" : 0 }, "schema" : "https://github.com/citation-style-language/schema/raw/master/csl-citation.json" }</w:instrText>
      </w:r>
      <w:r w:rsidR="003E4E46" w:rsidRPr="00CB54AD">
        <w:rPr>
          <w:rFonts w:ascii="Arial" w:hAnsi="Arial" w:cs="Arial"/>
          <w:sz w:val="24"/>
          <w:szCs w:val="24"/>
          <w:lang w:val="en-US"/>
        </w:rPr>
        <w:fldChar w:fldCharType="separate"/>
      </w:r>
      <w:r w:rsidR="00891484" w:rsidRPr="00891484">
        <w:rPr>
          <w:rFonts w:ascii="Arial" w:hAnsi="Arial" w:cs="Arial"/>
          <w:noProof/>
          <w:sz w:val="24"/>
          <w:szCs w:val="24"/>
          <w:lang w:val="en-US"/>
        </w:rPr>
        <w:t>(18)</w:t>
      </w:r>
      <w:r w:rsidR="003E4E46" w:rsidRPr="00CB54AD">
        <w:rPr>
          <w:rFonts w:ascii="Arial" w:hAnsi="Arial" w:cs="Arial"/>
          <w:sz w:val="24"/>
          <w:szCs w:val="24"/>
          <w:lang w:val="en-US"/>
        </w:rPr>
        <w:fldChar w:fldCharType="end"/>
      </w:r>
      <w:r w:rsidR="003E4E46" w:rsidRPr="00CB54AD">
        <w:rPr>
          <w:rFonts w:ascii="Arial" w:hAnsi="Arial" w:cs="Arial"/>
          <w:sz w:val="24"/>
          <w:szCs w:val="24"/>
          <w:lang w:val="en-US"/>
        </w:rPr>
        <w:t xml:space="preserve"> </w:t>
      </w:r>
      <w:r w:rsidR="007250EC" w:rsidRPr="00CB54AD">
        <w:rPr>
          <w:rFonts w:ascii="Arial" w:hAnsi="Arial" w:cs="Arial"/>
          <w:sz w:val="24"/>
          <w:szCs w:val="24"/>
          <w:lang w:val="en-US"/>
        </w:rPr>
        <w:t xml:space="preserve">and </w:t>
      </w:r>
      <w:r w:rsidR="00D41123" w:rsidRPr="00CB54AD">
        <w:rPr>
          <w:rFonts w:ascii="Arial" w:hAnsi="Arial" w:cs="Arial"/>
          <w:sz w:val="24"/>
          <w:szCs w:val="24"/>
          <w:lang w:val="en-US"/>
        </w:rPr>
        <w:t xml:space="preserve">also </w:t>
      </w:r>
      <w:r w:rsidR="007250EC" w:rsidRPr="00CB54AD">
        <w:rPr>
          <w:rFonts w:ascii="Arial" w:hAnsi="Arial" w:cs="Arial"/>
          <w:sz w:val="24"/>
          <w:szCs w:val="24"/>
          <w:lang w:val="en-US"/>
        </w:rPr>
        <w:t xml:space="preserve">the </w:t>
      </w:r>
      <w:r w:rsidR="00072460" w:rsidRPr="00CB54AD">
        <w:rPr>
          <w:rFonts w:ascii="Arial" w:hAnsi="Arial" w:cs="Arial"/>
          <w:sz w:val="24"/>
          <w:szCs w:val="24"/>
          <w:lang w:val="en-US"/>
        </w:rPr>
        <w:t xml:space="preserve">threshold </w:t>
      </w:r>
      <w:r w:rsidR="007250EC" w:rsidRPr="00CB54AD">
        <w:rPr>
          <w:rFonts w:ascii="Arial" w:hAnsi="Arial" w:cs="Arial"/>
          <w:sz w:val="24"/>
          <w:szCs w:val="24"/>
          <w:lang w:val="en-US"/>
        </w:rPr>
        <w:t xml:space="preserve">at which </w:t>
      </w:r>
      <w:r w:rsidR="00072460" w:rsidRPr="00CB54AD">
        <w:rPr>
          <w:rFonts w:ascii="Arial" w:hAnsi="Arial" w:cs="Arial"/>
          <w:sz w:val="24"/>
          <w:szCs w:val="24"/>
          <w:lang w:val="en-US"/>
        </w:rPr>
        <w:t xml:space="preserve">substantial levels of </w:t>
      </w:r>
      <w:r w:rsidR="00EB0099" w:rsidRPr="00CB54AD">
        <w:rPr>
          <w:rFonts w:ascii="Arial" w:hAnsi="Arial" w:cs="Arial"/>
          <w:sz w:val="24"/>
          <w:szCs w:val="24"/>
          <w:lang w:val="en-US"/>
        </w:rPr>
        <w:t>non-transferrin bound iron</w:t>
      </w:r>
      <w:r w:rsidR="007250EC" w:rsidRPr="00CB54AD">
        <w:rPr>
          <w:rFonts w:ascii="Arial" w:hAnsi="Arial" w:cs="Arial"/>
          <w:sz w:val="24"/>
          <w:szCs w:val="24"/>
          <w:lang w:val="en-US"/>
        </w:rPr>
        <w:t xml:space="preserve"> appear</w:t>
      </w:r>
      <w:r w:rsidR="003E4E46" w:rsidRPr="00CB54AD">
        <w:rPr>
          <w:rFonts w:ascii="Arial" w:hAnsi="Arial" w:cs="Arial"/>
          <w:sz w:val="24"/>
          <w:szCs w:val="24"/>
          <w:lang w:val="en-US"/>
        </w:rPr>
        <w:t xml:space="preserve"> </w:t>
      </w:r>
      <w:r w:rsidR="007250EC" w:rsidRPr="00CB54AD">
        <w:rPr>
          <w:rFonts w:ascii="Arial" w:hAnsi="Arial" w:cs="Arial"/>
          <w:sz w:val="24"/>
          <w:szCs w:val="24"/>
          <w:lang w:val="en-US"/>
        </w:rPr>
        <w:fldChar w:fldCharType="begin" w:fldLock="1"/>
      </w:r>
      <w:r w:rsidR="00891484">
        <w:rPr>
          <w:rFonts w:ascii="Arial" w:hAnsi="Arial" w:cs="Arial"/>
          <w:sz w:val="24"/>
          <w:szCs w:val="24"/>
          <w:lang w:val="en-US"/>
        </w:rPr>
        <w:instrText>ADDIN CSL_CITATION { "citationItems" : [ { "id" : "ITEM-1", "itemData" : { "DOI" : "10.1016/j.bbagen.2011.07.014", "ISSN" : "0006-3002", "PMID" : "21855608", "abstract" : "BACKGROUND: Besides transferrin iron, which represents the normal form of circulating iron, non-transferrin bound iron (NTBI) has been identified in the plasma of patients with various pathological conditions in which transferrin saturation is significantly elevated. SCOPE OF THE REVIEW: To show that: i) NTBI is present not only during chronic iron overload disorders (hemochromatosis, transfusional iron overload) but also in miscellaneous diseases which are not primarily iron overloaded conditions; ii) this iron species represents a potentially toxic iron form due to its high propensity to induce reactive oxygen species and is responsible for cellular damage not only at the plasma membrane level but also towards different intracellular organelles; iii) the NTBI concept may be expanded to include intracytosolic iron forms which are not linked to ferritin, the major storage protein which exerts, at the cellular level, the same type of protective effect towards the intracellular environment as transferrin in the plasma. MAJOR CONCLUSIONS: Plasma NTBI and especially labile plasma iron determinations represent a new important biological tool since elimination of this toxic iron species is a major therapeutic goal. GENERAL SIGNIFICANCE: The NTBI approach represents an important mechanistic concept for explaining cellular iron excess and toxicity and provides new important biochemical diagnostic tools. This article is part of a Special Issue entitled Transferrins: Molecular mechanisms of iron transport and disorders.", "author" : [ { "dropping-particle" : "", "family" : "Brissot", "given" : "Pierre", "non-dropping-particle" : "", "parse-names" : false, "suffix" : "" }, { "dropping-particle" : "", "family" : "Ropert", "given" : "Martine", "non-dropping-particle" : "", "parse-names" : false, "suffix" : "" }, { "dropping-particle" : "", "family" : "Lan", "given" : "Caroline", "non-dropping-particle" : "Le", "parse-names" : false, "suffix" : "" }, { "dropping-particle" : "", "family" : "Lor\u00e9al", "given" : "Olivier", "non-dropping-particle" : "", "parse-names" : false, "suffix" : "" } ], "container-title" : "Biochimica et Biophysica Acta", "id" : "ITEM-1", "issue" : "3", "issued" : { "date-parts" : [ [ "2012", "3" ] ] }, "page" : "403-10", "publisher" : "Elsevier B.V.", "title" : "Non-transferrin bound iron: a key role in iron overload and iron toxicity.", "type" : "article-journal", "volume" : "1820" }, "uris" : [ "http://www.mendeley.com/documents/?uuid=b1229880-05e7-4a9d-950d-e3ef10738243" ] } ], "mendeley" : { "formattedCitation" : "(14)", "plainTextFormattedCitation" : "(14)", "previouslyFormattedCitation" : "(14)" }, "properties" : { "noteIndex" : 0 }, "schema" : "https://github.com/citation-style-language/schema/raw/master/csl-citation.json" }</w:instrText>
      </w:r>
      <w:r w:rsidR="007250EC" w:rsidRPr="00CB54AD">
        <w:rPr>
          <w:rFonts w:ascii="Arial" w:hAnsi="Arial" w:cs="Arial"/>
          <w:sz w:val="24"/>
          <w:szCs w:val="24"/>
          <w:lang w:val="en-US"/>
        </w:rPr>
        <w:fldChar w:fldCharType="separate"/>
      </w:r>
      <w:r w:rsidR="00891484" w:rsidRPr="00891484">
        <w:rPr>
          <w:rFonts w:ascii="Arial" w:hAnsi="Arial" w:cs="Arial"/>
          <w:noProof/>
          <w:sz w:val="24"/>
          <w:szCs w:val="24"/>
          <w:lang w:val="en-US"/>
        </w:rPr>
        <w:t>(14)</w:t>
      </w:r>
      <w:r w:rsidR="007250EC" w:rsidRPr="00CB54AD">
        <w:rPr>
          <w:rFonts w:ascii="Arial" w:hAnsi="Arial" w:cs="Arial"/>
          <w:sz w:val="24"/>
          <w:szCs w:val="24"/>
          <w:lang w:val="en-US"/>
        </w:rPr>
        <w:fldChar w:fldCharType="end"/>
      </w:r>
      <w:r w:rsidR="007250EC" w:rsidRPr="00CB54AD">
        <w:rPr>
          <w:rFonts w:ascii="Arial" w:hAnsi="Arial" w:cs="Arial"/>
          <w:sz w:val="24"/>
          <w:szCs w:val="24"/>
          <w:lang w:val="en-US"/>
        </w:rPr>
        <w:t xml:space="preserve">. </w:t>
      </w:r>
      <w:r w:rsidR="00ED404E" w:rsidRPr="00CB54AD">
        <w:rPr>
          <w:rFonts w:ascii="Arial" w:hAnsi="Arial" w:cs="Arial"/>
          <w:sz w:val="24"/>
          <w:szCs w:val="24"/>
          <w:lang w:val="en-US"/>
        </w:rPr>
        <w:t xml:space="preserve">We fitted </w:t>
      </w:r>
      <w:r w:rsidR="00ED404E" w:rsidRPr="00F328BE">
        <w:rPr>
          <w:rFonts w:ascii="Arial" w:hAnsi="Arial" w:cs="Arial"/>
          <w:sz w:val="24"/>
          <w:szCs w:val="24"/>
          <w:lang w:val="en-US"/>
        </w:rPr>
        <w:t>t</w:t>
      </w:r>
      <w:r w:rsidR="00302D6B" w:rsidRPr="00F328BE">
        <w:rPr>
          <w:rFonts w:ascii="Arial" w:hAnsi="Arial" w:cs="Arial"/>
          <w:sz w:val="24"/>
          <w:szCs w:val="24"/>
          <w:lang w:val="en-US"/>
        </w:rPr>
        <w:t xml:space="preserve">hree </w:t>
      </w:r>
      <w:r w:rsidR="00ED404E" w:rsidRPr="00F328BE">
        <w:rPr>
          <w:rFonts w:ascii="Arial" w:hAnsi="Arial" w:cs="Arial"/>
          <w:sz w:val="24"/>
          <w:szCs w:val="24"/>
          <w:lang w:val="en-US"/>
        </w:rPr>
        <w:t xml:space="preserve">different </w:t>
      </w:r>
      <w:r w:rsidR="00302D6B" w:rsidRPr="00F328BE">
        <w:rPr>
          <w:rFonts w:ascii="Arial" w:hAnsi="Arial" w:cs="Arial"/>
          <w:sz w:val="24"/>
          <w:szCs w:val="24"/>
          <w:lang w:val="en-US"/>
        </w:rPr>
        <w:t>models with increasing levels of adjustment</w:t>
      </w:r>
      <w:r w:rsidR="00CB54AD" w:rsidRPr="00F328BE">
        <w:rPr>
          <w:rFonts w:ascii="Arial" w:hAnsi="Arial" w:cs="Arial"/>
          <w:sz w:val="24"/>
          <w:szCs w:val="24"/>
          <w:lang w:val="en-US"/>
        </w:rPr>
        <w:t xml:space="preserve"> for key potential confounders</w:t>
      </w:r>
      <w:r w:rsidR="00891484">
        <w:rPr>
          <w:rFonts w:ascii="Arial" w:hAnsi="Arial" w:cs="Arial"/>
          <w:sz w:val="24"/>
          <w:szCs w:val="24"/>
        </w:rPr>
        <w:t xml:space="preserve">, namely, </w:t>
      </w:r>
      <w:r w:rsidR="00CB54AD" w:rsidRPr="00F328BE">
        <w:rPr>
          <w:rFonts w:ascii="Arial" w:hAnsi="Arial" w:cs="Arial"/>
          <w:sz w:val="24"/>
          <w:szCs w:val="24"/>
          <w:lang w:val="en-US"/>
        </w:rPr>
        <w:t xml:space="preserve">age, study </w:t>
      </w:r>
      <w:r w:rsidR="00512BBB" w:rsidRPr="00F328BE">
        <w:rPr>
          <w:rFonts w:ascii="Arial" w:hAnsi="Arial" w:cs="Arial"/>
          <w:sz w:val="24"/>
          <w:szCs w:val="24"/>
          <w:lang w:val="en-US"/>
        </w:rPr>
        <w:t>center</w:t>
      </w:r>
      <w:r w:rsidR="00CB54AD" w:rsidRPr="00F328BE">
        <w:rPr>
          <w:rFonts w:ascii="Arial" w:hAnsi="Arial" w:cs="Arial"/>
          <w:sz w:val="24"/>
          <w:szCs w:val="24"/>
          <w:lang w:val="en-US"/>
        </w:rPr>
        <w:t xml:space="preserve">, BMI, physical activity, smoking status, level </w:t>
      </w:r>
      <w:r w:rsidR="00CB54AD">
        <w:rPr>
          <w:rFonts w:ascii="Arial" w:hAnsi="Arial" w:cs="Arial"/>
          <w:sz w:val="24"/>
          <w:szCs w:val="24"/>
          <w:lang w:val="en-US"/>
        </w:rPr>
        <w:t>of education</w:t>
      </w:r>
      <w:r w:rsidRPr="00CB54AD">
        <w:rPr>
          <w:rFonts w:ascii="Arial" w:hAnsi="Arial" w:cs="Arial"/>
          <w:sz w:val="24"/>
          <w:szCs w:val="24"/>
          <w:lang w:val="en-US"/>
        </w:rPr>
        <w:t xml:space="preserve">, </w:t>
      </w:r>
      <w:proofErr w:type="spellStart"/>
      <w:r w:rsidR="00CB54AD">
        <w:rPr>
          <w:rFonts w:ascii="Arial" w:hAnsi="Arial" w:cs="Arial"/>
          <w:sz w:val="24"/>
          <w:szCs w:val="24"/>
          <w:lang w:val="en-US"/>
        </w:rPr>
        <w:t>hsCRP</w:t>
      </w:r>
      <w:proofErr w:type="spellEnd"/>
      <w:r w:rsidR="00EA1992">
        <w:rPr>
          <w:rFonts w:ascii="Arial" w:hAnsi="Arial" w:cs="Arial"/>
          <w:sz w:val="24"/>
          <w:szCs w:val="24"/>
          <w:lang w:val="en-US"/>
        </w:rPr>
        <w:t xml:space="preserve">, ALT and </w:t>
      </w:r>
      <w:r w:rsidR="00512BBB">
        <w:rPr>
          <w:rFonts w:ascii="Arial" w:hAnsi="Arial" w:cs="Arial"/>
          <w:sz w:val="24"/>
          <w:szCs w:val="24"/>
          <w:lang w:val="en-US"/>
        </w:rPr>
        <w:t>GGT</w:t>
      </w:r>
      <w:r w:rsidR="00ED404E" w:rsidRPr="00CB54AD">
        <w:rPr>
          <w:rFonts w:ascii="Arial" w:hAnsi="Arial" w:cs="Arial"/>
          <w:sz w:val="24"/>
          <w:szCs w:val="24"/>
          <w:lang w:val="en-US"/>
        </w:rPr>
        <w:t>.</w:t>
      </w:r>
      <w:r w:rsidR="00CC4E29" w:rsidRPr="00CB3760">
        <w:rPr>
          <w:rFonts w:ascii="Arial" w:hAnsi="Arial" w:cs="Arial"/>
          <w:sz w:val="24"/>
          <w:szCs w:val="24"/>
          <w:lang w:val="en-US"/>
        </w:rPr>
        <w:t xml:space="preserve"> </w:t>
      </w:r>
      <w:r w:rsidR="00CB3760">
        <w:rPr>
          <w:rFonts w:ascii="Arial" w:hAnsi="Arial" w:cs="Arial"/>
          <w:sz w:val="24"/>
          <w:szCs w:val="24"/>
        </w:rPr>
        <w:t>AST and ALT were</w:t>
      </w:r>
      <w:r w:rsidR="00CB3760" w:rsidRPr="00A85BA0">
        <w:rPr>
          <w:rFonts w:ascii="Arial" w:hAnsi="Arial" w:cs="Arial"/>
          <w:sz w:val="24"/>
          <w:szCs w:val="24"/>
        </w:rPr>
        <w:t xml:space="preserve"> highly correlated</w:t>
      </w:r>
      <w:r w:rsidR="00CB3760">
        <w:rPr>
          <w:rFonts w:ascii="Arial" w:hAnsi="Arial" w:cs="Arial"/>
          <w:sz w:val="24"/>
          <w:szCs w:val="24"/>
        </w:rPr>
        <w:t xml:space="preserve"> (</w:t>
      </w:r>
      <w:r w:rsidR="00CB3760" w:rsidRPr="00CB3760">
        <w:rPr>
          <w:rFonts w:ascii="Arial" w:hAnsi="Arial" w:cs="Arial"/>
          <w:i/>
          <w:sz w:val="24"/>
          <w:szCs w:val="24"/>
        </w:rPr>
        <w:t>r</w:t>
      </w:r>
      <w:r w:rsidR="00CB3760">
        <w:rPr>
          <w:rFonts w:ascii="Arial" w:hAnsi="Arial" w:cs="Arial"/>
          <w:sz w:val="24"/>
          <w:szCs w:val="24"/>
        </w:rPr>
        <w:t>=0.75)</w:t>
      </w:r>
      <w:r w:rsidR="00CB3760" w:rsidRPr="00A85BA0">
        <w:rPr>
          <w:rFonts w:ascii="Arial" w:hAnsi="Arial" w:cs="Arial"/>
          <w:sz w:val="24"/>
          <w:szCs w:val="24"/>
        </w:rPr>
        <w:t xml:space="preserve"> and as AST is less specific for liver disease than ALT, so we only included ALT in the model. </w:t>
      </w:r>
      <w:r w:rsidR="00CC4E29" w:rsidRPr="00CB54AD">
        <w:rPr>
          <w:rFonts w:ascii="Arial" w:hAnsi="Arial" w:cs="Arial"/>
          <w:sz w:val="24"/>
          <w:szCs w:val="24"/>
          <w:lang w:val="en-US"/>
        </w:rPr>
        <w:t xml:space="preserve">We included participants who had data available for the relevant biomarker and all these potential confounders, unless stated otherwise. </w:t>
      </w:r>
      <w:r w:rsidR="0022737F" w:rsidRPr="00CB54AD">
        <w:rPr>
          <w:rFonts w:ascii="Arial" w:hAnsi="Arial" w:cs="Arial"/>
          <w:sz w:val="24"/>
          <w:szCs w:val="24"/>
          <w:lang w:val="en-US"/>
        </w:rPr>
        <w:t>I</w:t>
      </w:r>
      <w:r w:rsidR="001C655B" w:rsidRPr="00CB54AD">
        <w:rPr>
          <w:rFonts w:ascii="Arial" w:hAnsi="Arial" w:cs="Arial"/>
          <w:sz w:val="24"/>
          <w:szCs w:val="24"/>
          <w:lang w:val="en-US"/>
        </w:rPr>
        <w:t>n order t</w:t>
      </w:r>
      <w:r w:rsidR="00E424E1" w:rsidRPr="00CB54AD">
        <w:rPr>
          <w:rFonts w:ascii="Arial" w:hAnsi="Arial" w:cs="Arial"/>
          <w:sz w:val="24"/>
          <w:szCs w:val="24"/>
          <w:lang w:val="en-US"/>
        </w:rPr>
        <w:t>o compare results</w:t>
      </w:r>
      <w:r w:rsidR="00F91A1A" w:rsidRPr="00CB54AD">
        <w:rPr>
          <w:rFonts w:ascii="Arial" w:hAnsi="Arial" w:cs="Arial"/>
          <w:sz w:val="24"/>
          <w:szCs w:val="24"/>
          <w:lang w:val="en-US"/>
        </w:rPr>
        <w:t xml:space="preserve"> with pooled es</w:t>
      </w:r>
      <w:r w:rsidR="0010682C" w:rsidRPr="00CB54AD">
        <w:rPr>
          <w:rFonts w:ascii="Arial" w:hAnsi="Arial" w:cs="Arial"/>
          <w:sz w:val="24"/>
          <w:szCs w:val="24"/>
          <w:lang w:val="en-US"/>
        </w:rPr>
        <w:t xml:space="preserve">timates from </w:t>
      </w:r>
      <w:r w:rsidR="0022737F" w:rsidRPr="00CB54AD">
        <w:rPr>
          <w:rFonts w:ascii="Arial" w:hAnsi="Arial" w:cs="Arial"/>
          <w:sz w:val="24"/>
          <w:szCs w:val="24"/>
          <w:lang w:val="en-US"/>
        </w:rPr>
        <w:t xml:space="preserve">a </w:t>
      </w:r>
      <w:r w:rsidR="001C655B" w:rsidRPr="00CB54AD">
        <w:rPr>
          <w:rFonts w:ascii="Arial" w:hAnsi="Arial" w:cs="Arial"/>
          <w:sz w:val="24"/>
          <w:szCs w:val="24"/>
          <w:lang w:val="en-US"/>
        </w:rPr>
        <w:t>recent meta-analysi</w:t>
      </w:r>
      <w:r w:rsidR="0010682C" w:rsidRPr="00CB54AD">
        <w:rPr>
          <w:rFonts w:ascii="Arial" w:hAnsi="Arial" w:cs="Arial"/>
          <w:sz w:val="24"/>
          <w:szCs w:val="24"/>
          <w:lang w:val="en-US"/>
        </w:rPr>
        <w:t>s</w:t>
      </w:r>
      <w:r w:rsidR="00F31B92" w:rsidRPr="00CB54AD">
        <w:rPr>
          <w:rFonts w:ascii="Arial" w:hAnsi="Arial" w:cs="Arial"/>
          <w:sz w:val="24"/>
          <w:szCs w:val="24"/>
          <w:lang w:val="en-US"/>
        </w:rPr>
        <w:t xml:space="preserve"> </w:t>
      </w:r>
      <w:r w:rsidR="00B73DF0" w:rsidRPr="00CB54AD">
        <w:rPr>
          <w:rFonts w:ascii="Arial" w:hAnsi="Arial" w:cs="Arial"/>
          <w:sz w:val="24"/>
          <w:szCs w:val="24"/>
          <w:lang w:val="en-US"/>
        </w:rPr>
        <w:fldChar w:fldCharType="begin" w:fldLock="1"/>
      </w:r>
      <w:r w:rsidR="006372DC" w:rsidRPr="00CB54AD">
        <w:rPr>
          <w:rFonts w:ascii="Arial" w:hAnsi="Arial" w:cs="Arial"/>
          <w:sz w:val="24"/>
          <w:szCs w:val="24"/>
          <w:lang w:val="en-US"/>
        </w:rPr>
        <w:instrText>ADDIN CSL_CITATION { "citationItems" : [ { "id" : "ITEM-1", "itemData" : { "DOI" : "10.1002/dmrr.2394", "ISSN" : "1520-7560", "PMID" : "23381919", "abstract" : "BACKGROUND: Emerging evidence suggests that a strong link that exists between elevated baseline body iron stores and high risk of incident type 2 diabetes mellitus (T2DM) in general populations, but the precise magnitude of the associations remains uncertain. METHODS: We conducted a systematic review and meta-analysis of published prospective studies evaluating the associations of baseline ferritin (a biomarker of body iron stores) levels with risk of T2DM in general populations. A subsidiary review of dietary heme iron status and T2DM risk associations was also conducted. Studies were identified in a literature search of PubMed, EMBASE, and Web of Science up to October 2012. RESULTS: Of the 730 studies reviewed for eligibility, 12 published studies involving 185 462 participants and 11 079 incident T2DM events were included in the analyses. Nine studies assessed associations between ferritin levels and T2DM with heterogeneous findings (I(2) = 58%, 12-80%, p = 0.014). The pooled fully adjusted relative risk (RR) with (95% confidence interval) for T2DM was 1.73 (1.35-2.22) in a comparison of extreme fifths of baseline ferritin levels. Three studies evaluated associations between dietary heme iron status and T2DM with a corresponding RR for T2DM of 1.28 (1.16-1.41). In dose-response analyses, the pooled RRs for an increment of 5 ng/mL in ferritin levels and 5 mg/day in dietary heme iron were, respectively, 1.01 (0.99-1.02) and 3.24 (2.05-5.10). CONCLUSION: Elevated levels of ferritin may help identify individuals at high risk of T2DM. Further research is warranted to establish causality of these associations and to ascertain which patients are likely to benefit from lifestyle or therapeutic interventions.", "author" : [ { "dropping-particle" : "", "family" : "Kunutsor", "given" : "Setor K", "non-dropping-particle" : "", "parse-names" : false, "suffix" : "" }, { "dropping-particle" : "", "family" : "Apekey", "given" : "Tanefa A", "non-dropping-particle" : "", "parse-names" : false, "suffix" : "" }, { "dropping-particle" : "", "family" : "Walley", "given" : "John", "non-dropping-particle" : "", "parse-names" : false, "suffix" : "" }, { "dropping-particle" : "", "family" : "Kain", "given" : "Kirti", "non-dropping-particle" : "", "parse-names" : false, "suffix" : "" } ], "container-title" : "Diabetes/metabolism research and reviews", "id" : "ITEM-1", "issue" : "4", "issued" : { "date-parts" : [ [ "2013", "5" ] ] }, "page" : "308-18", "title" : "Ferritin levels and risk of type 2 diabetes mellitus: an updated systematic review and meta-analysis of prospective evidence.", "type" : "article-journal", "volume" : "29" }, "uris" : [ "http://www.mendeley.com/documents/?uuid=ea13285a-1001-4dcb-899a-91d9a0914311" ] } ], "mendeley" : { "formattedCitation" : "(3)", "plainTextFormattedCitation" : "(3)", "previouslyFormattedCitation" : "(3)" }, "properties" : { "noteIndex" : 0 }, "schema" : "https://github.com/citation-style-language/schema/raw/master/csl-citation.json" }</w:instrText>
      </w:r>
      <w:r w:rsidR="00B73DF0" w:rsidRPr="00CB54AD">
        <w:rPr>
          <w:rFonts w:ascii="Arial" w:hAnsi="Arial" w:cs="Arial"/>
          <w:sz w:val="24"/>
          <w:szCs w:val="24"/>
          <w:lang w:val="en-US"/>
        </w:rPr>
        <w:fldChar w:fldCharType="separate"/>
      </w:r>
      <w:r w:rsidR="00422013" w:rsidRPr="00CB54AD">
        <w:rPr>
          <w:rFonts w:ascii="Arial" w:hAnsi="Arial" w:cs="Arial"/>
          <w:noProof/>
          <w:sz w:val="24"/>
          <w:szCs w:val="24"/>
          <w:lang w:val="en-US"/>
        </w:rPr>
        <w:t>(3)</w:t>
      </w:r>
      <w:r w:rsidR="00B73DF0" w:rsidRPr="00CB54AD">
        <w:rPr>
          <w:rFonts w:ascii="Arial" w:hAnsi="Arial" w:cs="Arial"/>
          <w:sz w:val="24"/>
          <w:szCs w:val="24"/>
          <w:lang w:val="en-US"/>
        </w:rPr>
        <w:fldChar w:fldCharType="end"/>
      </w:r>
      <w:r w:rsidR="0010682C" w:rsidRPr="00CB54AD">
        <w:rPr>
          <w:rFonts w:ascii="Arial" w:hAnsi="Arial" w:cs="Arial"/>
          <w:sz w:val="24"/>
          <w:szCs w:val="24"/>
          <w:lang w:val="en-US"/>
        </w:rPr>
        <w:t>, results were also</w:t>
      </w:r>
      <w:r w:rsidR="00F91A1A" w:rsidRPr="00CB54AD">
        <w:rPr>
          <w:rFonts w:ascii="Arial" w:hAnsi="Arial" w:cs="Arial"/>
          <w:sz w:val="24"/>
          <w:szCs w:val="24"/>
          <w:lang w:val="en-US"/>
        </w:rPr>
        <w:t xml:space="preserve"> rep</w:t>
      </w:r>
      <w:r w:rsidR="00E424E1" w:rsidRPr="00CB54AD">
        <w:rPr>
          <w:rFonts w:ascii="Arial" w:hAnsi="Arial" w:cs="Arial"/>
          <w:sz w:val="24"/>
          <w:szCs w:val="24"/>
          <w:lang w:val="en-US"/>
        </w:rPr>
        <w:t>orted</w:t>
      </w:r>
      <w:r w:rsidR="00F91A1A" w:rsidRPr="00CB54AD">
        <w:rPr>
          <w:rFonts w:ascii="Arial" w:hAnsi="Arial" w:cs="Arial"/>
          <w:sz w:val="24"/>
          <w:szCs w:val="24"/>
          <w:lang w:val="en-US"/>
        </w:rPr>
        <w:t xml:space="preserve"> for </w:t>
      </w:r>
      <w:r w:rsidR="00AE4697" w:rsidRPr="00CB54AD">
        <w:rPr>
          <w:rFonts w:ascii="Arial" w:hAnsi="Arial" w:cs="Arial"/>
          <w:sz w:val="24"/>
          <w:szCs w:val="24"/>
          <w:lang w:val="en-US"/>
        </w:rPr>
        <w:t xml:space="preserve">the </w:t>
      </w:r>
      <w:r w:rsidR="00DB7F6F" w:rsidRPr="00CB54AD">
        <w:rPr>
          <w:rFonts w:ascii="Arial" w:hAnsi="Arial" w:cs="Arial"/>
          <w:sz w:val="24"/>
          <w:szCs w:val="24"/>
          <w:lang w:val="en-US"/>
        </w:rPr>
        <w:t>top quintile</w:t>
      </w:r>
      <w:r w:rsidR="00196A49" w:rsidRPr="00CB54AD">
        <w:rPr>
          <w:rFonts w:ascii="Arial" w:hAnsi="Arial" w:cs="Arial"/>
          <w:sz w:val="24"/>
          <w:szCs w:val="24"/>
          <w:lang w:val="en-US"/>
        </w:rPr>
        <w:t xml:space="preserve"> </w:t>
      </w:r>
      <w:r w:rsidR="00DB7F6F" w:rsidRPr="00CB54AD">
        <w:rPr>
          <w:rFonts w:ascii="Arial" w:hAnsi="Arial" w:cs="Arial"/>
          <w:sz w:val="24"/>
          <w:szCs w:val="24"/>
          <w:lang w:val="en-US"/>
        </w:rPr>
        <w:t>compared to the lowest</w:t>
      </w:r>
      <w:r w:rsidR="00845578" w:rsidRPr="00CB54AD">
        <w:rPr>
          <w:rFonts w:ascii="Arial" w:hAnsi="Arial" w:cs="Arial"/>
          <w:sz w:val="24"/>
          <w:szCs w:val="24"/>
          <w:lang w:val="en-US"/>
        </w:rPr>
        <w:t xml:space="preserve"> </w:t>
      </w:r>
      <w:r w:rsidR="00DB7F6F" w:rsidRPr="00CB54AD">
        <w:rPr>
          <w:rFonts w:ascii="Arial" w:hAnsi="Arial" w:cs="Arial"/>
          <w:sz w:val="24"/>
          <w:szCs w:val="24"/>
          <w:lang w:val="en-US"/>
        </w:rPr>
        <w:t>quintile</w:t>
      </w:r>
      <w:r w:rsidR="00845578" w:rsidRPr="00CB54AD">
        <w:rPr>
          <w:rFonts w:ascii="Arial" w:hAnsi="Arial" w:cs="Arial"/>
          <w:sz w:val="24"/>
          <w:szCs w:val="24"/>
          <w:lang w:val="en-US"/>
        </w:rPr>
        <w:t xml:space="preserve"> </w:t>
      </w:r>
      <w:r w:rsidR="00F91A1A" w:rsidRPr="00CB54AD">
        <w:rPr>
          <w:rFonts w:ascii="Arial" w:hAnsi="Arial" w:cs="Arial"/>
          <w:sz w:val="24"/>
          <w:szCs w:val="24"/>
          <w:lang w:val="en-US"/>
        </w:rPr>
        <w:t xml:space="preserve">of ferritin </w:t>
      </w:r>
      <w:r w:rsidR="00382A2E" w:rsidRPr="00CB54AD">
        <w:rPr>
          <w:rFonts w:ascii="Arial" w:hAnsi="Arial" w:cs="Arial"/>
          <w:sz w:val="24"/>
          <w:szCs w:val="24"/>
          <w:lang w:val="en-US"/>
        </w:rPr>
        <w:t>(</w:t>
      </w:r>
      <w:r w:rsidR="00BE265A" w:rsidRPr="00CB54AD">
        <w:rPr>
          <w:rFonts w:ascii="Arial" w:hAnsi="Arial" w:cs="Arial"/>
          <w:sz w:val="24"/>
          <w:szCs w:val="24"/>
          <w:lang w:val="en-US"/>
        </w:rPr>
        <w:t xml:space="preserve">sex-specific quintiles </w:t>
      </w:r>
      <w:r w:rsidR="00382A2E" w:rsidRPr="00CB54AD">
        <w:rPr>
          <w:rFonts w:ascii="Arial" w:hAnsi="Arial" w:cs="Arial"/>
          <w:sz w:val="24"/>
          <w:szCs w:val="24"/>
          <w:lang w:val="en-US"/>
        </w:rPr>
        <w:t xml:space="preserve">defined in the </w:t>
      </w:r>
      <w:proofErr w:type="spellStart"/>
      <w:r w:rsidR="00382A2E" w:rsidRPr="00CB54AD">
        <w:rPr>
          <w:rFonts w:ascii="Arial" w:hAnsi="Arial" w:cs="Arial"/>
          <w:sz w:val="24"/>
          <w:szCs w:val="24"/>
          <w:lang w:val="en-US"/>
        </w:rPr>
        <w:t>subcohort</w:t>
      </w:r>
      <w:proofErr w:type="spellEnd"/>
      <w:r w:rsidR="00382A2E" w:rsidRPr="00CB54AD">
        <w:rPr>
          <w:rFonts w:ascii="Arial" w:hAnsi="Arial" w:cs="Arial"/>
          <w:sz w:val="24"/>
          <w:szCs w:val="24"/>
          <w:lang w:val="en-US"/>
        </w:rPr>
        <w:t>)</w:t>
      </w:r>
      <w:r w:rsidR="00F91A1A" w:rsidRPr="00CB54AD">
        <w:rPr>
          <w:rFonts w:ascii="Arial" w:hAnsi="Arial" w:cs="Arial"/>
          <w:sz w:val="24"/>
          <w:szCs w:val="24"/>
          <w:lang w:val="en-US"/>
        </w:rPr>
        <w:t xml:space="preserve">. </w:t>
      </w:r>
      <w:r w:rsidR="0008154A">
        <w:rPr>
          <w:rFonts w:ascii="Arial" w:hAnsi="Arial" w:cs="Arial"/>
          <w:sz w:val="24"/>
          <w:szCs w:val="24"/>
          <w:lang w:val="en-US"/>
        </w:rPr>
        <w:t xml:space="preserve">Because the distribution of ferritin is </w:t>
      </w:r>
      <w:r w:rsidR="00E23C8F">
        <w:rPr>
          <w:rFonts w:ascii="Arial" w:hAnsi="Arial" w:cs="Arial"/>
          <w:sz w:val="24"/>
          <w:szCs w:val="24"/>
          <w:lang w:val="en-US"/>
        </w:rPr>
        <w:t>substantially</w:t>
      </w:r>
      <w:r w:rsidR="0008154A">
        <w:rPr>
          <w:rFonts w:ascii="Arial" w:hAnsi="Arial" w:cs="Arial"/>
          <w:sz w:val="24"/>
          <w:szCs w:val="24"/>
          <w:lang w:val="en-US"/>
        </w:rPr>
        <w:t xml:space="preserve"> different in men and women</w:t>
      </w:r>
      <w:r w:rsidR="00F46EBB">
        <w:rPr>
          <w:rFonts w:ascii="Arial" w:hAnsi="Arial" w:cs="Arial"/>
          <w:sz w:val="24"/>
          <w:szCs w:val="24"/>
          <w:lang w:val="en-US"/>
        </w:rPr>
        <w:t xml:space="preserve"> in the general population</w:t>
      </w:r>
      <w:r w:rsidR="0008154A">
        <w:rPr>
          <w:rFonts w:ascii="Arial" w:hAnsi="Arial" w:cs="Arial"/>
          <w:sz w:val="24"/>
          <w:szCs w:val="24"/>
          <w:lang w:val="en-US"/>
        </w:rPr>
        <w:t>, we also reported results for one sex-specific standard deviation of ferritin</w:t>
      </w:r>
      <w:r w:rsidR="00E23C8F">
        <w:rPr>
          <w:rFonts w:ascii="Arial" w:hAnsi="Arial" w:cs="Arial"/>
          <w:sz w:val="24"/>
          <w:szCs w:val="24"/>
          <w:lang w:val="en-US"/>
        </w:rPr>
        <w:t>. We also presented hazard ratios for various cut-offs of TSAT and for a 5% higher level of TSAT</w:t>
      </w:r>
      <w:r w:rsidR="0008154A">
        <w:rPr>
          <w:rFonts w:ascii="Arial" w:hAnsi="Arial" w:cs="Arial"/>
          <w:sz w:val="24"/>
          <w:szCs w:val="24"/>
          <w:lang w:val="en-US"/>
        </w:rPr>
        <w:t xml:space="preserve">. </w:t>
      </w:r>
      <w:r w:rsidR="004E0F0D">
        <w:rPr>
          <w:rFonts w:ascii="Arial" w:hAnsi="Arial" w:cs="Arial"/>
          <w:sz w:val="24"/>
          <w:szCs w:val="24"/>
          <w:lang w:val="en-US"/>
        </w:rPr>
        <w:t>Adjusted and unadjusted cu</w:t>
      </w:r>
      <w:r w:rsidR="003476E5" w:rsidRPr="00CB54AD">
        <w:rPr>
          <w:rFonts w:ascii="Arial" w:hAnsi="Arial" w:cs="Arial"/>
          <w:sz w:val="24"/>
          <w:szCs w:val="24"/>
          <w:lang w:val="en-US"/>
        </w:rPr>
        <w:t xml:space="preserve">bic splines were generated for the association of each biomarker with </w:t>
      </w:r>
      <w:r w:rsidR="008C722E" w:rsidRPr="00CB54AD">
        <w:rPr>
          <w:rFonts w:ascii="Arial" w:hAnsi="Arial" w:cs="Arial"/>
          <w:sz w:val="24"/>
          <w:szCs w:val="24"/>
          <w:lang w:val="en-US"/>
        </w:rPr>
        <w:t>type 2 diabetes</w:t>
      </w:r>
      <w:r w:rsidR="007E1168" w:rsidRPr="00CB54AD">
        <w:rPr>
          <w:rFonts w:ascii="Arial" w:hAnsi="Arial" w:cs="Arial"/>
          <w:sz w:val="24"/>
          <w:szCs w:val="24"/>
          <w:lang w:val="en-US"/>
        </w:rPr>
        <w:t xml:space="preserve"> in men and women</w:t>
      </w:r>
      <w:r w:rsidR="003476E5" w:rsidRPr="00CB54AD">
        <w:rPr>
          <w:rFonts w:ascii="Arial" w:hAnsi="Arial" w:cs="Arial"/>
          <w:sz w:val="24"/>
          <w:szCs w:val="24"/>
          <w:lang w:val="en-US"/>
        </w:rPr>
        <w:t xml:space="preserve">. The splines were </w:t>
      </w:r>
      <w:r w:rsidR="00302D6B" w:rsidRPr="00CB54AD">
        <w:rPr>
          <w:rFonts w:ascii="Arial" w:hAnsi="Arial" w:cs="Arial"/>
          <w:sz w:val="24"/>
          <w:szCs w:val="24"/>
          <w:lang w:val="en-US"/>
        </w:rPr>
        <w:t xml:space="preserve">calculated </w:t>
      </w:r>
      <w:r w:rsidR="003476E5" w:rsidRPr="00CB54AD">
        <w:rPr>
          <w:rFonts w:ascii="Arial" w:hAnsi="Arial" w:cs="Arial"/>
          <w:sz w:val="24"/>
          <w:szCs w:val="24"/>
          <w:lang w:val="en-US"/>
        </w:rPr>
        <w:t>between the 1</w:t>
      </w:r>
      <w:r w:rsidR="003476E5" w:rsidRPr="00CB54AD">
        <w:rPr>
          <w:rFonts w:ascii="Arial" w:hAnsi="Arial" w:cs="Arial"/>
          <w:sz w:val="24"/>
          <w:szCs w:val="24"/>
          <w:vertAlign w:val="superscript"/>
          <w:lang w:val="en-US"/>
        </w:rPr>
        <w:t>st</w:t>
      </w:r>
      <w:r w:rsidR="003476E5" w:rsidRPr="00CB54AD">
        <w:rPr>
          <w:rFonts w:ascii="Arial" w:hAnsi="Arial" w:cs="Arial"/>
          <w:sz w:val="24"/>
          <w:szCs w:val="24"/>
          <w:lang w:val="en-US"/>
        </w:rPr>
        <w:t xml:space="preserve"> and 99</w:t>
      </w:r>
      <w:r w:rsidR="003476E5" w:rsidRPr="00CB54AD">
        <w:rPr>
          <w:rFonts w:ascii="Arial" w:hAnsi="Arial" w:cs="Arial"/>
          <w:sz w:val="24"/>
          <w:szCs w:val="24"/>
          <w:vertAlign w:val="superscript"/>
          <w:lang w:val="en-US"/>
        </w:rPr>
        <w:t>th</w:t>
      </w:r>
      <w:r w:rsidR="003476E5" w:rsidRPr="00CB54AD">
        <w:rPr>
          <w:rFonts w:ascii="Arial" w:hAnsi="Arial" w:cs="Arial"/>
          <w:sz w:val="24"/>
          <w:szCs w:val="24"/>
          <w:lang w:val="en-US"/>
        </w:rPr>
        <w:t xml:space="preserve"> perce</w:t>
      </w:r>
      <w:r w:rsidR="00DB7F6F" w:rsidRPr="00CB54AD">
        <w:rPr>
          <w:rFonts w:ascii="Arial" w:hAnsi="Arial" w:cs="Arial"/>
          <w:sz w:val="24"/>
          <w:szCs w:val="24"/>
          <w:lang w:val="en-US"/>
        </w:rPr>
        <w:t xml:space="preserve">ntile of the </w:t>
      </w:r>
      <w:r w:rsidR="00DB7F6F" w:rsidRPr="00CB54AD">
        <w:rPr>
          <w:rFonts w:ascii="Arial" w:hAnsi="Arial" w:cs="Arial"/>
          <w:sz w:val="24"/>
          <w:szCs w:val="24"/>
          <w:lang w:val="en-US"/>
        </w:rPr>
        <w:lastRenderedPageBreak/>
        <w:t>relevant biomarker</w:t>
      </w:r>
      <w:r w:rsidR="003476E5" w:rsidRPr="00CB54AD">
        <w:rPr>
          <w:rFonts w:ascii="Arial" w:hAnsi="Arial" w:cs="Arial"/>
          <w:sz w:val="24"/>
          <w:szCs w:val="24"/>
          <w:lang w:val="en-US"/>
        </w:rPr>
        <w:t xml:space="preserve"> with knots at the 5</w:t>
      </w:r>
      <w:r w:rsidR="003476E5" w:rsidRPr="00CB54AD">
        <w:rPr>
          <w:rFonts w:ascii="Arial" w:hAnsi="Arial" w:cs="Arial"/>
          <w:sz w:val="24"/>
          <w:szCs w:val="24"/>
          <w:vertAlign w:val="superscript"/>
          <w:lang w:val="en-US"/>
        </w:rPr>
        <w:t>th</w:t>
      </w:r>
      <w:r w:rsidR="003476E5" w:rsidRPr="00CB54AD">
        <w:rPr>
          <w:rFonts w:ascii="Arial" w:hAnsi="Arial" w:cs="Arial"/>
          <w:sz w:val="24"/>
          <w:szCs w:val="24"/>
          <w:lang w:val="en-US"/>
        </w:rPr>
        <w:t>, 25</w:t>
      </w:r>
      <w:r w:rsidR="003476E5" w:rsidRPr="00CB54AD">
        <w:rPr>
          <w:rFonts w:ascii="Arial" w:hAnsi="Arial" w:cs="Arial"/>
          <w:sz w:val="24"/>
          <w:szCs w:val="24"/>
          <w:vertAlign w:val="superscript"/>
          <w:lang w:val="en-US"/>
        </w:rPr>
        <w:t>th</w:t>
      </w:r>
      <w:r w:rsidR="00302D6B" w:rsidRPr="00CB54AD">
        <w:rPr>
          <w:rFonts w:ascii="Arial" w:hAnsi="Arial" w:cs="Arial"/>
          <w:sz w:val="24"/>
          <w:szCs w:val="24"/>
          <w:lang w:val="en-US"/>
        </w:rPr>
        <w:t>, 75</w:t>
      </w:r>
      <w:r w:rsidR="00302D6B" w:rsidRPr="00CB54AD">
        <w:rPr>
          <w:rFonts w:ascii="Arial" w:hAnsi="Arial" w:cs="Arial"/>
          <w:sz w:val="24"/>
          <w:szCs w:val="24"/>
          <w:vertAlign w:val="superscript"/>
          <w:lang w:val="en-US"/>
        </w:rPr>
        <w:t>th</w:t>
      </w:r>
      <w:r w:rsidR="003476E5" w:rsidRPr="00CB54AD">
        <w:rPr>
          <w:rFonts w:ascii="Arial" w:hAnsi="Arial" w:cs="Arial"/>
          <w:sz w:val="24"/>
          <w:szCs w:val="24"/>
          <w:lang w:val="en-US"/>
        </w:rPr>
        <w:t xml:space="preserve"> and 95</w:t>
      </w:r>
      <w:r w:rsidR="003476E5" w:rsidRPr="00CB54AD">
        <w:rPr>
          <w:rFonts w:ascii="Arial" w:hAnsi="Arial" w:cs="Arial"/>
          <w:sz w:val="24"/>
          <w:szCs w:val="24"/>
          <w:vertAlign w:val="superscript"/>
          <w:lang w:val="en-US"/>
        </w:rPr>
        <w:t>th</w:t>
      </w:r>
      <w:r w:rsidR="003476E5" w:rsidRPr="00CB54AD">
        <w:rPr>
          <w:rFonts w:ascii="Arial" w:hAnsi="Arial" w:cs="Arial"/>
          <w:sz w:val="24"/>
          <w:szCs w:val="24"/>
          <w:lang w:val="en-US"/>
        </w:rPr>
        <w:t xml:space="preserve"> percentiles</w:t>
      </w:r>
      <w:r w:rsidR="00F113BA" w:rsidRPr="00CB54AD">
        <w:rPr>
          <w:rFonts w:ascii="Arial" w:hAnsi="Arial" w:cs="Arial"/>
          <w:sz w:val="24"/>
          <w:szCs w:val="24"/>
          <w:lang w:val="en-US"/>
        </w:rPr>
        <w:t xml:space="preserve"> and</w:t>
      </w:r>
      <w:r w:rsidR="007651D5" w:rsidRPr="00CB54AD">
        <w:rPr>
          <w:rFonts w:ascii="Arial" w:hAnsi="Arial" w:cs="Arial"/>
          <w:sz w:val="24"/>
          <w:szCs w:val="24"/>
          <w:lang w:val="en-US"/>
        </w:rPr>
        <w:t xml:space="preserve"> the median as the reference</w:t>
      </w:r>
      <w:r w:rsidR="003476E5" w:rsidRPr="00CB54AD">
        <w:rPr>
          <w:rFonts w:ascii="Arial" w:hAnsi="Arial" w:cs="Arial"/>
          <w:sz w:val="24"/>
          <w:szCs w:val="24"/>
          <w:lang w:val="en-US"/>
        </w:rPr>
        <w:t xml:space="preserve">. </w:t>
      </w:r>
    </w:p>
    <w:p w:rsidR="00F113BA" w:rsidRPr="00CB54AD" w:rsidRDefault="00F113BA" w:rsidP="00F328BE">
      <w:pPr>
        <w:spacing w:after="0" w:line="480" w:lineRule="auto"/>
        <w:jc w:val="both"/>
        <w:rPr>
          <w:rFonts w:ascii="Arial" w:hAnsi="Arial" w:cs="Arial"/>
          <w:sz w:val="24"/>
          <w:szCs w:val="24"/>
          <w:lang w:val="en-US"/>
        </w:rPr>
      </w:pPr>
    </w:p>
    <w:p w:rsidR="00041DCA" w:rsidRPr="0018334E" w:rsidRDefault="00BD4C3A" w:rsidP="00F328BE">
      <w:pPr>
        <w:autoSpaceDE w:val="0"/>
        <w:autoSpaceDN w:val="0"/>
        <w:adjustRightInd w:val="0"/>
        <w:spacing w:after="0" w:line="480" w:lineRule="auto"/>
        <w:jc w:val="both"/>
        <w:rPr>
          <w:rFonts w:ascii="Arial" w:hAnsi="Arial" w:cs="Arial"/>
          <w:sz w:val="24"/>
          <w:szCs w:val="24"/>
          <w:lang w:val="en-US"/>
        </w:rPr>
      </w:pPr>
      <w:r w:rsidRPr="0018334E">
        <w:rPr>
          <w:rFonts w:ascii="Arial" w:hAnsi="Arial" w:cs="Arial"/>
          <w:sz w:val="24"/>
          <w:szCs w:val="24"/>
          <w:lang w:val="en-US"/>
        </w:rPr>
        <w:t>The</w:t>
      </w:r>
      <w:r w:rsidR="00E424E1" w:rsidRPr="0018334E">
        <w:rPr>
          <w:rFonts w:ascii="Arial" w:hAnsi="Arial" w:cs="Arial"/>
          <w:sz w:val="24"/>
          <w:szCs w:val="24"/>
          <w:lang w:val="en-US"/>
        </w:rPr>
        <w:t xml:space="preserve"> </w:t>
      </w:r>
      <w:r w:rsidR="008434E6" w:rsidRPr="0018334E">
        <w:rPr>
          <w:rFonts w:ascii="Arial" w:hAnsi="Arial" w:cs="Arial"/>
          <w:sz w:val="24"/>
          <w:szCs w:val="24"/>
          <w:lang w:val="en-US"/>
        </w:rPr>
        <w:t>association</w:t>
      </w:r>
      <w:r w:rsidR="00F113BA" w:rsidRPr="0018334E">
        <w:rPr>
          <w:rFonts w:ascii="Arial" w:hAnsi="Arial" w:cs="Arial"/>
          <w:sz w:val="24"/>
          <w:szCs w:val="24"/>
          <w:lang w:val="en-US"/>
        </w:rPr>
        <w:t xml:space="preserve"> of ferritin with </w:t>
      </w:r>
      <w:r w:rsidR="008C722E" w:rsidRPr="0018334E">
        <w:rPr>
          <w:rFonts w:ascii="Arial" w:hAnsi="Arial" w:cs="Arial"/>
          <w:sz w:val="24"/>
          <w:szCs w:val="24"/>
          <w:lang w:val="en-US"/>
        </w:rPr>
        <w:t>type 2 diabetes</w:t>
      </w:r>
      <w:r w:rsidR="00F113BA" w:rsidRPr="0018334E">
        <w:rPr>
          <w:rFonts w:ascii="Arial" w:hAnsi="Arial" w:cs="Arial"/>
          <w:sz w:val="24"/>
          <w:szCs w:val="24"/>
          <w:lang w:val="en-US"/>
        </w:rPr>
        <w:t xml:space="preserve"> </w:t>
      </w:r>
      <w:r w:rsidR="00E424E1" w:rsidRPr="0018334E">
        <w:rPr>
          <w:rFonts w:ascii="Arial" w:hAnsi="Arial" w:cs="Arial"/>
          <w:sz w:val="24"/>
          <w:szCs w:val="24"/>
          <w:lang w:val="en-US"/>
        </w:rPr>
        <w:t xml:space="preserve">was </w:t>
      </w:r>
      <w:r w:rsidR="00F113BA" w:rsidRPr="0018334E">
        <w:rPr>
          <w:rFonts w:ascii="Arial" w:hAnsi="Arial" w:cs="Arial"/>
          <w:sz w:val="24"/>
          <w:szCs w:val="24"/>
          <w:lang w:val="en-US"/>
        </w:rPr>
        <w:t xml:space="preserve">also </w:t>
      </w:r>
      <w:r w:rsidR="00F65FDB" w:rsidRPr="0018334E">
        <w:rPr>
          <w:rFonts w:ascii="Arial" w:hAnsi="Arial" w:cs="Arial"/>
          <w:sz w:val="24"/>
          <w:szCs w:val="24"/>
          <w:lang w:val="en-US"/>
        </w:rPr>
        <w:t xml:space="preserve">estimated </w:t>
      </w:r>
      <w:r w:rsidR="003271FD" w:rsidRPr="0018334E">
        <w:rPr>
          <w:rFonts w:ascii="Arial" w:hAnsi="Arial" w:cs="Arial"/>
          <w:sz w:val="24"/>
          <w:szCs w:val="24"/>
          <w:lang w:val="en-US"/>
        </w:rPr>
        <w:t xml:space="preserve">in a </w:t>
      </w:r>
      <w:r w:rsidR="00E424E1" w:rsidRPr="0018334E">
        <w:rPr>
          <w:rFonts w:ascii="Arial" w:hAnsi="Arial" w:cs="Arial"/>
          <w:sz w:val="24"/>
          <w:szCs w:val="24"/>
          <w:lang w:val="en-US"/>
        </w:rPr>
        <w:t xml:space="preserve">restricted </w:t>
      </w:r>
      <w:r w:rsidR="003271FD" w:rsidRPr="0018334E">
        <w:rPr>
          <w:rFonts w:ascii="Arial" w:hAnsi="Arial" w:cs="Arial"/>
          <w:sz w:val="24"/>
          <w:szCs w:val="24"/>
          <w:lang w:val="en-US"/>
        </w:rPr>
        <w:t xml:space="preserve">sample of </w:t>
      </w:r>
      <w:r w:rsidR="00D5695A" w:rsidRPr="0018334E">
        <w:rPr>
          <w:rFonts w:ascii="Arial" w:hAnsi="Arial" w:cs="Arial"/>
          <w:sz w:val="24"/>
          <w:szCs w:val="24"/>
          <w:lang w:val="en-US"/>
        </w:rPr>
        <w:t xml:space="preserve">individuals </w:t>
      </w:r>
      <w:r w:rsidR="003271FD" w:rsidRPr="0018334E">
        <w:rPr>
          <w:rFonts w:ascii="Arial" w:hAnsi="Arial" w:cs="Arial"/>
          <w:sz w:val="24"/>
          <w:szCs w:val="24"/>
          <w:lang w:val="en-US"/>
        </w:rPr>
        <w:t>who did not present</w:t>
      </w:r>
      <w:r w:rsidR="00D5695A" w:rsidRPr="0018334E">
        <w:rPr>
          <w:rFonts w:ascii="Arial" w:hAnsi="Arial" w:cs="Arial"/>
          <w:sz w:val="24"/>
          <w:szCs w:val="24"/>
          <w:lang w:val="en-US"/>
        </w:rPr>
        <w:t xml:space="preserve"> </w:t>
      </w:r>
      <w:r w:rsidR="00E424E1" w:rsidRPr="0018334E">
        <w:rPr>
          <w:rFonts w:ascii="Arial" w:hAnsi="Arial" w:cs="Arial"/>
          <w:sz w:val="24"/>
          <w:szCs w:val="24"/>
          <w:lang w:val="en-US"/>
        </w:rPr>
        <w:t xml:space="preserve">signs of </w:t>
      </w:r>
      <w:r w:rsidRPr="0018334E">
        <w:rPr>
          <w:rFonts w:ascii="Arial" w:hAnsi="Arial" w:cs="Arial"/>
          <w:sz w:val="24"/>
          <w:szCs w:val="24"/>
          <w:lang w:val="en-US"/>
        </w:rPr>
        <w:t>common c</w:t>
      </w:r>
      <w:r w:rsidR="00301A2B" w:rsidRPr="0018334E">
        <w:rPr>
          <w:rFonts w:ascii="Arial" w:hAnsi="Arial" w:cs="Arial"/>
          <w:sz w:val="24"/>
          <w:szCs w:val="24"/>
          <w:lang w:val="en-US"/>
        </w:rPr>
        <w:t>orrelates</w:t>
      </w:r>
      <w:r w:rsidRPr="0018334E">
        <w:rPr>
          <w:rFonts w:ascii="Arial" w:hAnsi="Arial" w:cs="Arial"/>
          <w:sz w:val="24"/>
          <w:szCs w:val="24"/>
          <w:lang w:val="en-US"/>
        </w:rPr>
        <w:t xml:space="preserve"> of </w:t>
      </w:r>
      <w:proofErr w:type="spellStart"/>
      <w:r w:rsidRPr="0018334E">
        <w:rPr>
          <w:rFonts w:ascii="Arial" w:hAnsi="Arial" w:cs="Arial"/>
          <w:sz w:val="24"/>
          <w:szCs w:val="24"/>
          <w:lang w:val="en-US"/>
        </w:rPr>
        <w:t>hyperferritinemia</w:t>
      </w:r>
      <w:proofErr w:type="spellEnd"/>
      <w:r w:rsidRPr="0018334E">
        <w:rPr>
          <w:rFonts w:ascii="Arial" w:hAnsi="Arial" w:cs="Arial"/>
          <w:sz w:val="24"/>
          <w:szCs w:val="24"/>
          <w:lang w:val="en-US"/>
        </w:rPr>
        <w:t xml:space="preserve">, namely </w:t>
      </w:r>
      <w:r w:rsidR="00E424E1" w:rsidRPr="0018334E">
        <w:rPr>
          <w:rFonts w:ascii="Arial" w:hAnsi="Arial" w:cs="Arial"/>
          <w:sz w:val="24"/>
          <w:szCs w:val="24"/>
          <w:lang w:val="en-US"/>
        </w:rPr>
        <w:t xml:space="preserve">inflammation, liver disease, high </w:t>
      </w:r>
      <w:r w:rsidR="00052CAB">
        <w:rPr>
          <w:rFonts w:ascii="Arial" w:hAnsi="Arial" w:cs="Arial"/>
          <w:sz w:val="24"/>
          <w:szCs w:val="24"/>
          <w:lang w:val="en-US"/>
        </w:rPr>
        <w:t>alcohol consumption</w:t>
      </w:r>
      <w:r w:rsidR="00E424E1" w:rsidRPr="0018334E">
        <w:rPr>
          <w:rFonts w:ascii="Arial" w:hAnsi="Arial" w:cs="Arial"/>
          <w:sz w:val="24"/>
          <w:szCs w:val="24"/>
          <w:lang w:val="en-US"/>
        </w:rPr>
        <w:t xml:space="preserve"> and obesity </w:t>
      </w:r>
      <w:r w:rsidR="00D5695A" w:rsidRPr="0018334E">
        <w:rPr>
          <w:rFonts w:ascii="Arial" w:hAnsi="Arial" w:cs="Arial"/>
          <w:sz w:val="24"/>
          <w:szCs w:val="24"/>
          <w:lang w:val="en-US"/>
        </w:rPr>
        <w:t>(</w:t>
      </w:r>
      <w:r w:rsidR="00D5695A" w:rsidRPr="0018334E">
        <w:rPr>
          <w:rFonts w:ascii="Arial" w:hAnsi="Arial" w:cs="Arial"/>
          <w:i/>
          <w:sz w:val="24"/>
          <w:szCs w:val="24"/>
          <w:lang w:val="en-US"/>
        </w:rPr>
        <w:t>n</w:t>
      </w:r>
      <w:r w:rsidR="00F14A88" w:rsidRPr="0018334E">
        <w:rPr>
          <w:rFonts w:ascii="Arial" w:hAnsi="Arial" w:cs="Arial"/>
          <w:sz w:val="24"/>
          <w:szCs w:val="24"/>
          <w:lang w:val="en-US"/>
        </w:rPr>
        <w:t>=</w:t>
      </w:r>
      <w:r w:rsidR="00B33BA6" w:rsidRPr="0018334E">
        <w:rPr>
          <w:rFonts w:ascii="Arial" w:hAnsi="Arial" w:cs="Arial"/>
          <w:sz w:val="24"/>
          <w:szCs w:val="24"/>
          <w:lang w:val="en-US"/>
        </w:rPr>
        <w:t>10,958</w:t>
      </w:r>
      <w:r w:rsidR="00D5695A" w:rsidRPr="0018334E">
        <w:rPr>
          <w:rFonts w:ascii="Arial" w:hAnsi="Arial" w:cs="Arial"/>
          <w:sz w:val="24"/>
          <w:szCs w:val="24"/>
          <w:lang w:val="en-US"/>
        </w:rPr>
        <w:t xml:space="preserve">). These were defined as individuals with </w:t>
      </w:r>
      <w:proofErr w:type="spellStart"/>
      <w:r w:rsidR="00D5695A" w:rsidRPr="0018334E">
        <w:rPr>
          <w:rFonts w:ascii="Arial" w:hAnsi="Arial" w:cs="Arial"/>
          <w:sz w:val="24"/>
          <w:szCs w:val="24"/>
          <w:lang w:val="en-US"/>
        </w:rPr>
        <w:t>hsCRP</w:t>
      </w:r>
      <w:proofErr w:type="spellEnd"/>
      <w:r w:rsidR="00D5695A" w:rsidRPr="0018334E">
        <w:rPr>
          <w:rFonts w:ascii="Arial" w:hAnsi="Arial" w:cs="Arial"/>
          <w:sz w:val="24"/>
          <w:szCs w:val="24"/>
          <w:lang w:val="en-US"/>
        </w:rPr>
        <w:t xml:space="preserve"> </w:t>
      </w:r>
      <w:r w:rsidR="008A2009" w:rsidRPr="0018334E">
        <w:rPr>
          <w:rFonts w:ascii="Arial" w:hAnsi="Arial" w:cs="Arial"/>
          <w:sz w:val="24"/>
          <w:szCs w:val="24"/>
          <w:lang w:val="en-US"/>
        </w:rPr>
        <w:t>&lt;10</w:t>
      </w:r>
      <w:r w:rsidR="00D5695A" w:rsidRPr="0018334E">
        <w:rPr>
          <w:rFonts w:ascii="Arial" w:hAnsi="Arial" w:cs="Arial"/>
          <w:sz w:val="24"/>
          <w:szCs w:val="24"/>
          <w:lang w:val="en-US"/>
        </w:rPr>
        <w:t xml:space="preserve"> m</w:t>
      </w:r>
      <w:r w:rsidR="00D12DF0" w:rsidRPr="0018334E">
        <w:rPr>
          <w:rFonts w:ascii="Arial" w:hAnsi="Arial" w:cs="Arial"/>
          <w:sz w:val="24"/>
          <w:szCs w:val="24"/>
          <w:lang w:val="en-US"/>
        </w:rPr>
        <w:t>g</w:t>
      </w:r>
      <w:r w:rsidR="006B7240" w:rsidRPr="0018334E">
        <w:rPr>
          <w:rFonts w:ascii="Arial" w:hAnsi="Arial" w:cs="Arial"/>
          <w:sz w:val="24"/>
          <w:szCs w:val="24"/>
          <w:lang w:val="en-US"/>
        </w:rPr>
        <w:t>/L</w:t>
      </w:r>
      <w:r w:rsidR="00D5695A" w:rsidRPr="0018334E">
        <w:rPr>
          <w:rFonts w:ascii="Arial" w:hAnsi="Arial" w:cs="Arial"/>
          <w:sz w:val="24"/>
          <w:szCs w:val="24"/>
          <w:lang w:val="en-US"/>
        </w:rPr>
        <w:t>, ALT</w:t>
      </w:r>
      <w:r w:rsidR="008A2009" w:rsidRPr="0018334E">
        <w:rPr>
          <w:rFonts w:ascii="Arial" w:hAnsi="Arial" w:cs="Arial"/>
          <w:sz w:val="24"/>
          <w:szCs w:val="24"/>
          <w:lang w:val="en-US"/>
        </w:rPr>
        <w:t xml:space="preserve"> and AST</w:t>
      </w:r>
      <w:r w:rsidR="00D5695A" w:rsidRPr="0018334E">
        <w:rPr>
          <w:rFonts w:ascii="Arial" w:hAnsi="Arial" w:cs="Arial"/>
          <w:sz w:val="24"/>
          <w:szCs w:val="24"/>
          <w:lang w:val="en-US"/>
        </w:rPr>
        <w:t xml:space="preserve"> ≤40 U</w:t>
      </w:r>
      <w:r w:rsidR="006B7240" w:rsidRPr="0018334E">
        <w:rPr>
          <w:rFonts w:ascii="Arial" w:hAnsi="Arial" w:cs="Arial"/>
          <w:sz w:val="24"/>
          <w:szCs w:val="24"/>
          <w:lang w:val="en-US"/>
        </w:rPr>
        <w:t>/L</w:t>
      </w:r>
      <w:r w:rsidR="00D5695A" w:rsidRPr="0018334E">
        <w:rPr>
          <w:rFonts w:ascii="Arial" w:hAnsi="Arial" w:cs="Arial"/>
          <w:sz w:val="24"/>
          <w:szCs w:val="24"/>
          <w:lang w:val="en-US"/>
        </w:rPr>
        <w:t>, GGT ≤60 U</w:t>
      </w:r>
      <w:r w:rsidR="006B7240" w:rsidRPr="0018334E">
        <w:rPr>
          <w:rFonts w:ascii="Arial" w:hAnsi="Arial" w:cs="Arial"/>
          <w:sz w:val="24"/>
          <w:szCs w:val="24"/>
          <w:lang w:val="en-US"/>
        </w:rPr>
        <w:t>/L</w:t>
      </w:r>
      <w:r w:rsidR="00D5695A" w:rsidRPr="0018334E">
        <w:rPr>
          <w:rFonts w:ascii="Arial" w:hAnsi="Arial" w:cs="Arial"/>
          <w:sz w:val="24"/>
          <w:szCs w:val="24"/>
          <w:lang w:val="en-US"/>
        </w:rPr>
        <w:t xml:space="preserve"> (men), ≤40 U</w:t>
      </w:r>
      <w:r w:rsidR="006B7240" w:rsidRPr="0018334E">
        <w:rPr>
          <w:rFonts w:ascii="Arial" w:hAnsi="Arial" w:cs="Arial"/>
          <w:sz w:val="24"/>
          <w:szCs w:val="24"/>
          <w:lang w:val="en-US"/>
        </w:rPr>
        <w:t>/L</w:t>
      </w:r>
      <w:r w:rsidR="00D5695A" w:rsidRPr="0018334E">
        <w:rPr>
          <w:rFonts w:ascii="Arial" w:hAnsi="Arial" w:cs="Arial"/>
          <w:sz w:val="24"/>
          <w:szCs w:val="24"/>
          <w:lang w:val="en-US"/>
        </w:rPr>
        <w:t xml:space="preserve"> (women) and a low to moderate self-reported </w:t>
      </w:r>
      <w:r w:rsidR="00052CAB">
        <w:rPr>
          <w:rFonts w:ascii="Arial" w:hAnsi="Arial" w:cs="Arial"/>
          <w:sz w:val="24"/>
          <w:szCs w:val="24"/>
          <w:lang w:val="en-US"/>
        </w:rPr>
        <w:t>alcohol consumption</w:t>
      </w:r>
      <w:r w:rsidR="00D5695A" w:rsidRPr="0018334E">
        <w:rPr>
          <w:rFonts w:ascii="Arial" w:hAnsi="Arial" w:cs="Arial"/>
          <w:sz w:val="24"/>
          <w:szCs w:val="24"/>
          <w:lang w:val="en-US"/>
        </w:rPr>
        <w:t xml:space="preserve"> </w:t>
      </w:r>
      <w:r w:rsidR="00F113BA" w:rsidRPr="0018334E">
        <w:rPr>
          <w:rFonts w:ascii="Arial" w:hAnsi="Arial" w:cs="Arial"/>
          <w:sz w:val="24"/>
          <w:szCs w:val="24"/>
          <w:lang w:val="en-US"/>
        </w:rPr>
        <w:t>(</w:t>
      </w:r>
      <w:r w:rsidR="00D5695A" w:rsidRPr="0018334E">
        <w:rPr>
          <w:rFonts w:ascii="Arial" w:hAnsi="Arial" w:cs="Arial"/>
          <w:sz w:val="24"/>
          <w:szCs w:val="24"/>
          <w:lang w:val="en-US"/>
        </w:rPr>
        <w:t xml:space="preserve">&lt;30 g/day </w:t>
      </w:r>
      <w:r w:rsidR="00F113BA" w:rsidRPr="0018334E">
        <w:rPr>
          <w:rFonts w:ascii="Arial" w:hAnsi="Arial" w:cs="Arial"/>
          <w:sz w:val="24"/>
          <w:szCs w:val="24"/>
          <w:lang w:val="en-US"/>
        </w:rPr>
        <w:t xml:space="preserve">in </w:t>
      </w:r>
      <w:r w:rsidR="008A2009" w:rsidRPr="0018334E">
        <w:rPr>
          <w:rFonts w:ascii="Arial" w:hAnsi="Arial" w:cs="Arial"/>
          <w:sz w:val="24"/>
          <w:szCs w:val="24"/>
          <w:lang w:val="en-US"/>
        </w:rPr>
        <w:t>men</w:t>
      </w:r>
      <w:r w:rsidR="00F113BA" w:rsidRPr="0018334E">
        <w:rPr>
          <w:rFonts w:ascii="Arial" w:hAnsi="Arial" w:cs="Arial"/>
          <w:sz w:val="24"/>
          <w:szCs w:val="24"/>
          <w:lang w:val="en-US"/>
        </w:rPr>
        <w:t xml:space="preserve"> and &lt;20 g/day in </w:t>
      </w:r>
      <w:r w:rsidR="008A2009" w:rsidRPr="0018334E">
        <w:rPr>
          <w:rFonts w:ascii="Arial" w:hAnsi="Arial" w:cs="Arial"/>
          <w:sz w:val="24"/>
          <w:szCs w:val="24"/>
          <w:lang w:val="en-US"/>
        </w:rPr>
        <w:t>women</w:t>
      </w:r>
      <w:r w:rsidR="00845578" w:rsidRPr="0018334E">
        <w:rPr>
          <w:rFonts w:ascii="Arial" w:hAnsi="Arial" w:cs="Arial"/>
          <w:sz w:val="24"/>
          <w:szCs w:val="24"/>
          <w:lang w:val="en-US"/>
        </w:rPr>
        <w:t>,</w:t>
      </w:r>
      <w:r w:rsidR="00F113BA" w:rsidRPr="0018334E">
        <w:rPr>
          <w:rFonts w:ascii="Arial" w:hAnsi="Arial" w:cs="Arial"/>
          <w:sz w:val="24"/>
          <w:szCs w:val="24"/>
          <w:lang w:val="en-US"/>
        </w:rPr>
        <w:t xml:space="preserve"> as suggested </w:t>
      </w:r>
      <w:r w:rsidR="00D5695A" w:rsidRPr="0018334E">
        <w:rPr>
          <w:rFonts w:ascii="Arial" w:hAnsi="Arial" w:cs="Arial"/>
          <w:sz w:val="24"/>
          <w:szCs w:val="24"/>
          <w:lang w:val="en-US"/>
        </w:rPr>
        <w:t>by the European Association for the Study of Liver</w:t>
      </w:r>
      <w:r w:rsidR="00F113BA" w:rsidRPr="0018334E">
        <w:rPr>
          <w:rFonts w:ascii="Arial" w:hAnsi="Arial" w:cs="Arial"/>
          <w:sz w:val="24"/>
          <w:szCs w:val="24"/>
          <w:lang w:val="en-US"/>
        </w:rPr>
        <w:t>)</w:t>
      </w:r>
      <w:r w:rsidR="00DB7F6F" w:rsidRPr="0018334E">
        <w:rPr>
          <w:rFonts w:ascii="Arial" w:hAnsi="Arial" w:cs="Arial"/>
          <w:sz w:val="24"/>
          <w:szCs w:val="24"/>
          <w:lang w:val="en-US"/>
        </w:rPr>
        <w:t xml:space="preserve"> </w:t>
      </w:r>
      <w:r w:rsidR="00D5695A" w:rsidRPr="0018334E">
        <w:rPr>
          <w:rFonts w:ascii="Arial" w:hAnsi="Arial" w:cs="Arial"/>
          <w:sz w:val="24"/>
          <w:szCs w:val="24"/>
          <w:lang w:val="en-US"/>
        </w:rPr>
        <w:fldChar w:fldCharType="begin" w:fldLock="1"/>
      </w:r>
      <w:r w:rsidR="00891484">
        <w:rPr>
          <w:rFonts w:ascii="Arial" w:hAnsi="Arial" w:cs="Arial"/>
          <w:sz w:val="24"/>
          <w:szCs w:val="24"/>
          <w:lang w:val="en-US"/>
        </w:rPr>
        <w:instrText>ADDIN CSL_CITATION { "citationItems" : [ { "id" : "ITEM-1", "itemData" : { "DOI" : "10.1016/j.jhep.2010.04.008", "ISSN" : "1600-0641", "PMID" : "20494470", "author" : [ { "dropping-particle" : "", "family" : "Ratziu", "given" : "Vlad", "non-dropping-particle" : "", "parse-names" : false, "suffix" : "" }, { "dropping-particle" : "", "family" : "Bellentani", "given" : "Stefano", "non-dropping-particle" : "", "parse-names" : false, "suffix" : "" }, { "dropping-particle" : "", "family" : "Cortez-Pinto", "given" : "Helena", "non-dropping-particle" : "", "parse-names" : false, "suffix" : "" }, { "dropping-particle" : "", "family" : "Day", "given" : "Chris", "non-dropping-particle" : "", "parse-names" : false, "suffix" : "" }, { "dropping-particle" : "", "family" : "Marchesini", "given" : "Giulio", "non-dropping-particle" : "", "parse-names" : false, "suffix" : "" } ], "container-title" : "Journal of Hepatology", "id" : "ITEM-1", "issue" : "2", "issued" : { "date-parts" : [ [ "2010", "8" ] ] }, "page" : "372-84", "publisher" : "European Association for the Study of the Liver", "title" : "A position statement on NAFLD/NASH based on the EASL 2009 special conference.", "type" : "article-journal", "volume" : "53" }, "uris" : [ "http://www.mendeley.com/documents/?uuid=9dfd3fdb-d17c-4fd2-b58b-94f65d2f9496" ] } ], "mendeley" : { "formattedCitation" : "(19)", "plainTextFormattedCitation" : "(19)", "previouslyFormattedCitation" : "(19)" }, "properties" : { "noteIndex" : 0 }, "schema" : "https://github.com/citation-style-language/schema/raw/master/csl-citation.json" }</w:instrText>
      </w:r>
      <w:r w:rsidR="00D5695A" w:rsidRPr="0018334E">
        <w:rPr>
          <w:rFonts w:ascii="Arial" w:hAnsi="Arial" w:cs="Arial"/>
          <w:sz w:val="24"/>
          <w:szCs w:val="24"/>
          <w:lang w:val="en-US"/>
        </w:rPr>
        <w:fldChar w:fldCharType="separate"/>
      </w:r>
      <w:r w:rsidR="00891484" w:rsidRPr="00891484">
        <w:rPr>
          <w:rFonts w:ascii="Arial" w:hAnsi="Arial" w:cs="Arial"/>
          <w:noProof/>
          <w:sz w:val="24"/>
          <w:szCs w:val="24"/>
          <w:lang w:val="en-US"/>
        </w:rPr>
        <w:t>(19)</w:t>
      </w:r>
      <w:r w:rsidR="00D5695A" w:rsidRPr="0018334E">
        <w:rPr>
          <w:rFonts w:ascii="Arial" w:hAnsi="Arial" w:cs="Arial"/>
          <w:sz w:val="24"/>
          <w:szCs w:val="24"/>
          <w:lang w:val="en-US"/>
        </w:rPr>
        <w:fldChar w:fldCharType="end"/>
      </w:r>
      <w:r w:rsidR="00DB7F6F" w:rsidRPr="0018334E">
        <w:rPr>
          <w:rFonts w:ascii="Arial" w:hAnsi="Arial" w:cs="Arial"/>
          <w:sz w:val="24"/>
          <w:szCs w:val="24"/>
          <w:lang w:val="en-US"/>
        </w:rPr>
        <w:t>.</w:t>
      </w:r>
      <w:r w:rsidR="008434E6" w:rsidRPr="0018334E">
        <w:rPr>
          <w:rFonts w:ascii="Arial" w:hAnsi="Arial" w:cs="Arial"/>
          <w:sz w:val="24"/>
          <w:szCs w:val="24"/>
          <w:lang w:val="en-US"/>
        </w:rPr>
        <w:t xml:space="preserve"> The same association was also </w:t>
      </w:r>
      <w:r w:rsidR="00F65FDB" w:rsidRPr="0018334E">
        <w:rPr>
          <w:rFonts w:ascii="Arial" w:hAnsi="Arial" w:cs="Arial"/>
          <w:sz w:val="24"/>
          <w:szCs w:val="24"/>
          <w:lang w:val="en-US"/>
        </w:rPr>
        <w:t>estimated</w:t>
      </w:r>
      <w:r w:rsidR="008434E6" w:rsidRPr="0018334E">
        <w:rPr>
          <w:rFonts w:ascii="Arial" w:hAnsi="Arial" w:cs="Arial"/>
          <w:sz w:val="24"/>
          <w:szCs w:val="24"/>
          <w:lang w:val="en-US"/>
        </w:rPr>
        <w:t xml:space="preserve"> </w:t>
      </w:r>
      <w:r w:rsidR="00C75EAC" w:rsidRPr="0018334E">
        <w:rPr>
          <w:rFonts w:ascii="Arial" w:hAnsi="Arial" w:cs="Arial"/>
          <w:sz w:val="24"/>
          <w:szCs w:val="24"/>
          <w:lang w:val="en-US"/>
        </w:rPr>
        <w:t xml:space="preserve">after excluding </w:t>
      </w:r>
      <w:r w:rsidR="008434E6" w:rsidRPr="0018334E">
        <w:rPr>
          <w:rFonts w:ascii="Arial" w:hAnsi="Arial" w:cs="Arial"/>
          <w:sz w:val="24"/>
          <w:szCs w:val="24"/>
          <w:lang w:val="en-US"/>
        </w:rPr>
        <w:t xml:space="preserve">individuals with ferritin levels </w:t>
      </w:r>
      <w:r w:rsidR="00C75EAC" w:rsidRPr="0018334E">
        <w:rPr>
          <w:rFonts w:ascii="Arial" w:hAnsi="Arial" w:cs="Arial"/>
          <w:sz w:val="24"/>
          <w:szCs w:val="24"/>
          <w:lang w:val="en-US"/>
        </w:rPr>
        <w:t xml:space="preserve">higher </w:t>
      </w:r>
      <w:r w:rsidR="00845578" w:rsidRPr="0018334E">
        <w:rPr>
          <w:rFonts w:ascii="Arial" w:hAnsi="Arial" w:cs="Arial"/>
          <w:sz w:val="24"/>
          <w:szCs w:val="24"/>
          <w:lang w:val="en-US"/>
        </w:rPr>
        <w:t>than</w:t>
      </w:r>
      <w:r w:rsidR="008434E6" w:rsidRPr="0018334E">
        <w:rPr>
          <w:rFonts w:ascii="Arial" w:hAnsi="Arial" w:cs="Arial"/>
          <w:sz w:val="24"/>
          <w:szCs w:val="24"/>
          <w:lang w:val="en-US"/>
        </w:rPr>
        <w:t xml:space="preserve"> 1000 </w:t>
      </w:r>
      <w:proofErr w:type="spellStart"/>
      <w:r w:rsidR="00D12DF0" w:rsidRPr="0018334E">
        <w:rPr>
          <w:rFonts w:ascii="Arial" w:hAnsi="Arial" w:cs="Arial"/>
          <w:sz w:val="24"/>
          <w:szCs w:val="24"/>
          <w:lang w:val="en-US"/>
        </w:rPr>
        <w:t>μ</w:t>
      </w:r>
      <w:r w:rsidR="002D2521" w:rsidRPr="0018334E">
        <w:rPr>
          <w:rFonts w:ascii="Arial" w:hAnsi="Arial" w:cs="Arial"/>
          <w:sz w:val="24"/>
          <w:szCs w:val="24"/>
          <w:lang w:val="en-US"/>
        </w:rPr>
        <w:t>g</w:t>
      </w:r>
      <w:proofErr w:type="spellEnd"/>
      <w:r w:rsidR="006B7240" w:rsidRPr="0018334E">
        <w:rPr>
          <w:rFonts w:ascii="Arial" w:hAnsi="Arial" w:cs="Arial"/>
          <w:sz w:val="24"/>
          <w:szCs w:val="24"/>
          <w:lang w:val="en-US"/>
        </w:rPr>
        <w:t>/L</w:t>
      </w:r>
      <w:r w:rsidR="009442D2" w:rsidRPr="0018334E">
        <w:rPr>
          <w:rFonts w:ascii="Arial" w:hAnsi="Arial" w:cs="Arial"/>
          <w:sz w:val="24"/>
          <w:szCs w:val="24"/>
          <w:lang w:val="en-US"/>
        </w:rPr>
        <w:t xml:space="preserve"> (</w:t>
      </w:r>
      <w:r w:rsidR="009442D2" w:rsidRPr="0018334E">
        <w:rPr>
          <w:rFonts w:ascii="Arial" w:hAnsi="Arial" w:cs="Arial"/>
          <w:i/>
          <w:sz w:val="24"/>
          <w:szCs w:val="24"/>
          <w:lang w:val="en-US"/>
        </w:rPr>
        <w:t>n</w:t>
      </w:r>
      <w:r w:rsidR="00C75EAC" w:rsidRPr="0018334E">
        <w:rPr>
          <w:rFonts w:ascii="Arial" w:hAnsi="Arial" w:cs="Arial"/>
          <w:sz w:val="24"/>
          <w:szCs w:val="24"/>
          <w:lang w:val="en-US"/>
        </w:rPr>
        <w:t>=125</w:t>
      </w:r>
      <w:r w:rsidR="009442D2" w:rsidRPr="0018334E">
        <w:rPr>
          <w:rFonts w:ascii="Arial" w:hAnsi="Arial" w:cs="Arial"/>
          <w:sz w:val="24"/>
          <w:szCs w:val="24"/>
          <w:lang w:val="en-US"/>
        </w:rPr>
        <w:t>)</w:t>
      </w:r>
      <w:r w:rsidR="008434E6" w:rsidRPr="0018334E">
        <w:rPr>
          <w:rFonts w:ascii="Arial" w:hAnsi="Arial" w:cs="Arial"/>
          <w:sz w:val="24"/>
          <w:szCs w:val="24"/>
          <w:lang w:val="en-US"/>
        </w:rPr>
        <w:t>, in an attempt to exclude individuals with conditions of extreme iron</w:t>
      </w:r>
      <w:r w:rsidR="00DB7F6F" w:rsidRPr="0018334E">
        <w:rPr>
          <w:rFonts w:ascii="Arial" w:hAnsi="Arial" w:cs="Arial"/>
          <w:sz w:val="24"/>
          <w:szCs w:val="24"/>
          <w:lang w:val="en-US"/>
        </w:rPr>
        <w:t xml:space="preserve"> overload, such as </w:t>
      </w:r>
      <w:r w:rsidR="00680497" w:rsidRPr="0018334E">
        <w:rPr>
          <w:rFonts w:ascii="Arial" w:hAnsi="Arial" w:cs="Arial"/>
          <w:sz w:val="24"/>
          <w:szCs w:val="24"/>
          <w:lang w:val="en-US"/>
        </w:rPr>
        <w:t>HHC</w:t>
      </w:r>
      <w:r w:rsidR="008434E6" w:rsidRPr="0018334E">
        <w:rPr>
          <w:rFonts w:ascii="Arial" w:hAnsi="Arial" w:cs="Arial"/>
          <w:sz w:val="24"/>
          <w:szCs w:val="24"/>
          <w:lang w:val="en-US"/>
        </w:rPr>
        <w:t xml:space="preserve">. </w:t>
      </w:r>
    </w:p>
    <w:p w:rsidR="00041DCA" w:rsidRPr="0018334E" w:rsidRDefault="00041DCA" w:rsidP="00F328BE">
      <w:pPr>
        <w:autoSpaceDE w:val="0"/>
        <w:autoSpaceDN w:val="0"/>
        <w:adjustRightInd w:val="0"/>
        <w:spacing w:after="0" w:line="480" w:lineRule="auto"/>
        <w:jc w:val="both"/>
        <w:rPr>
          <w:rFonts w:ascii="Arial" w:hAnsi="Arial" w:cs="Arial"/>
          <w:sz w:val="24"/>
          <w:szCs w:val="24"/>
          <w:lang w:val="en-US"/>
        </w:rPr>
      </w:pPr>
    </w:p>
    <w:p w:rsidR="00046806" w:rsidRPr="0018334E" w:rsidRDefault="00F113BA" w:rsidP="00F328BE">
      <w:pPr>
        <w:spacing w:after="0" w:line="480" w:lineRule="auto"/>
        <w:jc w:val="both"/>
        <w:rPr>
          <w:rFonts w:ascii="Arial" w:hAnsi="Arial" w:cs="Arial"/>
          <w:sz w:val="24"/>
          <w:szCs w:val="24"/>
          <w:lang w:val="en-US"/>
        </w:rPr>
      </w:pPr>
      <w:r w:rsidRPr="0018334E">
        <w:rPr>
          <w:rFonts w:ascii="Arial" w:hAnsi="Arial" w:cs="Arial"/>
          <w:sz w:val="24"/>
          <w:szCs w:val="24"/>
          <w:lang w:val="en-US"/>
        </w:rPr>
        <w:t xml:space="preserve">For biomarkers which showed a significant association with </w:t>
      </w:r>
      <w:r w:rsidR="008C722E" w:rsidRPr="0018334E">
        <w:rPr>
          <w:rFonts w:ascii="Arial" w:hAnsi="Arial" w:cs="Arial"/>
          <w:sz w:val="24"/>
          <w:szCs w:val="24"/>
          <w:lang w:val="en-US"/>
        </w:rPr>
        <w:t>type 2 diabetes</w:t>
      </w:r>
      <w:r w:rsidRPr="0018334E">
        <w:rPr>
          <w:rFonts w:ascii="Arial" w:hAnsi="Arial" w:cs="Arial"/>
          <w:sz w:val="24"/>
          <w:szCs w:val="24"/>
          <w:lang w:val="en-US"/>
        </w:rPr>
        <w:t xml:space="preserve"> in men and women, </w:t>
      </w:r>
      <w:r w:rsidR="002135D0" w:rsidRPr="0018334E">
        <w:rPr>
          <w:rFonts w:ascii="Arial" w:hAnsi="Arial" w:cs="Arial"/>
          <w:i/>
          <w:sz w:val="24"/>
          <w:szCs w:val="24"/>
          <w:lang w:val="en-US"/>
        </w:rPr>
        <w:t>p</w:t>
      </w:r>
      <w:r w:rsidR="002135D0" w:rsidRPr="0018334E">
        <w:rPr>
          <w:rFonts w:ascii="Arial" w:hAnsi="Arial" w:cs="Arial"/>
          <w:sz w:val="24"/>
          <w:szCs w:val="24"/>
          <w:lang w:val="en-US"/>
        </w:rPr>
        <w:t xml:space="preserve">-values for interaction </w:t>
      </w:r>
      <w:r w:rsidR="006236F8" w:rsidRPr="0018334E">
        <w:rPr>
          <w:rFonts w:ascii="Arial" w:hAnsi="Arial" w:cs="Arial"/>
          <w:sz w:val="24"/>
          <w:szCs w:val="24"/>
          <w:lang w:val="en-US"/>
        </w:rPr>
        <w:t>between the biomarker</w:t>
      </w:r>
      <w:r w:rsidR="00F65FDB" w:rsidRPr="0018334E">
        <w:rPr>
          <w:rFonts w:ascii="Arial" w:hAnsi="Arial" w:cs="Arial"/>
          <w:sz w:val="24"/>
          <w:szCs w:val="24"/>
          <w:lang w:val="en-US"/>
        </w:rPr>
        <w:t xml:space="preserve"> and </w:t>
      </w:r>
      <w:r w:rsidR="00D41123" w:rsidRPr="0018334E">
        <w:rPr>
          <w:rFonts w:ascii="Arial" w:hAnsi="Arial" w:cs="Arial"/>
          <w:sz w:val="24"/>
          <w:szCs w:val="24"/>
        </w:rPr>
        <w:t>variables related to iron metabolism</w:t>
      </w:r>
      <w:r w:rsidR="00F65FDB" w:rsidRPr="0018334E">
        <w:rPr>
          <w:rFonts w:ascii="Arial" w:hAnsi="Arial" w:cs="Arial"/>
          <w:sz w:val="24"/>
          <w:szCs w:val="24"/>
          <w:lang w:val="en-US"/>
        </w:rPr>
        <w:t xml:space="preserve"> </w:t>
      </w:r>
      <w:r w:rsidR="002135D0" w:rsidRPr="0018334E">
        <w:rPr>
          <w:rFonts w:ascii="Arial" w:hAnsi="Arial" w:cs="Arial"/>
          <w:sz w:val="24"/>
          <w:szCs w:val="24"/>
          <w:lang w:val="en-US"/>
        </w:rPr>
        <w:t>were estimated by including a parameter representing the interaction between</w:t>
      </w:r>
      <w:r w:rsidRPr="0018334E">
        <w:rPr>
          <w:rFonts w:ascii="Arial" w:hAnsi="Arial" w:cs="Arial"/>
          <w:sz w:val="24"/>
          <w:szCs w:val="24"/>
          <w:lang w:val="en-US"/>
        </w:rPr>
        <w:t xml:space="preserve"> the biomarker</w:t>
      </w:r>
      <w:r w:rsidR="00307557" w:rsidRPr="0018334E">
        <w:rPr>
          <w:rFonts w:ascii="Arial" w:hAnsi="Arial" w:cs="Arial"/>
          <w:sz w:val="24"/>
          <w:szCs w:val="24"/>
          <w:lang w:val="en-US"/>
        </w:rPr>
        <w:t xml:space="preserve"> (continuous)</w:t>
      </w:r>
      <w:r w:rsidRPr="0018334E">
        <w:rPr>
          <w:rFonts w:ascii="Arial" w:hAnsi="Arial" w:cs="Arial"/>
          <w:sz w:val="24"/>
          <w:szCs w:val="24"/>
          <w:lang w:val="en-US"/>
        </w:rPr>
        <w:t xml:space="preserve"> and the variable of interest</w:t>
      </w:r>
      <w:r w:rsidR="002135D0" w:rsidRPr="0018334E">
        <w:rPr>
          <w:rFonts w:ascii="Arial" w:hAnsi="Arial" w:cs="Arial"/>
          <w:sz w:val="24"/>
          <w:szCs w:val="24"/>
          <w:lang w:val="en-US"/>
        </w:rPr>
        <w:t xml:space="preserve"> </w:t>
      </w:r>
      <w:r w:rsidR="00307557" w:rsidRPr="0018334E">
        <w:rPr>
          <w:rFonts w:ascii="Arial" w:hAnsi="Arial" w:cs="Arial"/>
          <w:sz w:val="24"/>
          <w:szCs w:val="24"/>
          <w:lang w:val="en-US"/>
        </w:rPr>
        <w:t xml:space="preserve">(categorical) </w:t>
      </w:r>
      <w:r w:rsidR="002135D0" w:rsidRPr="0018334E">
        <w:rPr>
          <w:rFonts w:ascii="Arial" w:hAnsi="Arial" w:cs="Arial"/>
          <w:sz w:val="24"/>
          <w:szCs w:val="24"/>
          <w:lang w:val="en-US"/>
        </w:rPr>
        <w:t xml:space="preserve">in Prentice-weighted Cox regression models adjusted for age, sex and </w:t>
      </w:r>
      <w:r w:rsidR="009417D2" w:rsidRPr="0018334E">
        <w:rPr>
          <w:rFonts w:ascii="Arial" w:hAnsi="Arial" w:cs="Arial"/>
          <w:sz w:val="24"/>
          <w:szCs w:val="24"/>
          <w:lang w:val="en-US"/>
        </w:rPr>
        <w:t>center</w:t>
      </w:r>
      <w:r w:rsidR="00C75EAC" w:rsidRPr="0018334E">
        <w:rPr>
          <w:rFonts w:ascii="Arial" w:hAnsi="Arial" w:cs="Arial"/>
          <w:sz w:val="24"/>
          <w:szCs w:val="24"/>
          <w:lang w:val="en-US"/>
        </w:rPr>
        <w:t xml:space="preserve"> fitted within each country, with estimates combined using random effects meta-analysis</w:t>
      </w:r>
      <w:r w:rsidR="00DB7F6F" w:rsidRPr="0018334E">
        <w:rPr>
          <w:rFonts w:ascii="Arial" w:hAnsi="Arial" w:cs="Arial"/>
          <w:sz w:val="24"/>
          <w:szCs w:val="24"/>
          <w:lang w:val="en-US"/>
        </w:rPr>
        <w:t>. Hazard ratios of</w:t>
      </w:r>
      <w:r w:rsidR="002135D0" w:rsidRPr="0018334E">
        <w:rPr>
          <w:rFonts w:ascii="Arial" w:hAnsi="Arial" w:cs="Arial"/>
          <w:sz w:val="24"/>
          <w:szCs w:val="24"/>
          <w:lang w:val="en-US"/>
        </w:rPr>
        <w:t xml:space="preserve"> </w:t>
      </w:r>
      <w:r w:rsidR="008C722E" w:rsidRPr="0018334E">
        <w:rPr>
          <w:rFonts w:ascii="Arial" w:hAnsi="Arial" w:cs="Arial"/>
          <w:sz w:val="24"/>
          <w:szCs w:val="24"/>
          <w:lang w:val="en-US"/>
        </w:rPr>
        <w:t>type 2 diabetes</w:t>
      </w:r>
      <w:r w:rsidR="002135D0" w:rsidRPr="0018334E">
        <w:rPr>
          <w:rFonts w:ascii="Arial" w:hAnsi="Arial" w:cs="Arial"/>
          <w:sz w:val="24"/>
          <w:szCs w:val="24"/>
          <w:lang w:val="en-US"/>
        </w:rPr>
        <w:t xml:space="preserve"> </w:t>
      </w:r>
      <w:r w:rsidR="000B3360" w:rsidRPr="0018334E">
        <w:rPr>
          <w:rFonts w:ascii="Arial" w:hAnsi="Arial" w:cs="Arial"/>
          <w:sz w:val="24"/>
          <w:szCs w:val="24"/>
          <w:lang w:val="en-US"/>
        </w:rPr>
        <w:t>for each biomarker</w:t>
      </w:r>
      <w:r w:rsidR="00A706AA" w:rsidRPr="0018334E">
        <w:rPr>
          <w:rFonts w:ascii="Arial" w:hAnsi="Arial" w:cs="Arial"/>
          <w:sz w:val="24"/>
          <w:szCs w:val="24"/>
          <w:lang w:val="en-US"/>
        </w:rPr>
        <w:t xml:space="preserve"> were </w:t>
      </w:r>
      <w:r w:rsidRPr="0018334E">
        <w:rPr>
          <w:rFonts w:ascii="Arial" w:hAnsi="Arial" w:cs="Arial"/>
          <w:sz w:val="24"/>
          <w:szCs w:val="24"/>
          <w:lang w:val="en-US"/>
        </w:rPr>
        <w:t xml:space="preserve">then </w:t>
      </w:r>
      <w:r w:rsidR="00276BD4" w:rsidRPr="0018334E">
        <w:rPr>
          <w:rFonts w:ascii="Arial" w:hAnsi="Arial" w:cs="Arial"/>
          <w:sz w:val="24"/>
          <w:szCs w:val="24"/>
          <w:lang w:val="en-US"/>
        </w:rPr>
        <w:t xml:space="preserve">estimated </w:t>
      </w:r>
      <w:r w:rsidR="00A706AA" w:rsidRPr="0018334E">
        <w:rPr>
          <w:rFonts w:ascii="Arial" w:hAnsi="Arial" w:cs="Arial"/>
          <w:sz w:val="24"/>
          <w:szCs w:val="24"/>
          <w:lang w:val="en-US"/>
        </w:rPr>
        <w:t>within strata for each variable of interest</w:t>
      </w:r>
      <w:r w:rsidR="002135D0" w:rsidRPr="0018334E">
        <w:rPr>
          <w:rFonts w:ascii="Arial" w:hAnsi="Arial" w:cs="Arial"/>
          <w:sz w:val="24"/>
          <w:szCs w:val="24"/>
          <w:lang w:val="en-US"/>
        </w:rPr>
        <w:t>.</w:t>
      </w:r>
      <w:r w:rsidR="00D5695A" w:rsidRPr="0018334E">
        <w:rPr>
          <w:rFonts w:ascii="Arial" w:hAnsi="Arial" w:cs="Arial"/>
          <w:sz w:val="24"/>
          <w:szCs w:val="24"/>
          <w:lang w:val="en-US"/>
        </w:rPr>
        <w:t xml:space="preserve"> </w:t>
      </w:r>
      <w:r w:rsidR="00046806" w:rsidRPr="0018334E">
        <w:rPr>
          <w:rFonts w:ascii="Arial" w:hAnsi="Arial" w:cs="Arial"/>
          <w:sz w:val="24"/>
          <w:szCs w:val="24"/>
          <w:lang w:val="en-US"/>
        </w:rPr>
        <w:t xml:space="preserve">Waist circumference was </w:t>
      </w:r>
      <w:r w:rsidR="009417D2" w:rsidRPr="0018334E">
        <w:rPr>
          <w:rFonts w:ascii="Arial" w:hAnsi="Arial" w:cs="Arial"/>
          <w:sz w:val="24"/>
          <w:szCs w:val="24"/>
          <w:lang w:val="en-US"/>
        </w:rPr>
        <w:t>categorized</w:t>
      </w:r>
      <w:r w:rsidR="00046806" w:rsidRPr="0018334E">
        <w:rPr>
          <w:rFonts w:ascii="Arial" w:hAnsi="Arial" w:cs="Arial"/>
          <w:sz w:val="24"/>
          <w:szCs w:val="24"/>
          <w:lang w:val="en-US"/>
        </w:rPr>
        <w:t xml:space="preserve"> according to </w:t>
      </w:r>
      <w:r w:rsidR="00C46AE5" w:rsidRPr="0018334E">
        <w:rPr>
          <w:rFonts w:ascii="Arial" w:hAnsi="Arial" w:cs="Arial"/>
          <w:sz w:val="24"/>
          <w:szCs w:val="24"/>
          <w:lang w:val="en-US"/>
        </w:rPr>
        <w:t>sex-specific</w:t>
      </w:r>
      <w:r w:rsidR="00127C2D" w:rsidRPr="0018334E">
        <w:rPr>
          <w:rFonts w:ascii="Arial" w:hAnsi="Arial" w:cs="Arial"/>
          <w:sz w:val="24"/>
          <w:szCs w:val="24"/>
          <w:lang w:val="en-US"/>
        </w:rPr>
        <w:t xml:space="preserve"> </w:t>
      </w:r>
      <w:r w:rsidR="008972D2" w:rsidRPr="0018334E">
        <w:rPr>
          <w:rFonts w:ascii="Arial" w:hAnsi="Arial" w:cs="Arial"/>
          <w:sz w:val="24"/>
          <w:szCs w:val="24"/>
          <w:lang w:val="en-US"/>
        </w:rPr>
        <w:t>cut-offs</w:t>
      </w:r>
      <w:r w:rsidR="00DB7F6F" w:rsidRPr="0018334E">
        <w:rPr>
          <w:rFonts w:ascii="Arial" w:hAnsi="Arial" w:cs="Arial"/>
          <w:sz w:val="24"/>
          <w:szCs w:val="24"/>
          <w:lang w:val="en-US"/>
        </w:rPr>
        <w:t xml:space="preserve"> </w:t>
      </w:r>
      <w:r w:rsidR="00E21BAA" w:rsidRPr="0018334E">
        <w:rPr>
          <w:rFonts w:ascii="Arial" w:hAnsi="Arial" w:cs="Arial"/>
          <w:sz w:val="24"/>
          <w:szCs w:val="24"/>
          <w:lang w:val="en-US"/>
        </w:rPr>
        <w:fldChar w:fldCharType="begin" w:fldLock="1"/>
      </w:r>
      <w:r w:rsidR="00891484">
        <w:rPr>
          <w:rFonts w:ascii="Arial" w:hAnsi="Arial" w:cs="Arial"/>
          <w:sz w:val="24"/>
          <w:szCs w:val="24"/>
          <w:lang w:val="en-US"/>
        </w:rPr>
        <w:instrText>ADDIN CSL_CITATION { "citationItems" : [ { "id" : "ITEM-1", "itemData" : { "ISSN" : "0959-8138", "PMID" : "7613427", "abstract" : "OBJECTIVE: To test the hypothesis that a single measurement, waist circumference, might be used to identify people at health risk both from being overweight and from having a central fat distribution. DESIGN: A community derived random sample of men and women and a second, validation sample. SETTING: North Glasgow. SUBJECT: 904 men and 1014 women (first sample); 86 men and 202 women (validation sample). MAIN OUTCOME MEASURES: Waist circumference, body mass index, waist:hip ratio. RESULTS: Waist circumference &gt; or = 94 cm for men and &gt; or = 80 cm for women identified subjects with high body mass index (&gt; or = 25 kg/m2) and those with lower body mass index but high waist:hip ratio (&gt; or = 0.95 for men, &gt; or = 0.80 women) with a sensitivity of &gt; 96% and specificity &gt; 97.5%. Waist circumference &gt; or = 102 cm for men or &gt; or = 88 cm for women identified subjects with body mass index &gt; or = 30 and those with lower body mass index but high waist:hip ratio with a sensitivity of &gt; 96% and specificity &gt; 98%, with only about 2% of the sample being misclassified. CONCLUSIONS: Waist circumference could be used in health promotion programmes to identify individuals who should seek and be offered weight management. Men with waist circumference &gt; or = 94 cm and women with waist circumference &gt; or = 80 cm should gain no further weight; men with waist circumference &gt; or = 102 cm and women with waist circumference &gt; or = 88 cm should reduce their weight.", "author" : [ { "dropping-particle" : "", "family" : "Lean", "given" : "M E", "non-dropping-particle" : "", "parse-names" : false, "suffix" : "" }, { "dropping-particle" : "", "family" : "Han", "given" : "T S", "non-dropping-particle" : "", "parse-names" : false, "suffix" : "" }, { "dropping-particle" : "", "family" : "Morrison", "given" : "C E", "non-dropping-particle" : "", "parse-names" : false, "suffix" : "" } ], "container-title" : "British Medical Journal", "id" : "ITEM-1", "issue" : "6998", "issued" : { "date-parts" : [ [ "1995", "7", "15" ] ] }, "note" : "Categories of waist circumference", "page" : "158-61", "title" : "Waist circumference as a measure for indicating need for weight management.", "type" : "article-journal", "volume" : "311" }, "uris" : [ "http://www.mendeley.com/documents/?uuid=42ba9199-73c9-4448-8693-8da8d1e87f96" ] } ], "mendeley" : { "formattedCitation" : "(20)", "plainTextFormattedCitation" : "(20)", "previouslyFormattedCitation" : "(20)" }, "properties" : { "noteIndex" : 0 }, "schema" : "https://github.com/citation-style-language/schema/raw/master/csl-citation.json" }</w:instrText>
      </w:r>
      <w:r w:rsidR="00E21BAA" w:rsidRPr="0018334E">
        <w:rPr>
          <w:rFonts w:ascii="Arial" w:hAnsi="Arial" w:cs="Arial"/>
          <w:sz w:val="24"/>
          <w:szCs w:val="24"/>
          <w:lang w:val="en-US"/>
        </w:rPr>
        <w:fldChar w:fldCharType="separate"/>
      </w:r>
      <w:r w:rsidR="00891484" w:rsidRPr="00891484">
        <w:rPr>
          <w:rFonts w:ascii="Arial" w:hAnsi="Arial" w:cs="Arial"/>
          <w:noProof/>
          <w:sz w:val="24"/>
          <w:szCs w:val="24"/>
          <w:lang w:val="en-US"/>
        </w:rPr>
        <w:t>(20)</w:t>
      </w:r>
      <w:r w:rsidR="00E21BAA" w:rsidRPr="0018334E">
        <w:rPr>
          <w:rFonts w:ascii="Arial" w:hAnsi="Arial" w:cs="Arial"/>
          <w:sz w:val="24"/>
          <w:szCs w:val="24"/>
          <w:lang w:val="en-US"/>
        </w:rPr>
        <w:fldChar w:fldCharType="end"/>
      </w:r>
      <w:r w:rsidR="00E21BAA" w:rsidRPr="0018334E">
        <w:rPr>
          <w:rFonts w:ascii="Arial" w:hAnsi="Arial" w:cs="Arial"/>
          <w:sz w:val="24"/>
          <w:szCs w:val="24"/>
          <w:lang w:val="en-US"/>
        </w:rPr>
        <w:t xml:space="preserve"> </w:t>
      </w:r>
      <w:r w:rsidR="00127C2D" w:rsidRPr="0018334E">
        <w:rPr>
          <w:rFonts w:ascii="Arial" w:hAnsi="Arial" w:cs="Arial"/>
          <w:sz w:val="24"/>
          <w:szCs w:val="24"/>
          <w:lang w:val="en-US"/>
        </w:rPr>
        <w:t>and BMI according to the W</w:t>
      </w:r>
      <w:r w:rsidR="00D5695A" w:rsidRPr="0018334E">
        <w:rPr>
          <w:rFonts w:ascii="Arial" w:hAnsi="Arial" w:cs="Arial"/>
          <w:sz w:val="24"/>
          <w:szCs w:val="24"/>
          <w:lang w:val="en-US"/>
        </w:rPr>
        <w:t xml:space="preserve">orld </w:t>
      </w:r>
      <w:r w:rsidR="00127C2D" w:rsidRPr="0018334E">
        <w:rPr>
          <w:rFonts w:ascii="Arial" w:hAnsi="Arial" w:cs="Arial"/>
          <w:sz w:val="24"/>
          <w:szCs w:val="24"/>
          <w:lang w:val="en-US"/>
        </w:rPr>
        <w:t>H</w:t>
      </w:r>
      <w:r w:rsidR="00D5695A" w:rsidRPr="0018334E">
        <w:rPr>
          <w:rFonts w:ascii="Arial" w:hAnsi="Arial" w:cs="Arial"/>
          <w:sz w:val="24"/>
          <w:szCs w:val="24"/>
          <w:lang w:val="en-US"/>
        </w:rPr>
        <w:t xml:space="preserve">ealth </w:t>
      </w:r>
      <w:r w:rsidR="009417D2" w:rsidRPr="0018334E">
        <w:rPr>
          <w:rFonts w:ascii="Arial" w:hAnsi="Arial" w:cs="Arial"/>
          <w:sz w:val="24"/>
          <w:szCs w:val="24"/>
          <w:lang w:val="en-US"/>
        </w:rPr>
        <w:t>Organization</w:t>
      </w:r>
      <w:r w:rsidR="00127C2D" w:rsidRPr="0018334E">
        <w:rPr>
          <w:rFonts w:ascii="Arial" w:hAnsi="Arial" w:cs="Arial"/>
          <w:sz w:val="24"/>
          <w:szCs w:val="24"/>
          <w:lang w:val="en-US"/>
        </w:rPr>
        <w:t xml:space="preserve"> classification</w:t>
      </w:r>
      <w:r w:rsidR="00C46AE5" w:rsidRPr="0018334E">
        <w:rPr>
          <w:rFonts w:ascii="Arial" w:hAnsi="Arial" w:cs="Arial"/>
          <w:sz w:val="24"/>
          <w:szCs w:val="24"/>
          <w:lang w:val="en-US"/>
        </w:rPr>
        <w:t xml:space="preserve"> </w:t>
      </w:r>
      <w:r w:rsidR="00F57399" w:rsidRPr="0018334E">
        <w:rPr>
          <w:rFonts w:ascii="Arial" w:hAnsi="Arial" w:cs="Arial"/>
          <w:sz w:val="24"/>
          <w:szCs w:val="24"/>
          <w:lang w:val="en-US"/>
        </w:rPr>
        <w:t xml:space="preserve">(defined in </w:t>
      </w:r>
      <w:r w:rsidR="00F57399" w:rsidRPr="003C51A5">
        <w:rPr>
          <w:rFonts w:ascii="Arial" w:hAnsi="Arial" w:cs="Arial"/>
          <w:b/>
          <w:sz w:val="24"/>
          <w:szCs w:val="24"/>
          <w:lang w:val="en-US"/>
        </w:rPr>
        <w:t>Figure</w:t>
      </w:r>
      <w:r w:rsidR="00C46AE5" w:rsidRPr="003C51A5">
        <w:rPr>
          <w:rFonts w:ascii="Arial" w:hAnsi="Arial" w:cs="Arial"/>
          <w:b/>
          <w:sz w:val="24"/>
          <w:szCs w:val="24"/>
          <w:lang w:val="en-US"/>
        </w:rPr>
        <w:t xml:space="preserve"> 2</w:t>
      </w:r>
      <w:r w:rsidR="00C46AE5" w:rsidRPr="0018334E">
        <w:rPr>
          <w:rFonts w:ascii="Arial" w:hAnsi="Arial" w:cs="Arial"/>
          <w:sz w:val="24"/>
          <w:szCs w:val="24"/>
          <w:lang w:val="en-US"/>
        </w:rPr>
        <w:t>)</w:t>
      </w:r>
      <w:r w:rsidR="00046806" w:rsidRPr="0018334E">
        <w:rPr>
          <w:rFonts w:ascii="Arial" w:hAnsi="Arial" w:cs="Arial"/>
          <w:sz w:val="24"/>
          <w:szCs w:val="24"/>
          <w:lang w:val="en-US"/>
        </w:rPr>
        <w:t>.</w:t>
      </w:r>
    </w:p>
    <w:p w:rsidR="00BD4C3A" w:rsidRPr="0018334E" w:rsidRDefault="00BD4C3A" w:rsidP="00F328BE">
      <w:pPr>
        <w:spacing w:after="0" w:line="480" w:lineRule="auto"/>
        <w:jc w:val="both"/>
        <w:rPr>
          <w:rFonts w:ascii="Arial" w:hAnsi="Arial" w:cs="Arial"/>
          <w:sz w:val="24"/>
          <w:szCs w:val="24"/>
          <w:lang w:val="en-US"/>
        </w:rPr>
      </w:pPr>
    </w:p>
    <w:p w:rsidR="00B33BA6" w:rsidRPr="0018334E" w:rsidRDefault="00F57399" w:rsidP="00F328BE">
      <w:pPr>
        <w:spacing w:after="0" w:line="480" w:lineRule="auto"/>
        <w:jc w:val="both"/>
        <w:rPr>
          <w:rFonts w:ascii="Arial" w:hAnsi="Arial" w:cs="Arial"/>
          <w:sz w:val="24"/>
          <w:szCs w:val="24"/>
          <w:lang w:val="en-US"/>
        </w:rPr>
      </w:pPr>
      <w:r w:rsidRPr="0018334E">
        <w:rPr>
          <w:rFonts w:ascii="Arial" w:hAnsi="Arial" w:cs="Arial"/>
          <w:sz w:val="24"/>
          <w:szCs w:val="24"/>
          <w:lang w:val="en-US"/>
        </w:rPr>
        <w:lastRenderedPageBreak/>
        <w:t xml:space="preserve">Sensitivity analyses were carried out for the association of ferritin and </w:t>
      </w:r>
      <w:r w:rsidR="008C722E" w:rsidRPr="0018334E">
        <w:rPr>
          <w:rFonts w:ascii="Arial" w:hAnsi="Arial" w:cs="Arial"/>
          <w:sz w:val="24"/>
          <w:szCs w:val="24"/>
          <w:lang w:val="en-US"/>
        </w:rPr>
        <w:t>type 2 diabetes</w:t>
      </w:r>
      <w:r w:rsidRPr="0018334E">
        <w:rPr>
          <w:rFonts w:ascii="Arial" w:hAnsi="Arial" w:cs="Arial"/>
          <w:sz w:val="24"/>
          <w:szCs w:val="24"/>
          <w:lang w:val="en-US"/>
        </w:rPr>
        <w:t>,</w:t>
      </w:r>
      <w:r w:rsidR="00C55FF4">
        <w:rPr>
          <w:rFonts w:ascii="Arial" w:hAnsi="Arial" w:cs="Arial"/>
          <w:sz w:val="24"/>
          <w:szCs w:val="24"/>
          <w:lang w:val="en-US"/>
        </w:rPr>
        <w:t xml:space="preserve"> as it is the </w:t>
      </w:r>
      <w:r w:rsidR="00985174">
        <w:rPr>
          <w:rFonts w:ascii="Arial" w:hAnsi="Arial" w:cs="Arial"/>
          <w:sz w:val="24"/>
          <w:szCs w:val="24"/>
          <w:lang w:val="en-US"/>
        </w:rPr>
        <w:t>one</w:t>
      </w:r>
      <w:r w:rsidR="00C55FF4">
        <w:rPr>
          <w:rFonts w:ascii="Arial" w:hAnsi="Arial" w:cs="Arial"/>
          <w:sz w:val="24"/>
          <w:szCs w:val="24"/>
          <w:lang w:val="en-US"/>
        </w:rPr>
        <w:t xml:space="preserve"> where confounding is most likely,</w:t>
      </w:r>
      <w:r w:rsidRPr="0018334E">
        <w:rPr>
          <w:rFonts w:ascii="Arial" w:hAnsi="Arial" w:cs="Arial"/>
          <w:sz w:val="24"/>
          <w:szCs w:val="24"/>
          <w:lang w:val="en-US"/>
        </w:rPr>
        <w:t xml:space="preserve"> adjusting additionally for menopausal status, </w:t>
      </w:r>
      <w:r w:rsidR="00052CAB">
        <w:rPr>
          <w:rFonts w:ascii="Arial" w:hAnsi="Arial" w:cs="Arial"/>
          <w:sz w:val="24"/>
          <w:szCs w:val="24"/>
          <w:lang w:val="en-US"/>
        </w:rPr>
        <w:t>alcohol consumption</w:t>
      </w:r>
      <w:r w:rsidR="00985174" w:rsidRPr="0018334E">
        <w:rPr>
          <w:rFonts w:ascii="Arial" w:hAnsi="Arial" w:cs="Arial"/>
          <w:sz w:val="24"/>
          <w:szCs w:val="24"/>
          <w:lang w:val="en-US"/>
        </w:rPr>
        <w:t xml:space="preserve"> </w:t>
      </w:r>
      <w:r w:rsidRPr="0018334E">
        <w:rPr>
          <w:rFonts w:ascii="Arial" w:hAnsi="Arial" w:cs="Arial"/>
          <w:sz w:val="24"/>
          <w:szCs w:val="24"/>
          <w:lang w:val="en-US"/>
        </w:rPr>
        <w:t xml:space="preserve">and red meat consumption. </w:t>
      </w:r>
      <w:r w:rsidR="00B33BA6" w:rsidRPr="0018334E">
        <w:rPr>
          <w:rFonts w:ascii="Arial" w:hAnsi="Arial" w:cs="Arial"/>
          <w:sz w:val="24"/>
          <w:szCs w:val="24"/>
          <w:lang w:val="en-US"/>
        </w:rPr>
        <w:t xml:space="preserve">Information on waist circumference and family history of </w:t>
      </w:r>
      <w:r w:rsidR="008C722E" w:rsidRPr="0018334E">
        <w:rPr>
          <w:rFonts w:ascii="Arial" w:hAnsi="Arial" w:cs="Arial"/>
          <w:sz w:val="24"/>
          <w:szCs w:val="24"/>
          <w:lang w:val="en-US"/>
        </w:rPr>
        <w:t xml:space="preserve">type </w:t>
      </w:r>
      <w:proofErr w:type="gramStart"/>
      <w:r w:rsidR="008C722E" w:rsidRPr="0018334E">
        <w:rPr>
          <w:rFonts w:ascii="Arial" w:hAnsi="Arial" w:cs="Arial"/>
          <w:sz w:val="24"/>
          <w:szCs w:val="24"/>
          <w:lang w:val="en-US"/>
        </w:rPr>
        <w:t>2 diabetes</w:t>
      </w:r>
      <w:proofErr w:type="gramEnd"/>
      <w:r w:rsidR="00B33BA6" w:rsidRPr="0018334E">
        <w:rPr>
          <w:rFonts w:ascii="Arial" w:hAnsi="Arial" w:cs="Arial"/>
          <w:sz w:val="24"/>
          <w:szCs w:val="24"/>
          <w:lang w:val="en-US"/>
        </w:rPr>
        <w:t xml:space="preserve"> were missing in respectively 7.3% and 50.4% of the study population, mainly because it had not been assessed in </w:t>
      </w:r>
      <w:r w:rsidR="00261523" w:rsidRPr="0018334E">
        <w:rPr>
          <w:rFonts w:ascii="Arial" w:hAnsi="Arial" w:cs="Arial"/>
          <w:sz w:val="24"/>
          <w:szCs w:val="24"/>
          <w:lang w:val="en-US"/>
        </w:rPr>
        <w:t>certain</w:t>
      </w:r>
      <w:r w:rsidR="00B33BA6" w:rsidRPr="0018334E">
        <w:rPr>
          <w:rFonts w:ascii="Arial" w:hAnsi="Arial" w:cs="Arial"/>
          <w:sz w:val="24"/>
          <w:szCs w:val="24"/>
          <w:lang w:val="en-US"/>
        </w:rPr>
        <w:t xml:space="preserve"> </w:t>
      </w:r>
      <w:r w:rsidR="009417D2" w:rsidRPr="0018334E">
        <w:rPr>
          <w:rFonts w:ascii="Arial" w:hAnsi="Arial" w:cs="Arial"/>
          <w:sz w:val="24"/>
          <w:szCs w:val="24"/>
          <w:lang w:val="en-US"/>
        </w:rPr>
        <w:t>centers</w:t>
      </w:r>
      <w:r w:rsidR="00B33BA6" w:rsidRPr="0018334E">
        <w:rPr>
          <w:rFonts w:ascii="Arial" w:hAnsi="Arial" w:cs="Arial"/>
          <w:sz w:val="24"/>
          <w:szCs w:val="24"/>
          <w:lang w:val="en-US"/>
        </w:rPr>
        <w:t xml:space="preserve">. </w:t>
      </w:r>
      <w:r w:rsidR="008434E6" w:rsidRPr="0018334E">
        <w:rPr>
          <w:rFonts w:ascii="Arial" w:hAnsi="Arial" w:cs="Arial"/>
          <w:sz w:val="24"/>
          <w:szCs w:val="24"/>
          <w:lang w:val="en-US"/>
        </w:rPr>
        <w:t>Therefore</w:t>
      </w:r>
      <w:r w:rsidR="006615C9">
        <w:rPr>
          <w:rFonts w:ascii="Arial" w:hAnsi="Arial" w:cs="Arial"/>
          <w:sz w:val="24"/>
          <w:szCs w:val="24"/>
          <w:lang w:val="en-US"/>
        </w:rPr>
        <w:t>,</w:t>
      </w:r>
      <w:r w:rsidR="00B33BA6" w:rsidRPr="0018334E">
        <w:rPr>
          <w:rFonts w:ascii="Arial" w:hAnsi="Arial" w:cs="Arial"/>
          <w:sz w:val="24"/>
          <w:szCs w:val="24"/>
          <w:lang w:val="en-US"/>
        </w:rPr>
        <w:t xml:space="preserve"> </w:t>
      </w:r>
      <w:r w:rsidR="00E0793D" w:rsidRPr="0018334E">
        <w:rPr>
          <w:rFonts w:ascii="Arial" w:hAnsi="Arial" w:cs="Arial"/>
          <w:sz w:val="24"/>
          <w:szCs w:val="24"/>
          <w:lang w:val="en-US"/>
        </w:rPr>
        <w:t>these variables</w:t>
      </w:r>
      <w:r w:rsidR="00B33BA6" w:rsidRPr="0018334E">
        <w:rPr>
          <w:rFonts w:ascii="Arial" w:hAnsi="Arial" w:cs="Arial"/>
          <w:sz w:val="24"/>
          <w:szCs w:val="24"/>
          <w:lang w:val="en-US"/>
        </w:rPr>
        <w:t xml:space="preserve"> were not included as covariates in the main models, but sensitivity analyses were carried out among individuals with information on </w:t>
      </w:r>
      <w:r w:rsidR="00AD3199" w:rsidRPr="0018334E">
        <w:rPr>
          <w:rFonts w:ascii="Arial" w:hAnsi="Arial" w:cs="Arial"/>
          <w:sz w:val="24"/>
          <w:szCs w:val="24"/>
          <w:lang w:val="en-US"/>
        </w:rPr>
        <w:t>waist circumference (</w:t>
      </w:r>
      <w:r w:rsidR="00AD3199" w:rsidRPr="0018334E">
        <w:rPr>
          <w:rFonts w:ascii="Arial" w:hAnsi="Arial" w:cs="Arial"/>
          <w:i/>
          <w:sz w:val="24"/>
          <w:szCs w:val="24"/>
          <w:lang w:val="en-US"/>
        </w:rPr>
        <w:t>n</w:t>
      </w:r>
      <w:r w:rsidR="00AD3199" w:rsidRPr="0018334E">
        <w:rPr>
          <w:rFonts w:ascii="Arial" w:hAnsi="Arial" w:cs="Arial"/>
          <w:sz w:val="24"/>
          <w:szCs w:val="24"/>
          <w:lang w:val="en-US"/>
        </w:rPr>
        <w:t xml:space="preserve">=23,122) and </w:t>
      </w:r>
      <w:r w:rsidR="00B33BA6" w:rsidRPr="0018334E">
        <w:rPr>
          <w:rFonts w:ascii="Arial" w:hAnsi="Arial" w:cs="Arial"/>
          <w:sz w:val="24"/>
          <w:szCs w:val="24"/>
          <w:lang w:val="en-US"/>
        </w:rPr>
        <w:t>family history (</w:t>
      </w:r>
      <w:r w:rsidR="00B33BA6" w:rsidRPr="0018334E">
        <w:rPr>
          <w:rFonts w:ascii="Arial" w:hAnsi="Arial" w:cs="Arial"/>
          <w:i/>
          <w:sz w:val="24"/>
          <w:szCs w:val="24"/>
          <w:lang w:val="en-US"/>
        </w:rPr>
        <w:t>n</w:t>
      </w:r>
      <w:r w:rsidR="00B33BA6" w:rsidRPr="0018334E">
        <w:rPr>
          <w:rFonts w:ascii="Arial" w:hAnsi="Arial" w:cs="Arial"/>
          <w:sz w:val="24"/>
          <w:szCs w:val="24"/>
          <w:lang w:val="en-US"/>
        </w:rPr>
        <w:t>=</w:t>
      </w:r>
      <w:r w:rsidR="00AD3199" w:rsidRPr="0018334E">
        <w:rPr>
          <w:rFonts w:ascii="Arial" w:hAnsi="Arial" w:cs="Arial"/>
          <w:sz w:val="24"/>
          <w:szCs w:val="24"/>
          <w:lang w:val="en-US"/>
        </w:rPr>
        <w:t>11,565</w:t>
      </w:r>
      <w:r w:rsidR="00B33BA6" w:rsidRPr="0018334E">
        <w:rPr>
          <w:rFonts w:ascii="Arial" w:hAnsi="Arial" w:cs="Arial"/>
          <w:sz w:val="24"/>
          <w:szCs w:val="24"/>
          <w:lang w:val="en-US"/>
        </w:rPr>
        <w:t>).</w:t>
      </w:r>
      <w:r w:rsidR="00907CA4" w:rsidRPr="0018334E">
        <w:rPr>
          <w:rFonts w:ascii="Arial" w:hAnsi="Arial" w:cs="Arial"/>
          <w:sz w:val="24"/>
          <w:szCs w:val="24"/>
          <w:lang w:val="en-US"/>
        </w:rPr>
        <w:t xml:space="preserve"> All analyses were performed using Stata 13.</w:t>
      </w:r>
    </w:p>
    <w:p w:rsidR="003813A4" w:rsidRPr="0018334E" w:rsidRDefault="003813A4" w:rsidP="00F328BE">
      <w:pPr>
        <w:jc w:val="both"/>
        <w:rPr>
          <w:rFonts w:ascii="Arial" w:hAnsi="Arial" w:cs="Arial"/>
          <w:b/>
          <w:sz w:val="24"/>
          <w:szCs w:val="24"/>
          <w:lang w:val="en-US"/>
        </w:rPr>
      </w:pPr>
      <w:r w:rsidRPr="0018334E">
        <w:rPr>
          <w:rFonts w:ascii="Arial" w:hAnsi="Arial" w:cs="Arial"/>
          <w:b/>
          <w:sz w:val="24"/>
          <w:szCs w:val="24"/>
          <w:lang w:val="en-US"/>
        </w:rPr>
        <w:br w:type="page"/>
      </w:r>
    </w:p>
    <w:p w:rsidR="006E13F2" w:rsidRPr="00022037" w:rsidRDefault="006E13F2" w:rsidP="00F328BE">
      <w:pPr>
        <w:spacing w:after="0" w:line="480" w:lineRule="auto"/>
        <w:jc w:val="both"/>
        <w:rPr>
          <w:rFonts w:ascii="Arial" w:hAnsi="Arial" w:cs="Arial"/>
          <w:sz w:val="24"/>
          <w:szCs w:val="24"/>
          <w:lang w:val="en-US"/>
        </w:rPr>
      </w:pPr>
      <w:r w:rsidRPr="00022037">
        <w:rPr>
          <w:rFonts w:ascii="Arial" w:hAnsi="Arial" w:cs="Arial"/>
          <w:sz w:val="24"/>
          <w:szCs w:val="24"/>
          <w:lang w:val="en-US"/>
        </w:rPr>
        <w:lastRenderedPageBreak/>
        <w:t>RESULTS</w:t>
      </w:r>
    </w:p>
    <w:p w:rsidR="009F6E7F" w:rsidRPr="0018334E" w:rsidRDefault="009F6E7F" w:rsidP="00F328BE">
      <w:pPr>
        <w:spacing w:after="0" w:line="480" w:lineRule="auto"/>
        <w:jc w:val="both"/>
        <w:rPr>
          <w:rFonts w:ascii="Arial" w:hAnsi="Arial" w:cs="Arial"/>
          <w:b/>
          <w:sz w:val="24"/>
          <w:szCs w:val="24"/>
          <w:lang w:val="en-US"/>
        </w:rPr>
      </w:pPr>
    </w:p>
    <w:p w:rsidR="004D5E7E" w:rsidRPr="0018334E" w:rsidRDefault="00276BD4" w:rsidP="00F328BE">
      <w:pPr>
        <w:spacing w:after="0" w:line="480" w:lineRule="auto"/>
        <w:jc w:val="both"/>
        <w:rPr>
          <w:rFonts w:ascii="Arial" w:hAnsi="Arial" w:cs="Arial"/>
          <w:sz w:val="24"/>
          <w:szCs w:val="24"/>
          <w:lang w:eastAsia="en-GB"/>
        </w:rPr>
      </w:pPr>
      <w:r w:rsidRPr="0018334E">
        <w:rPr>
          <w:rFonts w:ascii="Arial" w:hAnsi="Arial" w:cs="Arial"/>
          <w:sz w:val="24"/>
          <w:szCs w:val="24"/>
          <w:lang w:val="en-US"/>
        </w:rPr>
        <w:t xml:space="preserve">Of all 27,779 </w:t>
      </w:r>
      <w:proofErr w:type="spellStart"/>
      <w:r w:rsidR="00A9063B" w:rsidRPr="0018334E">
        <w:rPr>
          <w:rFonts w:ascii="Arial" w:hAnsi="Arial" w:cs="Arial"/>
          <w:sz w:val="24"/>
          <w:szCs w:val="24"/>
          <w:lang w:val="en-US"/>
        </w:rPr>
        <w:t>InterAct</w:t>
      </w:r>
      <w:proofErr w:type="spellEnd"/>
      <w:r w:rsidRPr="0018334E">
        <w:rPr>
          <w:rFonts w:ascii="Arial" w:hAnsi="Arial" w:cs="Arial"/>
          <w:sz w:val="24"/>
          <w:szCs w:val="24"/>
          <w:lang w:val="en-US"/>
        </w:rPr>
        <w:t xml:space="preserve"> participants (12,403 incident </w:t>
      </w:r>
      <w:r w:rsidR="003813A4" w:rsidRPr="0018334E">
        <w:rPr>
          <w:rFonts w:ascii="Arial" w:hAnsi="Arial" w:cs="Arial"/>
          <w:sz w:val="24"/>
          <w:szCs w:val="24"/>
          <w:lang w:val="en-US"/>
        </w:rPr>
        <w:t>type 2 diabetes</w:t>
      </w:r>
      <w:r w:rsidRPr="0018334E">
        <w:rPr>
          <w:rFonts w:ascii="Arial" w:hAnsi="Arial" w:cs="Arial"/>
          <w:sz w:val="24"/>
          <w:szCs w:val="24"/>
          <w:lang w:val="en-US"/>
        </w:rPr>
        <w:t xml:space="preserve"> cases), between 23,554 (10,371 cases) and 25,113 individuals (11,052 cases) had data available for the relevant biomarkers and</w:t>
      </w:r>
      <w:r w:rsidR="00F57399" w:rsidRPr="0018334E">
        <w:rPr>
          <w:rFonts w:ascii="Arial" w:hAnsi="Arial" w:cs="Arial"/>
          <w:sz w:val="24"/>
          <w:szCs w:val="24"/>
          <w:lang w:val="en-US"/>
        </w:rPr>
        <w:t xml:space="preserve"> all the </w:t>
      </w:r>
      <w:r w:rsidRPr="0018334E">
        <w:rPr>
          <w:rFonts w:ascii="Arial" w:hAnsi="Arial" w:cs="Arial"/>
          <w:sz w:val="24"/>
          <w:szCs w:val="24"/>
          <w:lang w:val="en-US"/>
        </w:rPr>
        <w:t xml:space="preserve">covariates </w:t>
      </w:r>
      <w:r w:rsidR="00F57399" w:rsidRPr="0018334E">
        <w:rPr>
          <w:rFonts w:ascii="Arial" w:hAnsi="Arial" w:cs="Arial"/>
          <w:sz w:val="24"/>
          <w:szCs w:val="24"/>
          <w:lang w:val="en-US"/>
        </w:rPr>
        <w:t xml:space="preserve">for the main models </w:t>
      </w:r>
      <w:r w:rsidRPr="0018334E">
        <w:rPr>
          <w:rFonts w:ascii="Arial" w:hAnsi="Arial" w:cs="Arial"/>
          <w:sz w:val="24"/>
          <w:szCs w:val="24"/>
          <w:lang w:val="en-US"/>
        </w:rPr>
        <w:t xml:space="preserve">and were included in </w:t>
      </w:r>
      <w:r w:rsidR="00AE1115">
        <w:rPr>
          <w:rFonts w:ascii="Arial" w:hAnsi="Arial" w:cs="Arial"/>
          <w:sz w:val="24"/>
          <w:szCs w:val="24"/>
          <w:lang w:val="en-US"/>
        </w:rPr>
        <w:t xml:space="preserve">this analysis. </w:t>
      </w:r>
      <w:r w:rsidR="00701290">
        <w:rPr>
          <w:rFonts w:ascii="Arial" w:hAnsi="Arial" w:cs="Arial"/>
          <w:sz w:val="24"/>
          <w:szCs w:val="24"/>
          <w:lang w:val="en-US"/>
        </w:rPr>
        <w:t>The median (inter</w:t>
      </w:r>
      <w:r w:rsidR="00891484">
        <w:rPr>
          <w:rFonts w:ascii="Arial" w:hAnsi="Arial" w:cs="Arial"/>
          <w:sz w:val="24"/>
          <w:szCs w:val="24"/>
          <w:lang w:val="en-US"/>
        </w:rPr>
        <w:t xml:space="preserve">quartile range) of ferritin in the </w:t>
      </w:r>
      <w:proofErr w:type="spellStart"/>
      <w:r w:rsidR="00891484">
        <w:rPr>
          <w:rFonts w:ascii="Arial" w:hAnsi="Arial" w:cs="Arial"/>
          <w:sz w:val="24"/>
          <w:szCs w:val="24"/>
          <w:lang w:val="en-US"/>
        </w:rPr>
        <w:t>subcohort</w:t>
      </w:r>
      <w:proofErr w:type="spellEnd"/>
      <w:r w:rsidR="00891484">
        <w:rPr>
          <w:rFonts w:ascii="Arial" w:hAnsi="Arial" w:cs="Arial"/>
          <w:sz w:val="24"/>
          <w:szCs w:val="24"/>
          <w:lang w:val="en-US"/>
        </w:rPr>
        <w:t xml:space="preserve"> was </w:t>
      </w:r>
      <w:proofErr w:type="gramStart"/>
      <w:r w:rsidR="00891484">
        <w:rPr>
          <w:rFonts w:ascii="Arial" w:hAnsi="Arial" w:cs="Arial"/>
          <w:sz w:val="24"/>
          <w:szCs w:val="24"/>
          <w:lang w:val="en-US"/>
        </w:rPr>
        <w:t>144 (80-241)</w:t>
      </w:r>
      <w:r w:rsidR="00891484" w:rsidRPr="00891484">
        <w:rPr>
          <w:rFonts w:ascii="Arial" w:hAnsi="Arial" w:cs="Arial"/>
          <w:sz w:val="24"/>
          <w:szCs w:val="24"/>
          <w:lang w:val="en-US"/>
        </w:rPr>
        <w:t xml:space="preserve"> </w:t>
      </w:r>
      <w:proofErr w:type="spellStart"/>
      <w:r w:rsidR="00891484">
        <w:rPr>
          <w:rFonts w:ascii="Arial" w:hAnsi="Arial" w:cs="Arial"/>
          <w:sz w:val="24"/>
          <w:szCs w:val="24"/>
          <w:lang w:val="en-US"/>
        </w:rPr>
        <w:t>μg</w:t>
      </w:r>
      <w:proofErr w:type="spellEnd"/>
      <w:r w:rsidR="00891484">
        <w:rPr>
          <w:rFonts w:ascii="Arial" w:hAnsi="Arial" w:cs="Arial"/>
          <w:sz w:val="24"/>
          <w:szCs w:val="24"/>
          <w:lang w:val="en-US"/>
        </w:rPr>
        <w:t>/l in men</w:t>
      </w:r>
      <w:proofErr w:type="gramEnd"/>
      <w:r w:rsidR="00891484">
        <w:rPr>
          <w:rFonts w:ascii="Arial" w:hAnsi="Arial" w:cs="Arial"/>
          <w:sz w:val="24"/>
          <w:szCs w:val="24"/>
          <w:lang w:val="en-US"/>
        </w:rPr>
        <w:t xml:space="preserve"> and 58 (29-107) </w:t>
      </w:r>
      <w:proofErr w:type="spellStart"/>
      <w:r w:rsidR="00891484">
        <w:rPr>
          <w:rFonts w:ascii="Arial" w:hAnsi="Arial" w:cs="Arial"/>
          <w:sz w:val="24"/>
          <w:szCs w:val="24"/>
          <w:lang w:val="en-US"/>
        </w:rPr>
        <w:t>μg</w:t>
      </w:r>
      <w:proofErr w:type="spellEnd"/>
      <w:r w:rsidR="00891484">
        <w:rPr>
          <w:rFonts w:ascii="Arial" w:hAnsi="Arial" w:cs="Arial"/>
          <w:sz w:val="24"/>
          <w:szCs w:val="24"/>
          <w:lang w:val="en-US"/>
        </w:rPr>
        <w:t xml:space="preserve">/l in women. </w:t>
      </w:r>
      <w:r w:rsidR="00EA747F">
        <w:rPr>
          <w:rFonts w:ascii="Arial" w:hAnsi="Arial" w:cs="Arial"/>
          <w:sz w:val="24"/>
          <w:szCs w:val="24"/>
          <w:lang w:val="en-US"/>
        </w:rPr>
        <w:t xml:space="preserve">8.31% of men and 4.78% of women in the </w:t>
      </w:r>
      <w:proofErr w:type="spellStart"/>
      <w:r w:rsidR="00EA747F">
        <w:rPr>
          <w:rFonts w:ascii="Arial" w:hAnsi="Arial" w:cs="Arial"/>
          <w:sz w:val="24"/>
          <w:szCs w:val="24"/>
          <w:lang w:val="en-US"/>
        </w:rPr>
        <w:t>subcohort</w:t>
      </w:r>
      <w:proofErr w:type="spellEnd"/>
      <w:r w:rsidR="00EA747F">
        <w:rPr>
          <w:rFonts w:ascii="Arial" w:hAnsi="Arial" w:cs="Arial"/>
          <w:sz w:val="24"/>
          <w:szCs w:val="24"/>
          <w:lang w:val="en-US"/>
        </w:rPr>
        <w:t xml:space="preserve"> had a TSAT level ≥45%. </w:t>
      </w:r>
      <w:r w:rsidR="001604E7">
        <w:rPr>
          <w:rFonts w:ascii="Arial" w:hAnsi="Arial" w:cs="Arial"/>
          <w:sz w:val="24"/>
          <w:szCs w:val="24"/>
          <w:lang w:val="en-US"/>
        </w:rPr>
        <w:t xml:space="preserve">Summary statistics </w:t>
      </w:r>
      <w:r w:rsidR="00294B8B" w:rsidRPr="0018334E">
        <w:rPr>
          <w:rFonts w:ascii="Arial" w:hAnsi="Arial" w:cs="Arial"/>
          <w:sz w:val="24"/>
          <w:szCs w:val="24"/>
          <w:lang w:val="en-US"/>
        </w:rPr>
        <w:t xml:space="preserve">of biomarkers and baseline characteristics of participants </w:t>
      </w:r>
      <w:r w:rsidR="00DC5B2D" w:rsidRPr="0018334E">
        <w:rPr>
          <w:rFonts w:ascii="Arial" w:hAnsi="Arial" w:cs="Arial"/>
          <w:sz w:val="24"/>
          <w:szCs w:val="24"/>
          <w:lang w:val="en-US"/>
        </w:rPr>
        <w:t xml:space="preserve">by quartiles of ferritin </w:t>
      </w:r>
      <w:r w:rsidR="004E0F0D" w:rsidRPr="0018334E">
        <w:rPr>
          <w:rFonts w:ascii="Arial" w:hAnsi="Arial" w:cs="Arial"/>
          <w:sz w:val="24"/>
          <w:szCs w:val="24"/>
          <w:lang w:val="en-US"/>
        </w:rPr>
        <w:t xml:space="preserve">in the </w:t>
      </w:r>
      <w:proofErr w:type="spellStart"/>
      <w:r w:rsidR="004E0F0D" w:rsidRPr="0018334E">
        <w:rPr>
          <w:rFonts w:ascii="Arial" w:hAnsi="Arial" w:cs="Arial"/>
          <w:sz w:val="24"/>
          <w:szCs w:val="24"/>
          <w:lang w:val="en-US"/>
        </w:rPr>
        <w:t>subcohort</w:t>
      </w:r>
      <w:proofErr w:type="spellEnd"/>
      <w:r w:rsidR="004E0F0D" w:rsidRPr="0018334E">
        <w:rPr>
          <w:rFonts w:ascii="Arial" w:hAnsi="Arial" w:cs="Arial"/>
          <w:sz w:val="24"/>
          <w:szCs w:val="24"/>
          <w:lang w:val="en-US"/>
        </w:rPr>
        <w:t xml:space="preserve"> </w:t>
      </w:r>
      <w:r w:rsidR="004D5E7E" w:rsidRPr="0018334E">
        <w:rPr>
          <w:rFonts w:ascii="Arial" w:hAnsi="Arial" w:cs="Arial"/>
          <w:sz w:val="24"/>
          <w:szCs w:val="24"/>
          <w:lang w:val="en-US"/>
        </w:rPr>
        <w:t xml:space="preserve">are detailed in </w:t>
      </w:r>
      <w:r w:rsidR="004D5E7E" w:rsidRPr="0018334E">
        <w:rPr>
          <w:rFonts w:ascii="Arial" w:hAnsi="Arial" w:cs="Arial"/>
          <w:b/>
          <w:sz w:val="24"/>
          <w:szCs w:val="24"/>
          <w:lang w:val="en-US"/>
        </w:rPr>
        <w:t>Table</w:t>
      </w:r>
      <w:r w:rsidR="00A22128" w:rsidRPr="0018334E">
        <w:rPr>
          <w:rFonts w:ascii="Arial" w:hAnsi="Arial" w:cs="Arial"/>
          <w:b/>
          <w:sz w:val="24"/>
          <w:szCs w:val="24"/>
          <w:lang w:val="en-US"/>
        </w:rPr>
        <w:t>s</w:t>
      </w:r>
      <w:r w:rsidR="004D5E7E" w:rsidRPr="0018334E">
        <w:rPr>
          <w:rFonts w:ascii="Arial" w:hAnsi="Arial" w:cs="Arial"/>
          <w:b/>
          <w:sz w:val="24"/>
          <w:szCs w:val="24"/>
          <w:lang w:val="en-US"/>
        </w:rPr>
        <w:t xml:space="preserve"> 1</w:t>
      </w:r>
      <w:r w:rsidR="00A22128" w:rsidRPr="0018334E">
        <w:rPr>
          <w:rFonts w:ascii="Arial" w:hAnsi="Arial" w:cs="Arial"/>
          <w:b/>
          <w:sz w:val="24"/>
          <w:szCs w:val="24"/>
          <w:lang w:val="en-US"/>
        </w:rPr>
        <w:t xml:space="preserve"> and 2</w:t>
      </w:r>
      <w:r w:rsidR="00EA747F">
        <w:rPr>
          <w:rFonts w:ascii="Arial" w:hAnsi="Arial" w:cs="Arial"/>
          <w:b/>
          <w:sz w:val="24"/>
          <w:szCs w:val="24"/>
          <w:lang w:val="en-US"/>
        </w:rPr>
        <w:t>.</w:t>
      </w:r>
      <w:r w:rsidR="00D14630">
        <w:rPr>
          <w:rFonts w:ascii="Arial" w:hAnsi="Arial" w:cs="Arial"/>
          <w:b/>
          <w:sz w:val="24"/>
          <w:szCs w:val="24"/>
          <w:lang w:val="en-US"/>
        </w:rPr>
        <w:t xml:space="preserve"> </w:t>
      </w:r>
      <w:r w:rsidR="003D3F9D" w:rsidRPr="0018334E">
        <w:rPr>
          <w:rFonts w:ascii="Arial" w:hAnsi="Arial" w:cs="Arial"/>
          <w:sz w:val="24"/>
          <w:szCs w:val="24"/>
          <w:lang w:val="en-US"/>
        </w:rPr>
        <w:t>Individuals in the highest</w:t>
      </w:r>
      <w:r w:rsidR="004D5E7E" w:rsidRPr="0018334E">
        <w:rPr>
          <w:rFonts w:ascii="Arial" w:hAnsi="Arial" w:cs="Arial"/>
          <w:sz w:val="24"/>
          <w:szCs w:val="24"/>
          <w:lang w:val="en-US"/>
        </w:rPr>
        <w:t xml:space="preserve"> </w:t>
      </w:r>
      <w:r w:rsidR="00760E15" w:rsidRPr="0018334E">
        <w:rPr>
          <w:rFonts w:ascii="Arial" w:hAnsi="Arial" w:cs="Arial"/>
          <w:sz w:val="24"/>
          <w:szCs w:val="24"/>
          <w:lang w:val="en-US"/>
        </w:rPr>
        <w:t>quartile</w:t>
      </w:r>
      <w:r w:rsidR="003D3F9D" w:rsidRPr="0018334E">
        <w:rPr>
          <w:rFonts w:ascii="Arial" w:hAnsi="Arial" w:cs="Arial"/>
          <w:sz w:val="24"/>
          <w:szCs w:val="24"/>
          <w:lang w:val="en-US"/>
        </w:rPr>
        <w:t xml:space="preserve"> </w:t>
      </w:r>
      <w:r w:rsidR="00B33B3A">
        <w:rPr>
          <w:rFonts w:ascii="Arial" w:hAnsi="Arial" w:cs="Arial"/>
          <w:sz w:val="24"/>
          <w:szCs w:val="24"/>
          <w:lang w:val="en-US"/>
        </w:rPr>
        <w:t xml:space="preserve">of ferritin </w:t>
      </w:r>
      <w:r w:rsidR="004D5E7E" w:rsidRPr="0018334E">
        <w:rPr>
          <w:rFonts w:ascii="Arial" w:hAnsi="Arial" w:cs="Arial"/>
          <w:sz w:val="24"/>
          <w:szCs w:val="24"/>
          <w:lang w:val="en-US"/>
        </w:rPr>
        <w:t xml:space="preserve">were older, </w:t>
      </w:r>
      <w:r w:rsidR="003D3F9D" w:rsidRPr="0018334E">
        <w:rPr>
          <w:rFonts w:ascii="Arial" w:hAnsi="Arial" w:cs="Arial"/>
          <w:sz w:val="24"/>
          <w:szCs w:val="24"/>
          <w:lang w:val="en-US"/>
        </w:rPr>
        <w:t>consumed more alcohol,</w:t>
      </w:r>
      <w:r w:rsidR="004D5E7E" w:rsidRPr="0018334E">
        <w:rPr>
          <w:rFonts w:ascii="Arial" w:hAnsi="Arial" w:cs="Arial"/>
          <w:sz w:val="24"/>
          <w:szCs w:val="24"/>
          <w:lang w:val="en-US"/>
        </w:rPr>
        <w:t xml:space="preserve"> </w:t>
      </w:r>
      <w:proofErr w:type="gramStart"/>
      <w:r w:rsidR="003D3F9D" w:rsidRPr="0018334E">
        <w:rPr>
          <w:rFonts w:ascii="Arial" w:hAnsi="Arial" w:cs="Arial"/>
          <w:sz w:val="24"/>
          <w:szCs w:val="24"/>
          <w:lang w:val="en-US"/>
        </w:rPr>
        <w:t>had</w:t>
      </w:r>
      <w:proofErr w:type="gramEnd"/>
      <w:r w:rsidR="004D5E7E" w:rsidRPr="0018334E">
        <w:rPr>
          <w:rFonts w:ascii="Arial" w:hAnsi="Arial" w:cs="Arial"/>
          <w:sz w:val="24"/>
          <w:szCs w:val="24"/>
          <w:lang w:val="en-US"/>
        </w:rPr>
        <w:t xml:space="preserve"> lower levels of transferrin and higher levels of </w:t>
      </w:r>
      <w:r w:rsidR="004A067A" w:rsidRPr="0018334E">
        <w:rPr>
          <w:rFonts w:ascii="Arial" w:hAnsi="Arial" w:cs="Arial"/>
          <w:sz w:val="24"/>
          <w:szCs w:val="24"/>
          <w:lang w:val="en-US"/>
        </w:rPr>
        <w:t xml:space="preserve">TSAT and </w:t>
      </w:r>
      <w:r w:rsidR="00EE0C51" w:rsidRPr="0018334E">
        <w:rPr>
          <w:rFonts w:ascii="Arial" w:hAnsi="Arial" w:cs="Arial"/>
          <w:sz w:val="24"/>
          <w:szCs w:val="24"/>
          <w:lang w:val="en-US"/>
        </w:rPr>
        <w:t xml:space="preserve">liver enzymes </w:t>
      </w:r>
      <w:r w:rsidR="004D5E7E" w:rsidRPr="0018334E">
        <w:rPr>
          <w:rFonts w:ascii="Arial" w:hAnsi="Arial" w:cs="Arial"/>
          <w:sz w:val="24"/>
          <w:szCs w:val="24"/>
          <w:lang w:val="en-US"/>
        </w:rPr>
        <w:t xml:space="preserve">compared to individuals in the rest of the </w:t>
      </w:r>
      <w:proofErr w:type="spellStart"/>
      <w:r w:rsidR="004D5E7E" w:rsidRPr="0018334E">
        <w:rPr>
          <w:rFonts w:ascii="Arial" w:hAnsi="Arial" w:cs="Arial"/>
          <w:sz w:val="24"/>
          <w:szCs w:val="24"/>
          <w:lang w:val="en-US"/>
        </w:rPr>
        <w:t>subcohort</w:t>
      </w:r>
      <w:proofErr w:type="spellEnd"/>
      <w:r w:rsidR="004D5E7E" w:rsidRPr="0018334E">
        <w:rPr>
          <w:rFonts w:ascii="Arial" w:hAnsi="Arial" w:cs="Arial"/>
          <w:sz w:val="24"/>
          <w:szCs w:val="24"/>
          <w:lang w:val="en-US"/>
        </w:rPr>
        <w:t xml:space="preserve">. </w:t>
      </w:r>
      <w:r w:rsidR="00701290">
        <w:rPr>
          <w:rFonts w:ascii="Arial" w:hAnsi="Arial" w:cs="Arial"/>
          <w:sz w:val="24"/>
          <w:szCs w:val="24"/>
          <w:lang w:val="en-US"/>
        </w:rPr>
        <w:t>Leaner individuals had smaller SDs of ferritin (</w:t>
      </w:r>
      <w:r w:rsidR="00701290">
        <w:rPr>
          <w:rFonts w:ascii="Arial" w:hAnsi="Arial" w:cs="Arial"/>
          <w:b/>
          <w:sz w:val="24"/>
          <w:szCs w:val="24"/>
          <w:lang w:val="en-US"/>
        </w:rPr>
        <w:t>Supplementary Table 1</w:t>
      </w:r>
      <w:r w:rsidR="00701290" w:rsidRPr="00EA747F">
        <w:rPr>
          <w:rFonts w:ascii="Arial" w:hAnsi="Arial" w:cs="Arial"/>
          <w:sz w:val="24"/>
          <w:szCs w:val="24"/>
          <w:lang w:val="en-US"/>
        </w:rPr>
        <w:t>)</w:t>
      </w:r>
      <w:r w:rsidR="00701290">
        <w:rPr>
          <w:rFonts w:ascii="Arial" w:hAnsi="Arial" w:cs="Arial"/>
          <w:b/>
          <w:sz w:val="24"/>
          <w:szCs w:val="24"/>
          <w:lang w:val="en-US"/>
        </w:rPr>
        <w:t xml:space="preserve">. </w:t>
      </w:r>
      <w:r w:rsidR="003C6F6F">
        <w:rPr>
          <w:rFonts w:ascii="Arial" w:hAnsi="Arial" w:cs="Arial"/>
          <w:sz w:val="24"/>
          <w:szCs w:val="24"/>
          <w:lang w:val="en-US"/>
        </w:rPr>
        <w:t xml:space="preserve">In linear regression analyses adjusting for age, sex and </w:t>
      </w:r>
      <w:r w:rsidR="00F46EBB">
        <w:rPr>
          <w:rFonts w:ascii="Arial" w:hAnsi="Arial" w:cs="Arial"/>
          <w:sz w:val="24"/>
          <w:szCs w:val="24"/>
          <w:lang w:val="en-US"/>
        </w:rPr>
        <w:t>center</w:t>
      </w:r>
      <w:r w:rsidR="009B70A7">
        <w:rPr>
          <w:rFonts w:ascii="Arial" w:hAnsi="Arial" w:cs="Arial"/>
          <w:sz w:val="24"/>
          <w:szCs w:val="24"/>
          <w:lang w:val="en-US"/>
        </w:rPr>
        <w:t xml:space="preserve"> </w:t>
      </w:r>
      <w:r w:rsidR="009B70A7" w:rsidRPr="0018334E">
        <w:rPr>
          <w:rFonts w:ascii="Arial" w:hAnsi="Arial" w:cs="Arial"/>
          <w:sz w:val="24"/>
          <w:szCs w:val="24"/>
          <w:lang w:val="en-US"/>
        </w:rPr>
        <w:t>(</w:t>
      </w:r>
      <w:r w:rsidR="00E9602D">
        <w:rPr>
          <w:rFonts w:ascii="Arial" w:hAnsi="Arial" w:cs="Arial"/>
          <w:b/>
          <w:sz w:val="24"/>
          <w:szCs w:val="24"/>
          <w:lang w:val="en-US"/>
        </w:rPr>
        <w:t>Supplementary</w:t>
      </w:r>
      <w:r w:rsidR="009B70A7" w:rsidRPr="0018334E">
        <w:rPr>
          <w:rFonts w:ascii="Arial" w:hAnsi="Arial" w:cs="Arial"/>
          <w:b/>
          <w:sz w:val="24"/>
          <w:szCs w:val="24"/>
          <w:lang w:val="en-US"/>
        </w:rPr>
        <w:t xml:space="preserve"> Table S</w:t>
      </w:r>
      <w:r w:rsidR="004E0F0D">
        <w:rPr>
          <w:rFonts w:ascii="Arial" w:hAnsi="Arial" w:cs="Arial"/>
          <w:b/>
          <w:sz w:val="24"/>
          <w:szCs w:val="24"/>
          <w:lang w:val="en-US"/>
        </w:rPr>
        <w:t>2</w:t>
      </w:r>
      <w:r w:rsidR="009B70A7" w:rsidRPr="0018334E">
        <w:rPr>
          <w:rFonts w:ascii="Arial" w:hAnsi="Arial" w:cs="Arial"/>
          <w:sz w:val="24"/>
          <w:szCs w:val="24"/>
          <w:lang w:val="en-US"/>
        </w:rPr>
        <w:t>)</w:t>
      </w:r>
      <w:r w:rsidR="003C6F6F">
        <w:rPr>
          <w:rFonts w:ascii="Arial" w:hAnsi="Arial" w:cs="Arial"/>
          <w:sz w:val="24"/>
          <w:szCs w:val="24"/>
          <w:lang w:val="en-US"/>
        </w:rPr>
        <w:t>, f</w:t>
      </w:r>
      <w:r w:rsidR="004D5E7E" w:rsidRPr="0018334E">
        <w:rPr>
          <w:rFonts w:ascii="Arial" w:hAnsi="Arial" w:cs="Arial"/>
          <w:sz w:val="24"/>
          <w:szCs w:val="24"/>
          <w:lang w:val="en-US"/>
        </w:rPr>
        <w:t xml:space="preserve">erritin </w:t>
      </w:r>
      <w:r w:rsidR="00301A2B" w:rsidRPr="0018334E">
        <w:rPr>
          <w:rFonts w:ascii="Arial" w:hAnsi="Arial" w:cs="Arial"/>
          <w:sz w:val="24"/>
          <w:szCs w:val="24"/>
          <w:lang w:val="en-US"/>
        </w:rPr>
        <w:t xml:space="preserve">was </w:t>
      </w:r>
      <w:r w:rsidR="003C6F6F">
        <w:rPr>
          <w:rFonts w:ascii="Arial" w:hAnsi="Arial" w:cs="Arial"/>
          <w:sz w:val="24"/>
          <w:szCs w:val="24"/>
          <w:lang w:val="en-US"/>
        </w:rPr>
        <w:t xml:space="preserve">associated with each of the other iron markers and with all of the possible confounding factors with the exception of estimated dietary </w:t>
      </w:r>
      <w:r w:rsidR="00ED1463">
        <w:rPr>
          <w:rFonts w:ascii="Arial" w:hAnsi="Arial" w:cs="Arial"/>
          <w:sz w:val="24"/>
          <w:szCs w:val="24"/>
          <w:lang w:val="en-US"/>
        </w:rPr>
        <w:t xml:space="preserve">iron </w:t>
      </w:r>
      <w:r w:rsidR="003C6F6F">
        <w:rPr>
          <w:rFonts w:ascii="Arial" w:hAnsi="Arial" w:cs="Arial"/>
          <w:sz w:val="24"/>
          <w:szCs w:val="24"/>
          <w:lang w:val="en-US"/>
        </w:rPr>
        <w:t>intake for which the relationship was weak</w:t>
      </w:r>
      <w:r w:rsidR="004130D1" w:rsidRPr="0018334E">
        <w:rPr>
          <w:rFonts w:ascii="Arial" w:hAnsi="Arial" w:cs="Arial"/>
          <w:sz w:val="24"/>
          <w:szCs w:val="24"/>
          <w:lang w:val="en-US"/>
        </w:rPr>
        <w:t>.</w:t>
      </w:r>
      <w:r w:rsidR="00384C04" w:rsidRPr="0018334E">
        <w:rPr>
          <w:rFonts w:ascii="Arial" w:hAnsi="Arial" w:cs="Arial"/>
          <w:sz w:val="24"/>
          <w:szCs w:val="24"/>
          <w:lang w:val="en-US"/>
        </w:rPr>
        <w:t xml:space="preserve"> </w:t>
      </w:r>
      <w:r w:rsidR="00B97402" w:rsidRPr="0018334E">
        <w:rPr>
          <w:rFonts w:ascii="Arial" w:hAnsi="Arial" w:cs="Arial"/>
          <w:sz w:val="24"/>
          <w:szCs w:val="24"/>
          <w:lang w:val="en-US"/>
        </w:rPr>
        <w:t xml:space="preserve">TSAT </w:t>
      </w:r>
      <w:r w:rsidR="00301A2B" w:rsidRPr="0018334E">
        <w:rPr>
          <w:rFonts w:ascii="Arial" w:hAnsi="Arial" w:cs="Arial"/>
          <w:sz w:val="24"/>
          <w:szCs w:val="24"/>
          <w:lang w:val="en-US"/>
        </w:rPr>
        <w:t xml:space="preserve">was </w:t>
      </w:r>
      <w:r w:rsidR="00B97402" w:rsidRPr="0018334E">
        <w:rPr>
          <w:rFonts w:ascii="Arial" w:hAnsi="Arial" w:cs="Arial"/>
          <w:sz w:val="24"/>
          <w:szCs w:val="24"/>
          <w:lang w:val="en-US"/>
        </w:rPr>
        <w:t>strongly</w:t>
      </w:r>
      <w:r w:rsidR="006F53FA" w:rsidRPr="0018334E">
        <w:rPr>
          <w:rFonts w:ascii="Arial" w:hAnsi="Arial" w:cs="Arial"/>
          <w:sz w:val="24"/>
          <w:szCs w:val="24"/>
          <w:lang w:val="en-US"/>
        </w:rPr>
        <w:t xml:space="preserve"> correlated with serum iron </w:t>
      </w:r>
      <w:r w:rsidR="00F57399" w:rsidRPr="0018334E">
        <w:rPr>
          <w:rFonts w:ascii="Arial" w:hAnsi="Arial" w:cs="Arial"/>
          <w:sz w:val="24"/>
          <w:szCs w:val="24"/>
          <w:lang w:val="en-US"/>
        </w:rPr>
        <w:t>(</w:t>
      </w:r>
      <w:r w:rsidR="00F57399" w:rsidRPr="0018334E">
        <w:rPr>
          <w:rFonts w:ascii="Arial" w:hAnsi="Arial" w:cs="Arial"/>
          <w:i/>
          <w:sz w:val="24"/>
          <w:szCs w:val="24"/>
          <w:lang w:val="en-US"/>
        </w:rPr>
        <w:t>r</w:t>
      </w:r>
      <w:r w:rsidR="00F57399" w:rsidRPr="0018334E">
        <w:rPr>
          <w:rFonts w:ascii="Arial" w:hAnsi="Arial" w:cs="Arial"/>
          <w:sz w:val="24"/>
          <w:szCs w:val="24"/>
          <w:lang w:val="en-US"/>
        </w:rPr>
        <w:t>=0.91)</w:t>
      </w:r>
      <w:r w:rsidR="003C51A5">
        <w:rPr>
          <w:rFonts w:ascii="Arial" w:hAnsi="Arial" w:cs="Arial"/>
          <w:sz w:val="24"/>
          <w:szCs w:val="24"/>
          <w:lang w:val="en-US"/>
        </w:rPr>
        <w:t xml:space="preserve"> and inversely correlated with </w:t>
      </w:r>
      <w:proofErr w:type="spellStart"/>
      <w:r w:rsidR="003C51A5">
        <w:rPr>
          <w:rFonts w:ascii="Arial" w:hAnsi="Arial" w:cs="Arial"/>
          <w:sz w:val="24"/>
          <w:szCs w:val="24"/>
          <w:lang w:val="en-US"/>
        </w:rPr>
        <w:t>hsCRP</w:t>
      </w:r>
      <w:proofErr w:type="spellEnd"/>
      <w:r w:rsidR="003C51A5">
        <w:rPr>
          <w:rFonts w:ascii="Arial" w:hAnsi="Arial" w:cs="Arial"/>
          <w:sz w:val="24"/>
          <w:szCs w:val="24"/>
          <w:lang w:val="en-US"/>
        </w:rPr>
        <w:t xml:space="preserve"> (</w:t>
      </w:r>
      <w:r w:rsidR="003C51A5" w:rsidRPr="003C51A5">
        <w:rPr>
          <w:rFonts w:ascii="Arial" w:hAnsi="Arial" w:cs="Arial"/>
          <w:i/>
          <w:sz w:val="24"/>
          <w:szCs w:val="24"/>
          <w:lang w:val="en-US"/>
        </w:rPr>
        <w:t>r</w:t>
      </w:r>
      <w:r w:rsidR="009B70A7">
        <w:rPr>
          <w:rFonts w:ascii="Arial" w:hAnsi="Arial" w:cs="Arial"/>
          <w:sz w:val="24"/>
          <w:szCs w:val="24"/>
          <w:lang w:val="en-US"/>
        </w:rPr>
        <w:t>=-0.15</w:t>
      </w:r>
      <w:r w:rsidR="003C51A5">
        <w:rPr>
          <w:rFonts w:ascii="Arial" w:hAnsi="Arial" w:cs="Arial"/>
          <w:sz w:val="24"/>
          <w:szCs w:val="24"/>
          <w:lang w:val="en-US"/>
        </w:rPr>
        <w:t xml:space="preserve">). </w:t>
      </w:r>
      <w:r w:rsidR="00982C25" w:rsidRPr="0018334E">
        <w:rPr>
          <w:rFonts w:ascii="Arial" w:hAnsi="Arial" w:cs="Arial"/>
          <w:sz w:val="24"/>
          <w:szCs w:val="24"/>
          <w:lang w:val="en-US"/>
        </w:rPr>
        <w:t>Estimated d</w:t>
      </w:r>
      <w:r w:rsidR="007651D5" w:rsidRPr="0018334E">
        <w:rPr>
          <w:rFonts w:ascii="Arial" w:hAnsi="Arial" w:cs="Arial"/>
          <w:sz w:val="24"/>
          <w:szCs w:val="24"/>
          <w:lang w:val="en-US"/>
        </w:rPr>
        <w:t>ietary iron</w:t>
      </w:r>
      <w:r w:rsidR="003C6F6F">
        <w:rPr>
          <w:rFonts w:ascii="Arial" w:hAnsi="Arial" w:cs="Arial"/>
          <w:sz w:val="24"/>
          <w:szCs w:val="24"/>
          <w:lang w:val="en-US"/>
        </w:rPr>
        <w:t xml:space="preserve"> intake</w:t>
      </w:r>
      <w:r w:rsidR="007651D5" w:rsidRPr="0018334E">
        <w:rPr>
          <w:rFonts w:ascii="Arial" w:hAnsi="Arial" w:cs="Arial"/>
          <w:sz w:val="24"/>
          <w:szCs w:val="24"/>
          <w:lang w:val="en-US"/>
        </w:rPr>
        <w:t xml:space="preserve"> was</w:t>
      </w:r>
      <w:r w:rsidR="008B5B88" w:rsidRPr="0018334E">
        <w:rPr>
          <w:rFonts w:ascii="Arial" w:hAnsi="Arial" w:cs="Arial"/>
          <w:sz w:val="24"/>
          <w:szCs w:val="24"/>
          <w:lang w:val="en-US"/>
        </w:rPr>
        <w:t xml:space="preserve"> </w:t>
      </w:r>
      <w:r w:rsidR="00933C06" w:rsidRPr="0018334E">
        <w:rPr>
          <w:rFonts w:ascii="Arial" w:hAnsi="Arial" w:cs="Arial"/>
          <w:sz w:val="24"/>
          <w:szCs w:val="24"/>
          <w:lang w:val="en-US"/>
        </w:rPr>
        <w:t xml:space="preserve">only </w:t>
      </w:r>
      <w:r w:rsidR="003C6F6F">
        <w:rPr>
          <w:rFonts w:ascii="Arial" w:hAnsi="Arial" w:cs="Arial"/>
          <w:sz w:val="24"/>
          <w:szCs w:val="24"/>
          <w:lang w:val="en-US"/>
        </w:rPr>
        <w:t xml:space="preserve">weakly </w:t>
      </w:r>
      <w:r w:rsidR="008B5B88" w:rsidRPr="0018334E">
        <w:rPr>
          <w:rFonts w:ascii="Arial" w:hAnsi="Arial" w:cs="Arial"/>
          <w:sz w:val="24"/>
          <w:szCs w:val="24"/>
          <w:lang w:val="en-US"/>
        </w:rPr>
        <w:t>associated with ferritin</w:t>
      </w:r>
      <w:r w:rsidR="003C6F6F">
        <w:rPr>
          <w:rFonts w:ascii="Arial" w:hAnsi="Arial" w:cs="Arial"/>
          <w:sz w:val="24"/>
          <w:szCs w:val="24"/>
          <w:lang w:val="en-US"/>
        </w:rPr>
        <w:t xml:space="preserve"> and not with the other iron biomarkers</w:t>
      </w:r>
      <w:r w:rsidR="008B5B88" w:rsidRPr="0018334E">
        <w:rPr>
          <w:rFonts w:ascii="Arial" w:hAnsi="Arial" w:cs="Arial"/>
          <w:sz w:val="24"/>
          <w:szCs w:val="24"/>
          <w:lang w:val="en-US"/>
        </w:rPr>
        <w:t xml:space="preserve">. </w:t>
      </w:r>
    </w:p>
    <w:p w:rsidR="00DB7F6F" w:rsidRPr="0018334E" w:rsidRDefault="00DB7F6F" w:rsidP="00F328BE">
      <w:pPr>
        <w:spacing w:after="0" w:line="480" w:lineRule="auto"/>
        <w:jc w:val="both"/>
        <w:rPr>
          <w:rFonts w:ascii="Arial" w:hAnsi="Arial" w:cs="Arial"/>
          <w:sz w:val="24"/>
          <w:szCs w:val="24"/>
          <w:lang w:val="en-US"/>
        </w:rPr>
      </w:pPr>
    </w:p>
    <w:p w:rsidR="001D384D" w:rsidRPr="0018334E" w:rsidRDefault="001D384D" w:rsidP="00F328BE">
      <w:pPr>
        <w:spacing w:after="0" w:line="480" w:lineRule="auto"/>
        <w:jc w:val="both"/>
        <w:rPr>
          <w:rFonts w:ascii="Arial" w:hAnsi="Arial" w:cs="Arial"/>
          <w:sz w:val="24"/>
          <w:szCs w:val="24"/>
          <w:lang w:val="en-US"/>
        </w:rPr>
      </w:pPr>
      <w:r w:rsidRPr="0018334E">
        <w:rPr>
          <w:rFonts w:ascii="Arial" w:hAnsi="Arial" w:cs="Arial"/>
          <w:sz w:val="24"/>
          <w:szCs w:val="24"/>
          <w:lang w:val="en-US"/>
        </w:rPr>
        <w:t xml:space="preserve">Hazard ratios </w:t>
      </w:r>
      <w:r w:rsidR="0056717D" w:rsidRPr="0018334E">
        <w:rPr>
          <w:rFonts w:ascii="Arial" w:hAnsi="Arial" w:cs="Arial"/>
          <w:sz w:val="24"/>
          <w:szCs w:val="24"/>
          <w:lang w:val="en-US"/>
        </w:rPr>
        <w:t>(</w:t>
      </w:r>
      <w:r w:rsidR="00150F48" w:rsidRPr="0018334E">
        <w:rPr>
          <w:rFonts w:ascii="Arial" w:hAnsi="Arial" w:cs="Arial"/>
          <w:sz w:val="24"/>
          <w:szCs w:val="24"/>
          <w:lang w:val="en-US"/>
        </w:rPr>
        <w:t>HR)</w:t>
      </w:r>
      <w:r w:rsidR="00D811AE" w:rsidRPr="0018334E">
        <w:rPr>
          <w:rFonts w:ascii="Arial" w:hAnsi="Arial" w:cs="Arial"/>
          <w:sz w:val="24"/>
          <w:szCs w:val="24"/>
          <w:lang w:val="en-US"/>
        </w:rPr>
        <w:t xml:space="preserve"> </w:t>
      </w:r>
      <w:r w:rsidRPr="0018334E">
        <w:rPr>
          <w:rFonts w:ascii="Arial" w:hAnsi="Arial" w:cs="Arial"/>
          <w:sz w:val="24"/>
          <w:szCs w:val="24"/>
          <w:lang w:val="en-US"/>
        </w:rPr>
        <w:t xml:space="preserve">of </w:t>
      </w:r>
      <w:r w:rsidR="003813A4" w:rsidRPr="0018334E">
        <w:rPr>
          <w:rFonts w:ascii="Arial" w:hAnsi="Arial" w:cs="Arial"/>
          <w:sz w:val="24"/>
          <w:szCs w:val="24"/>
          <w:lang w:val="en-US"/>
        </w:rPr>
        <w:t>type 2 diabetes</w:t>
      </w:r>
      <w:r w:rsidRPr="0018334E">
        <w:rPr>
          <w:rFonts w:ascii="Arial" w:hAnsi="Arial" w:cs="Arial"/>
          <w:sz w:val="24"/>
          <w:szCs w:val="24"/>
          <w:lang w:val="en-US"/>
        </w:rPr>
        <w:t xml:space="preserve"> for each biomarker are </w:t>
      </w:r>
      <w:r w:rsidR="009417D2" w:rsidRPr="0018334E">
        <w:rPr>
          <w:rFonts w:ascii="Arial" w:hAnsi="Arial" w:cs="Arial"/>
          <w:sz w:val="24"/>
          <w:szCs w:val="24"/>
          <w:lang w:val="en-US"/>
        </w:rPr>
        <w:t>summarized</w:t>
      </w:r>
      <w:r w:rsidRPr="0018334E">
        <w:rPr>
          <w:rFonts w:ascii="Arial" w:hAnsi="Arial" w:cs="Arial"/>
          <w:sz w:val="24"/>
          <w:szCs w:val="24"/>
          <w:lang w:val="en-US"/>
        </w:rPr>
        <w:t xml:space="preserve"> in </w:t>
      </w:r>
      <w:r w:rsidR="00A22128" w:rsidRPr="0018334E">
        <w:rPr>
          <w:rFonts w:ascii="Arial" w:hAnsi="Arial" w:cs="Arial"/>
          <w:b/>
          <w:sz w:val="24"/>
          <w:szCs w:val="24"/>
          <w:lang w:val="en-US"/>
        </w:rPr>
        <w:t>Table 3</w:t>
      </w:r>
      <w:r w:rsidR="003C51A5">
        <w:rPr>
          <w:rFonts w:ascii="Arial" w:hAnsi="Arial" w:cs="Arial"/>
          <w:b/>
          <w:sz w:val="24"/>
          <w:szCs w:val="24"/>
          <w:lang w:val="en-US"/>
        </w:rPr>
        <w:t xml:space="preserve"> </w:t>
      </w:r>
      <w:r w:rsidR="003C51A5" w:rsidRPr="00311933">
        <w:rPr>
          <w:rFonts w:ascii="Arial" w:hAnsi="Arial" w:cs="Arial"/>
          <w:sz w:val="24"/>
          <w:szCs w:val="24"/>
          <w:lang w:val="en-US"/>
        </w:rPr>
        <w:t>and</w:t>
      </w:r>
      <w:r w:rsidR="003C51A5">
        <w:rPr>
          <w:rFonts w:ascii="Arial" w:hAnsi="Arial" w:cs="Arial"/>
          <w:b/>
          <w:sz w:val="24"/>
          <w:szCs w:val="24"/>
          <w:lang w:val="en-US"/>
        </w:rPr>
        <w:t xml:space="preserve"> </w:t>
      </w:r>
      <w:r w:rsidR="00E9602D">
        <w:rPr>
          <w:rFonts w:ascii="Arial" w:hAnsi="Arial" w:cs="Arial"/>
          <w:b/>
          <w:sz w:val="24"/>
          <w:szCs w:val="24"/>
          <w:lang w:val="en-US"/>
        </w:rPr>
        <w:t>Supplementary</w:t>
      </w:r>
      <w:r w:rsidR="003C51A5" w:rsidRPr="003C51A5">
        <w:rPr>
          <w:rFonts w:ascii="Arial" w:hAnsi="Arial" w:cs="Arial"/>
          <w:b/>
          <w:sz w:val="24"/>
          <w:szCs w:val="24"/>
          <w:lang w:val="en-US"/>
        </w:rPr>
        <w:t xml:space="preserve"> Figure S1</w:t>
      </w:r>
      <w:r w:rsidR="003C51A5">
        <w:rPr>
          <w:rFonts w:ascii="Arial" w:hAnsi="Arial" w:cs="Arial"/>
          <w:b/>
          <w:sz w:val="24"/>
          <w:szCs w:val="24"/>
          <w:lang w:val="en-US"/>
        </w:rPr>
        <w:t xml:space="preserve"> </w:t>
      </w:r>
      <w:r w:rsidRPr="0018334E">
        <w:rPr>
          <w:rFonts w:ascii="Arial" w:hAnsi="Arial" w:cs="Arial"/>
          <w:sz w:val="24"/>
          <w:szCs w:val="24"/>
          <w:lang w:val="en-US"/>
        </w:rPr>
        <w:t xml:space="preserve">and the adjusted </w:t>
      </w:r>
      <w:r w:rsidR="006B2296">
        <w:rPr>
          <w:rFonts w:ascii="Arial" w:hAnsi="Arial" w:cs="Arial"/>
          <w:sz w:val="24"/>
          <w:szCs w:val="24"/>
          <w:lang w:val="en-US"/>
        </w:rPr>
        <w:t xml:space="preserve">and unadjusted </w:t>
      </w:r>
      <w:r w:rsidRPr="0018334E">
        <w:rPr>
          <w:rFonts w:ascii="Arial" w:hAnsi="Arial" w:cs="Arial"/>
          <w:sz w:val="24"/>
          <w:szCs w:val="24"/>
          <w:lang w:val="en-US"/>
        </w:rPr>
        <w:t xml:space="preserve">associations estimated from spline regression </w:t>
      </w:r>
      <w:r w:rsidR="00001283" w:rsidRPr="0018334E">
        <w:rPr>
          <w:rFonts w:ascii="Arial" w:hAnsi="Arial" w:cs="Arial"/>
          <w:sz w:val="24"/>
          <w:szCs w:val="24"/>
          <w:lang w:val="en-US"/>
        </w:rPr>
        <w:t xml:space="preserve">are displayed </w:t>
      </w:r>
      <w:r w:rsidRPr="0018334E">
        <w:rPr>
          <w:rFonts w:ascii="Arial" w:hAnsi="Arial" w:cs="Arial"/>
          <w:sz w:val="24"/>
          <w:szCs w:val="24"/>
          <w:lang w:val="en-US"/>
        </w:rPr>
        <w:t>in</w:t>
      </w:r>
      <w:r w:rsidRPr="0018334E">
        <w:rPr>
          <w:rFonts w:ascii="Arial" w:hAnsi="Arial" w:cs="Arial"/>
          <w:b/>
          <w:sz w:val="24"/>
          <w:szCs w:val="24"/>
          <w:lang w:val="en-US"/>
        </w:rPr>
        <w:t xml:space="preserve"> Figure </w:t>
      </w:r>
      <w:r w:rsidR="00382A2E" w:rsidRPr="0018334E">
        <w:rPr>
          <w:rFonts w:ascii="Arial" w:hAnsi="Arial" w:cs="Arial"/>
          <w:b/>
          <w:sz w:val="24"/>
          <w:szCs w:val="24"/>
          <w:lang w:val="en-US"/>
        </w:rPr>
        <w:t>1</w:t>
      </w:r>
      <w:r w:rsidR="006B2296">
        <w:rPr>
          <w:rFonts w:ascii="Arial" w:hAnsi="Arial" w:cs="Arial"/>
          <w:b/>
          <w:sz w:val="24"/>
          <w:szCs w:val="24"/>
          <w:lang w:val="en-US"/>
        </w:rPr>
        <w:t xml:space="preserve"> and Supplementary Figure S2, respectively</w:t>
      </w:r>
      <w:r w:rsidRPr="0018334E">
        <w:rPr>
          <w:rFonts w:ascii="Arial" w:hAnsi="Arial" w:cs="Arial"/>
          <w:sz w:val="24"/>
          <w:szCs w:val="24"/>
          <w:lang w:val="en-US"/>
        </w:rPr>
        <w:t xml:space="preserve">. </w:t>
      </w:r>
      <w:r w:rsidR="006236F8" w:rsidRPr="0018334E">
        <w:rPr>
          <w:rFonts w:ascii="Arial" w:hAnsi="Arial" w:cs="Arial"/>
          <w:sz w:val="24"/>
          <w:szCs w:val="24"/>
          <w:lang w:val="en-US"/>
        </w:rPr>
        <w:t xml:space="preserve">A 100 </w:t>
      </w:r>
      <w:proofErr w:type="spellStart"/>
      <w:r w:rsidR="006236F8" w:rsidRPr="0018334E">
        <w:rPr>
          <w:rFonts w:ascii="Arial" w:hAnsi="Arial" w:cs="Arial"/>
          <w:sz w:val="24"/>
          <w:szCs w:val="24"/>
          <w:lang w:val="en-US"/>
        </w:rPr>
        <w:t>μg</w:t>
      </w:r>
      <w:proofErr w:type="spellEnd"/>
      <w:r w:rsidR="006B7240" w:rsidRPr="0018334E">
        <w:rPr>
          <w:rFonts w:ascii="Arial" w:hAnsi="Arial" w:cs="Arial"/>
          <w:sz w:val="24"/>
          <w:szCs w:val="24"/>
          <w:lang w:val="en-US"/>
        </w:rPr>
        <w:t>/L</w:t>
      </w:r>
      <w:r w:rsidR="006236F8" w:rsidRPr="0018334E">
        <w:rPr>
          <w:rFonts w:ascii="Arial" w:hAnsi="Arial" w:cs="Arial"/>
          <w:sz w:val="24"/>
          <w:szCs w:val="24"/>
          <w:lang w:val="en-US"/>
        </w:rPr>
        <w:t xml:space="preserve"> </w:t>
      </w:r>
      <w:r w:rsidRPr="0018334E">
        <w:rPr>
          <w:rFonts w:ascii="Arial" w:hAnsi="Arial" w:cs="Arial"/>
          <w:sz w:val="24"/>
          <w:szCs w:val="24"/>
          <w:lang w:val="en-US"/>
        </w:rPr>
        <w:t xml:space="preserve">higher ferritin level was associated with a </w:t>
      </w:r>
      <w:r w:rsidR="006236F8" w:rsidRPr="00E23C8F">
        <w:rPr>
          <w:rFonts w:ascii="Arial" w:hAnsi="Arial" w:cs="Arial"/>
          <w:sz w:val="24"/>
          <w:szCs w:val="24"/>
          <w:lang w:val="en-US"/>
        </w:rPr>
        <w:t xml:space="preserve">higher </w:t>
      </w:r>
      <w:r w:rsidR="00CA7DA4" w:rsidRPr="00E23C8F">
        <w:rPr>
          <w:rFonts w:ascii="Arial" w:hAnsi="Arial" w:cs="Arial"/>
          <w:sz w:val="24"/>
          <w:szCs w:val="24"/>
          <w:lang w:val="en-US"/>
        </w:rPr>
        <w:t>risk</w:t>
      </w:r>
      <w:r w:rsidRPr="00E23C8F">
        <w:rPr>
          <w:rFonts w:ascii="Arial" w:hAnsi="Arial" w:cs="Arial"/>
          <w:sz w:val="24"/>
          <w:szCs w:val="24"/>
          <w:lang w:val="en-US"/>
        </w:rPr>
        <w:t xml:space="preserve"> </w:t>
      </w:r>
      <w:r w:rsidR="00150F48" w:rsidRPr="00E23C8F">
        <w:rPr>
          <w:rFonts w:ascii="Arial" w:hAnsi="Arial" w:cs="Arial"/>
          <w:sz w:val="24"/>
          <w:szCs w:val="24"/>
          <w:lang w:val="en-US"/>
        </w:rPr>
        <w:t xml:space="preserve">(95% CI) </w:t>
      </w:r>
      <w:r w:rsidRPr="00E23C8F">
        <w:rPr>
          <w:rFonts w:ascii="Arial" w:hAnsi="Arial" w:cs="Arial"/>
          <w:sz w:val="24"/>
          <w:szCs w:val="24"/>
          <w:lang w:val="en-US"/>
        </w:rPr>
        <w:t xml:space="preserve">of </w:t>
      </w:r>
      <w:r w:rsidR="008C722E" w:rsidRPr="00E23C8F">
        <w:rPr>
          <w:rFonts w:ascii="Arial" w:hAnsi="Arial" w:cs="Arial"/>
          <w:sz w:val="24"/>
          <w:szCs w:val="24"/>
          <w:lang w:val="en-US"/>
        </w:rPr>
        <w:t>type 2 diabetes</w:t>
      </w:r>
      <w:r w:rsidR="003904E1" w:rsidRPr="00E23C8F">
        <w:rPr>
          <w:rFonts w:ascii="Arial" w:hAnsi="Arial" w:cs="Arial"/>
          <w:sz w:val="24"/>
          <w:szCs w:val="24"/>
          <w:lang w:val="en-US"/>
        </w:rPr>
        <w:t xml:space="preserve"> in men,</w:t>
      </w:r>
      <w:r w:rsidRPr="00E23C8F">
        <w:rPr>
          <w:rFonts w:ascii="Arial" w:hAnsi="Arial" w:cs="Arial"/>
          <w:sz w:val="24"/>
          <w:szCs w:val="24"/>
          <w:lang w:val="en-US"/>
        </w:rPr>
        <w:t xml:space="preserve"> </w:t>
      </w:r>
      <w:r w:rsidR="003904E1" w:rsidRPr="00E23C8F">
        <w:rPr>
          <w:rFonts w:ascii="Arial" w:hAnsi="Arial" w:cs="Arial"/>
          <w:sz w:val="24"/>
          <w:szCs w:val="24"/>
          <w:lang w:val="en-US"/>
        </w:rPr>
        <w:t xml:space="preserve">1.07 (1.01; 1.12) </w:t>
      </w:r>
      <w:r w:rsidRPr="00E23C8F">
        <w:rPr>
          <w:rFonts w:ascii="Arial" w:hAnsi="Arial" w:cs="Arial"/>
          <w:sz w:val="24"/>
          <w:szCs w:val="24"/>
          <w:lang w:val="en-US"/>
        </w:rPr>
        <w:t xml:space="preserve">and </w:t>
      </w:r>
      <w:r w:rsidR="003904E1" w:rsidRPr="00E23C8F">
        <w:rPr>
          <w:rFonts w:ascii="Arial" w:hAnsi="Arial" w:cs="Arial"/>
          <w:sz w:val="24"/>
          <w:szCs w:val="24"/>
          <w:lang w:val="en-US"/>
        </w:rPr>
        <w:t xml:space="preserve">women, 1.12 </w:t>
      </w:r>
      <w:r w:rsidR="003904E1" w:rsidRPr="00E23C8F">
        <w:rPr>
          <w:rFonts w:ascii="Arial" w:hAnsi="Arial" w:cs="Arial"/>
          <w:sz w:val="24"/>
          <w:szCs w:val="24"/>
          <w:lang w:val="en-US"/>
        </w:rPr>
        <w:lastRenderedPageBreak/>
        <w:t>(1.05; 1.19)</w:t>
      </w:r>
      <w:r w:rsidR="00D811AE" w:rsidRPr="00E23C8F">
        <w:rPr>
          <w:rFonts w:ascii="Arial" w:hAnsi="Arial" w:cs="Arial"/>
          <w:sz w:val="24"/>
          <w:szCs w:val="24"/>
          <w:lang w:val="en-US"/>
        </w:rPr>
        <w:t xml:space="preserve">, </w:t>
      </w:r>
      <w:r w:rsidRPr="00E23C8F">
        <w:rPr>
          <w:rFonts w:ascii="Arial" w:hAnsi="Arial" w:cs="Arial"/>
          <w:sz w:val="24"/>
          <w:szCs w:val="24"/>
          <w:lang w:val="en-US"/>
        </w:rPr>
        <w:t xml:space="preserve">after adjusting for age, </w:t>
      </w:r>
      <w:r w:rsidR="009417D2" w:rsidRPr="00EA747F">
        <w:rPr>
          <w:rFonts w:ascii="Arial" w:hAnsi="Arial" w:cs="Arial"/>
          <w:sz w:val="24"/>
          <w:szCs w:val="24"/>
          <w:lang w:val="en-US"/>
        </w:rPr>
        <w:t>center</w:t>
      </w:r>
      <w:r w:rsidRPr="00EA747F">
        <w:rPr>
          <w:rFonts w:ascii="Arial" w:hAnsi="Arial" w:cs="Arial"/>
          <w:sz w:val="24"/>
          <w:szCs w:val="24"/>
          <w:lang w:val="en-US"/>
        </w:rPr>
        <w:t xml:space="preserve">, </w:t>
      </w:r>
      <w:r w:rsidR="00982C25" w:rsidRPr="00EA747F">
        <w:rPr>
          <w:rFonts w:ascii="Arial" w:hAnsi="Arial" w:cs="Arial"/>
          <w:sz w:val="24"/>
          <w:szCs w:val="24"/>
          <w:lang w:val="en-US"/>
        </w:rPr>
        <w:t>BMI, physical activity, smo</w:t>
      </w:r>
      <w:r w:rsidR="00A62EC7" w:rsidRPr="00EA747F">
        <w:rPr>
          <w:rFonts w:ascii="Arial" w:hAnsi="Arial" w:cs="Arial"/>
          <w:sz w:val="24"/>
          <w:szCs w:val="24"/>
          <w:lang w:val="en-US"/>
        </w:rPr>
        <w:t xml:space="preserve">king status, level of education, </w:t>
      </w:r>
      <w:proofErr w:type="spellStart"/>
      <w:r w:rsidR="00A62EC7" w:rsidRPr="00EA747F">
        <w:rPr>
          <w:rFonts w:ascii="Arial" w:hAnsi="Arial" w:cs="Arial"/>
          <w:sz w:val="24"/>
          <w:szCs w:val="24"/>
          <w:lang w:val="en-US"/>
        </w:rPr>
        <w:t>hsCRP</w:t>
      </w:r>
      <w:proofErr w:type="spellEnd"/>
      <w:r w:rsidR="00A62EC7" w:rsidRPr="00EA747F">
        <w:rPr>
          <w:rFonts w:ascii="Arial" w:hAnsi="Arial" w:cs="Arial"/>
          <w:sz w:val="24"/>
          <w:szCs w:val="24"/>
          <w:lang w:val="en-US"/>
        </w:rPr>
        <w:t>, ALT a</w:t>
      </w:r>
      <w:r w:rsidR="00A62EC7" w:rsidRPr="009322EC">
        <w:rPr>
          <w:rFonts w:ascii="Arial" w:hAnsi="Arial" w:cs="Arial"/>
          <w:sz w:val="24"/>
          <w:szCs w:val="24"/>
          <w:lang w:val="en-US"/>
        </w:rPr>
        <w:t>nd GGT</w:t>
      </w:r>
      <w:r w:rsidR="003904E1" w:rsidRPr="009322EC">
        <w:rPr>
          <w:rFonts w:ascii="Arial" w:hAnsi="Arial" w:cs="Arial"/>
          <w:sz w:val="24"/>
          <w:szCs w:val="24"/>
          <w:lang w:val="en-US"/>
        </w:rPr>
        <w:t xml:space="preserve">. </w:t>
      </w:r>
      <w:r w:rsidR="002857CF" w:rsidRPr="009322EC">
        <w:rPr>
          <w:rFonts w:ascii="Arial" w:hAnsi="Arial" w:cs="Arial"/>
          <w:sz w:val="24"/>
          <w:szCs w:val="24"/>
          <w:lang w:val="en-US"/>
        </w:rPr>
        <w:t>Hazard ratios per sex-specific standard deviation of ferritin were similar in men and women (</w:t>
      </w:r>
      <w:r w:rsidR="00E9602D" w:rsidRPr="009322EC">
        <w:rPr>
          <w:rFonts w:ascii="Arial" w:hAnsi="Arial" w:cs="Arial"/>
          <w:b/>
          <w:sz w:val="24"/>
          <w:szCs w:val="24"/>
          <w:lang w:val="en-US"/>
        </w:rPr>
        <w:t xml:space="preserve">Supplementary </w:t>
      </w:r>
      <w:r w:rsidR="00591420">
        <w:rPr>
          <w:rFonts w:ascii="Arial" w:hAnsi="Arial" w:cs="Arial"/>
          <w:b/>
          <w:sz w:val="24"/>
          <w:szCs w:val="24"/>
          <w:lang w:val="en-US"/>
        </w:rPr>
        <w:t>Table S3</w:t>
      </w:r>
      <w:r w:rsidR="002857CF" w:rsidRPr="009322EC">
        <w:rPr>
          <w:rFonts w:ascii="Arial" w:hAnsi="Arial" w:cs="Arial"/>
          <w:sz w:val="24"/>
          <w:szCs w:val="24"/>
          <w:lang w:val="en-US"/>
        </w:rPr>
        <w:t xml:space="preserve">). </w:t>
      </w:r>
      <w:r w:rsidR="00E23C8F" w:rsidRPr="00F328BE">
        <w:rPr>
          <w:rFonts w:ascii="Arial" w:hAnsi="Arial" w:cs="Arial"/>
          <w:sz w:val="24"/>
          <w:szCs w:val="24"/>
        </w:rPr>
        <w:t xml:space="preserve">The </w:t>
      </w:r>
      <w:r w:rsidR="00E23C8F" w:rsidRPr="00F328BE">
        <w:rPr>
          <w:rFonts w:ascii="Arial" w:hAnsi="Arial" w:cs="Arial"/>
          <w:sz w:val="24"/>
          <w:szCs w:val="24"/>
          <w:lang w:val="en-US"/>
        </w:rPr>
        <w:t>spline analyses</w:t>
      </w:r>
      <w:r w:rsidR="00E23C8F" w:rsidRPr="00F328BE">
        <w:rPr>
          <w:rFonts w:ascii="Arial" w:hAnsi="Arial" w:cs="Arial"/>
          <w:sz w:val="24"/>
          <w:szCs w:val="24"/>
        </w:rPr>
        <w:t xml:space="preserve"> showed that the strengths of the associations were weakened by the adjustment (particularly for ferritin), while the shapes of the associations remained generally similar. </w:t>
      </w:r>
      <w:r w:rsidR="003904E1" w:rsidRPr="00F328BE">
        <w:rPr>
          <w:rFonts w:ascii="Arial" w:hAnsi="Arial" w:cs="Arial"/>
          <w:sz w:val="24"/>
          <w:szCs w:val="24"/>
          <w:lang w:val="en-US"/>
        </w:rPr>
        <w:t>A TSAT</w:t>
      </w:r>
      <w:r w:rsidR="00F94E42" w:rsidRPr="00F328BE">
        <w:rPr>
          <w:rFonts w:ascii="Arial" w:hAnsi="Arial" w:cs="Arial"/>
          <w:sz w:val="24"/>
          <w:szCs w:val="24"/>
          <w:lang w:val="en-US"/>
        </w:rPr>
        <w:t>≥</w:t>
      </w:r>
      <w:r w:rsidR="003904E1" w:rsidRPr="00F328BE">
        <w:rPr>
          <w:rFonts w:ascii="Arial" w:hAnsi="Arial" w:cs="Arial"/>
          <w:sz w:val="24"/>
          <w:szCs w:val="24"/>
          <w:lang w:val="en-US"/>
        </w:rPr>
        <w:t xml:space="preserve">45% </w:t>
      </w:r>
      <w:r w:rsidR="00F31B92" w:rsidRPr="00F328BE">
        <w:rPr>
          <w:rFonts w:ascii="Arial" w:eastAsia="Verdana" w:hAnsi="Arial" w:cs="Arial"/>
          <w:sz w:val="24"/>
          <w:szCs w:val="24"/>
          <w:lang w:val="en-US"/>
        </w:rPr>
        <w:t xml:space="preserve">versus </w:t>
      </w:r>
      <w:r w:rsidR="00F94E42" w:rsidRPr="00F328BE">
        <w:rPr>
          <w:rFonts w:ascii="Arial" w:eastAsia="Verdana" w:hAnsi="Arial" w:cs="Arial"/>
          <w:sz w:val="24"/>
          <w:szCs w:val="24"/>
          <w:lang w:val="en-US"/>
        </w:rPr>
        <w:t>&lt;</w:t>
      </w:r>
      <w:r w:rsidR="00F31B92" w:rsidRPr="00F328BE">
        <w:rPr>
          <w:rFonts w:ascii="Arial" w:eastAsia="Verdana" w:hAnsi="Arial" w:cs="Arial"/>
          <w:sz w:val="24"/>
          <w:szCs w:val="24"/>
          <w:lang w:val="en-US"/>
        </w:rPr>
        <w:t>45%</w:t>
      </w:r>
      <w:r w:rsidR="00F31B92" w:rsidRPr="00F328BE">
        <w:rPr>
          <w:rFonts w:ascii="Arial" w:hAnsi="Arial" w:cs="Arial"/>
          <w:sz w:val="24"/>
          <w:szCs w:val="24"/>
          <w:lang w:val="en-US"/>
        </w:rPr>
        <w:t xml:space="preserve"> </w:t>
      </w:r>
      <w:r w:rsidRPr="00F328BE">
        <w:rPr>
          <w:rFonts w:ascii="Arial" w:hAnsi="Arial" w:cs="Arial"/>
          <w:sz w:val="24"/>
          <w:szCs w:val="24"/>
          <w:lang w:val="en-US"/>
        </w:rPr>
        <w:t>was associated with a significan</w:t>
      </w:r>
      <w:r w:rsidRPr="00E23C8F">
        <w:rPr>
          <w:rFonts w:ascii="Arial" w:hAnsi="Arial" w:cs="Arial"/>
          <w:sz w:val="24"/>
          <w:szCs w:val="24"/>
          <w:lang w:val="en-US"/>
        </w:rPr>
        <w:t xml:space="preserve">tly lower </w:t>
      </w:r>
      <w:r w:rsidR="00CA7DA4" w:rsidRPr="00E23C8F">
        <w:rPr>
          <w:rFonts w:ascii="Arial" w:hAnsi="Arial" w:cs="Arial"/>
          <w:sz w:val="24"/>
          <w:szCs w:val="24"/>
          <w:lang w:val="en-US"/>
        </w:rPr>
        <w:t>risk</w:t>
      </w:r>
      <w:r w:rsidRPr="00E23C8F">
        <w:rPr>
          <w:rFonts w:ascii="Arial" w:hAnsi="Arial" w:cs="Arial"/>
          <w:sz w:val="24"/>
          <w:szCs w:val="24"/>
          <w:lang w:val="en-US"/>
        </w:rPr>
        <w:t xml:space="preserve"> of </w:t>
      </w:r>
      <w:r w:rsidR="008C722E" w:rsidRPr="00E23C8F">
        <w:rPr>
          <w:rFonts w:ascii="Arial" w:hAnsi="Arial" w:cs="Arial"/>
          <w:sz w:val="24"/>
          <w:szCs w:val="24"/>
          <w:lang w:val="en-US"/>
        </w:rPr>
        <w:t>type 2 diabetes</w:t>
      </w:r>
      <w:r w:rsidRPr="00E23C8F">
        <w:rPr>
          <w:rFonts w:ascii="Arial" w:hAnsi="Arial" w:cs="Arial"/>
          <w:sz w:val="24"/>
          <w:szCs w:val="24"/>
          <w:lang w:val="en-US"/>
        </w:rPr>
        <w:t xml:space="preserve"> in women only. Using cut offs of 50% and 55% for TSAT </w:t>
      </w:r>
      <w:r w:rsidR="00947725" w:rsidRPr="00E23C8F">
        <w:rPr>
          <w:rFonts w:ascii="Arial" w:hAnsi="Arial" w:cs="Arial"/>
          <w:sz w:val="24"/>
          <w:szCs w:val="24"/>
          <w:lang w:val="en-US"/>
        </w:rPr>
        <w:t xml:space="preserve">or </w:t>
      </w:r>
      <w:r w:rsidR="00EA747F">
        <w:rPr>
          <w:rFonts w:ascii="Arial" w:hAnsi="Arial" w:cs="Arial"/>
          <w:sz w:val="24"/>
          <w:szCs w:val="24"/>
          <w:lang w:val="en-US"/>
        </w:rPr>
        <w:t>estimating hazard ratios</w:t>
      </w:r>
      <w:r w:rsidR="00947725" w:rsidRPr="00E23C8F">
        <w:rPr>
          <w:rFonts w:ascii="Arial" w:hAnsi="Arial" w:cs="Arial"/>
          <w:sz w:val="24"/>
          <w:szCs w:val="24"/>
          <w:lang w:val="en-US"/>
        </w:rPr>
        <w:t xml:space="preserve"> per 5% higher level of TSAT </w:t>
      </w:r>
      <w:r w:rsidRPr="00E23C8F">
        <w:rPr>
          <w:rFonts w:ascii="Arial" w:hAnsi="Arial" w:cs="Arial"/>
          <w:sz w:val="24"/>
          <w:szCs w:val="24"/>
          <w:lang w:val="en-US"/>
        </w:rPr>
        <w:t xml:space="preserve">did not substantially </w:t>
      </w:r>
      <w:r w:rsidR="00A51D20" w:rsidRPr="00E23C8F">
        <w:rPr>
          <w:rFonts w:ascii="Arial" w:hAnsi="Arial" w:cs="Arial"/>
          <w:sz w:val="24"/>
          <w:szCs w:val="24"/>
          <w:lang w:val="en-US"/>
        </w:rPr>
        <w:t xml:space="preserve">affect </w:t>
      </w:r>
      <w:r w:rsidRPr="00E23C8F">
        <w:rPr>
          <w:rFonts w:ascii="Arial" w:hAnsi="Arial" w:cs="Arial"/>
          <w:sz w:val="24"/>
          <w:szCs w:val="24"/>
          <w:lang w:val="en-US"/>
        </w:rPr>
        <w:t>the</w:t>
      </w:r>
      <w:r w:rsidRPr="0018334E">
        <w:rPr>
          <w:rFonts w:ascii="Arial" w:hAnsi="Arial" w:cs="Arial"/>
          <w:sz w:val="24"/>
          <w:szCs w:val="24"/>
          <w:lang w:val="en-US"/>
        </w:rPr>
        <w:t xml:space="preserve"> results</w:t>
      </w:r>
      <w:r w:rsidR="00EA747F">
        <w:rPr>
          <w:rFonts w:ascii="Arial" w:hAnsi="Arial" w:cs="Arial"/>
          <w:sz w:val="24"/>
          <w:szCs w:val="24"/>
          <w:lang w:val="en-US"/>
        </w:rPr>
        <w:t>,</w:t>
      </w:r>
      <w:r w:rsidR="0089625E">
        <w:rPr>
          <w:rFonts w:ascii="Arial" w:hAnsi="Arial" w:cs="Arial"/>
          <w:sz w:val="24"/>
          <w:szCs w:val="24"/>
          <w:lang w:val="en-US"/>
        </w:rPr>
        <w:t xml:space="preserve"> but the association was no longer statistically significant in women</w:t>
      </w:r>
      <w:r w:rsidRPr="0018334E">
        <w:rPr>
          <w:rFonts w:ascii="Arial" w:hAnsi="Arial" w:cs="Arial"/>
          <w:sz w:val="24"/>
          <w:szCs w:val="24"/>
          <w:lang w:val="en-US"/>
        </w:rPr>
        <w:t xml:space="preserve"> </w:t>
      </w:r>
      <w:r w:rsidR="00947725">
        <w:rPr>
          <w:rFonts w:ascii="Arial" w:hAnsi="Arial" w:cs="Arial"/>
          <w:sz w:val="24"/>
          <w:szCs w:val="24"/>
          <w:lang w:val="en-US"/>
        </w:rPr>
        <w:t xml:space="preserve">using cut-offs of 50% or 55% </w:t>
      </w:r>
      <w:r w:rsidRPr="0018334E">
        <w:rPr>
          <w:rFonts w:ascii="Arial" w:hAnsi="Arial" w:cs="Arial"/>
          <w:sz w:val="24"/>
          <w:szCs w:val="24"/>
          <w:lang w:val="en-US"/>
        </w:rPr>
        <w:t>(</w:t>
      </w:r>
      <w:r w:rsidR="00E9602D">
        <w:rPr>
          <w:rFonts w:ascii="Arial" w:hAnsi="Arial" w:cs="Arial"/>
          <w:b/>
          <w:sz w:val="24"/>
          <w:szCs w:val="24"/>
          <w:lang w:val="en-US"/>
        </w:rPr>
        <w:t>Supplementary</w:t>
      </w:r>
      <w:r w:rsidR="0089625E" w:rsidRPr="0045610D">
        <w:rPr>
          <w:rFonts w:ascii="Arial" w:hAnsi="Arial" w:cs="Arial"/>
          <w:b/>
          <w:sz w:val="24"/>
          <w:szCs w:val="24"/>
          <w:lang w:val="en-US"/>
        </w:rPr>
        <w:t xml:space="preserve"> </w:t>
      </w:r>
      <w:r w:rsidR="00816249">
        <w:rPr>
          <w:rFonts w:ascii="Arial" w:hAnsi="Arial" w:cs="Arial"/>
          <w:b/>
          <w:sz w:val="24"/>
          <w:szCs w:val="24"/>
          <w:lang w:val="en-US"/>
        </w:rPr>
        <w:t>T</w:t>
      </w:r>
      <w:r w:rsidR="0089625E" w:rsidRPr="0045610D">
        <w:rPr>
          <w:rFonts w:ascii="Arial" w:hAnsi="Arial" w:cs="Arial"/>
          <w:b/>
          <w:sz w:val="24"/>
          <w:szCs w:val="24"/>
          <w:lang w:val="en-US"/>
        </w:rPr>
        <w:t>able S</w:t>
      </w:r>
      <w:r w:rsidR="00EA747F">
        <w:rPr>
          <w:rFonts w:ascii="Arial" w:hAnsi="Arial" w:cs="Arial"/>
          <w:b/>
          <w:sz w:val="24"/>
          <w:szCs w:val="24"/>
          <w:lang w:val="en-US"/>
        </w:rPr>
        <w:t>4</w:t>
      </w:r>
      <w:r w:rsidRPr="0018334E">
        <w:rPr>
          <w:rFonts w:ascii="Arial" w:hAnsi="Arial" w:cs="Arial"/>
          <w:sz w:val="24"/>
          <w:szCs w:val="24"/>
          <w:lang w:val="en-US"/>
        </w:rPr>
        <w:t xml:space="preserve">). A higher serum iron level was not associated with </w:t>
      </w:r>
      <w:r w:rsidR="008C722E" w:rsidRPr="0018334E">
        <w:rPr>
          <w:rFonts w:ascii="Arial" w:hAnsi="Arial" w:cs="Arial"/>
          <w:sz w:val="24"/>
          <w:szCs w:val="24"/>
          <w:lang w:val="en-US"/>
        </w:rPr>
        <w:t>type 2 diabetes</w:t>
      </w:r>
      <w:r w:rsidRPr="0018334E">
        <w:rPr>
          <w:rFonts w:ascii="Arial" w:hAnsi="Arial" w:cs="Arial"/>
          <w:sz w:val="24"/>
          <w:szCs w:val="24"/>
          <w:lang w:val="en-US"/>
        </w:rPr>
        <w:t xml:space="preserve">. A higher transferrin level was associated with a </w:t>
      </w:r>
      <w:r w:rsidR="0014307E" w:rsidRPr="0018334E">
        <w:rPr>
          <w:rFonts w:ascii="Arial" w:hAnsi="Arial" w:cs="Arial"/>
          <w:sz w:val="24"/>
          <w:szCs w:val="24"/>
          <w:lang w:val="en-US"/>
        </w:rPr>
        <w:t xml:space="preserve">higher </w:t>
      </w:r>
      <w:r w:rsidR="00CA7DA4" w:rsidRPr="0018334E">
        <w:rPr>
          <w:rFonts w:ascii="Arial" w:hAnsi="Arial" w:cs="Arial"/>
          <w:sz w:val="24"/>
          <w:szCs w:val="24"/>
          <w:lang w:val="en-US"/>
        </w:rPr>
        <w:t>risk</w:t>
      </w:r>
      <w:r w:rsidR="00150F48" w:rsidRPr="0018334E">
        <w:rPr>
          <w:rFonts w:ascii="Arial" w:hAnsi="Arial" w:cs="Arial"/>
          <w:sz w:val="24"/>
          <w:szCs w:val="24"/>
          <w:lang w:val="en-US"/>
        </w:rPr>
        <w:t xml:space="preserve"> </w:t>
      </w:r>
      <w:r w:rsidRPr="0018334E">
        <w:rPr>
          <w:rFonts w:ascii="Arial" w:hAnsi="Arial" w:cs="Arial"/>
          <w:sz w:val="24"/>
          <w:szCs w:val="24"/>
          <w:lang w:val="en-US"/>
        </w:rPr>
        <w:t xml:space="preserve">of </w:t>
      </w:r>
      <w:r w:rsidR="008C722E" w:rsidRPr="0018334E">
        <w:rPr>
          <w:rFonts w:ascii="Arial" w:hAnsi="Arial" w:cs="Arial"/>
          <w:sz w:val="24"/>
          <w:szCs w:val="24"/>
          <w:lang w:val="en-US"/>
        </w:rPr>
        <w:t>type 2 diabetes</w:t>
      </w:r>
      <w:r w:rsidRPr="0018334E">
        <w:rPr>
          <w:rFonts w:ascii="Arial" w:hAnsi="Arial" w:cs="Arial"/>
          <w:sz w:val="24"/>
          <w:szCs w:val="24"/>
          <w:lang w:val="en-US"/>
        </w:rPr>
        <w:t xml:space="preserve"> in men</w:t>
      </w:r>
      <w:r w:rsidR="0056717D" w:rsidRPr="0018334E">
        <w:rPr>
          <w:rFonts w:ascii="Arial" w:hAnsi="Arial" w:cs="Arial"/>
          <w:sz w:val="24"/>
          <w:szCs w:val="24"/>
          <w:lang w:val="en-US"/>
        </w:rPr>
        <w:t xml:space="preserve">, 1.11 (1.00; 1.24), </w:t>
      </w:r>
      <w:r w:rsidRPr="0018334E">
        <w:rPr>
          <w:rFonts w:ascii="Arial" w:hAnsi="Arial" w:cs="Arial"/>
          <w:sz w:val="24"/>
          <w:szCs w:val="24"/>
          <w:lang w:val="en-US"/>
        </w:rPr>
        <w:t>and women,</w:t>
      </w:r>
      <w:r w:rsidR="0056717D" w:rsidRPr="0018334E">
        <w:rPr>
          <w:rFonts w:ascii="Arial" w:hAnsi="Arial" w:cs="Arial"/>
          <w:sz w:val="24"/>
          <w:szCs w:val="24"/>
          <w:lang w:val="en-US"/>
        </w:rPr>
        <w:t xml:space="preserve"> 1.22 (1.12; 1.33)</w:t>
      </w:r>
      <w:r w:rsidRPr="0018334E">
        <w:rPr>
          <w:rFonts w:ascii="Arial" w:hAnsi="Arial" w:cs="Arial"/>
          <w:sz w:val="24"/>
          <w:szCs w:val="24"/>
          <w:lang w:val="en-US"/>
        </w:rPr>
        <w:t xml:space="preserve">. </w:t>
      </w:r>
      <w:r w:rsidR="00301A2B" w:rsidRPr="0018334E">
        <w:rPr>
          <w:rFonts w:ascii="Arial" w:hAnsi="Arial" w:cs="Arial"/>
          <w:sz w:val="24"/>
          <w:szCs w:val="24"/>
          <w:lang w:val="en-US"/>
        </w:rPr>
        <w:t xml:space="preserve">The associations of </w:t>
      </w:r>
      <w:r w:rsidR="004B385F" w:rsidRPr="0018334E">
        <w:rPr>
          <w:rFonts w:ascii="Arial" w:hAnsi="Arial" w:cs="Arial"/>
          <w:sz w:val="24"/>
          <w:szCs w:val="24"/>
          <w:lang w:val="en-US"/>
        </w:rPr>
        <w:t>ferritin and transferrin</w:t>
      </w:r>
      <w:r w:rsidR="00F26056" w:rsidRPr="0018334E">
        <w:rPr>
          <w:rFonts w:ascii="Arial" w:hAnsi="Arial" w:cs="Arial"/>
          <w:sz w:val="24"/>
          <w:szCs w:val="24"/>
          <w:lang w:val="en-US"/>
        </w:rPr>
        <w:t xml:space="preserve"> </w:t>
      </w:r>
      <w:r w:rsidR="00301A2B" w:rsidRPr="0018334E">
        <w:rPr>
          <w:rFonts w:ascii="Arial" w:hAnsi="Arial" w:cs="Arial"/>
          <w:sz w:val="24"/>
          <w:szCs w:val="24"/>
          <w:lang w:val="en-US"/>
        </w:rPr>
        <w:t xml:space="preserve">with </w:t>
      </w:r>
      <w:r w:rsidR="008C722E" w:rsidRPr="0018334E">
        <w:rPr>
          <w:rFonts w:ascii="Arial" w:hAnsi="Arial" w:cs="Arial"/>
          <w:sz w:val="24"/>
          <w:szCs w:val="24"/>
          <w:lang w:val="en-US"/>
        </w:rPr>
        <w:t>type 2 diabetes</w:t>
      </w:r>
      <w:r w:rsidR="00301A2B" w:rsidRPr="0018334E">
        <w:rPr>
          <w:rFonts w:ascii="Arial" w:hAnsi="Arial" w:cs="Arial"/>
          <w:sz w:val="24"/>
          <w:szCs w:val="24"/>
          <w:lang w:val="en-US"/>
        </w:rPr>
        <w:t xml:space="preserve"> </w:t>
      </w:r>
      <w:r w:rsidR="00F26056" w:rsidRPr="0018334E">
        <w:rPr>
          <w:rFonts w:ascii="Arial" w:hAnsi="Arial" w:cs="Arial"/>
          <w:sz w:val="24"/>
          <w:szCs w:val="24"/>
          <w:lang w:val="en-US"/>
        </w:rPr>
        <w:t xml:space="preserve">were </w:t>
      </w:r>
      <w:r w:rsidR="00A1285B" w:rsidRPr="0018334E">
        <w:rPr>
          <w:rFonts w:ascii="Arial" w:hAnsi="Arial" w:cs="Arial"/>
          <w:sz w:val="24"/>
          <w:szCs w:val="24"/>
          <w:lang w:val="en-US"/>
        </w:rPr>
        <w:t>most</w:t>
      </w:r>
      <w:r w:rsidR="00F26056" w:rsidRPr="0018334E">
        <w:rPr>
          <w:rFonts w:ascii="Arial" w:hAnsi="Arial" w:cs="Arial"/>
          <w:sz w:val="24"/>
          <w:szCs w:val="24"/>
          <w:lang w:val="en-US"/>
        </w:rPr>
        <w:t xml:space="preserve"> attenuated after adjust</w:t>
      </w:r>
      <w:r w:rsidR="00585A25" w:rsidRPr="0018334E">
        <w:rPr>
          <w:rFonts w:ascii="Arial" w:hAnsi="Arial" w:cs="Arial"/>
          <w:sz w:val="24"/>
          <w:szCs w:val="24"/>
          <w:lang w:val="en-US"/>
        </w:rPr>
        <w:t>ing</w:t>
      </w:r>
      <w:r w:rsidR="00F26056" w:rsidRPr="0018334E">
        <w:rPr>
          <w:rFonts w:ascii="Arial" w:hAnsi="Arial" w:cs="Arial"/>
          <w:sz w:val="24"/>
          <w:szCs w:val="24"/>
          <w:lang w:val="en-US"/>
        </w:rPr>
        <w:t xml:space="preserve"> for </w:t>
      </w:r>
      <w:r w:rsidR="004B385F" w:rsidRPr="0018334E">
        <w:rPr>
          <w:rFonts w:ascii="Arial" w:hAnsi="Arial" w:cs="Arial"/>
          <w:sz w:val="24"/>
          <w:szCs w:val="24"/>
          <w:lang w:val="en-US"/>
        </w:rPr>
        <w:t xml:space="preserve">BMI and </w:t>
      </w:r>
      <w:r w:rsidR="00B164B9" w:rsidRPr="0018334E">
        <w:rPr>
          <w:rFonts w:ascii="Arial" w:hAnsi="Arial" w:cs="Arial"/>
          <w:sz w:val="24"/>
          <w:szCs w:val="24"/>
          <w:lang w:val="en-US"/>
        </w:rPr>
        <w:t>ALT</w:t>
      </w:r>
      <w:r w:rsidR="00585A25" w:rsidRPr="0018334E">
        <w:rPr>
          <w:rFonts w:ascii="Arial" w:hAnsi="Arial" w:cs="Arial"/>
          <w:sz w:val="24"/>
          <w:szCs w:val="24"/>
          <w:lang w:val="en-US"/>
        </w:rPr>
        <w:t xml:space="preserve"> (data not shown)</w:t>
      </w:r>
      <w:r w:rsidR="004B385F" w:rsidRPr="0018334E">
        <w:rPr>
          <w:rFonts w:ascii="Arial" w:hAnsi="Arial" w:cs="Arial"/>
          <w:sz w:val="24"/>
          <w:szCs w:val="24"/>
          <w:lang w:val="en-US"/>
        </w:rPr>
        <w:t>.</w:t>
      </w:r>
      <w:r w:rsidR="00241F62">
        <w:rPr>
          <w:rFonts w:ascii="Arial" w:hAnsi="Arial" w:cs="Arial"/>
          <w:sz w:val="24"/>
          <w:szCs w:val="24"/>
          <w:lang w:val="en-US"/>
        </w:rPr>
        <w:t xml:space="preserve"> </w:t>
      </w:r>
      <w:r w:rsidR="00241F62">
        <w:rPr>
          <w:rFonts w:ascii="Arial" w:eastAsia="Verdana" w:hAnsi="Arial" w:cs="Arial"/>
          <w:sz w:val="24"/>
          <w:szCs w:val="24"/>
          <w:lang w:val="en-US"/>
        </w:rPr>
        <w:t xml:space="preserve">Sensitivity analyses excluding individuals who developed diabetes within the first two years of follow-up did not change the results </w:t>
      </w:r>
      <w:r w:rsidR="00241F62" w:rsidRPr="0018334E">
        <w:rPr>
          <w:rFonts w:ascii="Arial" w:hAnsi="Arial" w:cs="Arial"/>
          <w:sz w:val="24"/>
          <w:szCs w:val="24"/>
          <w:lang w:val="en-US"/>
        </w:rPr>
        <w:t>(data not shown)</w:t>
      </w:r>
      <w:r w:rsidR="00241F62">
        <w:rPr>
          <w:rFonts w:ascii="Arial" w:hAnsi="Arial" w:cs="Arial"/>
          <w:sz w:val="24"/>
          <w:szCs w:val="24"/>
          <w:lang w:val="en-US"/>
        </w:rPr>
        <w:t>.</w:t>
      </w:r>
    </w:p>
    <w:p w:rsidR="004563FF" w:rsidRPr="0018334E" w:rsidRDefault="004563FF" w:rsidP="00F328BE">
      <w:pPr>
        <w:spacing w:after="0" w:line="480" w:lineRule="auto"/>
        <w:jc w:val="both"/>
        <w:rPr>
          <w:rFonts w:ascii="Arial" w:hAnsi="Arial" w:cs="Arial"/>
          <w:sz w:val="24"/>
          <w:szCs w:val="24"/>
          <w:lang w:val="en-US"/>
        </w:rPr>
      </w:pPr>
    </w:p>
    <w:p w:rsidR="00B33BA6" w:rsidRPr="0018334E" w:rsidRDefault="00D06346" w:rsidP="00F328BE">
      <w:pPr>
        <w:autoSpaceDE w:val="0"/>
        <w:autoSpaceDN w:val="0"/>
        <w:adjustRightInd w:val="0"/>
        <w:spacing w:after="0" w:line="480" w:lineRule="auto"/>
        <w:jc w:val="both"/>
        <w:rPr>
          <w:rFonts w:ascii="Arial" w:hAnsi="Arial" w:cs="Arial"/>
          <w:sz w:val="24"/>
          <w:szCs w:val="24"/>
          <w:lang w:val="en-US"/>
        </w:rPr>
      </w:pPr>
      <w:r w:rsidRPr="0018334E">
        <w:rPr>
          <w:rFonts w:ascii="Arial" w:hAnsi="Arial" w:cs="Arial"/>
          <w:sz w:val="24"/>
          <w:szCs w:val="24"/>
          <w:lang w:val="en-US"/>
        </w:rPr>
        <w:t>Restricting the analyses to indi</w:t>
      </w:r>
      <w:r w:rsidR="00771A76" w:rsidRPr="0018334E">
        <w:rPr>
          <w:rFonts w:ascii="Arial" w:hAnsi="Arial" w:cs="Arial"/>
          <w:sz w:val="24"/>
          <w:szCs w:val="24"/>
          <w:lang w:val="en-US"/>
        </w:rPr>
        <w:t>viduals not presenting any sign</w:t>
      </w:r>
      <w:r w:rsidRPr="0018334E">
        <w:rPr>
          <w:rFonts w:ascii="Arial" w:hAnsi="Arial" w:cs="Arial"/>
          <w:sz w:val="24"/>
          <w:szCs w:val="24"/>
          <w:lang w:val="en-US"/>
        </w:rPr>
        <w:t xml:space="preserve"> of</w:t>
      </w:r>
      <w:r w:rsidR="003904E1" w:rsidRPr="0018334E">
        <w:rPr>
          <w:rFonts w:ascii="Arial" w:hAnsi="Arial" w:cs="Arial"/>
          <w:sz w:val="24"/>
          <w:szCs w:val="24"/>
          <w:lang w:val="en-US"/>
        </w:rPr>
        <w:t xml:space="preserve"> overt</w:t>
      </w:r>
      <w:r w:rsidRPr="0018334E">
        <w:rPr>
          <w:rFonts w:ascii="Arial" w:hAnsi="Arial" w:cs="Arial"/>
          <w:sz w:val="24"/>
          <w:szCs w:val="24"/>
          <w:lang w:val="en-US"/>
        </w:rPr>
        <w:t xml:space="preserve"> inflammation, liver disease, high </w:t>
      </w:r>
      <w:r w:rsidR="00052CAB">
        <w:rPr>
          <w:rFonts w:ascii="Arial" w:hAnsi="Arial" w:cs="Arial"/>
          <w:sz w:val="24"/>
          <w:szCs w:val="24"/>
          <w:lang w:val="en-US"/>
        </w:rPr>
        <w:t>alcohol consumption</w:t>
      </w:r>
      <w:r w:rsidR="00771A76" w:rsidRPr="0018334E">
        <w:rPr>
          <w:rFonts w:ascii="Arial" w:hAnsi="Arial" w:cs="Arial"/>
          <w:sz w:val="24"/>
          <w:szCs w:val="24"/>
          <w:lang w:val="en-US"/>
        </w:rPr>
        <w:t xml:space="preserve"> or</w:t>
      </w:r>
      <w:r w:rsidRPr="0018334E">
        <w:rPr>
          <w:rFonts w:ascii="Arial" w:hAnsi="Arial" w:cs="Arial"/>
          <w:sz w:val="24"/>
          <w:szCs w:val="24"/>
          <w:lang w:val="en-US"/>
        </w:rPr>
        <w:t xml:space="preserve"> obesity</w:t>
      </w:r>
      <w:r w:rsidR="00301A2B" w:rsidRPr="0018334E">
        <w:rPr>
          <w:rFonts w:ascii="Arial" w:hAnsi="Arial" w:cs="Arial"/>
          <w:sz w:val="24"/>
          <w:szCs w:val="24"/>
          <w:lang w:val="en-US"/>
        </w:rPr>
        <w:t>,</w:t>
      </w:r>
      <w:r w:rsidRPr="0018334E">
        <w:rPr>
          <w:rFonts w:ascii="Arial" w:hAnsi="Arial" w:cs="Arial"/>
          <w:sz w:val="24"/>
          <w:szCs w:val="24"/>
          <w:lang w:val="en-US"/>
        </w:rPr>
        <w:t xml:space="preserve"> moderately weake</w:t>
      </w:r>
      <w:r w:rsidR="00771A76" w:rsidRPr="0018334E">
        <w:rPr>
          <w:rFonts w:ascii="Arial" w:hAnsi="Arial" w:cs="Arial"/>
          <w:sz w:val="24"/>
          <w:szCs w:val="24"/>
          <w:lang w:val="en-US"/>
        </w:rPr>
        <w:t>ned</w:t>
      </w:r>
      <w:r w:rsidR="00430C93" w:rsidRPr="0018334E">
        <w:rPr>
          <w:rFonts w:ascii="Arial" w:hAnsi="Arial" w:cs="Arial"/>
          <w:sz w:val="24"/>
          <w:szCs w:val="24"/>
          <w:lang w:val="en-US"/>
        </w:rPr>
        <w:t xml:space="preserve"> the </w:t>
      </w:r>
      <w:r w:rsidR="00DB7F6F" w:rsidRPr="0018334E">
        <w:rPr>
          <w:rFonts w:ascii="Arial" w:hAnsi="Arial" w:cs="Arial"/>
          <w:sz w:val="24"/>
          <w:szCs w:val="24"/>
          <w:lang w:val="en-US"/>
        </w:rPr>
        <w:t>association</w:t>
      </w:r>
      <w:r w:rsidR="00430C93" w:rsidRPr="0018334E">
        <w:rPr>
          <w:rFonts w:ascii="Arial" w:hAnsi="Arial" w:cs="Arial"/>
          <w:sz w:val="24"/>
          <w:szCs w:val="24"/>
          <w:lang w:val="en-US"/>
        </w:rPr>
        <w:t xml:space="preserve"> </w:t>
      </w:r>
      <w:r w:rsidR="00CC10BF" w:rsidRPr="0018334E">
        <w:rPr>
          <w:rFonts w:ascii="Arial" w:hAnsi="Arial" w:cs="Arial"/>
          <w:sz w:val="24"/>
          <w:szCs w:val="24"/>
          <w:lang w:val="en-US"/>
        </w:rPr>
        <w:t xml:space="preserve">of ferritin with </w:t>
      </w:r>
      <w:r w:rsidR="008C722E" w:rsidRPr="0018334E">
        <w:rPr>
          <w:rFonts w:ascii="Arial" w:hAnsi="Arial" w:cs="Arial"/>
          <w:sz w:val="24"/>
          <w:szCs w:val="24"/>
          <w:lang w:val="en-US"/>
        </w:rPr>
        <w:t>type 2 diabetes</w:t>
      </w:r>
      <w:r w:rsidR="00CC10BF" w:rsidRPr="0018334E">
        <w:rPr>
          <w:rFonts w:ascii="Arial" w:hAnsi="Arial" w:cs="Arial"/>
          <w:sz w:val="24"/>
          <w:szCs w:val="24"/>
          <w:lang w:val="en-US"/>
        </w:rPr>
        <w:t xml:space="preserve"> </w:t>
      </w:r>
      <w:r w:rsidR="00430C93" w:rsidRPr="0018334E">
        <w:rPr>
          <w:rFonts w:ascii="Arial" w:hAnsi="Arial" w:cs="Arial"/>
          <w:sz w:val="24"/>
          <w:szCs w:val="24"/>
          <w:lang w:val="en-US"/>
        </w:rPr>
        <w:t xml:space="preserve">in men to </w:t>
      </w:r>
      <w:r w:rsidR="00FF61B6" w:rsidRPr="0018334E">
        <w:rPr>
          <w:rFonts w:ascii="Arial" w:hAnsi="Arial" w:cs="Arial"/>
          <w:sz w:val="24"/>
          <w:szCs w:val="24"/>
          <w:lang w:val="en-US"/>
        </w:rPr>
        <w:t xml:space="preserve">a </w:t>
      </w:r>
      <w:r w:rsidR="00771A76" w:rsidRPr="0018334E">
        <w:rPr>
          <w:rFonts w:ascii="Arial" w:hAnsi="Arial" w:cs="Arial"/>
          <w:sz w:val="24"/>
          <w:szCs w:val="24"/>
          <w:lang w:val="en-US"/>
        </w:rPr>
        <w:t>HR (95%</w:t>
      </w:r>
      <w:r w:rsidR="00430C93" w:rsidRPr="0018334E">
        <w:rPr>
          <w:rFonts w:ascii="Arial" w:hAnsi="Arial" w:cs="Arial"/>
          <w:sz w:val="24"/>
          <w:szCs w:val="24"/>
          <w:lang w:val="en-US"/>
        </w:rPr>
        <w:t xml:space="preserve"> </w:t>
      </w:r>
      <w:r w:rsidR="00771A76" w:rsidRPr="0018334E">
        <w:rPr>
          <w:rFonts w:ascii="Arial" w:hAnsi="Arial" w:cs="Arial"/>
          <w:sz w:val="24"/>
          <w:szCs w:val="24"/>
          <w:lang w:val="en-US"/>
        </w:rPr>
        <w:t xml:space="preserve">CI) </w:t>
      </w:r>
      <w:r w:rsidR="00FF61B6" w:rsidRPr="0018334E">
        <w:rPr>
          <w:rFonts w:ascii="Arial" w:hAnsi="Arial" w:cs="Arial"/>
          <w:sz w:val="24"/>
          <w:szCs w:val="24"/>
          <w:lang w:val="en-US"/>
        </w:rPr>
        <w:t xml:space="preserve">of </w:t>
      </w:r>
      <w:r w:rsidR="00771A76" w:rsidRPr="0018334E">
        <w:rPr>
          <w:rFonts w:ascii="Arial" w:hAnsi="Arial" w:cs="Arial"/>
          <w:sz w:val="24"/>
          <w:szCs w:val="24"/>
          <w:lang w:val="en-US"/>
        </w:rPr>
        <w:t>1.04 (</w:t>
      </w:r>
      <w:r w:rsidRPr="0018334E">
        <w:rPr>
          <w:rFonts w:ascii="Arial" w:hAnsi="Arial" w:cs="Arial"/>
          <w:sz w:val="24"/>
          <w:szCs w:val="24"/>
          <w:lang w:val="en-US"/>
        </w:rPr>
        <w:t xml:space="preserve">0.96; 1.12), while the </w:t>
      </w:r>
      <w:r w:rsidR="00301A2B" w:rsidRPr="0018334E">
        <w:rPr>
          <w:rFonts w:ascii="Arial" w:hAnsi="Arial" w:cs="Arial"/>
          <w:sz w:val="24"/>
          <w:szCs w:val="24"/>
          <w:lang w:val="en-US"/>
        </w:rPr>
        <w:t>association</w:t>
      </w:r>
      <w:r w:rsidRPr="0018334E">
        <w:rPr>
          <w:rFonts w:ascii="Arial" w:hAnsi="Arial" w:cs="Arial"/>
          <w:sz w:val="24"/>
          <w:szCs w:val="24"/>
          <w:lang w:val="en-US"/>
        </w:rPr>
        <w:t xml:space="preserve"> </w:t>
      </w:r>
      <w:r w:rsidR="00154E60" w:rsidRPr="0018334E">
        <w:rPr>
          <w:rFonts w:ascii="Arial" w:hAnsi="Arial" w:cs="Arial"/>
          <w:sz w:val="24"/>
          <w:szCs w:val="24"/>
          <w:lang w:val="en-US"/>
        </w:rPr>
        <w:t>remained</w:t>
      </w:r>
      <w:r w:rsidRPr="0018334E">
        <w:rPr>
          <w:rFonts w:ascii="Arial" w:hAnsi="Arial" w:cs="Arial"/>
          <w:sz w:val="24"/>
          <w:szCs w:val="24"/>
          <w:lang w:val="en-US"/>
        </w:rPr>
        <w:t xml:space="preserve"> similar in women with a </w:t>
      </w:r>
      <w:r w:rsidR="00FF61B6" w:rsidRPr="0018334E">
        <w:rPr>
          <w:rFonts w:ascii="Arial" w:hAnsi="Arial" w:cs="Arial"/>
          <w:sz w:val="24"/>
          <w:szCs w:val="24"/>
          <w:lang w:val="en-US"/>
        </w:rPr>
        <w:t>HR of 1.12 (</w:t>
      </w:r>
      <w:r w:rsidRPr="0018334E">
        <w:rPr>
          <w:rFonts w:ascii="Arial" w:hAnsi="Arial" w:cs="Arial"/>
          <w:sz w:val="24"/>
          <w:szCs w:val="24"/>
          <w:lang w:val="en-US"/>
        </w:rPr>
        <w:t>1.02; 1.24)</w:t>
      </w:r>
      <w:r w:rsidR="003D37D2" w:rsidRPr="0018334E">
        <w:rPr>
          <w:rFonts w:ascii="Arial" w:hAnsi="Arial" w:cs="Arial"/>
          <w:sz w:val="24"/>
          <w:szCs w:val="24"/>
          <w:lang w:val="en-US"/>
        </w:rPr>
        <w:t xml:space="preserve"> </w:t>
      </w:r>
      <w:r w:rsidR="00DB7F6F" w:rsidRPr="0018334E">
        <w:rPr>
          <w:rFonts w:ascii="Arial" w:hAnsi="Arial" w:cs="Arial"/>
          <w:sz w:val="24"/>
          <w:szCs w:val="24"/>
          <w:lang w:val="en-US"/>
        </w:rPr>
        <w:t xml:space="preserve">per 100 </w:t>
      </w:r>
      <w:proofErr w:type="spellStart"/>
      <w:r w:rsidR="00D12DF0" w:rsidRPr="0018334E">
        <w:rPr>
          <w:rFonts w:ascii="Arial" w:hAnsi="Arial" w:cs="Arial"/>
          <w:sz w:val="24"/>
          <w:szCs w:val="24"/>
          <w:lang w:val="en-US"/>
        </w:rPr>
        <w:t>μ</w:t>
      </w:r>
      <w:r w:rsidR="002D2521" w:rsidRPr="0018334E">
        <w:rPr>
          <w:rFonts w:ascii="Arial" w:hAnsi="Arial" w:cs="Arial"/>
          <w:sz w:val="24"/>
          <w:szCs w:val="24"/>
          <w:lang w:val="en-US"/>
        </w:rPr>
        <w:t>g</w:t>
      </w:r>
      <w:proofErr w:type="spellEnd"/>
      <w:r w:rsidR="006B7240" w:rsidRPr="0018334E">
        <w:rPr>
          <w:rFonts w:ascii="Arial" w:hAnsi="Arial" w:cs="Arial"/>
          <w:sz w:val="24"/>
          <w:szCs w:val="24"/>
          <w:lang w:val="en-US"/>
        </w:rPr>
        <w:t>/L</w:t>
      </w:r>
      <w:r w:rsidR="002D2521" w:rsidRPr="0018334E">
        <w:rPr>
          <w:rFonts w:ascii="Arial" w:hAnsi="Arial" w:cs="Arial"/>
          <w:sz w:val="24"/>
          <w:szCs w:val="24"/>
          <w:lang w:val="en-US"/>
        </w:rPr>
        <w:t xml:space="preserve"> </w:t>
      </w:r>
      <w:r w:rsidR="00DB7F6F" w:rsidRPr="0018334E">
        <w:rPr>
          <w:rFonts w:ascii="Arial" w:hAnsi="Arial" w:cs="Arial"/>
          <w:sz w:val="24"/>
          <w:szCs w:val="24"/>
          <w:lang w:val="en-US"/>
        </w:rPr>
        <w:t>higher level of</w:t>
      </w:r>
      <w:r w:rsidR="003E5406" w:rsidRPr="0018334E">
        <w:rPr>
          <w:rFonts w:ascii="Arial" w:hAnsi="Arial" w:cs="Arial"/>
          <w:sz w:val="24"/>
          <w:szCs w:val="24"/>
          <w:lang w:val="en-US"/>
        </w:rPr>
        <w:t xml:space="preserve"> ferritin, </w:t>
      </w:r>
      <w:r w:rsidR="00D811AE" w:rsidRPr="0018334E">
        <w:rPr>
          <w:rFonts w:ascii="Arial" w:hAnsi="Arial" w:cs="Arial"/>
          <w:sz w:val="24"/>
          <w:szCs w:val="24"/>
          <w:lang w:val="en-US"/>
        </w:rPr>
        <w:t>adjusted</w:t>
      </w:r>
      <w:r w:rsidR="003D37D2" w:rsidRPr="0018334E">
        <w:rPr>
          <w:rFonts w:ascii="Arial" w:hAnsi="Arial" w:cs="Arial"/>
          <w:sz w:val="24"/>
          <w:szCs w:val="24"/>
          <w:lang w:val="en-US"/>
        </w:rPr>
        <w:t xml:space="preserve"> for age, </w:t>
      </w:r>
      <w:r w:rsidR="009417D2" w:rsidRPr="0018334E">
        <w:rPr>
          <w:rFonts w:ascii="Arial" w:hAnsi="Arial" w:cs="Arial"/>
          <w:sz w:val="24"/>
          <w:szCs w:val="24"/>
          <w:lang w:val="en-US"/>
        </w:rPr>
        <w:t>center</w:t>
      </w:r>
      <w:r w:rsidR="003D37D2" w:rsidRPr="0018334E">
        <w:rPr>
          <w:rFonts w:ascii="Arial" w:hAnsi="Arial" w:cs="Arial"/>
          <w:sz w:val="24"/>
          <w:szCs w:val="24"/>
          <w:lang w:val="en-US"/>
        </w:rPr>
        <w:t xml:space="preserve">, </w:t>
      </w:r>
      <w:r w:rsidR="008C722E" w:rsidRPr="0018334E">
        <w:rPr>
          <w:rFonts w:ascii="Arial" w:hAnsi="Arial" w:cs="Arial"/>
          <w:sz w:val="24"/>
          <w:szCs w:val="24"/>
          <w:lang w:val="en-US"/>
        </w:rPr>
        <w:t>type 2 diabetes</w:t>
      </w:r>
      <w:r w:rsidR="003D37D2" w:rsidRPr="0018334E">
        <w:rPr>
          <w:rFonts w:ascii="Arial" w:hAnsi="Arial" w:cs="Arial"/>
          <w:sz w:val="24"/>
          <w:szCs w:val="24"/>
          <w:lang w:val="en-US"/>
        </w:rPr>
        <w:t xml:space="preserve"> risk factors, </w:t>
      </w:r>
      <w:proofErr w:type="spellStart"/>
      <w:r w:rsidR="003D37D2" w:rsidRPr="0018334E">
        <w:rPr>
          <w:rFonts w:ascii="Arial" w:hAnsi="Arial" w:cs="Arial"/>
          <w:sz w:val="24"/>
          <w:szCs w:val="24"/>
          <w:lang w:val="en-US"/>
        </w:rPr>
        <w:t>hsCRP</w:t>
      </w:r>
      <w:proofErr w:type="spellEnd"/>
      <w:r w:rsidR="003D37D2" w:rsidRPr="0018334E">
        <w:rPr>
          <w:rFonts w:ascii="Arial" w:hAnsi="Arial" w:cs="Arial"/>
          <w:sz w:val="24"/>
          <w:szCs w:val="24"/>
          <w:lang w:val="en-US"/>
        </w:rPr>
        <w:t xml:space="preserve"> and liver enzymes</w:t>
      </w:r>
      <w:r w:rsidRPr="0018334E">
        <w:rPr>
          <w:rFonts w:ascii="Arial" w:hAnsi="Arial" w:cs="Arial"/>
          <w:sz w:val="24"/>
          <w:szCs w:val="24"/>
          <w:lang w:val="en-US"/>
        </w:rPr>
        <w:t xml:space="preserve">. </w:t>
      </w:r>
      <w:r w:rsidR="00D811AE" w:rsidRPr="0018334E">
        <w:rPr>
          <w:rFonts w:ascii="Arial" w:hAnsi="Arial" w:cs="Arial"/>
          <w:sz w:val="24"/>
          <w:szCs w:val="24"/>
          <w:lang w:val="en-US"/>
        </w:rPr>
        <w:t>Among</w:t>
      </w:r>
      <w:r w:rsidRPr="0018334E">
        <w:rPr>
          <w:rFonts w:ascii="Arial" w:hAnsi="Arial" w:cs="Arial"/>
          <w:sz w:val="24"/>
          <w:szCs w:val="24"/>
          <w:lang w:val="en-US"/>
        </w:rPr>
        <w:t xml:space="preserve"> individua</w:t>
      </w:r>
      <w:r w:rsidR="00154E60" w:rsidRPr="0018334E">
        <w:rPr>
          <w:rFonts w:ascii="Arial" w:hAnsi="Arial" w:cs="Arial"/>
          <w:sz w:val="24"/>
          <w:szCs w:val="24"/>
          <w:lang w:val="en-US"/>
        </w:rPr>
        <w:t xml:space="preserve">ls with ferritin levels lower than </w:t>
      </w:r>
      <w:r w:rsidR="00DB7F6F" w:rsidRPr="0018334E">
        <w:rPr>
          <w:rFonts w:ascii="Arial" w:hAnsi="Arial" w:cs="Arial"/>
          <w:sz w:val="24"/>
          <w:szCs w:val="24"/>
          <w:lang w:val="en-US"/>
        </w:rPr>
        <w:t xml:space="preserve">1000 </w:t>
      </w:r>
      <w:proofErr w:type="spellStart"/>
      <w:r w:rsidR="00D12DF0" w:rsidRPr="0018334E">
        <w:rPr>
          <w:rFonts w:ascii="Arial" w:hAnsi="Arial" w:cs="Arial"/>
          <w:sz w:val="24"/>
          <w:szCs w:val="24"/>
          <w:lang w:val="en-US"/>
        </w:rPr>
        <w:t>μ</w:t>
      </w:r>
      <w:r w:rsidR="002D2521" w:rsidRPr="0018334E">
        <w:rPr>
          <w:rFonts w:ascii="Arial" w:hAnsi="Arial" w:cs="Arial"/>
          <w:sz w:val="24"/>
          <w:szCs w:val="24"/>
          <w:lang w:val="en-US"/>
        </w:rPr>
        <w:t>g</w:t>
      </w:r>
      <w:proofErr w:type="spellEnd"/>
      <w:r w:rsidR="006B7240" w:rsidRPr="0018334E">
        <w:rPr>
          <w:rFonts w:ascii="Arial" w:hAnsi="Arial" w:cs="Arial"/>
          <w:sz w:val="24"/>
          <w:szCs w:val="24"/>
          <w:lang w:val="en-US"/>
        </w:rPr>
        <w:t>/L</w:t>
      </w:r>
      <w:r w:rsidR="00B06360" w:rsidRPr="0018334E">
        <w:rPr>
          <w:rFonts w:ascii="Arial" w:hAnsi="Arial" w:cs="Arial"/>
          <w:sz w:val="24"/>
          <w:szCs w:val="24"/>
          <w:lang w:val="en-US"/>
        </w:rPr>
        <w:t xml:space="preserve">, the association of ferritin with </w:t>
      </w:r>
      <w:r w:rsidR="008C722E" w:rsidRPr="0018334E">
        <w:rPr>
          <w:rFonts w:ascii="Arial" w:hAnsi="Arial" w:cs="Arial"/>
          <w:sz w:val="24"/>
          <w:szCs w:val="24"/>
          <w:lang w:val="en-US"/>
        </w:rPr>
        <w:t>type 2 diabetes</w:t>
      </w:r>
      <w:r w:rsidR="00B06360" w:rsidRPr="0018334E">
        <w:rPr>
          <w:rFonts w:ascii="Arial" w:hAnsi="Arial" w:cs="Arial"/>
          <w:sz w:val="24"/>
          <w:szCs w:val="24"/>
          <w:lang w:val="en-US"/>
        </w:rPr>
        <w:t xml:space="preserve"> was</w:t>
      </w:r>
      <w:r w:rsidR="00154E60" w:rsidRPr="0018334E">
        <w:rPr>
          <w:rFonts w:ascii="Arial" w:hAnsi="Arial" w:cs="Arial"/>
          <w:sz w:val="24"/>
          <w:szCs w:val="24"/>
          <w:lang w:val="en-US"/>
        </w:rPr>
        <w:t xml:space="preserve"> </w:t>
      </w:r>
      <w:r w:rsidR="00951966" w:rsidRPr="0018334E">
        <w:rPr>
          <w:rFonts w:ascii="Arial" w:hAnsi="Arial" w:cs="Arial"/>
          <w:sz w:val="24"/>
          <w:szCs w:val="24"/>
          <w:lang w:val="en-US"/>
        </w:rPr>
        <w:t xml:space="preserve">similar in men with a HR of 1.09 (1.02; 1.15), but a </w:t>
      </w:r>
      <w:r w:rsidR="00154E60" w:rsidRPr="0018334E">
        <w:rPr>
          <w:rFonts w:ascii="Arial" w:hAnsi="Arial" w:cs="Arial"/>
          <w:sz w:val="24"/>
          <w:szCs w:val="24"/>
          <w:lang w:val="en-US"/>
        </w:rPr>
        <w:t>higher</w:t>
      </w:r>
      <w:r w:rsidR="008D289A" w:rsidRPr="0018334E">
        <w:rPr>
          <w:rFonts w:ascii="Arial" w:hAnsi="Arial" w:cs="Arial"/>
          <w:sz w:val="24"/>
          <w:szCs w:val="24"/>
          <w:lang w:val="en-US"/>
        </w:rPr>
        <w:t xml:space="preserve"> </w:t>
      </w:r>
      <w:r w:rsidR="00846352" w:rsidRPr="0018334E">
        <w:rPr>
          <w:rFonts w:ascii="Arial" w:hAnsi="Arial" w:cs="Arial"/>
          <w:sz w:val="24"/>
          <w:szCs w:val="24"/>
          <w:lang w:val="en-US"/>
        </w:rPr>
        <w:t>HR</w:t>
      </w:r>
      <w:r w:rsidR="008D289A" w:rsidRPr="0018334E">
        <w:rPr>
          <w:rFonts w:ascii="Arial" w:hAnsi="Arial" w:cs="Arial"/>
          <w:sz w:val="24"/>
          <w:szCs w:val="24"/>
          <w:lang w:val="en-US"/>
        </w:rPr>
        <w:t xml:space="preserve"> in </w:t>
      </w:r>
      <w:r w:rsidR="00DA5265" w:rsidRPr="0018334E">
        <w:rPr>
          <w:rFonts w:ascii="Arial" w:hAnsi="Arial" w:cs="Arial"/>
          <w:sz w:val="24"/>
          <w:szCs w:val="24"/>
          <w:lang w:val="en-US"/>
        </w:rPr>
        <w:t>wo</w:t>
      </w:r>
      <w:r w:rsidR="008D289A" w:rsidRPr="0018334E">
        <w:rPr>
          <w:rFonts w:ascii="Arial" w:hAnsi="Arial" w:cs="Arial"/>
          <w:sz w:val="24"/>
          <w:szCs w:val="24"/>
          <w:lang w:val="en-US"/>
        </w:rPr>
        <w:t>me</w:t>
      </w:r>
      <w:r w:rsidR="00154E60" w:rsidRPr="0018334E">
        <w:rPr>
          <w:rFonts w:ascii="Arial" w:hAnsi="Arial" w:cs="Arial"/>
          <w:sz w:val="24"/>
          <w:szCs w:val="24"/>
          <w:lang w:val="en-US"/>
        </w:rPr>
        <w:t>n of</w:t>
      </w:r>
      <w:r w:rsidR="00DA5265" w:rsidRPr="0018334E">
        <w:rPr>
          <w:rFonts w:ascii="Arial" w:hAnsi="Arial" w:cs="Arial"/>
          <w:sz w:val="24"/>
          <w:szCs w:val="24"/>
          <w:lang w:val="en-US"/>
        </w:rPr>
        <w:t xml:space="preserve"> 1.26 (1.15; 1.38</w:t>
      </w:r>
      <w:r w:rsidR="00951966" w:rsidRPr="0018334E">
        <w:rPr>
          <w:rFonts w:ascii="Arial" w:hAnsi="Arial" w:cs="Arial"/>
          <w:sz w:val="24"/>
          <w:szCs w:val="24"/>
          <w:lang w:val="en-US"/>
        </w:rPr>
        <w:t xml:space="preserve">). </w:t>
      </w:r>
    </w:p>
    <w:p w:rsidR="00D06346" w:rsidRPr="0018334E" w:rsidRDefault="00D06346" w:rsidP="00F328BE">
      <w:pPr>
        <w:autoSpaceDE w:val="0"/>
        <w:autoSpaceDN w:val="0"/>
        <w:adjustRightInd w:val="0"/>
        <w:spacing w:after="0" w:line="480" w:lineRule="auto"/>
        <w:jc w:val="both"/>
        <w:rPr>
          <w:rFonts w:ascii="Arial" w:hAnsi="Arial" w:cs="Arial"/>
          <w:sz w:val="24"/>
          <w:szCs w:val="24"/>
          <w:lang w:val="en-US"/>
        </w:rPr>
      </w:pPr>
    </w:p>
    <w:p w:rsidR="00EA6561" w:rsidRPr="0018334E" w:rsidRDefault="00216868" w:rsidP="00F328BE">
      <w:pPr>
        <w:autoSpaceDE w:val="0"/>
        <w:autoSpaceDN w:val="0"/>
        <w:adjustRightInd w:val="0"/>
        <w:spacing w:after="0" w:line="480" w:lineRule="auto"/>
        <w:jc w:val="both"/>
        <w:rPr>
          <w:rFonts w:ascii="Arial" w:hAnsi="Arial" w:cs="Arial"/>
          <w:sz w:val="24"/>
          <w:szCs w:val="24"/>
          <w:lang w:val="en-US"/>
        </w:rPr>
      </w:pPr>
      <w:r w:rsidRPr="0018334E">
        <w:rPr>
          <w:rFonts w:ascii="Arial" w:hAnsi="Arial" w:cs="Arial"/>
          <w:sz w:val="24"/>
          <w:szCs w:val="24"/>
          <w:lang w:val="en-US"/>
        </w:rPr>
        <w:t>In age and center adjusted analyses, associations for ferritin, TSAT, serum iron and transferrin were stronger in women, compared to men, although differences did not reach conventional levels of statistical significance for transferrin (</w:t>
      </w:r>
      <w:proofErr w:type="spellStart"/>
      <w:r w:rsidRPr="0018334E">
        <w:rPr>
          <w:rFonts w:ascii="Arial" w:eastAsia="Verdana" w:hAnsi="Arial" w:cs="Arial"/>
          <w:i/>
          <w:sz w:val="24"/>
          <w:szCs w:val="24"/>
          <w:lang w:val="en-US"/>
        </w:rPr>
        <w:t>p</w:t>
      </w:r>
      <w:r w:rsidRPr="0018334E">
        <w:rPr>
          <w:rFonts w:ascii="Arial" w:eastAsia="Verdana" w:hAnsi="Arial" w:cs="Arial"/>
          <w:sz w:val="24"/>
          <w:szCs w:val="24"/>
          <w:vertAlign w:val="subscript"/>
          <w:lang w:val="en-US"/>
        </w:rPr>
        <w:t>interaction</w:t>
      </w:r>
      <w:proofErr w:type="spellEnd"/>
      <w:r w:rsidRPr="0018334E">
        <w:rPr>
          <w:rFonts w:ascii="Arial" w:hAnsi="Arial" w:cs="Arial"/>
          <w:sz w:val="24"/>
          <w:szCs w:val="24"/>
          <w:lang w:val="en-US"/>
        </w:rPr>
        <w:t xml:space="preserve">=0.004, &lt;0.001, 0.01, and 0.47 respectively). </w:t>
      </w:r>
      <w:r w:rsidR="00D81F2B" w:rsidRPr="0018334E">
        <w:rPr>
          <w:rFonts w:ascii="Arial" w:hAnsi="Arial" w:cs="Arial"/>
          <w:sz w:val="24"/>
          <w:szCs w:val="24"/>
          <w:lang w:val="en-US"/>
        </w:rPr>
        <w:t xml:space="preserve">There was a </w:t>
      </w:r>
      <w:r w:rsidR="00082093" w:rsidRPr="0018334E">
        <w:rPr>
          <w:rFonts w:ascii="Arial" w:hAnsi="Arial" w:cs="Arial"/>
          <w:sz w:val="24"/>
          <w:szCs w:val="24"/>
          <w:lang w:val="en-US"/>
        </w:rPr>
        <w:t xml:space="preserve">stronger association of ferritin with </w:t>
      </w:r>
      <w:r w:rsidR="008C722E" w:rsidRPr="0018334E">
        <w:rPr>
          <w:rFonts w:ascii="Arial" w:hAnsi="Arial" w:cs="Arial"/>
          <w:sz w:val="24"/>
          <w:szCs w:val="24"/>
          <w:lang w:val="en-US"/>
        </w:rPr>
        <w:t>type 2 diabetes</w:t>
      </w:r>
      <w:r w:rsidR="00082093" w:rsidRPr="0018334E">
        <w:rPr>
          <w:rFonts w:ascii="Arial" w:hAnsi="Arial" w:cs="Arial"/>
          <w:sz w:val="24"/>
          <w:szCs w:val="24"/>
          <w:lang w:val="en-US"/>
        </w:rPr>
        <w:t xml:space="preserve"> among leaner individuals (</w:t>
      </w:r>
      <w:r w:rsidR="00082093" w:rsidRPr="0018334E">
        <w:rPr>
          <w:rFonts w:ascii="Arial" w:hAnsi="Arial" w:cs="Arial"/>
          <w:b/>
          <w:sz w:val="24"/>
          <w:szCs w:val="24"/>
          <w:lang w:val="en-US"/>
        </w:rPr>
        <w:t xml:space="preserve">Figure </w:t>
      </w:r>
      <w:r w:rsidR="00CB059A" w:rsidRPr="0018334E">
        <w:rPr>
          <w:rFonts w:ascii="Arial" w:hAnsi="Arial" w:cs="Arial"/>
          <w:b/>
          <w:sz w:val="24"/>
          <w:szCs w:val="24"/>
          <w:lang w:val="en-US"/>
        </w:rPr>
        <w:t>2</w:t>
      </w:r>
      <w:r w:rsidR="00082093" w:rsidRPr="0018334E">
        <w:rPr>
          <w:rFonts w:ascii="Arial" w:hAnsi="Arial" w:cs="Arial"/>
          <w:sz w:val="24"/>
          <w:szCs w:val="24"/>
          <w:lang w:val="en-US"/>
        </w:rPr>
        <w:t xml:space="preserve">), with a </w:t>
      </w:r>
      <w:r w:rsidR="00D81F2B" w:rsidRPr="0018334E">
        <w:rPr>
          <w:rFonts w:ascii="Arial" w:hAnsi="Arial" w:cs="Arial"/>
          <w:sz w:val="24"/>
          <w:szCs w:val="24"/>
          <w:lang w:val="en-US"/>
        </w:rPr>
        <w:t xml:space="preserve">significant </w:t>
      </w:r>
      <w:r w:rsidR="00377702" w:rsidRPr="0018334E">
        <w:rPr>
          <w:rFonts w:ascii="Arial" w:hAnsi="Arial" w:cs="Arial"/>
          <w:sz w:val="24"/>
          <w:szCs w:val="24"/>
          <w:lang w:val="en-US"/>
        </w:rPr>
        <w:t xml:space="preserve">interaction </w:t>
      </w:r>
      <w:r w:rsidR="004E2BF5" w:rsidRPr="0018334E">
        <w:rPr>
          <w:rFonts w:ascii="Arial" w:hAnsi="Arial" w:cs="Arial"/>
          <w:sz w:val="24"/>
          <w:szCs w:val="24"/>
          <w:lang w:val="en-US"/>
        </w:rPr>
        <w:t xml:space="preserve">with waist circumference </w:t>
      </w:r>
      <w:r w:rsidR="00CC10BF" w:rsidRPr="0018334E">
        <w:rPr>
          <w:rFonts w:ascii="Arial" w:hAnsi="Arial" w:cs="Arial"/>
          <w:sz w:val="24"/>
          <w:szCs w:val="24"/>
          <w:lang w:val="en-US"/>
        </w:rPr>
        <w:t>(</w:t>
      </w:r>
      <w:proofErr w:type="spellStart"/>
      <w:r w:rsidR="00CC10BF" w:rsidRPr="0018334E">
        <w:rPr>
          <w:rFonts w:ascii="Arial" w:hAnsi="Arial" w:cs="Arial"/>
          <w:i/>
          <w:sz w:val="24"/>
          <w:szCs w:val="24"/>
          <w:lang w:val="en-US"/>
        </w:rPr>
        <w:t>p</w:t>
      </w:r>
      <w:r w:rsidR="00082093" w:rsidRPr="0018334E">
        <w:rPr>
          <w:rFonts w:ascii="Arial" w:eastAsia="Verdana" w:hAnsi="Arial" w:cs="Arial"/>
          <w:sz w:val="24"/>
          <w:szCs w:val="24"/>
          <w:vertAlign w:val="subscript"/>
          <w:lang w:val="en-US"/>
        </w:rPr>
        <w:t>interaction</w:t>
      </w:r>
      <w:proofErr w:type="spellEnd"/>
      <w:r w:rsidR="00CC10BF" w:rsidRPr="0018334E">
        <w:rPr>
          <w:rFonts w:ascii="Arial" w:hAnsi="Arial" w:cs="Arial"/>
          <w:sz w:val="24"/>
          <w:szCs w:val="24"/>
          <w:lang w:val="en-US"/>
        </w:rPr>
        <w:t xml:space="preserve">=0.004) </w:t>
      </w:r>
      <w:r w:rsidR="004E2BF5" w:rsidRPr="0018334E">
        <w:rPr>
          <w:rFonts w:ascii="Arial" w:hAnsi="Arial" w:cs="Arial"/>
          <w:sz w:val="24"/>
          <w:szCs w:val="24"/>
          <w:lang w:val="en-US"/>
        </w:rPr>
        <w:t>and BMI</w:t>
      </w:r>
      <w:r w:rsidR="00CC10BF" w:rsidRPr="0018334E">
        <w:rPr>
          <w:rFonts w:ascii="Arial" w:hAnsi="Arial" w:cs="Arial"/>
          <w:sz w:val="24"/>
          <w:szCs w:val="24"/>
          <w:lang w:val="en-US"/>
        </w:rPr>
        <w:t xml:space="preserve"> (</w:t>
      </w:r>
      <w:proofErr w:type="spellStart"/>
      <w:r w:rsidR="00CC10BF" w:rsidRPr="0018334E">
        <w:rPr>
          <w:rFonts w:ascii="Arial" w:hAnsi="Arial" w:cs="Arial"/>
          <w:i/>
          <w:sz w:val="24"/>
          <w:szCs w:val="24"/>
          <w:lang w:val="en-US"/>
        </w:rPr>
        <w:t>p</w:t>
      </w:r>
      <w:r w:rsidR="00082093" w:rsidRPr="0018334E">
        <w:rPr>
          <w:rFonts w:ascii="Arial" w:eastAsia="Verdana" w:hAnsi="Arial" w:cs="Arial"/>
          <w:sz w:val="24"/>
          <w:szCs w:val="24"/>
          <w:vertAlign w:val="subscript"/>
          <w:lang w:val="en-US"/>
        </w:rPr>
        <w:t>interaction</w:t>
      </w:r>
      <w:proofErr w:type="spellEnd"/>
      <w:r w:rsidR="00CC10BF" w:rsidRPr="0018334E">
        <w:rPr>
          <w:rFonts w:ascii="Arial" w:hAnsi="Arial" w:cs="Arial"/>
          <w:sz w:val="24"/>
          <w:szCs w:val="24"/>
          <w:lang w:val="en-US"/>
        </w:rPr>
        <w:t>&lt;0.001)</w:t>
      </w:r>
      <w:r w:rsidR="00951966" w:rsidRPr="0018334E">
        <w:rPr>
          <w:rFonts w:ascii="Arial" w:hAnsi="Arial" w:cs="Arial"/>
          <w:sz w:val="24"/>
          <w:szCs w:val="24"/>
          <w:lang w:val="en-US"/>
        </w:rPr>
        <w:t xml:space="preserve">. </w:t>
      </w:r>
      <w:r w:rsidR="00082093" w:rsidRPr="0018334E">
        <w:rPr>
          <w:rFonts w:ascii="Arial" w:hAnsi="Arial" w:cs="Arial"/>
          <w:sz w:val="24"/>
          <w:szCs w:val="24"/>
          <w:lang w:val="en-US"/>
        </w:rPr>
        <w:t xml:space="preserve"> Transferrin showed a stronger association with </w:t>
      </w:r>
      <w:r w:rsidR="008C722E" w:rsidRPr="0018334E">
        <w:rPr>
          <w:rFonts w:ascii="Arial" w:hAnsi="Arial" w:cs="Arial"/>
          <w:sz w:val="24"/>
          <w:szCs w:val="24"/>
          <w:lang w:val="en-US"/>
        </w:rPr>
        <w:t>type 2 diabetes</w:t>
      </w:r>
      <w:r w:rsidR="00082093" w:rsidRPr="0018334E">
        <w:rPr>
          <w:rFonts w:ascii="Arial" w:hAnsi="Arial" w:cs="Arial"/>
          <w:sz w:val="24"/>
          <w:szCs w:val="24"/>
          <w:lang w:val="en-US"/>
        </w:rPr>
        <w:t xml:space="preserve"> among individuals at extremes of waist circumference (</w:t>
      </w:r>
      <w:proofErr w:type="spellStart"/>
      <w:r w:rsidR="00082093" w:rsidRPr="0018334E">
        <w:rPr>
          <w:rFonts w:ascii="Arial" w:eastAsia="Verdana" w:hAnsi="Arial" w:cs="Arial"/>
          <w:i/>
          <w:sz w:val="24"/>
          <w:szCs w:val="24"/>
          <w:lang w:val="en-US"/>
        </w:rPr>
        <w:t>p</w:t>
      </w:r>
      <w:r w:rsidR="00082093" w:rsidRPr="0018334E">
        <w:rPr>
          <w:rFonts w:ascii="Arial" w:eastAsia="Verdana" w:hAnsi="Arial" w:cs="Arial"/>
          <w:sz w:val="24"/>
          <w:szCs w:val="24"/>
          <w:vertAlign w:val="subscript"/>
          <w:lang w:val="en-US"/>
        </w:rPr>
        <w:t>interaction</w:t>
      </w:r>
      <w:proofErr w:type="spellEnd"/>
      <w:r w:rsidR="00082093" w:rsidRPr="0018334E">
        <w:rPr>
          <w:rFonts w:ascii="Arial" w:hAnsi="Arial" w:cs="Arial"/>
          <w:sz w:val="24"/>
          <w:szCs w:val="24"/>
          <w:lang w:val="en-US"/>
        </w:rPr>
        <w:t>=</w:t>
      </w:r>
      <w:r w:rsidR="00D811AE" w:rsidRPr="0018334E">
        <w:rPr>
          <w:rFonts w:ascii="Arial" w:hAnsi="Arial" w:cs="Arial"/>
          <w:sz w:val="24"/>
          <w:szCs w:val="24"/>
          <w:lang w:val="en-US"/>
        </w:rPr>
        <w:t>0.034</w:t>
      </w:r>
      <w:r w:rsidR="00082093" w:rsidRPr="0018334E">
        <w:rPr>
          <w:rFonts w:ascii="Arial" w:hAnsi="Arial" w:cs="Arial"/>
          <w:sz w:val="24"/>
          <w:szCs w:val="24"/>
          <w:lang w:val="en-US"/>
        </w:rPr>
        <w:t>)</w:t>
      </w:r>
      <w:r w:rsidR="00B5092A" w:rsidRPr="0018334E">
        <w:rPr>
          <w:rFonts w:ascii="Arial" w:hAnsi="Arial" w:cs="Arial"/>
          <w:sz w:val="24"/>
          <w:szCs w:val="24"/>
          <w:lang w:val="en-US"/>
        </w:rPr>
        <w:t>.</w:t>
      </w:r>
      <w:r w:rsidR="007B3A52" w:rsidRPr="0018334E">
        <w:rPr>
          <w:rFonts w:ascii="Arial" w:hAnsi="Arial" w:cs="Arial"/>
          <w:sz w:val="24"/>
          <w:szCs w:val="24"/>
          <w:lang w:val="en-US"/>
        </w:rPr>
        <w:t xml:space="preserve"> </w:t>
      </w:r>
      <w:r w:rsidR="00377702" w:rsidRPr="0018334E">
        <w:rPr>
          <w:rFonts w:ascii="Arial" w:hAnsi="Arial" w:cs="Arial"/>
          <w:sz w:val="24"/>
          <w:szCs w:val="24"/>
          <w:lang w:val="en-US"/>
        </w:rPr>
        <w:t>There was no interaction of</w:t>
      </w:r>
      <w:r w:rsidR="007B3A52" w:rsidRPr="0018334E">
        <w:rPr>
          <w:rFonts w:ascii="Arial" w:hAnsi="Arial" w:cs="Arial"/>
          <w:sz w:val="24"/>
          <w:szCs w:val="24"/>
          <w:lang w:val="en-US"/>
        </w:rPr>
        <w:t xml:space="preserve"> </w:t>
      </w:r>
      <w:r w:rsidR="004539DB" w:rsidRPr="0018334E">
        <w:rPr>
          <w:rFonts w:ascii="Arial" w:hAnsi="Arial" w:cs="Arial"/>
          <w:sz w:val="24"/>
          <w:szCs w:val="24"/>
          <w:lang w:val="en-US"/>
        </w:rPr>
        <w:t xml:space="preserve">either </w:t>
      </w:r>
      <w:r w:rsidR="007B3A52" w:rsidRPr="0018334E">
        <w:rPr>
          <w:rFonts w:ascii="Arial" w:hAnsi="Arial" w:cs="Arial"/>
          <w:sz w:val="24"/>
          <w:szCs w:val="24"/>
          <w:lang w:val="en-US"/>
        </w:rPr>
        <w:t xml:space="preserve">ferritin or transferrin with menopausal status, </w:t>
      </w:r>
      <w:r w:rsidR="0014307E" w:rsidRPr="0018334E">
        <w:rPr>
          <w:rFonts w:ascii="Arial" w:hAnsi="Arial" w:cs="Arial"/>
          <w:sz w:val="24"/>
          <w:szCs w:val="24"/>
          <w:lang w:val="en-US"/>
        </w:rPr>
        <w:t xml:space="preserve">estimated </w:t>
      </w:r>
      <w:r w:rsidR="007B3A52" w:rsidRPr="0018334E">
        <w:rPr>
          <w:rFonts w:ascii="Arial" w:hAnsi="Arial" w:cs="Arial"/>
          <w:sz w:val="24"/>
          <w:szCs w:val="24"/>
          <w:lang w:val="en-US"/>
        </w:rPr>
        <w:t xml:space="preserve">dietary iron </w:t>
      </w:r>
      <w:r w:rsidR="00EA6561" w:rsidRPr="0018334E">
        <w:rPr>
          <w:rFonts w:ascii="Arial" w:hAnsi="Arial" w:cs="Arial"/>
          <w:sz w:val="24"/>
          <w:szCs w:val="24"/>
          <w:lang w:val="en-US"/>
        </w:rPr>
        <w:t>or</w:t>
      </w:r>
      <w:r w:rsidR="00B5092A" w:rsidRPr="0018334E">
        <w:rPr>
          <w:rFonts w:ascii="Arial" w:hAnsi="Arial" w:cs="Arial"/>
          <w:sz w:val="24"/>
          <w:szCs w:val="24"/>
          <w:lang w:val="en-US"/>
        </w:rPr>
        <w:t xml:space="preserve"> </w:t>
      </w:r>
      <w:r w:rsidR="00052CAB">
        <w:rPr>
          <w:rFonts w:ascii="Arial" w:hAnsi="Arial" w:cs="Arial"/>
          <w:sz w:val="24"/>
          <w:szCs w:val="24"/>
          <w:lang w:val="en-US"/>
        </w:rPr>
        <w:t>alcohol consumption</w:t>
      </w:r>
      <w:r w:rsidR="00907CA4" w:rsidRPr="0018334E">
        <w:rPr>
          <w:rFonts w:ascii="Arial" w:hAnsi="Arial" w:cs="Arial"/>
          <w:sz w:val="24"/>
          <w:szCs w:val="24"/>
          <w:lang w:val="en-US"/>
        </w:rPr>
        <w:t xml:space="preserve"> and no interaction of transferrin with BMI</w:t>
      </w:r>
      <w:r w:rsidR="00EA6561" w:rsidRPr="0018334E">
        <w:rPr>
          <w:rFonts w:ascii="Arial" w:hAnsi="Arial" w:cs="Arial"/>
          <w:sz w:val="24"/>
          <w:szCs w:val="24"/>
          <w:lang w:val="en-US"/>
        </w:rPr>
        <w:t xml:space="preserve">. </w:t>
      </w:r>
    </w:p>
    <w:p w:rsidR="00EA6561" w:rsidRPr="0018334E" w:rsidRDefault="00EA6561" w:rsidP="00F328BE">
      <w:pPr>
        <w:autoSpaceDE w:val="0"/>
        <w:autoSpaceDN w:val="0"/>
        <w:adjustRightInd w:val="0"/>
        <w:spacing w:after="0" w:line="480" w:lineRule="auto"/>
        <w:jc w:val="both"/>
        <w:rPr>
          <w:rFonts w:ascii="Arial" w:hAnsi="Arial" w:cs="Arial"/>
          <w:sz w:val="24"/>
          <w:szCs w:val="24"/>
          <w:lang w:val="en-US"/>
        </w:rPr>
      </w:pPr>
    </w:p>
    <w:p w:rsidR="00F57399" w:rsidRPr="0018334E" w:rsidRDefault="009C4B34" w:rsidP="00F328BE">
      <w:pPr>
        <w:autoSpaceDE w:val="0"/>
        <w:autoSpaceDN w:val="0"/>
        <w:adjustRightInd w:val="0"/>
        <w:spacing w:after="0" w:line="480" w:lineRule="auto"/>
        <w:jc w:val="both"/>
        <w:rPr>
          <w:rFonts w:ascii="Arial" w:hAnsi="Arial" w:cs="Arial"/>
          <w:b/>
          <w:sz w:val="24"/>
          <w:szCs w:val="24"/>
          <w:lang w:val="en-US"/>
        </w:rPr>
      </w:pPr>
      <w:r w:rsidRPr="0018334E">
        <w:rPr>
          <w:rFonts w:ascii="Arial" w:hAnsi="Arial" w:cs="Arial"/>
          <w:sz w:val="24"/>
          <w:szCs w:val="24"/>
          <w:lang w:val="en-US"/>
        </w:rPr>
        <w:t xml:space="preserve">Adjusting for </w:t>
      </w:r>
      <w:r w:rsidR="00DD7A18" w:rsidRPr="0018334E">
        <w:rPr>
          <w:rFonts w:ascii="Arial" w:hAnsi="Arial" w:cs="Arial"/>
          <w:sz w:val="24"/>
          <w:szCs w:val="24"/>
          <w:lang w:val="en-US"/>
        </w:rPr>
        <w:t xml:space="preserve">menopausal status, </w:t>
      </w:r>
      <w:r w:rsidR="00052CAB">
        <w:rPr>
          <w:rFonts w:ascii="Arial" w:hAnsi="Arial" w:cs="Arial"/>
          <w:sz w:val="24"/>
          <w:szCs w:val="24"/>
          <w:lang w:val="en-US"/>
        </w:rPr>
        <w:t>alcohol consumption</w:t>
      </w:r>
      <w:r w:rsidR="00880ADA" w:rsidRPr="0018334E">
        <w:rPr>
          <w:rFonts w:ascii="Arial" w:hAnsi="Arial" w:cs="Arial"/>
          <w:sz w:val="24"/>
          <w:szCs w:val="24"/>
          <w:lang w:val="en-US"/>
        </w:rPr>
        <w:t xml:space="preserve">, </w:t>
      </w:r>
      <w:r w:rsidR="00DD7A18" w:rsidRPr="0018334E">
        <w:rPr>
          <w:rFonts w:ascii="Arial" w:hAnsi="Arial" w:cs="Arial"/>
          <w:sz w:val="24"/>
          <w:szCs w:val="24"/>
          <w:lang w:val="en-US"/>
        </w:rPr>
        <w:t xml:space="preserve">red meat intake, </w:t>
      </w:r>
      <w:r w:rsidRPr="0018334E">
        <w:rPr>
          <w:rFonts w:ascii="Arial" w:hAnsi="Arial" w:cs="Arial"/>
          <w:sz w:val="24"/>
          <w:szCs w:val="24"/>
          <w:lang w:val="en-US"/>
        </w:rPr>
        <w:t xml:space="preserve">family history of </w:t>
      </w:r>
      <w:r w:rsidR="008C722E" w:rsidRPr="0018334E">
        <w:rPr>
          <w:rFonts w:ascii="Arial" w:hAnsi="Arial" w:cs="Arial"/>
          <w:sz w:val="24"/>
          <w:szCs w:val="24"/>
          <w:lang w:val="en-US"/>
        </w:rPr>
        <w:t xml:space="preserve">type </w:t>
      </w:r>
      <w:proofErr w:type="gramStart"/>
      <w:r w:rsidR="008C722E" w:rsidRPr="0018334E">
        <w:rPr>
          <w:rFonts w:ascii="Arial" w:hAnsi="Arial" w:cs="Arial"/>
          <w:sz w:val="24"/>
          <w:szCs w:val="24"/>
          <w:lang w:val="en-US"/>
        </w:rPr>
        <w:t>2 diabetes</w:t>
      </w:r>
      <w:proofErr w:type="gramEnd"/>
      <w:r w:rsidRPr="0018334E">
        <w:rPr>
          <w:rFonts w:ascii="Arial" w:hAnsi="Arial" w:cs="Arial"/>
          <w:sz w:val="24"/>
          <w:szCs w:val="24"/>
          <w:lang w:val="en-US"/>
        </w:rPr>
        <w:t xml:space="preserve"> </w:t>
      </w:r>
      <w:r w:rsidR="004539DB" w:rsidRPr="0018334E">
        <w:rPr>
          <w:rFonts w:ascii="Arial" w:hAnsi="Arial" w:cs="Arial"/>
          <w:sz w:val="24"/>
          <w:szCs w:val="24"/>
          <w:lang w:val="en-US"/>
        </w:rPr>
        <w:t xml:space="preserve">or waist circumference </w:t>
      </w:r>
      <w:r w:rsidRPr="0018334E">
        <w:rPr>
          <w:rFonts w:ascii="Arial" w:hAnsi="Arial" w:cs="Arial"/>
          <w:sz w:val="24"/>
          <w:szCs w:val="24"/>
          <w:lang w:val="en-US"/>
        </w:rPr>
        <w:t xml:space="preserve">did not substantially </w:t>
      </w:r>
      <w:r w:rsidR="00DD7A18" w:rsidRPr="0018334E">
        <w:rPr>
          <w:rFonts w:ascii="Arial" w:hAnsi="Arial" w:cs="Arial"/>
          <w:sz w:val="24"/>
          <w:szCs w:val="24"/>
          <w:lang w:val="en-US"/>
        </w:rPr>
        <w:t xml:space="preserve">modify </w:t>
      </w:r>
      <w:r w:rsidRPr="0018334E">
        <w:rPr>
          <w:rFonts w:ascii="Arial" w:hAnsi="Arial" w:cs="Arial"/>
          <w:sz w:val="24"/>
          <w:szCs w:val="24"/>
          <w:lang w:val="en-US"/>
        </w:rPr>
        <w:t xml:space="preserve">the </w:t>
      </w:r>
      <w:r w:rsidR="00A62EC7" w:rsidRPr="0018334E">
        <w:rPr>
          <w:rFonts w:ascii="Arial" w:hAnsi="Arial" w:cs="Arial"/>
          <w:sz w:val="24"/>
          <w:szCs w:val="24"/>
          <w:lang w:val="en-US"/>
        </w:rPr>
        <w:t>association</w:t>
      </w:r>
      <w:r w:rsidR="004539DB" w:rsidRPr="0018334E">
        <w:rPr>
          <w:rFonts w:ascii="Arial" w:hAnsi="Arial" w:cs="Arial"/>
          <w:sz w:val="24"/>
          <w:szCs w:val="24"/>
          <w:lang w:val="en-US"/>
        </w:rPr>
        <w:t xml:space="preserve"> of ferritin in men or women (</w:t>
      </w:r>
      <w:r w:rsidR="00E9602D">
        <w:rPr>
          <w:rFonts w:ascii="Arial" w:hAnsi="Arial" w:cs="Arial"/>
          <w:b/>
          <w:sz w:val="24"/>
          <w:szCs w:val="24"/>
          <w:lang w:val="en-US"/>
        </w:rPr>
        <w:t>Supplementary</w:t>
      </w:r>
      <w:r w:rsidR="006F53FA" w:rsidRPr="0018334E">
        <w:rPr>
          <w:rFonts w:ascii="Arial" w:hAnsi="Arial" w:cs="Arial"/>
          <w:b/>
          <w:sz w:val="24"/>
          <w:szCs w:val="24"/>
          <w:lang w:val="en-US"/>
        </w:rPr>
        <w:t xml:space="preserve"> Table </w:t>
      </w:r>
      <w:r w:rsidR="00022037">
        <w:rPr>
          <w:rFonts w:ascii="Arial" w:hAnsi="Arial" w:cs="Arial"/>
          <w:b/>
          <w:sz w:val="24"/>
          <w:szCs w:val="24"/>
          <w:lang w:val="en-US"/>
        </w:rPr>
        <w:t>S</w:t>
      </w:r>
      <w:r w:rsidR="00EA747F">
        <w:rPr>
          <w:rFonts w:ascii="Arial" w:hAnsi="Arial" w:cs="Arial"/>
          <w:b/>
          <w:sz w:val="24"/>
          <w:szCs w:val="24"/>
          <w:lang w:val="en-US"/>
        </w:rPr>
        <w:t>5</w:t>
      </w:r>
      <w:r w:rsidR="004539DB" w:rsidRPr="0018334E">
        <w:rPr>
          <w:rFonts w:ascii="Arial" w:hAnsi="Arial" w:cs="Arial"/>
          <w:sz w:val="24"/>
          <w:szCs w:val="24"/>
          <w:lang w:val="en-US"/>
        </w:rPr>
        <w:t>).</w:t>
      </w:r>
      <w:r w:rsidR="00DD7A18" w:rsidRPr="0018334E">
        <w:rPr>
          <w:rFonts w:ascii="Arial" w:hAnsi="Arial" w:cs="Arial"/>
          <w:sz w:val="24"/>
          <w:szCs w:val="24"/>
          <w:lang w:val="en-US"/>
        </w:rPr>
        <w:t xml:space="preserve"> </w:t>
      </w:r>
    </w:p>
    <w:p w:rsidR="00DD7A18" w:rsidRPr="0018334E" w:rsidRDefault="00DD7A18" w:rsidP="00F328BE">
      <w:pPr>
        <w:jc w:val="both"/>
        <w:rPr>
          <w:rFonts w:ascii="Arial" w:hAnsi="Arial" w:cs="Arial"/>
          <w:b/>
          <w:sz w:val="24"/>
          <w:szCs w:val="24"/>
          <w:lang w:val="en-US"/>
        </w:rPr>
      </w:pPr>
      <w:r w:rsidRPr="0018334E">
        <w:rPr>
          <w:rFonts w:ascii="Arial" w:hAnsi="Arial" w:cs="Arial"/>
          <w:b/>
          <w:sz w:val="24"/>
          <w:szCs w:val="24"/>
          <w:lang w:val="en-US"/>
        </w:rPr>
        <w:br w:type="page"/>
      </w:r>
    </w:p>
    <w:p w:rsidR="002A37D1" w:rsidRPr="00022037" w:rsidRDefault="00270896" w:rsidP="00F328BE">
      <w:pPr>
        <w:autoSpaceDE w:val="0"/>
        <w:autoSpaceDN w:val="0"/>
        <w:adjustRightInd w:val="0"/>
        <w:spacing w:after="0" w:line="480" w:lineRule="auto"/>
        <w:jc w:val="both"/>
        <w:rPr>
          <w:rFonts w:ascii="Arial" w:hAnsi="Arial" w:cs="Arial"/>
          <w:sz w:val="24"/>
          <w:szCs w:val="24"/>
          <w:lang w:val="en-US"/>
        </w:rPr>
      </w:pPr>
      <w:r w:rsidRPr="00022037">
        <w:rPr>
          <w:rFonts w:ascii="Arial" w:hAnsi="Arial" w:cs="Arial"/>
          <w:sz w:val="24"/>
          <w:szCs w:val="24"/>
          <w:lang w:val="en-US"/>
        </w:rPr>
        <w:lastRenderedPageBreak/>
        <w:t>CONCLUSIONS</w:t>
      </w:r>
    </w:p>
    <w:p w:rsidR="00692874" w:rsidRPr="0018334E" w:rsidRDefault="00692874" w:rsidP="00F328BE">
      <w:pPr>
        <w:spacing w:after="0" w:line="480" w:lineRule="auto"/>
        <w:jc w:val="both"/>
        <w:rPr>
          <w:rFonts w:ascii="Arial" w:hAnsi="Arial" w:cs="Arial"/>
          <w:b/>
          <w:sz w:val="24"/>
          <w:szCs w:val="24"/>
          <w:lang w:val="en-US"/>
        </w:rPr>
      </w:pPr>
    </w:p>
    <w:p w:rsidR="00A7611B" w:rsidRPr="0018334E" w:rsidRDefault="002A37D1" w:rsidP="00F328BE">
      <w:pPr>
        <w:spacing w:after="0" w:line="480" w:lineRule="auto"/>
        <w:jc w:val="both"/>
        <w:rPr>
          <w:rFonts w:ascii="Arial" w:hAnsi="Arial" w:cs="Arial"/>
          <w:sz w:val="24"/>
          <w:szCs w:val="24"/>
          <w:lang w:val="en-US"/>
        </w:rPr>
      </w:pPr>
      <w:r w:rsidRPr="0018334E">
        <w:rPr>
          <w:rFonts w:ascii="Arial" w:hAnsi="Arial" w:cs="Arial"/>
          <w:sz w:val="24"/>
          <w:szCs w:val="24"/>
          <w:lang w:val="en-US"/>
        </w:rPr>
        <w:t>This study</w:t>
      </w:r>
      <w:r w:rsidR="00720F33" w:rsidRPr="0018334E">
        <w:rPr>
          <w:rFonts w:ascii="Arial" w:hAnsi="Arial" w:cs="Arial"/>
          <w:sz w:val="24"/>
          <w:szCs w:val="24"/>
          <w:lang w:val="en-US"/>
        </w:rPr>
        <w:t>,</w:t>
      </w:r>
      <w:r w:rsidR="00B61292" w:rsidRPr="0018334E">
        <w:rPr>
          <w:rFonts w:ascii="Arial" w:hAnsi="Arial" w:cs="Arial"/>
          <w:sz w:val="24"/>
          <w:szCs w:val="24"/>
          <w:lang w:val="en-US"/>
        </w:rPr>
        <w:t xml:space="preserve"> </w:t>
      </w:r>
      <w:r w:rsidR="005C617A" w:rsidRPr="0018334E">
        <w:rPr>
          <w:rFonts w:ascii="Arial" w:hAnsi="Arial" w:cs="Arial"/>
          <w:sz w:val="24"/>
          <w:szCs w:val="24"/>
          <w:lang w:val="en-US"/>
        </w:rPr>
        <w:t xml:space="preserve">which was </w:t>
      </w:r>
      <w:r w:rsidR="00B61292" w:rsidRPr="0018334E">
        <w:rPr>
          <w:rFonts w:ascii="Arial" w:hAnsi="Arial" w:cs="Arial"/>
          <w:sz w:val="24"/>
          <w:szCs w:val="24"/>
          <w:lang w:val="en-US"/>
        </w:rPr>
        <w:t xml:space="preserve">conducted </w:t>
      </w:r>
      <w:r w:rsidRPr="0018334E">
        <w:rPr>
          <w:rFonts w:ascii="Arial" w:hAnsi="Arial" w:cs="Arial"/>
          <w:sz w:val="24"/>
          <w:szCs w:val="24"/>
          <w:lang w:val="en-US"/>
        </w:rPr>
        <w:t>in a large</w:t>
      </w:r>
      <w:r w:rsidR="00AE3E9B" w:rsidRPr="0018334E">
        <w:rPr>
          <w:rFonts w:ascii="Arial" w:hAnsi="Arial" w:cs="Arial"/>
          <w:sz w:val="24"/>
          <w:szCs w:val="24"/>
          <w:lang w:val="en-US"/>
        </w:rPr>
        <w:t xml:space="preserve"> European population</w:t>
      </w:r>
      <w:r w:rsidR="00720F33" w:rsidRPr="0018334E">
        <w:rPr>
          <w:rFonts w:ascii="Arial" w:hAnsi="Arial" w:cs="Arial"/>
          <w:sz w:val="24"/>
          <w:szCs w:val="24"/>
          <w:lang w:val="en-US"/>
        </w:rPr>
        <w:t>,</w:t>
      </w:r>
      <w:r w:rsidR="00AE3E9B" w:rsidRPr="0018334E">
        <w:rPr>
          <w:rFonts w:ascii="Arial" w:hAnsi="Arial" w:cs="Arial"/>
          <w:sz w:val="24"/>
          <w:szCs w:val="24"/>
          <w:lang w:val="en-US"/>
        </w:rPr>
        <w:t xml:space="preserve"> showed</w:t>
      </w:r>
      <w:r w:rsidR="0033786B" w:rsidRPr="0018334E">
        <w:rPr>
          <w:rFonts w:ascii="Arial" w:hAnsi="Arial" w:cs="Arial"/>
          <w:sz w:val="24"/>
          <w:szCs w:val="24"/>
          <w:lang w:val="en-US"/>
        </w:rPr>
        <w:t xml:space="preserve"> that </w:t>
      </w:r>
      <w:r w:rsidR="00DD7A18" w:rsidRPr="0018334E">
        <w:rPr>
          <w:rFonts w:ascii="Arial" w:hAnsi="Arial" w:cs="Arial"/>
          <w:sz w:val="24"/>
          <w:szCs w:val="24"/>
          <w:lang w:val="en-US"/>
        </w:rPr>
        <w:t>h</w:t>
      </w:r>
      <w:r w:rsidR="007F7A62" w:rsidRPr="0018334E">
        <w:rPr>
          <w:rFonts w:ascii="Arial" w:hAnsi="Arial" w:cs="Arial"/>
          <w:sz w:val="24"/>
          <w:szCs w:val="24"/>
          <w:lang w:val="en-US"/>
        </w:rPr>
        <w:t>igher</w:t>
      </w:r>
      <w:r w:rsidR="00251AA0" w:rsidRPr="0018334E">
        <w:rPr>
          <w:rFonts w:ascii="Arial" w:hAnsi="Arial" w:cs="Arial"/>
          <w:sz w:val="24"/>
          <w:szCs w:val="24"/>
          <w:lang w:val="en-US"/>
        </w:rPr>
        <w:t xml:space="preserve"> </w:t>
      </w:r>
      <w:r w:rsidRPr="0018334E">
        <w:rPr>
          <w:rFonts w:ascii="Arial" w:hAnsi="Arial" w:cs="Arial"/>
          <w:sz w:val="24"/>
          <w:szCs w:val="24"/>
          <w:lang w:val="en-US"/>
        </w:rPr>
        <w:t>ferritin</w:t>
      </w:r>
      <w:r w:rsidR="003F03F5" w:rsidRPr="0018334E">
        <w:rPr>
          <w:rFonts w:ascii="Arial" w:hAnsi="Arial" w:cs="Arial"/>
          <w:sz w:val="24"/>
          <w:szCs w:val="24"/>
          <w:lang w:val="en-US"/>
        </w:rPr>
        <w:t xml:space="preserve"> </w:t>
      </w:r>
      <w:r w:rsidR="00DD7A18" w:rsidRPr="0018334E">
        <w:rPr>
          <w:rFonts w:ascii="Arial" w:hAnsi="Arial" w:cs="Arial"/>
          <w:sz w:val="24"/>
          <w:szCs w:val="24"/>
          <w:lang w:val="en-US"/>
        </w:rPr>
        <w:t xml:space="preserve">and transferrin </w:t>
      </w:r>
      <w:r w:rsidR="007F7A62" w:rsidRPr="0018334E">
        <w:rPr>
          <w:rFonts w:ascii="Arial" w:hAnsi="Arial" w:cs="Arial"/>
          <w:sz w:val="24"/>
          <w:szCs w:val="24"/>
          <w:lang w:val="en-US"/>
        </w:rPr>
        <w:t>level</w:t>
      </w:r>
      <w:r w:rsidR="00DD7A18" w:rsidRPr="0018334E">
        <w:rPr>
          <w:rFonts w:ascii="Arial" w:hAnsi="Arial" w:cs="Arial"/>
          <w:sz w:val="24"/>
          <w:szCs w:val="24"/>
          <w:lang w:val="en-US"/>
        </w:rPr>
        <w:t>s</w:t>
      </w:r>
      <w:r w:rsidR="007F7A62" w:rsidRPr="0018334E">
        <w:rPr>
          <w:rFonts w:ascii="Arial" w:hAnsi="Arial" w:cs="Arial"/>
          <w:sz w:val="24"/>
          <w:szCs w:val="24"/>
          <w:lang w:val="en-US"/>
        </w:rPr>
        <w:t xml:space="preserve"> </w:t>
      </w:r>
      <w:r w:rsidR="009958F9" w:rsidRPr="0018334E">
        <w:rPr>
          <w:rFonts w:ascii="Arial" w:hAnsi="Arial" w:cs="Arial"/>
          <w:sz w:val="24"/>
          <w:szCs w:val="24"/>
          <w:lang w:val="en-US"/>
        </w:rPr>
        <w:t>w</w:t>
      </w:r>
      <w:r w:rsidR="00DD7A18" w:rsidRPr="0018334E">
        <w:rPr>
          <w:rFonts w:ascii="Arial" w:hAnsi="Arial" w:cs="Arial"/>
          <w:sz w:val="24"/>
          <w:szCs w:val="24"/>
          <w:lang w:val="en-US"/>
        </w:rPr>
        <w:t>ere</w:t>
      </w:r>
      <w:r w:rsidR="009958F9" w:rsidRPr="0018334E">
        <w:rPr>
          <w:rFonts w:ascii="Arial" w:hAnsi="Arial" w:cs="Arial"/>
          <w:sz w:val="24"/>
          <w:szCs w:val="24"/>
          <w:lang w:val="en-US"/>
        </w:rPr>
        <w:t xml:space="preserve"> associated with </w:t>
      </w:r>
      <w:r w:rsidR="00DD7A18" w:rsidRPr="0018334E">
        <w:rPr>
          <w:rFonts w:ascii="Arial" w:hAnsi="Arial" w:cs="Arial"/>
          <w:sz w:val="24"/>
          <w:szCs w:val="24"/>
          <w:lang w:val="en-US"/>
        </w:rPr>
        <w:t>an increased</w:t>
      </w:r>
      <w:r w:rsidR="009958F9" w:rsidRPr="0018334E">
        <w:rPr>
          <w:rFonts w:ascii="Arial" w:hAnsi="Arial" w:cs="Arial"/>
          <w:sz w:val="24"/>
          <w:szCs w:val="24"/>
          <w:lang w:val="en-US"/>
        </w:rPr>
        <w:t xml:space="preserve"> </w:t>
      </w:r>
      <w:r w:rsidR="00CA7DA4" w:rsidRPr="0018334E">
        <w:rPr>
          <w:rFonts w:ascii="Arial" w:hAnsi="Arial" w:cs="Arial"/>
          <w:sz w:val="24"/>
          <w:szCs w:val="24"/>
          <w:lang w:val="en-US"/>
        </w:rPr>
        <w:t>risk</w:t>
      </w:r>
      <w:r w:rsidR="009958F9" w:rsidRPr="0018334E">
        <w:rPr>
          <w:rFonts w:ascii="Arial" w:hAnsi="Arial" w:cs="Arial"/>
          <w:sz w:val="24"/>
          <w:szCs w:val="24"/>
          <w:lang w:val="en-US"/>
        </w:rPr>
        <w:t xml:space="preserve"> of </w:t>
      </w:r>
      <w:r w:rsidR="008C722E" w:rsidRPr="0018334E">
        <w:rPr>
          <w:rFonts w:ascii="Arial" w:hAnsi="Arial" w:cs="Arial"/>
          <w:sz w:val="24"/>
          <w:szCs w:val="24"/>
          <w:lang w:val="en-US"/>
        </w:rPr>
        <w:t>type 2 diabetes</w:t>
      </w:r>
      <w:r w:rsidR="00D10CFD" w:rsidRPr="0018334E">
        <w:rPr>
          <w:rFonts w:ascii="Arial" w:hAnsi="Arial" w:cs="Arial"/>
          <w:sz w:val="24"/>
          <w:szCs w:val="24"/>
          <w:lang w:val="en-US"/>
        </w:rPr>
        <w:t xml:space="preserve"> in men and women</w:t>
      </w:r>
      <w:r w:rsidR="00AD0998" w:rsidRPr="0018334E">
        <w:rPr>
          <w:rFonts w:ascii="Arial" w:hAnsi="Arial" w:cs="Arial"/>
          <w:sz w:val="24"/>
          <w:szCs w:val="24"/>
          <w:lang w:val="en-US"/>
        </w:rPr>
        <w:t>.</w:t>
      </w:r>
      <w:r w:rsidR="00D924A5" w:rsidRPr="0018334E">
        <w:rPr>
          <w:rFonts w:ascii="Arial" w:hAnsi="Arial" w:cs="Arial"/>
          <w:sz w:val="24"/>
          <w:szCs w:val="24"/>
          <w:lang w:val="en-US"/>
        </w:rPr>
        <w:t xml:space="preserve"> Even among individuals showing no signs of </w:t>
      </w:r>
      <w:r w:rsidR="0030645B" w:rsidRPr="0018334E">
        <w:rPr>
          <w:rFonts w:ascii="Arial" w:hAnsi="Arial" w:cs="Arial"/>
          <w:sz w:val="24"/>
          <w:szCs w:val="24"/>
          <w:lang w:val="en-US"/>
        </w:rPr>
        <w:t xml:space="preserve">overt </w:t>
      </w:r>
      <w:r w:rsidR="00D924A5" w:rsidRPr="0018334E">
        <w:rPr>
          <w:rFonts w:ascii="Arial" w:hAnsi="Arial" w:cs="Arial"/>
          <w:sz w:val="24"/>
          <w:szCs w:val="24"/>
          <w:lang w:val="en-US"/>
        </w:rPr>
        <w:t xml:space="preserve">inflammation, liver disease, high </w:t>
      </w:r>
      <w:r w:rsidR="00052CAB">
        <w:rPr>
          <w:rFonts w:ascii="Arial" w:hAnsi="Arial" w:cs="Arial"/>
          <w:sz w:val="24"/>
          <w:szCs w:val="24"/>
          <w:lang w:val="en-US"/>
        </w:rPr>
        <w:t>alcohol consumption</w:t>
      </w:r>
      <w:r w:rsidR="00D924A5" w:rsidRPr="0018334E">
        <w:rPr>
          <w:rFonts w:ascii="Arial" w:hAnsi="Arial" w:cs="Arial"/>
          <w:sz w:val="24"/>
          <w:szCs w:val="24"/>
          <w:lang w:val="en-US"/>
        </w:rPr>
        <w:t xml:space="preserve"> or obesity, ferritin was associated with </w:t>
      </w:r>
      <w:r w:rsidR="0019207F" w:rsidRPr="0018334E">
        <w:rPr>
          <w:rFonts w:ascii="Arial" w:hAnsi="Arial" w:cs="Arial"/>
          <w:sz w:val="24"/>
          <w:szCs w:val="24"/>
          <w:lang w:val="en-US"/>
        </w:rPr>
        <w:t>type 2 diabetes</w:t>
      </w:r>
      <w:r w:rsidR="00D924A5" w:rsidRPr="0018334E">
        <w:rPr>
          <w:rFonts w:ascii="Arial" w:hAnsi="Arial" w:cs="Arial"/>
          <w:sz w:val="24"/>
          <w:szCs w:val="24"/>
          <w:lang w:val="en-US"/>
        </w:rPr>
        <w:t xml:space="preserve"> in women, but to a lesser extent in men. </w:t>
      </w:r>
      <w:r w:rsidR="00DD7A18" w:rsidRPr="0018334E">
        <w:rPr>
          <w:rFonts w:ascii="Arial" w:hAnsi="Arial" w:cs="Arial"/>
          <w:sz w:val="24"/>
          <w:szCs w:val="24"/>
          <w:lang w:val="en-US"/>
        </w:rPr>
        <w:t>An</w:t>
      </w:r>
      <w:r w:rsidR="00092FE1" w:rsidRPr="0018334E">
        <w:rPr>
          <w:rFonts w:ascii="Arial" w:hAnsi="Arial" w:cs="Arial"/>
          <w:sz w:val="24"/>
          <w:szCs w:val="24"/>
          <w:lang w:val="en-US"/>
        </w:rPr>
        <w:t xml:space="preserve"> elevated </w:t>
      </w:r>
      <w:r w:rsidR="00A62EC7" w:rsidRPr="0018334E">
        <w:rPr>
          <w:rFonts w:ascii="Arial" w:hAnsi="Arial" w:cs="Arial"/>
          <w:sz w:val="24"/>
          <w:szCs w:val="24"/>
          <w:lang w:val="en-US"/>
        </w:rPr>
        <w:t xml:space="preserve">TSAT </w:t>
      </w:r>
      <w:r w:rsidR="00DD7A18" w:rsidRPr="0018334E">
        <w:rPr>
          <w:rFonts w:ascii="Arial" w:hAnsi="Arial" w:cs="Arial"/>
          <w:sz w:val="24"/>
          <w:szCs w:val="24"/>
          <w:lang w:val="en-US"/>
        </w:rPr>
        <w:t>was associated with a</w:t>
      </w:r>
      <w:r w:rsidR="00092FE1" w:rsidRPr="0018334E">
        <w:rPr>
          <w:rFonts w:ascii="Arial" w:hAnsi="Arial" w:cs="Arial"/>
          <w:sz w:val="24"/>
          <w:szCs w:val="24"/>
          <w:lang w:val="en-US"/>
        </w:rPr>
        <w:t xml:space="preserve"> </w:t>
      </w:r>
      <w:r w:rsidR="005C617A" w:rsidRPr="0018334E">
        <w:rPr>
          <w:rFonts w:ascii="Arial" w:hAnsi="Arial" w:cs="Arial"/>
          <w:sz w:val="24"/>
          <w:szCs w:val="24"/>
          <w:lang w:val="en-US"/>
        </w:rPr>
        <w:t xml:space="preserve">lower </w:t>
      </w:r>
      <w:r w:rsidR="00CA7DA4" w:rsidRPr="0018334E">
        <w:rPr>
          <w:rFonts w:ascii="Arial" w:hAnsi="Arial" w:cs="Arial"/>
          <w:sz w:val="24"/>
          <w:szCs w:val="24"/>
          <w:lang w:val="en-US"/>
        </w:rPr>
        <w:t>risk</w:t>
      </w:r>
      <w:r w:rsidR="005C617A" w:rsidRPr="0018334E">
        <w:rPr>
          <w:rFonts w:ascii="Arial" w:hAnsi="Arial" w:cs="Arial"/>
          <w:sz w:val="24"/>
          <w:szCs w:val="24"/>
          <w:lang w:val="en-US"/>
        </w:rPr>
        <w:t xml:space="preserve"> o</w:t>
      </w:r>
      <w:r w:rsidR="00D10CFD" w:rsidRPr="0018334E">
        <w:rPr>
          <w:rFonts w:ascii="Arial" w:hAnsi="Arial" w:cs="Arial"/>
          <w:sz w:val="24"/>
          <w:szCs w:val="24"/>
          <w:lang w:val="en-US"/>
        </w:rPr>
        <w:t xml:space="preserve">f </w:t>
      </w:r>
      <w:r w:rsidR="0019207F" w:rsidRPr="0018334E">
        <w:rPr>
          <w:rFonts w:ascii="Arial" w:hAnsi="Arial" w:cs="Arial"/>
          <w:sz w:val="24"/>
          <w:szCs w:val="24"/>
          <w:lang w:val="en-US"/>
        </w:rPr>
        <w:t>type 2 diabetes</w:t>
      </w:r>
      <w:r w:rsidR="00FC18D1">
        <w:rPr>
          <w:rFonts w:ascii="Arial" w:hAnsi="Arial" w:cs="Arial"/>
          <w:sz w:val="24"/>
          <w:szCs w:val="24"/>
          <w:lang w:val="en-US"/>
        </w:rPr>
        <w:t xml:space="preserve"> in women when a cut-</w:t>
      </w:r>
      <w:r w:rsidR="00F94E42">
        <w:rPr>
          <w:rFonts w:ascii="Arial" w:hAnsi="Arial" w:cs="Arial"/>
          <w:sz w:val="24"/>
          <w:szCs w:val="24"/>
          <w:lang w:val="en-US"/>
        </w:rPr>
        <w:t>off</w:t>
      </w:r>
      <w:r w:rsidR="00FC18D1">
        <w:rPr>
          <w:rFonts w:ascii="Arial" w:hAnsi="Arial" w:cs="Arial"/>
          <w:sz w:val="24"/>
          <w:szCs w:val="24"/>
          <w:lang w:val="en-US"/>
        </w:rPr>
        <w:t xml:space="preserve"> of 45% was used</w:t>
      </w:r>
      <w:r w:rsidR="00DD7A18" w:rsidRPr="0018334E">
        <w:rPr>
          <w:rFonts w:ascii="Arial" w:hAnsi="Arial" w:cs="Arial"/>
          <w:sz w:val="24"/>
          <w:szCs w:val="24"/>
          <w:lang w:val="en-US"/>
        </w:rPr>
        <w:t xml:space="preserve"> </w:t>
      </w:r>
      <w:r w:rsidR="00D10CFD" w:rsidRPr="0018334E">
        <w:rPr>
          <w:rFonts w:ascii="Arial" w:hAnsi="Arial" w:cs="Arial"/>
          <w:sz w:val="24"/>
          <w:szCs w:val="24"/>
          <w:lang w:val="en-US"/>
        </w:rPr>
        <w:t xml:space="preserve">and </w:t>
      </w:r>
      <w:r w:rsidR="00DD7A18" w:rsidRPr="0018334E">
        <w:rPr>
          <w:rFonts w:ascii="Arial" w:hAnsi="Arial" w:cs="Arial"/>
          <w:sz w:val="24"/>
          <w:szCs w:val="24"/>
          <w:lang w:val="en-US"/>
        </w:rPr>
        <w:t xml:space="preserve">serum iron was not associated with </w:t>
      </w:r>
      <w:r w:rsidR="0019207F" w:rsidRPr="0018334E">
        <w:rPr>
          <w:rFonts w:ascii="Arial" w:hAnsi="Arial" w:cs="Arial"/>
          <w:sz w:val="24"/>
          <w:szCs w:val="24"/>
          <w:lang w:val="en-US"/>
        </w:rPr>
        <w:t>type 2 diabetes</w:t>
      </w:r>
      <w:r w:rsidR="000E60EA" w:rsidRPr="0018334E">
        <w:rPr>
          <w:rFonts w:ascii="Arial" w:hAnsi="Arial" w:cs="Arial"/>
          <w:sz w:val="24"/>
          <w:szCs w:val="24"/>
          <w:lang w:val="en-US"/>
        </w:rPr>
        <w:t xml:space="preserve">. </w:t>
      </w:r>
      <w:r w:rsidR="00AB77CA" w:rsidRPr="0018334E">
        <w:rPr>
          <w:rFonts w:ascii="Arial" w:hAnsi="Arial" w:cs="Arial"/>
          <w:sz w:val="24"/>
          <w:szCs w:val="24"/>
          <w:lang w:val="en-US"/>
        </w:rPr>
        <w:t xml:space="preserve">The associations of all four </w:t>
      </w:r>
      <w:r w:rsidR="004F4600" w:rsidRPr="0018334E">
        <w:rPr>
          <w:rFonts w:ascii="Arial" w:hAnsi="Arial" w:cs="Arial"/>
          <w:sz w:val="24"/>
          <w:szCs w:val="24"/>
          <w:lang w:val="en-US"/>
        </w:rPr>
        <w:t xml:space="preserve">iron </w:t>
      </w:r>
      <w:r w:rsidR="00AB77CA" w:rsidRPr="0018334E">
        <w:rPr>
          <w:rFonts w:ascii="Arial" w:hAnsi="Arial" w:cs="Arial"/>
          <w:sz w:val="24"/>
          <w:szCs w:val="24"/>
          <w:lang w:val="en-US"/>
        </w:rPr>
        <w:t xml:space="preserve">biomarkers with </w:t>
      </w:r>
      <w:r w:rsidR="0019207F" w:rsidRPr="0018334E">
        <w:rPr>
          <w:rFonts w:ascii="Arial" w:hAnsi="Arial" w:cs="Arial"/>
          <w:sz w:val="24"/>
          <w:szCs w:val="24"/>
          <w:lang w:val="en-US"/>
        </w:rPr>
        <w:t>type 2 diabetes</w:t>
      </w:r>
      <w:r w:rsidR="00AB77CA" w:rsidRPr="0018334E">
        <w:rPr>
          <w:rFonts w:ascii="Arial" w:hAnsi="Arial" w:cs="Arial"/>
          <w:sz w:val="24"/>
          <w:szCs w:val="24"/>
          <w:lang w:val="en-US"/>
        </w:rPr>
        <w:t xml:space="preserve"> were stronger in women than in men. This </w:t>
      </w:r>
      <w:r w:rsidR="004016F8" w:rsidRPr="0018334E">
        <w:rPr>
          <w:rFonts w:ascii="Arial" w:hAnsi="Arial" w:cs="Arial"/>
          <w:sz w:val="24"/>
          <w:szCs w:val="24"/>
          <w:lang w:val="en-US"/>
        </w:rPr>
        <w:t xml:space="preserve">likely </w:t>
      </w:r>
      <w:r w:rsidR="00AB77CA" w:rsidRPr="0018334E">
        <w:rPr>
          <w:rFonts w:ascii="Arial" w:hAnsi="Arial" w:cs="Arial"/>
          <w:sz w:val="24"/>
          <w:szCs w:val="24"/>
          <w:lang w:val="en-US"/>
        </w:rPr>
        <w:t xml:space="preserve">reflects </w:t>
      </w:r>
      <w:r w:rsidR="00E571F9" w:rsidRPr="0018334E">
        <w:rPr>
          <w:rFonts w:ascii="Arial" w:hAnsi="Arial" w:cs="Arial"/>
          <w:sz w:val="24"/>
          <w:szCs w:val="24"/>
          <w:lang w:val="en-US"/>
        </w:rPr>
        <w:t xml:space="preserve">physiological </w:t>
      </w:r>
      <w:r w:rsidR="00AB77CA" w:rsidRPr="0018334E">
        <w:rPr>
          <w:rFonts w:ascii="Arial" w:hAnsi="Arial" w:cs="Arial"/>
          <w:sz w:val="24"/>
          <w:szCs w:val="24"/>
          <w:lang w:val="en-US"/>
        </w:rPr>
        <w:t xml:space="preserve">differences in iron metabolism and biomarker distributions between men and women, </w:t>
      </w:r>
      <w:r w:rsidR="00E571F9" w:rsidRPr="0018334E">
        <w:rPr>
          <w:rFonts w:ascii="Arial" w:hAnsi="Arial" w:cs="Arial"/>
          <w:sz w:val="24"/>
          <w:szCs w:val="24"/>
          <w:lang w:val="en-US"/>
        </w:rPr>
        <w:t>causing</w:t>
      </w:r>
      <w:r w:rsidR="004016F8" w:rsidRPr="0018334E">
        <w:rPr>
          <w:rFonts w:ascii="Arial" w:hAnsi="Arial" w:cs="Arial"/>
          <w:sz w:val="24"/>
          <w:szCs w:val="24"/>
          <w:lang w:val="en-US"/>
        </w:rPr>
        <w:t xml:space="preserve"> </w:t>
      </w:r>
      <w:r w:rsidR="00AB77CA" w:rsidRPr="0018334E">
        <w:rPr>
          <w:rFonts w:ascii="Arial" w:hAnsi="Arial" w:cs="Arial"/>
          <w:sz w:val="24"/>
          <w:szCs w:val="24"/>
          <w:lang w:val="en-US"/>
        </w:rPr>
        <w:t xml:space="preserve">the relative </w:t>
      </w:r>
      <w:r w:rsidR="004016F8" w:rsidRPr="0018334E">
        <w:rPr>
          <w:rFonts w:ascii="Arial" w:hAnsi="Arial" w:cs="Arial"/>
          <w:sz w:val="24"/>
          <w:szCs w:val="24"/>
          <w:lang w:val="en-US"/>
        </w:rPr>
        <w:t xml:space="preserve">risk of absolute </w:t>
      </w:r>
      <w:r w:rsidR="00E571F9" w:rsidRPr="0018334E">
        <w:rPr>
          <w:rFonts w:ascii="Arial" w:hAnsi="Arial" w:cs="Arial"/>
          <w:sz w:val="24"/>
          <w:szCs w:val="24"/>
          <w:lang w:val="en-US"/>
        </w:rPr>
        <w:t>biomarker differences to be greater in women</w:t>
      </w:r>
      <w:r w:rsidR="00AB77CA" w:rsidRPr="0018334E">
        <w:rPr>
          <w:rFonts w:ascii="Arial" w:hAnsi="Arial" w:cs="Arial"/>
          <w:sz w:val="24"/>
          <w:szCs w:val="24"/>
          <w:lang w:val="en-US"/>
        </w:rPr>
        <w:t>.</w:t>
      </w:r>
    </w:p>
    <w:p w:rsidR="002209AE" w:rsidRPr="0018334E" w:rsidRDefault="002209AE" w:rsidP="00F328BE">
      <w:pPr>
        <w:spacing w:after="0" w:line="480" w:lineRule="auto"/>
        <w:jc w:val="both"/>
        <w:rPr>
          <w:rFonts w:ascii="Arial" w:hAnsi="Arial" w:cs="Arial"/>
          <w:sz w:val="24"/>
          <w:szCs w:val="24"/>
          <w:lang w:val="en-US"/>
        </w:rPr>
      </w:pPr>
    </w:p>
    <w:p w:rsidR="00BC3D43" w:rsidRDefault="000E60EA" w:rsidP="00F328BE">
      <w:pPr>
        <w:spacing w:after="0" w:line="480" w:lineRule="auto"/>
        <w:jc w:val="both"/>
        <w:rPr>
          <w:rFonts w:ascii="Arial" w:hAnsi="Arial" w:cs="Arial"/>
          <w:sz w:val="24"/>
          <w:szCs w:val="24"/>
          <w:lang w:val="en-US"/>
        </w:rPr>
      </w:pPr>
      <w:r w:rsidRPr="0018334E">
        <w:rPr>
          <w:rFonts w:ascii="Arial" w:hAnsi="Arial" w:cs="Arial"/>
          <w:sz w:val="24"/>
          <w:szCs w:val="24"/>
          <w:lang w:val="en-US"/>
        </w:rPr>
        <w:t>The association of ferritin</w:t>
      </w:r>
      <w:r w:rsidR="007D0B55" w:rsidRPr="0018334E">
        <w:rPr>
          <w:rFonts w:ascii="Arial" w:hAnsi="Arial" w:cs="Arial"/>
          <w:sz w:val="24"/>
          <w:szCs w:val="24"/>
          <w:lang w:val="en-US"/>
        </w:rPr>
        <w:t xml:space="preserve"> </w:t>
      </w:r>
      <w:r w:rsidR="007F3E7D" w:rsidRPr="0018334E">
        <w:rPr>
          <w:rFonts w:ascii="Arial" w:hAnsi="Arial" w:cs="Arial"/>
          <w:sz w:val="24"/>
          <w:szCs w:val="24"/>
          <w:lang w:val="en-US"/>
        </w:rPr>
        <w:t xml:space="preserve">with </w:t>
      </w:r>
      <w:r w:rsidR="0019207F" w:rsidRPr="0018334E">
        <w:rPr>
          <w:rFonts w:ascii="Arial" w:hAnsi="Arial" w:cs="Arial"/>
          <w:sz w:val="24"/>
          <w:szCs w:val="24"/>
          <w:lang w:val="en-US"/>
        </w:rPr>
        <w:t>type 2 diabetes</w:t>
      </w:r>
      <w:r w:rsidR="007F3E7D" w:rsidRPr="0018334E">
        <w:rPr>
          <w:rFonts w:ascii="Arial" w:hAnsi="Arial" w:cs="Arial"/>
          <w:sz w:val="24"/>
          <w:szCs w:val="24"/>
          <w:lang w:val="en-US"/>
        </w:rPr>
        <w:t xml:space="preserve"> </w:t>
      </w:r>
      <w:r w:rsidR="00EE7501" w:rsidRPr="0018334E">
        <w:rPr>
          <w:rFonts w:ascii="Arial" w:hAnsi="Arial" w:cs="Arial"/>
          <w:sz w:val="24"/>
          <w:szCs w:val="24"/>
          <w:lang w:val="en-US"/>
        </w:rPr>
        <w:t xml:space="preserve">has </w:t>
      </w:r>
      <w:r w:rsidR="0014307E" w:rsidRPr="0018334E">
        <w:rPr>
          <w:rFonts w:ascii="Arial" w:hAnsi="Arial" w:cs="Arial"/>
          <w:sz w:val="24"/>
          <w:szCs w:val="24"/>
          <w:lang w:val="en-US"/>
        </w:rPr>
        <w:t>previously been</w:t>
      </w:r>
      <w:r w:rsidR="00C11B0E" w:rsidRPr="0018334E">
        <w:rPr>
          <w:rFonts w:ascii="Arial" w:hAnsi="Arial" w:cs="Arial"/>
          <w:sz w:val="24"/>
          <w:szCs w:val="24"/>
          <w:lang w:val="en-US"/>
        </w:rPr>
        <w:t xml:space="preserve"> reported,</w:t>
      </w:r>
      <w:r w:rsidR="00EE7501" w:rsidRPr="0018334E">
        <w:rPr>
          <w:rFonts w:ascii="Arial" w:hAnsi="Arial" w:cs="Arial"/>
          <w:sz w:val="24"/>
          <w:szCs w:val="24"/>
          <w:lang w:val="en-US"/>
        </w:rPr>
        <w:t xml:space="preserve"> but the </w:t>
      </w:r>
      <w:r w:rsidR="005C617A" w:rsidRPr="0018334E">
        <w:rPr>
          <w:rFonts w:ascii="Arial" w:hAnsi="Arial" w:cs="Arial"/>
          <w:sz w:val="24"/>
          <w:szCs w:val="24"/>
          <w:lang w:val="en-US"/>
        </w:rPr>
        <w:t>association</w:t>
      </w:r>
      <w:r w:rsidR="00EE7501" w:rsidRPr="0018334E">
        <w:rPr>
          <w:rFonts w:ascii="Arial" w:hAnsi="Arial" w:cs="Arial"/>
          <w:sz w:val="24"/>
          <w:szCs w:val="24"/>
          <w:lang w:val="en-US"/>
        </w:rPr>
        <w:t xml:space="preserve"> f</w:t>
      </w:r>
      <w:r w:rsidR="00963BDD" w:rsidRPr="0018334E">
        <w:rPr>
          <w:rFonts w:ascii="Arial" w:hAnsi="Arial" w:cs="Arial"/>
          <w:sz w:val="24"/>
          <w:szCs w:val="24"/>
          <w:lang w:val="en-US"/>
        </w:rPr>
        <w:t xml:space="preserve">rom the latest meta-analysis </w:t>
      </w:r>
      <w:r w:rsidR="005805AE" w:rsidRPr="0018334E">
        <w:rPr>
          <w:rFonts w:ascii="Arial" w:hAnsi="Arial" w:cs="Arial"/>
          <w:sz w:val="24"/>
          <w:szCs w:val="24"/>
          <w:lang w:val="en-US"/>
        </w:rPr>
        <w:t xml:space="preserve">of prospective studies </w:t>
      </w:r>
      <w:r w:rsidR="00963BDD" w:rsidRPr="0018334E">
        <w:rPr>
          <w:rFonts w:ascii="Arial" w:hAnsi="Arial" w:cs="Arial"/>
          <w:sz w:val="24"/>
          <w:szCs w:val="24"/>
          <w:lang w:val="en-US"/>
        </w:rPr>
        <w:t xml:space="preserve">was </w:t>
      </w:r>
      <w:r w:rsidR="005C617A" w:rsidRPr="0018334E">
        <w:rPr>
          <w:rFonts w:ascii="Arial" w:hAnsi="Arial" w:cs="Arial"/>
          <w:sz w:val="24"/>
          <w:szCs w:val="24"/>
          <w:lang w:val="en-US"/>
        </w:rPr>
        <w:t>stronger</w:t>
      </w:r>
      <w:r w:rsidR="00820098" w:rsidRPr="0018334E">
        <w:rPr>
          <w:rFonts w:ascii="Arial" w:hAnsi="Arial" w:cs="Arial"/>
          <w:sz w:val="24"/>
          <w:szCs w:val="24"/>
          <w:lang w:val="en-US"/>
        </w:rPr>
        <w:t xml:space="preserve"> </w:t>
      </w:r>
      <w:r w:rsidR="005F1B95" w:rsidRPr="0018334E">
        <w:rPr>
          <w:rFonts w:ascii="Arial" w:hAnsi="Arial" w:cs="Arial"/>
          <w:sz w:val="24"/>
          <w:szCs w:val="24"/>
          <w:lang w:val="en-US"/>
        </w:rPr>
        <w:t xml:space="preserve">and less precise </w:t>
      </w:r>
      <w:r w:rsidR="00820098" w:rsidRPr="0018334E">
        <w:rPr>
          <w:rFonts w:ascii="Arial" w:hAnsi="Arial" w:cs="Arial"/>
          <w:sz w:val="24"/>
          <w:szCs w:val="24"/>
          <w:lang w:val="en-US"/>
        </w:rPr>
        <w:t>than that found in this present study</w:t>
      </w:r>
      <w:r w:rsidR="00CC4BFD" w:rsidRPr="0018334E">
        <w:rPr>
          <w:rFonts w:ascii="Arial" w:hAnsi="Arial" w:cs="Arial"/>
          <w:sz w:val="24"/>
          <w:szCs w:val="24"/>
          <w:lang w:val="en-US"/>
        </w:rPr>
        <w:t>,</w:t>
      </w:r>
      <w:r w:rsidR="00820098" w:rsidRPr="0018334E">
        <w:rPr>
          <w:rFonts w:ascii="Arial" w:hAnsi="Arial" w:cs="Arial"/>
          <w:sz w:val="24"/>
          <w:szCs w:val="24"/>
          <w:lang w:val="en-US"/>
        </w:rPr>
        <w:t xml:space="preserve"> with HR (95% CI) of </w:t>
      </w:r>
      <w:r w:rsidR="00963BDD" w:rsidRPr="0018334E">
        <w:rPr>
          <w:rFonts w:ascii="Arial" w:hAnsi="Arial" w:cs="Arial"/>
          <w:sz w:val="24"/>
          <w:szCs w:val="24"/>
          <w:lang w:val="en-US"/>
        </w:rPr>
        <w:t>1.73 (1.35; 2.22</w:t>
      </w:r>
      <w:r w:rsidR="00820098" w:rsidRPr="0018334E">
        <w:rPr>
          <w:rFonts w:ascii="Arial" w:hAnsi="Arial" w:cs="Arial"/>
          <w:sz w:val="24"/>
          <w:szCs w:val="24"/>
          <w:lang w:val="en-US"/>
        </w:rPr>
        <w:t>)</w:t>
      </w:r>
      <w:r w:rsidR="007F7A62" w:rsidRPr="0018334E">
        <w:rPr>
          <w:rFonts w:ascii="Arial" w:hAnsi="Arial" w:cs="Arial"/>
          <w:sz w:val="24"/>
          <w:szCs w:val="24"/>
          <w:lang w:val="en-US"/>
        </w:rPr>
        <w:t xml:space="preserve"> fo</w:t>
      </w:r>
      <w:r w:rsidR="00720F33" w:rsidRPr="0018334E">
        <w:rPr>
          <w:rFonts w:ascii="Arial" w:hAnsi="Arial" w:cs="Arial"/>
          <w:sz w:val="24"/>
          <w:szCs w:val="24"/>
          <w:lang w:val="en-US"/>
        </w:rPr>
        <w:t xml:space="preserve">r the top </w:t>
      </w:r>
      <w:r w:rsidR="00CB059A" w:rsidRPr="0018334E">
        <w:rPr>
          <w:rFonts w:ascii="Arial" w:hAnsi="Arial" w:cs="Arial"/>
          <w:sz w:val="24"/>
          <w:szCs w:val="24"/>
          <w:lang w:val="en-US"/>
        </w:rPr>
        <w:t xml:space="preserve">quintile </w:t>
      </w:r>
      <w:r w:rsidR="00720F33" w:rsidRPr="0018334E">
        <w:rPr>
          <w:rFonts w:ascii="Arial" w:hAnsi="Arial" w:cs="Arial"/>
          <w:sz w:val="24"/>
          <w:szCs w:val="24"/>
          <w:lang w:val="en-US"/>
        </w:rPr>
        <w:t xml:space="preserve">compared to the lower </w:t>
      </w:r>
      <w:r w:rsidR="00CB059A" w:rsidRPr="0018334E">
        <w:rPr>
          <w:rFonts w:ascii="Arial" w:hAnsi="Arial" w:cs="Arial"/>
          <w:sz w:val="24"/>
          <w:szCs w:val="24"/>
          <w:lang w:val="en-US"/>
        </w:rPr>
        <w:t xml:space="preserve">quintile </w:t>
      </w:r>
      <w:r w:rsidR="00CC4BFD" w:rsidRPr="0018334E">
        <w:rPr>
          <w:rFonts w:ascii="Arial" w:hAnsi="Arial" w:cs="Arial"/>
          <w:sz w:val="24"/>
          <w:szCs w:val="24"/>
          <w:lang w:val="en-US"/>
        </w:rPr>
        <w:t>in the meta-analysis</w:t>
      </w:r>
      <w:r w:rsidR="005C617A" w:rsidRPr="0018334E">
        <w:rPr>
          <w:rFonts w:ascii="Arial" w:hAnsi="Arial" w:cs="Arial"/>
          <w:sz w:val="24"/>
          <w:szCs w:val="24"/>
          <w:lang w:val="en-US"/>
        </w:rPr>
        <w:t xml:space="preserve"> </w:t>
      </w:r>
      <w:r w:rsidR="00F136CF" w:rsidRPr="0018334E">
        <w:rPr>
          <w:rFonts w:ascii="Arial" w:hAnsi="Arial" w:cs="Arial"/>
          <w:sz w:val="24"/>
          <w:szCs w:val="24"/>
          <w:lang w:val="en-US"/>
        </w:rPr>
        <w:fldChar w:fldCharType="begin" w:fldLock="1"/>
      </w:r>
      <w:r w:rsidR="006372DC">
        <w:rPr>
          <w:rFonts w:ascii="Arial" w:hAnsi="Arial" w:cs="Arial"/>
          <w:sz w:val="24"/>
          <w:szCs w:val="24"/>
          <w:lang w:val="en-US"/>
        </w:rPr>
        <w:instrText>ADDIN CSL_CITATION { "citationItems" : [ { "id" : "ITEM-1", "itemData" : { "DOI" : "10.1002/dmrr.2394", "ISSN" : "1520-7560", "PMID" : "23381919", "abstract" : "BACKGROUND: Emerging evidence suggests that a strong link that exists between elevated baseline body iron stores and high risk of incident type 2 diabetes mellitus (T2DM) in general populations, but the precise magnitude of the associations remains uncertain. METHODS: We conducted a systematic review and meta-analysis of published prospective studies evaluating the associations of baseline ferritin (a biomarker of body iron stores) levels with risk of T2DM in general populations. A subsidiary review of dietary heme iron status and T2DM risk associations was also conducted. Studies were identified in a literature search of PubMed, EMBASE, and Web of Science up to October 2012. RESULTS: Of the 730 studies reviewed for eligibility, 12 published studies involving 185 462 participants and 11 079 incident T2DM events were included in the analyses. Nine studies assessed associations between ferritin levels and T2DM with heterogeneous findings (I(2) = 58%, 12-80%, p = 0.014). The pooled fully adjusted relative risk (RR) with (95% confidence interval) for T2DM was 1.73 (1.35-2.22) in a comparison of extreme fifths of baseline ferritin levels. Three studies evaluated associations between dietary heme iron status and T2DM with a corresponding RR for T2DM of 1.28 (1.16-1.41). In dose-response analyses, the pooled RRs for an increment of 5 ng/mL in ferritin levels and 5 mg/day in dietary heme iron were, respectively, 1.01 (0.99-1.02) and 3.24 (2.05-5.10). CONCLUSION: Elevated levels of ferritin may help identify individuals at high risk of T2DM. Further research is warranted to establish causality of these associations and to ascertain which patients are likely to benefit from lifestyle or therapeutic interventions.", "author" : [ { "dropping-particle" : "", "family" : "Kunutsor", "given" : "Setor K", "non-dropping-particle" : "", "parse-names" : false, "suffix" : "" }, { "dropping-particle" : "", "family" : "Apekey", "given" : "Tanefa A", "non-dropping-particle" : "", "parse-names" : false, "suffix" : "" }, { "dropping-particle" : "", "family" : "Walley", "given" : "John", "non-dropping-particle" : "", "parse-names" : false, "suffix" : "" }, { "dropping-particle" : "", "family" : "Kain", "given" : "Kirti", "non-dropping-particle" : "", "parse-names" : false, "suffix" : "" } ], "container-title" : "Diabetes/metabolism research and reviews", "id" : "ITEM-1", "issue" : "4", "issued" : { "date-parts" : [ [ "2013", "5" ] ] }, "page" : "308-18", "title" : "Ferritin levels and risk of type 2 diabetes mellitus: an updated systematic review and meta-analysis of prospective evidence.", "type" : "article-journal", "volume" : "29" }, "uris" : [ "http://www.mendeley.com/documents/?uuid=ea13285a-1001-4dcb-899a-91d9a0914311" ] } ], "mendeley" : { "formattedCitation" : "(3)", "plainTextFormattedCitation" : "(3)", "previouslyFormattedCitation" : "(3)" }, "properties" : { "noteIndex" : 0 }, "schema" : "https://github.com/citation-style-language/schema/raw/master/csl-citation.json" }</w:instrText>
      </w:r>
      <w:r w:rsidR="00F136CF" w:rsidRPr="0018334E">
        <w:rPr>
          <w:rFonts w:ascii="Arial" w:hAnsi="Arial" w:cs="Arial"/>
          <w:sz w:val="24"/>
          <w:szCs w:val="24"/>
          <w:lang w:val="en-US"/>
        </w:rPr>
        <w:fldChar w:fldCharType="separate"/>
      </w:r>
      <w:r w:rsidR="00422013" w:rsidRPr="00422013">
        <w:rPr>
          <w:rFonts w:ascii="Arial" w:hAnsi="Arial" w:cs="Arial"/>
          <w:noProof/>
          <w:sz w:val="24"/>
          <w:szCs w:val="24"/>
          <w:lang w:val="en-US"/>
        </w:rPr>
        <w:t>(3)</w:t>
      </w:r>
      <w:r w:rsidR="00F136CF" w:rsidRPr="0018334E">
        <w:rPr>
          <w:rFonts w:ascii="Arial" w:hAnsi="Arial" w:cs="Arial"/>
          <w:sz w:val="24"/>
          <w:szCs w:val="24"/>
          <w:lang w:val="en-US"/>
        </w:rPr>
        <w:fldChar w:fldCharType="end"/>
      </w:r>
      <w:r w:rsidR="005C617A" w:rsidRPr="0018334E">
        <w:rPr>
          <w:rFonts w:ascii="Arial" w:hAnsi="Arial" w:cs="Arial"/>
          <w:sz w:val="24"/>
          <w:szCs w:val="24"/>
          <w:lang w:val="en-US"/>
        </w:rPr>
        <w:t>.</w:t>
      </w:r>
      <w:r w:rsidR="00963BDD" w:rsidRPr="0018334E">
        <w:rPr>
          <w:rFonts w:ascii="Arial" w:hAnsi="Arial" w:cs="Arial"/>
          <w:sz w:val="24"/>
          <w:szCs w:val="24"/>
          <w:lang w:val="en-US"/>
        </w:rPr>
        <w:t xml:space="preserve"> </w:t>
      </w:r>
      <w:r w:rsidR="00A7611B" w:rsidRPr="0018334E">
        <w:rPr>
          <w:rFonts w:ascii="Arial" w:hAnsi="Arial" w:cs="Arial"/>
          <w:sz w:val="24"/>
          <w:szCs w:val="24"/>
          <w:lang w:val="en-US"/>
        </w:rPr>
        <w:t xml:space="preserve">This </w:t>
      </w:r>
      <w:r w:rsidR="00CB059A" w:rsidRPr="0018334E">
        <w:rPr>
          <w:rFonts w:ascii="Arial" w:hAnsi="Arial" w:cs="Arial"/>
          <w:sz w:val="24"/>
          <w:szCs w:val="24"/>
          <w:lang w:val="en-US"/>
        </w:rPr>
        <w:t xml:space="preserve">difference </w:t>
      </w:r>
      <w:r w:rsidR="008569D6" w:rsidRPr="0018334E">
        <w:rPr>
          <w:rFonts w:ascii="Arial" w:hAnsi="Arial" w:cs="Arial"/>
          <w:sz w:val="24"/>
          <w:szCs w:val="24"/>
          <w:lang w:val="en-US"/>
        </w:rPr>
        <w:t xml:space="preserve">may be </w:t>
      </w:r>
      <w:r w:rsidR="00A7611B" w:rsidRPr="0018334E">
        <w:rPr>
          <w:rFonts w:ascii="Arial" w:hAnsi="Arial" w:cs="Arial"/>
          <w:sz w:val="24"/>
          <w:szCs w:val="24"/>
          <w:lang w:val="en-US"/>
        </w:rPr>
        <w:t xml:space="preserve">explained by the </w:t>
      </w:r>
      <w:r w:rsidR="00985F5E" w:rsidRPr="0018334E">
        <w:rPr>
          <w:rFonts w:ascii="Arial" w:hAnsi="Arial" w:cs="Arial"/>
          <w:sz w:val="24"/>
          <w:szCs w:val="24"/>
          <w:lang w:val="en-US"/>
        </w:rPr>
        <w:t xml:space="preserve">much </w:t>
      </w:r>
      <w:r w:rsidR="00A7611B" w:rsidRPr="0018334E">
        <w:rPr>
          <w:rFonts w:ascii="Arial" w:hAnsi="Arial" w:cs="Arial"/>
          <w:sz w:val="24"/>
          <w:szCs w:val="24"/>
          <w:lang w:val="en-US"/>
        </w:rPr>
        <w:t xml:space="preserve">larger </w:t>
      </w:r>
      <w:r w:rsidR="00554A60" w:rsidRPr="0018334E">
        <w:rPr>
          <w:rFonts w:ascii="Arial" w:hAnsi="Arial" w:cs="Arial"/>
          <w:sz w:val="24"/>
          <w:szCs w:val="24"/>
          <w:lang w:val="en-US"/>
        </w:rPr>
        <w:t>number of cases</w:t>
      </w:r>
      <w:r w:rsidR="00A7611B" w:rsidRPr="0018334E">
        <w:rPr>
          <w:rFonts w:ascii="Arial" w:hAnsi="Arial" w:cs="Arial"/>
          <w:sz w:val="24"/>
          <w:szCs w:val="24"/>
          <w:lang w:val="en-US"/>
        </w:rPr>
        <w:t xml:space="preserve"> in </w:t>
      </w:r>
      <w:r w:rsidR="00963BDD" w:rsidRPr="0018334E">
        <w:rPr>
          <w:rFonts w:ascii="Arial" w:hAnsi="Arial" w:cs="Arial"/>
          <w:sz w:val="24"/>
          <w:szCs w:val="24"/>
          <w:lang w:val="en-US"/>
        </w:rPr>
        <w:t xml:space="preserve">the </w:t>
      </w:r>
      <w:r w:rsidR="00CB059A" w:rsidRPr="0018334E">
        <w:rPr>
          <w:rFonts w:ascii="Arial" w:hAnsi="Arial" w:cs="Arial"/>
          <w:sz w:val="24"/>
          <w:szCs w:val="24"/>
          <w:lang w:val="en-US"/>
        </w:rPr>
        <w:t>present</w:t>
      </w:r>
      <w:r w:rsidR="00C61D13" w:rsidRPr="0018334E">
        <w:rPr>
          <w:rFonts w:ascii="Arial" w:hAnsi="Arial" w:cs="Arial"/>
          <w:sz w:val="24"/>
          <w:szCs w:val="24"/>
          <w:lang w:val="en-US"/>
        </w:rPr>
        <w:t xml:space="preserve"> </w:t>
      </w:r>
      <w:r w:rsidR="00985F5E" w:rsidRPr="0018334E">
        <w:rPr>
          <w:rFonts w:ascii="Arial" w:hAnsi="Arial" w:cs="Arial"/>
          <w:sz w:val="24"/>
          <w:szCs w:val="24"/>
          <w:lang w:val="en-US"/>
        </w:rPr>
        <w:t>study</w:t>
      </w:r>
      <w:r w:rsidR="00051B85" w:rsidRPr="0018334E">
        <w:rPr>
          <w:rFonts w:ascii="Arial" w:hAnsi="Arial" w:cs="Arial"/>
          <w:sz w:val="24"/>
          <w:szCs w:val="24"/>
          <w:lang w:val="en-US"/>
        </w:rPr>
        <w:t xml:space="preserve"> (</w:t>
      </w:r>
      <w:r w:rsidR="00576566" w:rsidRPr="0018334E">
        <w:rPr>
          <w:rFonts w:ascii="Arial" w:hAnsi="Arial" w:cs="Arial"/>
          <w:sz w:val="24"/>
          <w:szCs w:val="24"/>
          <w:lang w:val="en-US"/>
        </w:rPr>
        <w:t>11,052 versus</w:t>
      </w:r>
      <w:r w:rsidR="00051B85" w:rsidRPr="0018334E">
        <w:rPr>
          <w:rFonts w:ascii="Arial" w:hAnsi="Arial" w:cs="Arial"/>
          <w:sz w:val="24"/>
          <w:szCs w:val="24"/>
          <w:lang w:val="en-US"/>
        </w:rPr>
        <w:t xml:space="preserve"> 3,391)</w:t>
      </w:r>
      <w:r w:rsidR="00985F5E" w:rsidRPr="0018334E">
        <w:rPr>
          <w:rFonts w:ascii="Arial" w:hAnsi="Arial" w:cs="Arial"/>
          <w:sz w:val="24"/>
          <w:szCs w:val="24"/>
          <w:lang w:val="en-US"/>
        </w:rPr>
        <w:t xml:space="preserve">, </w:t>
      </w:r>
      <w:r w:rsidR="001E3120" w:rsidRPr="0018334E">
        <w:rPr>
          <w:rFonts w:ascii="Arial" w:hAnsi="Arial" w:cs="Arial"/>
          <w:sz w:val="24"/>
          <w:szCs w:val="24"/>
          <w:lang w:val="en-US"/>
        </w:rPr>
        <w:t>and the lack of</w:t>
      </w:r>
      <w:r w:rsidR="003D3F9D" w:rsidRPr="0018334E">
        <w:rPr>
          <w:rFonts w:ascii="Arial" w:hAnsi="Arial" w:cs="Arial"/>
          <w:sz w:val="24"/>
          <w:szCs w:val="24"/>
          <w:lang w:val="en-US"/>
        </w:rPr>
        <w:t xml:space="preserve"> adjustment for liver enzymes in </w:t>
      </w:r>
      <w:r w:rsidR="001E3120" w:rsidRPr="0018334E">
        <w:rPr>
          <w:rFonts w:ascii="Arial" w:hAnsi="Arial" w:cs="Arial"/>
          <w:sz w:val="24"/>
          <w:szCs w:val="24"/>
          <w:lang w:val="en-US"/>
        </w:rPr>
        <w:t xml:space="preserve">many of </w:t>
      </w:r>
      <w:r w:rsidR="00820098" w:rsidRPr="0018334E">
        <w:rPr>
          <w:rFonts w:ascii="Arial" w:hAnsi="Arial" w:cs="Arial"/>
          <w:sz w:val="24"/>
          <w:szCs w:val="24"/>
          <w:lang w:val="en-US"/>
        </w:rPr>
        <w:t xml:space="preserve">the </w:t>
      </w:r>
      <w:r w:rsidR="003D3F9D" w:rsidRPr="0018334E">
        <w:rPr>
          <w:rFonts w:ascii="Arial" w:hAnsi="Arial" w:cs="Arial"/>
          <w:sz w:val="24"/>
          <w:szCs w:val="24"/>
          <w:lang w:val="en-US"/>
        </w:rPr>
        <w:t>studies included in the meta-analysis</w:t>
      </w:r>
      <w:r w:rsidR="00B741E1" w:rsidRPr="0018334E">
        <w:rPr>
          <w:rFonts w:ascii="Arial" w:hAnsi="Arial" w:cs="Arial"/>
          <w:sz w:val="24"/>
          <w:szCs w:val="24"/>
          <w:lang w:val="en-US"/>
        </w:rPr>
        <w:t>.</w:t>
      </w:r>
      <w:r w:rsidR="00173B14" w:rsidRPr="0018334E">
        <w:rPr>
          <w:rFonts w:ascii="Arial" w:hAnsi="Arial" w:cs="Arial"/>
          <w:sz w:val="24"/>
          <w:szCs w:val="24"/>
          <w:lang w:val="en-US"/>
        </w:rPr>
        <w:t xml:space="preserve"> </w:t>
      </w:r>
      <w:r w:rsidR="002F05CD">
        <w:rPr>
          <w:rFonts w:ascii="Arial" w:hAnsi="Arial" w:cs="Arial"/>
          <w:sz w:val="24"/>
          <w:szCs w:val="24"/>
          <w:lang w:val="en-US"/>
        </w:rPr>
        <w:t>The</w:t>
      </w:r>
      <w:r w:rsidR="002857CF">
        <w:rPr>
          <w:rFonts w:ascii="Arial" w:hAnsi="Arial" w:cs="Arial"/>
          <w:sz w:val="24"/>
          <w:szCs w:val="24"/>
          <w:lang w:val="en-US"/>
        </w:rPr>
        <w:t xml:space="preserve"> stronger association in women than in men using natural units</w:t>
      </w:r>
      <w:r w:rsidR="002F05CD">
        <w:rPr>
          <w:rFonts w:ascii="Arial" w:hAnsi="Arial" w:cs="Arial"/>
          <w:sz w:val="24"/>
          <w:szCs w:val="24"/>
          <w:lang w:val="en-US"/>
        </w:rPr>
        <w:t xml:space="preserve"> was no longer apparent </w:t>
      </w:r>
      <w:r w:rsidR="002857CF">
        <w:rPr>
          <w:rFonts w:ascii="Arial" w:hAnsi="Arial" w:cs="Arial"/>
          <w:sz w:val="24"/>
          <w:szCs w:val="24"/>
          <w:lang w:val="en-US"/>
        </w:rPr>
        <w:t>when using standardized units, sug</w:t>
      </w:r>
      <w:r w:rsidR="002F05CD">
        <w:rPr>
          <w:rFonts w:ascii="Arial" w:hAnsi="Arial" w:cs="Arial"/>
          <w:sz w:val="24"/>
          <w:szCs w:val="24"/>
          <w:lang w:val="en-US"/>
        </w:rPr>
        <w:t>gesting that the stronger association is a reflection</w:t>
      </w:r>
      <w:r w:rsidR="002857CF">
        <w:rPr>
          <w:rFonts w:ascii="Arial" w:hAnsi="Arial" w:cs="Arial"/>
          <w:sz w:val="24"/>
          <w:szCs w:val="24"/>
          <w:lang w:val="en-US"/>
        </w:rPr>
        <w:t xml:space="preserve"> </w:t>
      </w:r>
      <w:r w:rsidR="002F05CD">
        <w:rPr>
          <w:rFonts w:ascii="Arial" w:hAnsi="Arial" w:cs="Arial"/>
          <w:sz w:val="24"/>
          <w:szCs w:val="24"/>
          <w:lang w:val="en-US"/>
        </w:rPr>
        <w:t>of t</w:t>
      </w:r>
      <w:r w:rsidR="002857CF">
        <w:rPr>
          <w:rFonts w:ascii="Arial" w:hAnsi="Arial" w:cs="Arial"/>
          <w:sz w:val="24"/>
          <w:szCs w:val="24"/>
          <w:lang w:val="en-US"/>
        </w:rPr>
        <w:t xml:space="preserve">he different distributions of ferritin in men and women in the population. </w:t>
      </w:r>
      <w:r w:rsidR="00CC4BFD" w:rsidRPr="0018334E">
        <w:rPr>
          <w:rFonts w:ascii="Arial" w:hAnsi="Arial" w:cs="Arial"/>
          <w:sz w:val="24"/>
          <w:szCs w:val="24"/>
          <w:lang w:val="en-US"/>
        </w:rPr>
        <w:t>Contrary to suggestions from previous studies</w:t>
      </w:r>
      <w:r w:rsidR="00A13C13" w:rsidRPr="0018334E">
        <w:rPr>
          <w:rFonts w:ascii="Arial" w:hAnsi="Arial" w:cs="Arial"/>
          <w:sz w:val="24"/>
          <w:szCs w:val="24"/>
          <w:lang w:val="en-US"/>
        </w:rPr>
        <w:t xml:space="preserve"> </w:t>
      </w:r>
      <w:r w:rsidR="00D70FBB" w:rsidRPr="0018334E">
        <w:rPr>
          <w:rFonts w:ascii="Arial" w:hAnsi="Arial" w:cs="Arial"/>
          <w:sz w:val="24"/>
          <w:szCs w:val="24"/>
          <w:lang w:val="en-US"/>
        </w:rPr>
        <w:fldChar w:fldCharType="begin" w:fldLock="1"/>
      </w:r>
      <w:r w:rsidR="00891484">
        <w:rPr>
          <w:rFonts w:ascii="Arial" w:hAnsi="Arial" w:cs="Arial"/>
          <w:sz w:val="24"/>
          <w:szCs w:val="24"/>
          <w:lang w:val="en-US"/>
        </w:rPr>
        <w:instrText>ADDIN CSL_CITATION { "citationItems" : [ { "id" : "ITEM-1", "itemData" : { "DOI" : "10.1371/journal.pone.0075250", "ISSN" : "1932-6203", "PMID" : "24098686", "abstract" : "BACKGROUND: Elevated ferritin concentration has been implicated in the etiology of type 2 diabetes. Accumulating evidence, mostly from studies conducted on western populations, has demonstrated a strong association between the elevated ferritin concentrations and incident type 2 diabetes. In Asian populations, however, the longitudinal studies investigating the association of elevated serum ferritin levels and type 2 diabetes are lacking. In present study, we aimed to determine whether elevated serum ferritin levels are related to the incident type 2 diabetes in healthy Korean men. METHODOLOGY/PRINCIPAL FINDINGS: This 4 year longitudinal observational study was conducted at the Asan Medical Center, Seoul, Republic of Korea. The study population consisted of 2,029 men without type 2 diabetes who underwent routine health examination in 2007 (baseline) and 2011 (follow-up). Baseline serum ferritin concentrations were measured by chemiluminescent two-site sandwich immunoassay. In multiple-adjusted model, the relative risk (RR) for incident type 2 diabetes was significantly higher in highest compared with the lowest ferritin quartile category, even after adjusting for confounding variables including homeostasis model assessment of insulin resistance (RR = 2.17, 95% confidence interval 1.27-3.72, P for trend = 0.013). CONCLUSIONS/SIGNIFICANCE: These results demonstrated that elevated level of serum ferritin at baseline was associated with incident type 2 diabetes in an Asian population.", "author" : [ { "dropping-particle" : "", "family" : "Jung", "given" : "Chang Hee", "non-dropping-particle" : "", "parse-names" : false, "suffix" : "" }, { "dropping-particle" : "", "family" : "Lee", "given" : "Min Jung", "non-dropping-particle" : "", "parse-names" : false, "suffix" : "" }, { "dropping-particle" : "", "family" : "Hwang", "given" : "Jenie Yoonoo", "non-dropping-particle" : "", "parse-names" : false, "suffix" : "" }, { "dropping-particle" : "", "family" : "Jang", "given" : "Jung Eun", "non-dropping-particle" : "", "parse-names" : false, "suffix" : "" }, { "dropping-particle" : "", "family" : "Leem", "given" : "Jaechan", "non-dropping-particle" : "", "parse-names" : false, "suffix" : "" }, { "dropping-particle" : "", "family" : "Park", "given" : "Joong-Yeol", "non-dropping-particle" : "", "parse-names" : false, "suffix" : "" }, { "dropping-particle" : "", "family" : "Lee", "given" : "JungBok", "non-dropping-particle" : "", "parse-names" : false, "suffix" : "" }, { "dropping-particle" : "", "family" : "Kim", "given" : "Hong-Kyu", "non-dropping-particle" : "", "parse-names" : false, "suffix" : "" }, { "dropping-particle" : "", "family" : "Lee", "given" : "Woo Je", "non-dropping-particle" : "", "parse-names" : false, "suffix" : "" } ], "container-title" : "PLoS One", "id" : "ITEM-1", "issue" : "9", "issued" : { "date-parts" : [ [ "2013", "1" ] ] }, "page" : "e75250", "title" : "Elevated serum ferritin level is associated with the incident type 2 diabetes in healthy Korean men: a 4 year longitudinal study.", "type" : "article-journal", "volume" : "8" }, "uris" : [ "http://www.mendeley.com/documents/?uuid=2c7a6f73-e547-48c4-b404-94dd400e8a5c" ] }, { "id" : "ITEM-2", "itemData" : { "DOI" : "10.1016/j.metabol.2011.02.008", "ISSN" : "1532-8600", "PMID" : "21489582", "abstract" : "We examined the association of serum ferritin levels with metabolic syndrome (MS) and diabetes mellitus in a representative sample of the adult South Korean population using data from the 2008 Korean National Health and Nutrition Examination Survey. We conducted a cross-sectional study of 6311 adults older than 20 years who participated in the 2008 Korean National Health and Nutrition Examination Survey. Metabolic syndrome was defined as the presence of at least 3 of the following: elevated blood pressure, low high-density lipoprotein cholesterol, elevated serum triglycerides, elevated plasma glucose, and abdominal obesity. Diabetes mellitus was defined as fasting glucose of at least 126 mg/dL. Insulin resistance was determined using the homeostasis model assessment estimate of insulin resistance. In a representative sample of the adult Korean population, MS was more prevalent in the highest quartile compared with the lowest quartile of serum ferritin concentrations in women following adjustments for age, education, smoking, alcohol intake, body mass index, aspartate aminotransferase, and alanine aminotransferase. Diabetes mellitus was more prevalent in the highest quartile compared with the lowest quartile of serum ferritin concentrations in premenopausal women and men. The geometric means of fasting insulin and insulin resistance determined using the homeostasis model assessment of insulin resistance in the fourth serum ferritin quartiles of postmenopausal women and men were significantly higher compared with those in the first quartile of the respective groups. The present study demonstrates that elevated serum ferritin concentrations are associated with an increased risk of MS and diabetes mellitus in a representative sample of the adult South Korean population.", "author" : [ { "dropping-particle" : "", "family" : "Lee", "given" : "Byung-Kook", "non-dropping-particle" : "", "parse-names" : false, "suffix" : "" }, { "dropping-particle" : "", "family" : "Kim", "given" : "Yangho", "non-dropping-particle" : "", "parse-names" : false, "suffix" : "" }, { "dropping-particle" : "", "family" : "Kim", "given" : "Young-Il", "non-dropping-particle" : "", "parse-names" : false, "suffix" : "" } ], "container-title" : "Metabolism: Clinical and Experimental", "id" : "ITEM-2", "issue" : "10", "issued" : { "date-parts" : [ [ "2011", "10" ] ] }, "page" : "1416-24", "publisher" : "Elsevier B.V.", "title" : "Association of serum ferritin with metabolic syndrome and diabetes mellitus in the South Korean general population according to the Korean National Health and Nutrition Examination Survey 2008.", "type" : "article-journal", "volume" : "60" }, "uris" : [ "http://www.mendeley.com/documents/?uuid=f2e65281-9171-4b45-a9ba-dc0ad453b7d0" ] } ], "mendeley" : { "formattedCitation" : "(21,22)", "plainTextFormattedCitation" : "(21,22)", "previouslyFormattedCitation" : "(21,22)" }, "properties" : { "noteIndex" : 0 }, "schema" : "https://github.com/citation-style-language/schema/raw/master/csl-citation.json" }</w:instrText>
      </w:r>
      <w:r w:rsidR="00D70FBB" w:rsidRPr="0018334E">
        <w:rPr>
          <w:rFonts w:ascii="Arial" w:hAnsi="Arial" w:cs="Arial"/>
          <w:sz w:val="24"/>
          <w:szCs w:val="24"/>
          <w:lang w:val="en-US"/>
        </w:rPr>
        <w:fldChar w:fldCharType="separate"/>
      </w:r>
      <w:r w:rsidR="00891484" w:rsidRPr="00891484">
        <w:rPr>
          <w:rFonts w:ascii="Arial" w:hAnsi="Arial" w:cs="Arial"/>
          <w:noProof/>
          <w:sz w:val="24"/>
          <w:szCs w:val="24"/>
          <w:lang w:val="en-US"/>
        </w:rPr>
        <w:t>(21,22)</w:t>
      </w:r>
      <w:r w:rsidR="00D70FBB" w:rsidRPr="0018334E">
        <w:rPr>
          <w:rFonts w:ascii="Arial" w:hAnsi="Arial" w:cs="Arial"/>
          <w:sz w:val="24"/>
          <w:szCs w:val="24"/>
          <w:lang w:val="en-US"/>
        </w:rPr>
        <w:fldChar w:fldCharType="end"/>
      </w:r>
      <w:r w:rsidR="00CC4BFD" w:rsidRPr="0018334E">
        <w:rPr>
          <w:rFonts w:ascii="Arial" w:hAnsi="Arial" w:cs="Arial"/>
          <w:sz w:val="24"/>
          <w:szCs w:val="24"/>
          <w:lang w:val="en-US"/>
        </w:rPr>
        <w:t xml:space="preserve"> we did not observe a threshold effect of ferritin </w:t>
      </w:r>
      <w:r w:rsidR="00992CC3" w:rsidRPr="0018334E">
        <w:rPr>
          <w:rFonts w:ascii="Arial" w:hAnsi="Arial" w:cs="Arial"/>
          <w:sz w:val="24"/>
          <w:szCs w:val="24"/>
          <w:lang w:val="en-US"/>
        </w:rPr>
        <w:t xml:space="preserve">with incident </w:t>
      </w:r>
      <w:r w:rsidR="0019207F" w:rsidRPr="0018334E">
        <w:rPr>
          <w:rFonts w:ascii="Arial" w:hAnsi="Arial" w:cs="Arial"/>
          <w:sz w:val="24"/>
          <w:szCs w:val="24"/>
          <w:lang w:val="en-US"/>
        </w:rPr>
        <w:t xml:space="preserve">type 2 </w:t>
      </w:r>
      <w:r w:rsidR="0019207F" w:rsidRPr="0018334E">
        <w:rPr>
          <w:rFonts w:ascii="Arial" w:hAnsi="Arial" w:cs="Arial"/>
          <w:sz w:val="24"/>
          <w:szCs w:val="24"/>
          <w:lang w:val="en-US"/>
        </w:rPr>
        <w:lastRenderedPageBreak/>
        <w:t>diabetes</w:t>
      </w:r>
      <w:r w:rsidR="00992CC3" w:rsidRPr="0018334E">
        <w:rPr>
          <w:rFonts w:ascii="Arial" w:hAnsi="Arial" w:cs="Arial"/>
          <w:sz w:val="24"/>
          <w:szCs w:val="24"/>
          <w:lang w:val="en-US"/>
        </w:rPr>
        <w:t xml:space="preserve"> </w:t>
      </w:r>
      <w:r w:rsidR="00CC4BFD" w:rsidRPr="0018334E">
        <w:rPr>
          <w:rFonts w:ascii="Arial" w:hAnsi="Arial" w:cs="Arial"/>
          <w:sz w:val="24"/>
          <w:szCs w:val="24"/>
          <w:lang w:val="en-US"/>
        </w:rPr>
        <w:t xml:space="preserve">in </w:t>
      </w:r>
      <w:r w:rsidR="00992CC3" w:rsidRPr="0018334E">
        <w:rPr>
          <w:rFonts w:ascii="Arial" w:hAnsi="Arial" w:cs="Arial"/>
          <w:sz w:val="24"/>
          <w:szCs w:val="24"/>
          <w:lang w:val="en-US"/>
        </w:rPr>
        <w:t xml:space="preserve">the </w:t>
      </w:r>
      <w:proofErr w:type="spellStart"/>
      <w:r w:rsidR="00A9063B" w:rsidRPr="0018334E">
        <w:rPr>
          <w:rFonts w:ascii="Arial" w:hAnsi="Arial" w:cs="Arial"/>
          <w:sz w:val="24"/>
          <w:szCs w:val="24"/>
          <w:lang w:val="en-US"/>
        </w:rPr>
        <w:t>InterAct</w:t>
      </w:r>
      <w:proofErr w:type="spellEnd"/>
      <w:r w:rsidR="00992CC3" w:rsidRPr="0018334E">
        <w:rPr>
          <w:rFonts w:ascii="Arial" w:hAnsi="Arial" w:cs="Arial"/>
          <w:sz w:val="24"/>
          <w:szCs w:val="24"/>
          <w:lang w:val="en-US"/>
        </w:rPr>
        <w:t xml:space="preserve"> study</w:t>
      </w:r>
      <w:r w:rsidR="00CC4BFD" w:rsidRPr="0018334E">
        <w:rPr>
          <w:rFonts w:ascii="Arial" w:hAnsi="Arial" w:cs="Arial"/>
          <w:sz w:val="24"/>
          <w:szCs w:val="24"/>
          <w:lang w:val="en-US"/>
        </w:rPr>
        <w:t>, but rather a linear association</w:t>
      </w:r>
      <w:r w:rsidR="00992CC3" w:rsidRPr="0018334E">
        <w:rPr>
          <w:rFonts w:ascii="Arial" w:hAnsi="Arial" w:cs="Arial"/>
          <w:sz w:val="24"/>
          <w:szCs w:val="24"/>
          <w:lang w:val="en-US"/>
        </w:rPr>
        <w:t>, with a</w:t>
      </w:r>
      <w:r w:rsidR="005C617A" w:rsidRPr="0018334E">
        <w:rPr>
          <w:rFonts w:ascii="Arial" w:hAnsi="Arial" w:cs="Arial"/>
          <w:sz w:val="24"/>
          <w:szCs w:val="24"/>
          <w:lang w:val="en-US"/>
        </w:rPr>
        <w:t xml:space="preserve">n increased </w:t>
      </w:r>
      <w:r w:rsidR="00CA7DA4" w:rsidRPr="0018334E">
        <w:rPr>
          <w:rFonts w:ascii="Arial" w:hAnsi="Arial" w:cs="Arial"/>
          <w:sz w:val="24"/>
          <w:szCs w:val="24"/>
          <w:lang w:val="en-US"/>
        </w:rPr>
        <w:t>risk</w:t>
      </w:r>
      <w:r w:rsidR="00092FE1" w:rsidRPr="0018334E">
        <w:rPr>
          <w:rFonts w:ascii="Arial" w:hAnsi="Arial" w:cs="Arial"/>
          <w:sz w:val="24"/>
          <w:szCs w:val="24"/>
          <w:lang w:val="en-US"/>
        </w:rPr>
        <w:t xml:space="preserve"> even at levels of ferritin considered within the reference range</w:t>
      </w:r>
      <w:r w:rsidR="00B72DC0" w:rsidRPr="0018334E">
        <w:rPr>
          <w:rFonts w:ascii="Arial" w:hAnsi="Arial" w:cs="Arial"/>
          <w:sz w:val="24"/>
          <w:szCs w:val="24"/>
          <w:lang w:val="en-US"/>
        </w:rPr>
        <w:t>.</w:t>
      </w:r>
      <w:r w:rsidR="00992CC3" w:rsidRPr="0018334E">
        <w:rPr>
          <w:rFonts w:ascii="Arial" w:hAnsi="Arial" w:cs="Arial"/>
          <w:sz w:val="24"/>
          <w:szCs w:val="24"/>
          <w:lang w:val="en-US"/>
        </w:rPr>
        <w:t xml:space="preserve"> </w:t>
      </w:r>
      <w:r w:rsidR="00D72A8C" w:rsidRPr="0018334E">
        <w:rPr>
          <w:rFonts w:ascii="Arial" w:hAnsi="Arial" w:cs="Arial"/>
          <w:sz w:val="24"/>
          <w:szCs w:val="24"/>
          <w:lang w:val="en-US"/>
        </w:rPr>
        <w:t>For the first time, we demonstrated that ferritin showed a relatively stronger association among leaner individuals</w:t>
      </w:r>
      <w:r w:rsidR="005F1B95" w:rsidRPr="0018334E">
        <w:rPr>
          <w:rFonts w:ascii="Arial" w:hAnsi="Arial" w:cs="Arial"/>
          <w:sz w:val="24"/>
          <w:szCs w:val="24"/>
          <w:lang w:val="en-US"/>
        </w:rPr>
        <w:t xml:space="preserve">. This may be </w:t>
      </w:r>
      <w:r w:rsidR="00891484">
        <w:rPr>
          <w:rFonts w:ascii="Arial" w:hAnsi="Arial" w:cs="Arial"/>
          <w:sz w:val="24"/>
          <w:szCs w:val="24"/>
          <w:lang w:val="en-US"/>
        </w:rPr>
        <w:t>due to</w:t>
      </w:r>
      <w:r w:rsidR="00342C35">
        <w:rPr>
          <w:rFonts w:ascii="Arial" w:hAnsi="Arial" w:cs="Arial"/>
          <w:sz w:val="24"/>
          <w:szCs w:val="24"/>
          <w:lang w:val="en-US"/>
        </w:rPr>
        <w:t xml:space="preserve"> the fact that</w:t>
      </w:r>
      <w:r w:rsidR="00342C35" w:rsidRPr="0018334E">
        <w:rPr>
          <w:rFonts w:ascii="Arial" w:hAnsi="Arial" w:cs="Arial"/>
          <w:sz w:val="24"/>
          <w:szCs w:val="24"/>
          <w:lang w:val="en-US"/>
        </w:rPr>
        <w:t xml:space="preserve"> </w:t>
      </w:r>
      <w:r w:rsidR="005F1B95" w:rsidRPr="0018334E">
        <w:rPr>
          <w:rFonts w:ascii="Arial" w:hAnsi="Arial" w:cs="Arial"/>
          <w:sz w:val="24"/>
          <w:szCs w:val="24"/>
          <w:lang w:val="en-US"/>
        </w:rPr>
        <w:t xml:space="preserve">leaner individuals have a lower absolute risk of </w:t>
      </w:r>
      <w:r w:rsidR="0019207F" w:rsidRPr="0018334E">
        <w:rPr>
          <w:rFonts w:ascii="Arial" w:hAnsi="Arial" w:cs="Arial"/>
          <w:sz w:val="24"/>
          <w:szCs w:val="24"/>
          <w:lang w:val="en-US"/>
        </w:rPr>
        <w:t>type 2 diabetes</w:t>
      </w:r>
      <w:r w:rsidR="002F05CD">
        <w:rPr>
          <w:rFonts w:ascii="Arial" w:hAnsi="Arial" w:cs="Arial"/>
          <w:sz w:val="24"/>
          <w:szCs w:val="24"/>
          <w:lang w:val="en-US"/>
        </w:rPr>
        <w:t xml:space="preserve"> </w:t>
      </w:r>
      <w:r w:rsidR="00342C35">
        <w:rPr>
          <w:rFonts w:ascii="Arial" w:hAnsi="Arial" w:cs="Arial"/>
          <w:sz w:val="24"/>
          <w:szCs w:val="24"/>
          <w:lang w:val="en-US"/>
        </w:rPr>
        <w:t xml:space="preserve">and </w:t>
      </w:r>
      <w:r w:rsidR="00052CAB">
        <w:rPr>
          <w:rFonts w:ascii="Arial" w:hAnsi="Arial" w:cs="Arial"/>
          <w:sz w:val="24"/>
          <w:szCs w:val="24"/>
          <w:lang w:val="en-US"/>
        </w:rPr>
        <w:t xml:space="preserve">that </w:t>
      </w:r>
      <w:r w:rsidR="002F05CD">
        <w:rPr>
          <w:rFonts w:ascii="Arial" w:hAnsi="Arial" w:cs="Arial"/>
          <w:sz w:val="24"/>
          <w:szCs w:val="24"/>
          <w:lang w:val="en-US"/>
        </w:rPr>
        <w:t xml:space="preserve">the standard deviation of ferritin is </w:t>
      </w:r>
      <w:r w:rsidR="00342C35">
        <w:rPr>
          <w:rFonts w:ascii="Arial" w:hAnsi="Arial" w:cs="Arial"/>
          <w:sz w:val="24"/>
          <w:szCs w:val="24"/>
          <w:lang w:val="en-US"/>
        </w:rPr>
        <w:t>smaller</w:t>
      </w:r>
      <w:r w:rsidR="002F05CD">
        <w:rPr>
          <w:rFonts w:ascii="Arial" w:hAnsi="Arial" w:cs="Arial"/>
          <w:sz w:val="24"/>
          <w:szCs w:val="24"/>
          <w:lang w:val="en-US"/>
        </w:rPr>
        <w:t xml:space="preserve"> among leaner individuals</w:t>
      </w:r>
      <w:r w:rsidR="005F1B95" w:rsidRPr="0018334E">
        <w:rPr>
          <w:rFonts w:ascii="Arial" w:hAnsi="Arial" w:cs="Arial"/>
          <w:sz w:val="24"/>
          <w:szCs w:val="24"/>
          <w:lang w:val="en-US"/>
        </w:rPr>
        <w:t xml:space="preserve">, </w:t>
      </w:r>
      <w:r w:rsidR="00342C35">
        <w:rPr>
          <w:rFonts w:ascii="Arial" w:hAnsi="Arial" w:cs="Arial"/>
          <w:sz w:val="24"/>
          <w:szCs w:val="24"/>
          <w:lang w:val="en-US"/>
        </w:rPr>
        <w:t>hence</w:t>
      </w:r>
      <w:r w:rsidR="005F1B95" w:rsidRPr="0018334E">
        <w:rPr>
          <w:rFonts w:ascii="Arial" w:hAnsi="Arial" w:cs="Arial"/>
          <w:sz w:val="24"/>
          <w:szCs w:val="24"/>
          <w:lang w:val="en-US"/>
        </w:rPr>
        <w:t xml:space="preserve"> the relative risk of ferritin </w:t>
      </w:r>
      <w:r w:rsidR="008D7368" w:rsidRPr="0018334E">
        <w:rPr>
          <w:rFonts w:ascii="Arial" w:hAnsi="Arial" w:cs="Arial"/>
          <w:sz w:val="24"/>
          <w:szCs w:val="24"/>
          <w:lang w:val="en-US"/>
        </w:rPr>
        <w:t>is</w:t>
      </w:r>
      <w:r w:rsidR="005F1B95" w:rsidRPr="0018334E">
        <w:rPr>
          <w:rFonts w:ascii="Arial" w:hAnsi="Arial" w:cs="Arial"/>
          <w:sz w:val="24"/>
          <w:szCs w:val="24"/>
          <w:lang w:val="en-US"/>
        </w:rPr>
        <w:t xml:space="preserve"> larger</w:t>
      </w:r>
      <w:r w:rsidR="008D7368" w:rsidRPr="0018334E">
        <w:rPr>
          <w:rFonts w:ascii="Arial" w:hAnsi="Arial" w:cs="Arial"/>
          <w:sz w:val="24"/>
          <w:szCs w:val="24"/>
          <w:lang w:val="en-US"/>
        </w:rPr>
        <w:t xml:space="preserve"> </w:t>
      </w:r>
      <w:r w:rsidR="00342C35">
        <w:rPr>
          <w:rFonts w:ascii="Arial" w:hAnsi="Arial" w:cs="Arial"/>
          <w:sz w:val="24"/>
          <w:szCs w:val="24"/>
          <w:lang w:val="en-US"/>
        </w:rPr>
        <w:t xml:space="preserve">in leaner </w:t>
      </w:r>
      <w:r w:rsidR="008D7368" w:rsidRPr="0018334E">
        <w:rPr>
          <w:rFonts w:ascii="Arial" w:hAnsi="Arial" w:cs="Arial"/>
          <w:sz w:val="24"/>
          <w:szCs w:val="24"/>
          <w:lang w:val="en-US"/>
        </w:rPr>
        <w:t>than in overweight or obese individuals</w:t>
      </w:r>
      <w:r w:rsidR="005F1B95" w:rsidRPr="0018334E">
        <w:rPr>
          <w:rFonts w:ascii="Arial" w:hAnsi="Arial" w:cs="Arial"/>
          <w:sz w:val="24"/>
          <w:szCs w:val="24"/>
          <w:lang w:val="en-US"/>
        </w:rPr>
        <w:t xml:space="preserve">. </w:t>
      </w:r>
      <w:r w:rsidR="00891484" w:rsidRPr="0018334E">
        <w:rPr>
          <w:rFonts w:ascii="Arial" w:hAnsi="Arial" w:cs="Arial"/>
          <w:sz w:val="24"/>
          <w:szCs w:val="24"/>
          <w:lang w:val="en-US"/>
        </w:rPr>
        <w:t xml:space="preserve">The association of higher transferrin with type 2 diabetes has previously been reported in a small prospective study, which also showed the absence of association of serum iron with type 2 diabetes </w:t>
      </w:r>
      <w:r w:rsidR="00891484" w:rsidRPr="0018334E">
        <w:rPr>
          <w:rFonts w:ascii="Arial" w:hAnsi="Arial" w:cs="Arial"/>
          <w:sz w:val="24"/>
          <w:szCs w:val="24"/>
          <w:lang w:val="en-US"/>
        </w:rPr>
        <w:fldChar w:fldCharType="begin" w:fldLock="1"/>
      </w:r>
      <w:r w:rsidR="00701290">
        <w:rPr>
          <w:rFonts w:ascii="Arial" w:hAnsi="Arial" w:cs="Arial"/>
          <w:sz w:val="24"/>
          <w:szCs w:val="24"/>
          <w:lang w:val="en-US"/>
        </w:rPr>
        <w:instrText>ADDIN CSL_CITATION { "citationItems" : [ { "id" : "ITEM-1", "itemData" : { "DOI" : "10.2337/dc06-0093", "ISSN" : "0149-5992", "PMID" : "16936158", "abstract" : "OBJECTIVE: The aim of the present work was to determine, in a cohort of men and women, whether ferritin and transferrin were associated with glucose metabolism and whether they were predictive of the onset of hyperglycemia (impaired fasting glycemia or type 2 diabetes) after 3 years of follow-up. RESEARCH DESIGN AND METHODS: Among 4,501 subjects from the French Data from an Epidemiological Study on the Insulin Resistance Syndrome (DESIR) cohort, 1,277 subjects (644 men and 633 women) were randomly selected for the analysis of iron biomarkers at baseline and at 3 years. In addition, to determine whether these parameters were relevant to pathological changes, all 231 subjects normoglycemic at baseline and hyperglycemic 3 years later were analyzed for iron biomarkers. RESULTS: At baseline, plasma ferritin concentrations were positively correlated with fasting insulin and fasting glucose in the 1,277 subjects. Although transferrin and ferritin were negatively correlated, transferrin was also positively correlated with fasting insulinemia. Baseline ferritin concentration was an independent predictor of an increase in insulin concentration over a 3-year period (P = 0.002). Further, baseline ferritin and transferrin were independently associated with the onset of hyperglycemia over a 3-year period in the whole population (P &lt; 0.001 for both) and in each sex. CONCLUSIONS: Although negatively correlated, both transferrin and ferritin were positively associated with the onset of abnormalities in glucose metabolism in a prospective study. These results further support the hypothesis of a causative role of iron metabolism in the onset of insulin resistance and type 2 diabetes.", "author" : [ { "dropping-particle" : "", "family" : "Fumeron", "given" : "Fr\u00e9d\u00e9ric", "non-dropping-particle" : "", "parse-names" : false, "suffix" : "" }, { "dropping-particle" : "", "family" : "P\u00e9an", "given" : "Franck", "non-dropping-particle" : "", "parse-names" : false, "suffix" : "" }, { "dropping-particle" : "", "family" : "Driss", "given" : "Fatti", "non-dropping-particle" : "", "parse-names" : false, "suffix" : "" }, { "dropping-particle" : "", "family" : "Balkau", "given" : "Beverley", "non-dropping-particle" : "", "parse-names" : false, "suffix" : "" }, { "dropping-particle" : "", "family" : "Tichet", "given" : "Jean", "non-dropping-particle" : "", "parse-names" : false, "suffix" : "" }, { "dropping-particle" : "", "family" : "Marre", "given" : "Michel", "non-dropping-particle" : "", "parse-names" : false, "suffix" : "" }, { "dropping-particle" : "", "family" : "Grandchamp", "given" : "Bernard", "non-dropping-particle" : "", "parse-names" : false, "suffix" : "" } ], "container-title" : "Diabetes Care", "id" : "ITEM-1", "issue" : "9", "issued" : { "date-parts" : [ [ "2006", "9" ] ] }, "note" : "Ferritin and transferrin are prospectively associated with T2D. ", "page" : "2090-4", "title" : "Ferritin and transferrin are both predictive of the onset of hyperglycemia in men and women over 3 years: the data from an epidemiological study on the Insulin Resistance Syndrome (DESIR) study.", "type" : "article-journal", "volume" : "29" }, "uris" : [ "http://www.mendeley.com/documents/?uuid=ae0b0950-3247-404d-bb44-2a1015bc329c" ] } ], "mendeley" : { "formattedCitation" : "(23)", "plainTextFormattedCitation" : "(23)", "previouslyFormattedCitation" : "(23)" }, "properties" : { "noteIndex" : 0 }, "schema" : "https://github.com/citation-style-language/schema/raw/master/csl-citation.json" }</w:instrText>
      </w:r>
      <w:r w:rsidR="00891484" w:rsidRPr="0018334E">
        <w:rPr>
          <w:rFonts w:ascii="Arial" w:hAnsi="Arial" w:cs="Arial"/>
          <w:sz w:val="24"/>
          <w:szCs w:val="24"/>
          <w:lang w:val="en-US"/>
        </w:rPr>
        <w:fldChar w:fldCharType="separate"/>
      </w:r>
      <w:r w:rsidR="004226D0" w:rsidRPr="004226D0">
        <w:rPr>
          <w:rFonts w:ascii="Arial" w:hAnsi="Arial" w:cs="Arial"/>
          <w:noProof/>
          <w:sz w:val="24"/>
          <w:szCs w:val="24"/>
          <w:lang w:val="en-US"/>
        </w:rPr>
        <w:t>(23)</w:t>
      </w:r>
      <w:r w:rsidR="00891484" w:rsidRPr="0018334E">
        <w:rPr>
          <w:rFonts w:ascii="Arial" w:hAnsi="Arial" w:cs="Arial"/>
          <w:sz w:val="24"/>
          <w:szCs w:val="24"/>
          <w:lang w:val="en-US"/>
        </w:rPr>
        <w:fldChar w:fldCharType="end"/>
      </w:r>
      <w:r w:rsidR="00891484" w:rsidRPr="0018334E">
        <w:rPr>
          <w:rFonts w:ascii="Arial" w:hAnsi="Arial" w:cs="Arial"/>
          <w:sz w:val="24"/>
          <w:szCs w:val="24"/>
          <w:lang w:val="en-US"/>
        </w:rPr>
        <w:t>.</w:t>
      </w:r>
      <w:r w:rsidR="00FC1DB0" w:rsidRPr="0018334E">
        <w:rPr>
          <w:rFonts w:ascii="Arial" w:hAnsi="Arial" w:cs="Arial"/>
          <w:sz w:val="24"/>
          <w:szCs w:val="24"/>
          <w:lang w:val="en-US"/>
        </w:rPr>
        <w:t xml:space="preserve"> </w:t>
      </w:r>
    </w:p>
    <w:p w:rsidR="00BC3D43" w:rsidRDefault="00BC3D43" w:rsidP="00F328BE">
      <w:pPr>
        <w:spacing w:after="0" w:line="480" w:lineRule="auto"/>
        <w:jc w:val="both"/>
        <w:rPr>
          <w:rFonts w:ascii="Arial" w:hAnsi="Arial" w:cs="Arial"/>
          <w:sz w:val="24"/>
          <w:szCs w:val="24"/>
          <w:lang w:val="en-US"/>
        </w:rPr>
      </w:pPr>
    </w:p>
    <w:p w:rsidR="00B705CA" w:rsidRPr="00701290" w:rsidRDefault="00891484" w:rsidP="00F328BE">
      <w:pPr>
        <w:spacing w:after="0" w:line="480" w:lineRule="auto"/>
        <w:jc w:val="both"/>
        <w:rPr>
          <w:rFonts w:ascii="Arial" w:hAnsi="Arial" w:cs="Arial"/>
          <w:sz w:val="24"/>
          <w:szCs w:val="24"/>
          <w:lang w:val="en-US"/>
        </w:rPr>
      </w:pPr>
      <w:r>
        <w:rPr>
          <w:rFonts w:ascii="Arial" w:hAnsi="Arial" w:cs="Arial"/>
          <w:sz w:val="24"/>
          <w:szCs w:val="24"/>
          <w:lang w:val="en-US"/>
        </w:rPr>
        <w:t>Nevertheless,</w:t>
      </w:r>
      <w:r w:rsidR="00BC3D43">
        <w:rPr>
          <w:rFonts w:ascii="Arial" w:hAnsi="Arial" w:cs="Arial"/>
          <w:sz w:val="24"/>
          <w:szCs w:val="24"/>
          <w:lang w:val="en-US"/>
        </w:rPr>
        <w:t xml:space="preserve"> our study found a more complex relationship between TSAT and diabetes. </w:t>
      </w:r>
      <w:r w:rsidR="003D3F9D" w:rsidRPr="0018334E">
        <w:rPr>
          <w:rFonts w:ascii="Arial" w:hAnsi="Arial" w:cs="Arial"/>
          <w:sz w:val="24"/>
          <w:szCs w:val="24"/>
          <w:lang w:val="en-US"/>
        </w:rPr>
        <w:t xml:space="preserve">Results from </w:t>
      </w:r>
      <w:r w:rsidR="00692874" w:rsidRPr="0018334E">
        <w:rPr>
          <w:rFonts w:ascii="Arial" w:hAnsi="Arial" w:cs="Arial"/>
          <w:sz w:val="24"/>
          <w:szCs w:val="24"/>
          <w:lang w:val="en-US"/>
        </w:rPr>
        <w:t xml:space="preserve">existing </w:t>
      </w:r>
      <w:r w:rsidR="003D3F9D" w:rsidRPr="0018334E">
        <w:rPr>
          <w:rFonts w:ascii="Arial" w:hAnsi="Arial" w:cs="Arial"/>
          <w:sz w:val="24"/>
          <w:szCs w:val="24"/>
          <w:lang w:val="en-US"/>
        </w:rPr>
        <w:t>p</w:t>
      </w:r>
      <w:r w:rsidR="00AD470C" w:rsidRPr="0018334E">
        <w:rPr>
          <w:rFonts w:ascii="Arial" w:hAnsi="Arial" w:cs="Arial"/>
          <w:sz w:val="24"/>
          <w:szCs w:val="24"/>
          <w:lang w:val="en-US"/>
        </w:rPr>
        <w:t>rospective s</w:t>
      </w:r>
      <w:r w:rsidR="00017362" w:rsidRPr="0018334E">
        <w:rPr>
          <w:rFonts w:ascii="Arial" w:hAnsi="Arial" w:cs="Arial"/>
          <w:sz w:val="24"/>
          <w:szCs w:val="24"/>
          <w:lang w:val="en-US"/>
        </w:rPr>
        <w:t>tu</w:t>
      </w:r>
      <w:r w:rsidR="003D3F9D" w:rsidRPr="0018334E">
        <w:rPr>
          <w:rFonts w:ascii="Arial" w:hAnsi="Arial" w:cs="Arial"/>
          <w:sz w:val="24"/>
          <w:szCs w:val="24"/>
          <w:lang w:val="en-US"/>
        </w:rPr>
        <w:t xml:space="preserve">dies of TSAT with </w:t>
      </w:r>
      <w:r w:rsidR="0019207F" w:rsidRPr="0018334E">
        <w:rPr>
          <w:rFonts w:ascii="Arial" w:hAnsi="Arial" w:cs="Arial"/>
          <w:sz w:val="24"/>
          <w:szCs w:val="24"/>
          <w:lang w:val="en-US"/>
        </w:rPr>
        <w:t xml:space="preserve">type </w:t>
      </w:r>
      <w:proofErr w:type="gramStart"/>
      <w:r w:rsidR="0019207F" w:rsidRPr="0018334E">
        <w:rPr>
          <w:rFonts w:ascii="Arial" w:hAnsi="Arial" w:cs="Arial"/>
          <w:sz w:val="24"/>
          <w:szCs w:val="24"/>
          <w:lang w:val="en-US"/>
        </w:rPr>
        <w:t>2 diabetes</w:t>
      </w:r>
      <w:proofErr w:type="gramEnd"/>
      <w:r w:rsidR="003D3F9D" w:rsidRPr="0018334E">
        <w:rPr>
          <w:rFonts w:ascii="Arial" w:hAnsi="Arial" w:cs="Arial"/>
          <w:sz w:val="24"/>
          <w:szCs w:val="24"/>
          <w:lang w:val="en-US"/>
        </w:rPr>
        <w:t xml:space="preserve"> </w:t>
      </w:r>
      <w:r w:rsidR="00110318" w:rsidRPr="0018334E">
        <w:rPr>
          <w:rFonts w:ascii="Arial" w:hAnsi="Arial" w:cs="Arial"/>
          <w:sz w:val="24"/>
          <w:szCs w:val="24"/>
          <w:lang w:val="en-US"/>
        </w:rPr>
        <w:t xml:space="preserve">are </w:t>
      </w:r>
      <w:r w:rsidR="003D3F9D" w:rsidRPr="0018334E">
        <w:rPr>
          <w:rFonts w:ascii="Arial" w:hAnsi="Arial" w:cs="Arial"/>
          <w:sz w:val="24"/>
          <w:szCs w:val="24"/>
          <w:lang w:val="en-US"/>
        </w:rPr>
        <w:t>conflicting</w:t>
      </w:r>
      <w:r w:rsidR="008569D6" w:rsidRPr="0018334E">
        <w:rPr>
          <w:rFonts w:ascii="Arial" w:hAnsi="Arial" w:cs="Arial"/>
          <w:sz w:val="24"/>
          <w:szCs w:val="24"/>
          <w:lang w:val="en-US"/>
        </w:rPr>
        <w:t xml:space="preserve">. </w:t>
      </w:r>
      <w:r w:rsidR="003D3F9D" w:rsidRPr="0018334E">
        <w:rPr>
          <w:rFonts w:ascii="Arial" w:hAnsi="Arial" w:cs="Arial"/>
          <w:sz w:val="24"/>
          <w:szCs w:val="24"/>
          <w:lang w:val="en-US"/>
        </w:rPr>
        <w:t xml:space="preserve">A </w:t>
      </w:r>
      <w:r w:rsidR="001C7642" w:rsidRPr="0018334E">
        <w:rPr>
          <w:rFonts w:ascii="Arial" w:hAnsi="Arial" w:cs="Arial"/>
          <w:sz w:val="24"/>
          <w:szCs w:val="24"/>
          <w:lang w:val="en-US"/>
        </w:rPr>
        <w:t>s</w:t>
      </w:r>
      <w:r w:rsidR="004D03A0" w:rsidRPr="0018334E">
        <w:rPr>
          <w:rFonts w:ascii="Arial" w:hAnsi="Arial" w:cs="Arial"/>
          <w:sz w:val="24"/>
          <w:szCs w:val="24"/>
          <w:lang w:val="en-US"/>
        </w:rPr>
        <w:t>tudy</w:t>
      </w:r>
      <w:r w:rsidR="001C7642" w:rsidRPr="0018334E">
        <w:rPr>
          <w:rFonts w:ascii="Arial" w:hAnsi="Arial" w:cs="Arial"/>
          <w:sz w:val="24"/>
          <w:szCs w:val="24"/>
          <w:lang w:val="en-US"/>
        </w:rPr>
        <w:t xml:space="preserve"> </w:t>
      </w:r>
      <w:r w:rsidR="00D95D11" w:rsidRPr="0018334E">
        <w:rPr>
          <w:rFonts w:ascii="Arial" w:hAnsi="Arial" w:cs="Arial"/>
          <w:sz w:val="24"/>
          <w:szCs w:val="24"/>
          <w:lang w:val="en-US"/>
        </w:rPr>
        <w:t xml:space="preserve">from </w:t>
      </w:r>
      <w:r w:rsidR="00DC2BC3">
        <w:rPr>
          <w:rFonts w:ascii="Arial" w:hAnsi="Arial" w:cs="Arial"/>
          <w:sz w:val="24"/>
          <w:szCs w:val="24"/>
          <w:lang w:val="en-US"/>
        </w:rPr>
        <w:t>NHANES</w:t>
      </w:r>
      <w:r w:rsidR="00D95D11" w:rsidRPr="0018334E">
        <w:rPr>
          <w:rFonts w:ascii="Arial" w:hAnsi="Arial" w:cs="Arial"/>
          <w:sz w:val="24"/>
          <w:szCs w:val="24"/>
          <w:lang w:val="en-US"/>
        </w:rPr>
        <w:t xml:space="preserve"> </w:t>
      </w:r>
      <w:r w:rsidR="003D3F9D" w:rsidRPr="0018334E">
        <w:rPr>
          <w:rFonts w:ascii="Arial" w:hAnsi="Arial" w:cs="Arial"/>
          <w:sz w:val="24"/>
          <w:szCs w:val="24"/>
          <w:lang w:val="en-US"/>
        </w:rPr>
        <w:t>did not find any asso</w:t>
      </w:r>
      <w:r w:rsidR="004834EC" w:rsidRPr="0018334E">
        <w:rPr>
          <w:rFonts w:ascii="Arial" w:hAnsi="Arial" w:cs="Arial"/>
          <w:sz w:val="24"/>
          <w:szCs w:val="24"/>
          <w:lang w:val="en-US"/>
        </w:rPr>
        <w:t xml:space="preserve">ciation between TSAT and </w:t>
      </w:r>
      <w:r w:rsidR="0019207F" w:rsidRPr="0018334E">
        <w:rPr>
          <w:rFonts w:ascii="Arial" w:hAnsi="Arial" w:cs="Arial"/>
          <w:sz w:val="24"/>
          <w:szCs w:val="24"/>
          <w:lang w:val="en-US"/>
        </w:rPr>
        <w:t>type 2 diabetes</w:t>
      </w:r>
      <w:r w:rsidR="004834EC" w:rsidRPr="0018334E">
        <w:rPr>
          <w:rFonts w:ascii="Arial" w:hAnsi="Arial" w:cs="Arial"/>
          <w:sz w:val="24"/>
          <w:szCs w:val="24"/>
          <w:lang w:val="en-US"/>
        </w:rPr>
        <w:t xml:space="preserve"> using </w:t>
      </w:r>
      <w:r w:rsidR="005C617A" w:rsidRPr="0018334E">
        <w:rPr>
          <w:rFonts w:ascii="Arial" w:hAnsi="Arial" w:cs="Arial"/>
          <w:sz w:val="24"/>
          <w:szCs w:val="24"/>
          <w:lang w:val="en-US"/>
        </w:rPr>
        <w:t xml:space="preserve">different cut-offs for TSAT </w:t>
      </w:r>
      <w:r w:rsidR="004D03A0" w:rsidRPr="0018334E">
        <w:rPr>
          <w:rFonts w:ascii="Arial" w:hAnsi="Arial" w:cs="Arial"/>
          <w:sz w:val="24"/>
          <w:szCs w:val="24"/>
          <w:lang w:val="en-US"/>
        </w:rPr>
        <w:fldChar w:fldCharType="begin" w:fldLock="1"/>
      </w:r>
      <w:r w:rsidR="00701290">
        <w:rPr>
          <w:rFonts w:ascii="Arial" w:hAnsi="Arial" w:cs="Arial"/>
          <w:sz w:val="24"/>
          <w:szCs w:val="24"/>
          <w:lang w:val="en-US"/>
        </w:rPr>
        <w:instrText>ADDIN CSL_CITATION { "citationItems" : [ { "id" : "ITEM-1", "itemData" : { "ISSN" : "0094-3509", "PMID" : "12485546", "abstract" : "OBJECTIVES: Diabetes mellitus is a common comorbid condition of hemochromatosis and is often identified as a complication of untreated hemochromatosis. However, there are few primary data examining the development of diabetes secondary to hemochromatosis. Our objective was to determine the likelihood of developing diabetes in a nationally representative cohort of patients who have an elevated serum transferrin saturation rate but no current diagnosis of diabetes. STUDY DESIGN: This is a retrospective cohort study based on merging the National Health and Nutrition Examination Survey I (1971-1974; NHANES I) with the NHANES I Epidemiologic Followup Study (1992). POPULATION: Individuals aged 25 to 74 years at the time of the NHANES I without diabetes (n = 9274). OUTCOMES MEASURED: The outcome was development of diabetes according to patient report, proxy report, or death certificate by the time of the follow-up interview. RESULTS: The incidence of diagnosed diabetes in the cohort was 10.2%. Among individuals with serum transferrin saturation levels above 55%, 7.5% developed diagnosed diabetes compared with 10.2% with a serum transferrin saturation of no more than 45% (P =.38). The relation remained nonsignificant in models adjusted for risk factors of diabetes and in analyses that assumed 10% of patients had received treatment for hemochromatosis. CONCLUSIONS: In this nationally representative cohort of adults, elevated serum transferrin saturation was not significantly associated with the development of diabetes.", "author" : [ { "dropping-particle" : "", "family" : "Mainous", "given" : "Arch G", "non-dropping-particle" : "", "parse-names" : false, "suffix" : "" }, { "dropping-particle" : "", "family" : "King", "given" : "Dana E", "non-dropping-particle" : "", "parse-names" : false, "suffix" : "" }, { "dropping-particle" : "", "family" : "Pearson", "given" : "William S", "non-dropping-particle" : "", "parse-names" : false, "suffix" : "" }, { "dropping-particle" : "", "family" : "Garr", "given" : "David R", "non-dropping-particle" : "", "parse-names" : false, "suffix" : "" } ], "container-title" : "The Journal of Family Practice", "id" : "ITEM-1", "issue" : "11", "issued" : { "date-parts" : [ [ "2002", "11" ] ] }, "note" : "Only paper to show no association between TSAT and T2D (vs. Ellervik papers)", "page" : "933-6", "title" : "Is an elevated serum transferrin saturation associated with the development of diabetes?", "type" : "article-journal", "volume" : "51" }, "uris" : [ "http://www.mendeley.com/documents/?uuid=3fb0a95c-06bc-4900-ab5d-52d61cc1b5dd" ] } ], "mendeley" : { "formattedCitation" : "(24)", "plainTextFormattedCitation" : "(24)", "previouslyFormattedCitation" : "(24)" }, "properties" : { "noteIndex" : 0 }, "schema" : "https://github.com/citation-style-language/schema/raw/master/csl-citation.json" }</w:instrText>
      </w:r>
      <w:r w:rsidR="004D03A0" w:rsidRPr="0018334E">
        <w:rPr>
          <w:rFonts w:ascii="Arial" w:hAnsi="Arial" w:cs="Arial"/>
          <w:sz w:val="24"/>
          <w:szCs w:val="24"/>
          <w:lang w:val="en-US"/>
        </w:rPr>
        <w:fldChar w:fldCharType="separate"/>
      </w:r>
      <w:r w:rsidR="004226D0" w:rsidRPr="004226D0">
        <w:rPr>
          <w:rFonts w:ascii="Arial" w:hAnsi="Arial" w:cs="Arial"/>
          <w:noProof/>
          <w:sz w:val="24"/>
          <w:szCs w:val="24"/>
          <w:lang w:val="en-US"/>
        </w:rPr>
        <w:t>(24)</w:t>
      </w:r>
      <w:r w:rsidR="004D03A0" w:rsidRPr="0018334E">
        <w:rPr>
          <w:rFonts w:ascii="Arial" w:hAnsi="Arial" w:cs="Arial"/>
          <w:sz w:val="24"/>
          <w:szCs w:val="24"/>
          <w:lang w:val="en-US"/>
        </w:rPr>
        <w:fldChar w:fldCharType="end"/>
      </w:r>
      <w:r w:rsidR="00F43640">
        <w:rPr>
          <w:rFonts w:ascii="Arial" w:hAnsi="Arial" w:cs="Arial"/>
          <w:sz w:val="24"/>
          <w:szCs w:val="24"/>
          <w:lang w:val="en-US"/>
        </w:rPr>
        <w:t>. In contrast</w:t>
      </w:r>
      <w:r w:rsidR="00171E76">
        <w:rPr>
          <w:rFonts w:ascii="Arial" w:hAnsi="Arial" w:cs="Arial"/>
          <w:sz w:val="24"/>
          <w:szCs w:val="24"/>
          <w:lang w:val="en-US"/>
        </w:rPr>
        <w:t>,</w:t>
      </w:r>
      <w:r w:rsidR="00F43640">
        <w:rPr>
          <w:rFonts w:ascii="Arial" w:hAnsi="Arial" w:cs="Arial"/>
          <w:sz w:val="24"/>
          <w:szCs w:val="24"/>
          <w:lang w:val="en-US"/>
        </w:rPr>
        <w:t xml:space="preserve"> </w:t>
      </w:r>
      <w:r w:rsidR="00AE3E9B" w:rsidRPr="0018334E">
        <w:rPr>
          <w:rFonts w:ascii="Arial" w:hAnsi="Arial" w:cs="Arial"/>
          <w:sz w:val="24"/>
          <w:szCs w:val="24"/>
          <w:lang w:val="en-US"/>
        </w:rPr>
        <w:t>a</w:t>
      </w:r>
      <w:r w:rsidR="001903C3">
        <w:rPr>
          <w:rFonts w:ascii="Arial" w:hAnsi="Arial" w:cs="Arial"/>
          <w:sz w:val="24"/>
          <w:szCs w:val="24"/>
          <w:lang w:val="en-US"/>
        </w:rPr>
        <w:t xml:space="preserve"> </w:t>
      </w:r>
      <w:r w:rsidR="00AE3E9B" w:rsidRPr="0018334E">
        <w:rPr>
          <w:rFonts w:ascii="Arial" w:hAnsi="Arial" w:cs="Arial"/>
          <w:sz w:val="24"/>
          <w:szCs w:val="24"/>
          <w:lang w:val="en-US"/>
        </w:rPr>
        <w:t xml:space="preserve">meta-analysis of </w:t>
      </w:r>
      <w:r w:rsidR="00140CA5">
        <w:rPr>
          <w:rFonts w:ascii="Arial" w:hAnsi="Arial" w:cs="Arial"/>
          <w:sz w:val="24"/>
          <w:szCs w:val="24"/>
          <w:lang w:val="en-US"/>
        </w:rPr>
        <w:t>three</w:t>
      </w:r>
      <w:r w:rsidR="00AE3E9B" w:rsidRPr="0018334E">
        <w:rPr>
          <w:rFonts w:ascii="Arial" w:hAnsi="Arial" w:cs="Arial"/>
          <w:sz w:val="24"/>
          <w:szCs w:val="24"/>
          <w:lang w:val="en-US"/>
        </w:rPr>
        <w:t xml:space="preserve"> </w:t>
      </w:r>
      <w:r w:rsidR="00140CA5">
        <w:rPr>
          <w:rFonts w:ascii="Arial" w:hAnsi="Arial" w:cs="Arial"/>
          <w:sz w:val="24"/>
          <w:szCs w:val="24"/>
          <w:lang w:val="en-US"/>
        </w:rPr>
        <w:t xml:space="preserve">Danish </w:t>
      </w:r>
      <w:r w:rsidR="00CB059A" w:rsidRPr="0018334E">
        <w:rPr>
          <w:rFonts w:ascii="Arial" w:hAnsi="Arial" w:cs="Arial"/>
          <w:sz w:val="24"/>
          <w:szCs w:val="24"/>
          <w:lang w:val="en-US"/>
        </w:rPr>
        <w:t xml:space="preserve">studies </w:t>
      </w:r>
      <w:r w:rsidR="003D3F9D" w:rsidRPr="0018334E">
        <w:rPr>
          <w:rFonts w:ascii="Arial" w:hAnsi="Arial" w:cs="Arial"/>
          <w:sz w:val="24"/>
          <w:szCs w:val="24"/>
          <w:lang w:val="en-US"/>
        </w:rPr>
        <w:t>found</w:t>
      </w:r>
      <w:r w:rsidR="00A11D13" w:rsidRPr="0018334E">
        <w:rPr>
          <w:rFonts w:ascii="Arial" w:hAnsi="Arial" w:cs="Arial"/>
          <w:sz w:val="24"/>
          <w:szCs w:val="24"/>
          <w:lang w:val="en-US"/>
        </w:rPr>
        <w:t xml:space="preserve"> that </w:t>
      </w:r>
      <w:r w:rsidR="003D3F9D" w:rsidRPr="0018334E">
        <w:rPr>
          <w:rFonts w:ascii="Arial" w:hAnsi="Arial" w:cs="Arial"/>
          <w:sz w:val="24"/>
          <w:szCs w:val="24"/>
          <w:lang w:val="en-US"/>
        </w:rPr>
        <w:t xml:space="preserve">TSAT≥50% was associated with a </w:t>
      </w:r>
      <w:r w:rsidR="00992CC3" w:rsidRPr="0018334E">
        <w:rPr>
          <w:rFonts w:ascii="Arial" w:hAnsi="Arial" w:cs="Arial"/>
          <w:sz w:val="24"/>
          <w:szCs w:val="24"/>
          <w:lang w:val="en-US"/>
        </w:rPr>
        <w:t>higher</w:t>
      </w:r>
      <w:r w:rsidR="003D3F9D" w:rsidRPr="0018334E">
        <w:rPr>
          <w:rFonts w:ascii="Arial" w:hAnsi="Arial" w:cs="Arial"/>
          <w:sz w:val="24"/>
          <w:szCs w:val="24"/>
          <w:lang w:val="en-US"/>
        </w:rPr>
        <w:t xml:space="preserve"> risk of </w:t>
      </w:r>
      <w:r w:rsidR="0019207F" w:rsidRPr="0018334E">
        <w:rPr>
          <w:rFonts w:ascii="Arial" w:hAnsi="Arial" w:cs="Arial"/>
          <w:sz w:val="24"/>
          <w:szCs w:val="24"/>
          <w:lang w:val="en-US"/>
        </w:rPr>
        <w:t>type 2 diabetes</w:t>
      </w:r>
      <w:r w:rsidR="003D3F9D" w:rsidRPr="0018334E">
        <w:rPr>
          <w:rFonts w:ascii="Arial" w:hAnsi="Arial" w:cs="Arial"/>
          <w:sz w:val="24"/>
          <w:szCs w:val="24"/>
          <w:lang w:val="en-US"/>
        </w:rPr>
        <w:t xml:space="preserve"> </w:t>
      </w:r>
      <w:r w:rsidR="003D3F9D" w:rsidRPr="0018334E">
        <w:rPr>
          <w:rFonts w:ascii="Arial" w:hAnsi="Arial" w:cs="Arial"/>
          <w:sz w:val="24"/>
          <w:szCs w:val="24"/>
          <w:lang w:val="en-US"/>
        </w:rPr>
        <w:fldChar w:fldCharType="begin" w:fldLock="1"/>
      </w:r>
      <w:r w:rsidR="00701290">
        <w:rPr>
          <w:rFonts w:ascii="Arial" w:hAnsi="Arial" w:cs="Arial"/>
          <w:sz w:val="24"/>
          <w:szCs w:val="24"/>
          <w:lang w:val="en-US"/>
        </w:rPr>
        <w:instrText>ADDIN CSL_CITATION { "citationItems" : [ { "id" : "ITEM-1", "itemData" : { "DOI" : "10.2337/dc11-0416", "ISSN" : "1935-5548", "PMID" : "21873562", "abstract" : "OBJECTIVE: We tested the hypothesis that elevated transferrin saturation is associated with an increased risk of any form of diabetes, as well as type 1 or type 2 diabetes separately. RESEARCH DESIGN AND METHODS: We used two general population studies, The Copenhagen City Heart Study (CCHS, N = 9,121) and The Copenhagen General Population Study (CGPS, N = 24,195), as well as a 1:1 age- and sex-matched population-based case-control study with 6,129 patients with diabetes from the Steno Diabetes Centre and 6,129 control subjects, totaling 8,535 patients with diabetes and 37,039 control subjects. RESULTS: In the combined studies, odds ratios in those with transferrin saturation \u226550% vs. &lt;50% were 2.1 (95% CI 1.3-3.4; P = 0.003) for any form of diabetes; 2.6 (1.2-5.6; P = 0.01) for type 1 diabetes; and 1.7 (1.4-2.1; P = 0.001) for type 2 diabetes. CONCLUSIONS: Elevated transferrin saturation confers a two- to threefold increased risk of developing any form of diabetes, as well as type 1 and type 2 diabetes separately.", "author" : [ { "dropping-particle" : "", "family" : "Ellervik", "given" : "Christina", "non-dropping-particle" : "", "parse-names" : false, "suffix" : "" }, { "dropping-particle" : "", "family" : "Mandrup-Poulsen", "given" : "Thomas", "non-dropping-particle" : "", "parse-names" : false, "suffix" : "" }, { "dropping-particle" : "", "family" : "Andersen", "given" : "Henrik Ullits", "non-dropping-particle" : "", "parse-names" : false, "suffix" : "" }, { "dropping-particle" : "", "family" : "Tybj\u00e6rg-Hansen", "given" : "Anne", "non-dropping-particle" : "", "parse-names" : false, "suffix" : "" }, { "dropping-particle" : "", "family" : "Frandsen", "given" : "Merete", "non-dropping-particle" : "", "parse-names" : false, "suffix" : "" }, { "dropping-particle" : "", "family" : "Birgens", "given" : "Henrik", "non-dropping-particle" : "", "parse-names" : false, "suffix" : "" }, { "dropping-particle" : "", "family" : "Nordestgaard", "given" : "B\u00f8rge G", "non-dropping-particle" : "", "parse-names" : false, "suffix" : "" } ], "container-title" : "Diabetes Care", "id" : "ITEM-1", "issue" : "10", "issued" : { "date-parts" : [ [ "2011", "10" ] ] }, "note" : "TSAT&amp;gt;50% associated with increased risk of T2D", "page" : "2256-8", "title" : "Elevated transferrin saturation and risk of diabetes: three population-based studies.", "type" : "article-journal", "volume" : "34" }, "uris" : [ "http://www.mendeley.com/documents/?uuid=ff69d9f1-05b1-4148-b1d7-b57dc29a7295" ] } ], "mendeley" : { "formattedCitation" : "(25)", "plainTextFormattedCitation" : "(25)", "previouslyFormattedCitation" : "(25)" }, "properties" : { "noteIndex" : 0 }, "schema" : "https://github.com/citation-style-language/schema/raw/master/csl-citation.json" }</w:instrText>
      </w:r>
      <w:r w:rsidR="003D3F9D" w:rsidRPr="0018334E">
        <w:rPr>
          <w:rFonts w:ascii="Arial" w:hAnsi="Arial" w:cs="Arial"/>
          <w:sz w:val="24"/>
          <w:szCs w:val="24"/>
          <w:lang w:val="en-US"/>
        </w:rPr>
        <w:fldChar w:fldCharType="separate"/>
      </w:r>
      <w:r w:rsidR="004226D0" w:rsidRPr="004226D0">
        <w:rPr>
          <w:rFonts w:ascii="Arial" w:hAnsi="Arial" w:cs="Arial"/>
          <w:noProof/>
          <w:sz w:val="24"/>
          <w:szCs w:val="24"/>
          <w:lang w:val="en-US"/>
        </w:rPr>
        <w:t>(25)</w:t>
      </w:r>
      <w:r w:rsidR="003D3F9D" w:rsidRPr="0018334E">
        <w:rPr>
          <w:rFonts w:ascii="Arial" w:hAnsi="Arial" w:cs="Arial"/>
          <w:sz w:val="24"/>
          <w:szCs w:val="24"/>
          <w:lang w:val="en-US"/>
        </w:rPr>
        <w:fldChar w:fldCharType="end"/>
      </w:r>
      <w:r w:rsidR="005C617A" w:rsidRPr="0018334E">
        <w:rPr>
          <w:rFonts w:ascii="Arial" w:hAnsi="Arial" w:cs="Arial"/>
          <w:sz w:val="24"/>
          <w:szCs w:val="24"/>
          <w:lang w:val="en-US"/>
        </w:rPr>
        <w:t>.</w:t>
      </w:r>
      <w:r w:rsidR="00E95850" w:rsidRPr="0018334E">
        <w:rPr>
          <w:rFonts w:ascii="Arial" w:hAnsi="Arial" w:cs="Arial"/>
          <w:sz w:val="24"/>
          <w:szCs w:val="24"/>
          <w:lang w:val="en-US"/>
        </w:rPr>
        <w:t xml:space="preserve"> </w:t>
      </w:r>
      <w:r w:rsidR="00A11D13" w:rsidRPr="0018334E">
        <w:rPr>
          <w:rFonts w:ascii="Arial" w:hAnsi="Arial" w:cs="Arial"/>
          <w:sz w:val="24"/>
          <w:szCs w:val="24"/>
          <w:lang w:val="en-US"/>
        </w:rPr>
        <w:t>However</w:t>
      </w:r>
      <w:r w:rsidR="00A1285B" w:rsidRPr="0018334E">
        <w:rPr>
          <w:rFonts w:ascii="Arial" w:hAnsi="Arial" w:cs="Arial"/>
          <w:sz w:val="24"/>
          <w:szCs w:val="24"/>
          <w:lang w:val="en-US"/>
        </w:rPr>
        <w:t>,</w:t>
      </w:r>
      <w:r w:rsidR="003D3F9D" w:rsidRPr="0018334E">
        <w:rPr>
          <w:rFonts w:ascii="Arial" w:hAnsi="Arial" w:cs="Arial"/>
          <w:sz w:val="24"/>
          <w:szCs w:val="24"/>
          <w:lang w:val="en-US"/>
        </w:rPr>
        <w:t xml:space="preserve"> </w:t>
      </w:r>
      <w:r w:rsidR="00495FA6" w:rsidRPr="0018334E">
        <w:rPr>
          <w:rFonts w:ascii="Arial" w:hAnsi="Arial" w:cs="Arial"/>
          <w:sz w:val="24"/>
          <w:szCs w:val="24"/>
          <w:lang w:val="en-US"/>
        </w:rPr>
        <w:t xml:space="preserve">these were </w:t>
      </w:r>
      <w:r w:rsidR="00AB77CA" w:rsidRPr="0018334E">
        <w:rPr>
          <w:rFonts w:ascii="Arial" w:hAnsi="Arial" w:cs="Arial"/>
          <w:sz w:val="24"/>
          <w:szCs w:val="24"/>
          <w:lang w:val="en-US"/>
        </w:rPr>
        <w:t>relatively</w:t>
      </w:r>
      <w:r w:rsidR="00495FA6" w:rsidRPr="0018334E">
        <w:rPr>
          <w:rFonts w:ascii="Arial" w:hAnsi="Arial" w:cs="Arial"/>
          <w:sz w:val="24"/>
          <w:szCs w:val="24"/>
          <w:lang w:val="en-US"/>
        </w:rPr>
        <w:t xml:space="preserve"> small studies </w:t>
      </w:r>
      <w:r w:rsidR="008310AF">
        <w:rPr>
          <w:rFonts w:ascii="Arial" w:hAnsi="Arial" w:cs="Arial"/>
          <w:sz w:val="24"/>
          <w:szCs w:val="24"/>
          <w:lang w:val="en-US"/>
        </w:rPr>
        <w:t xml:space="preserve">with </w:t>
      </w:r>
      <w:r w:rsidR="00A46AFA" w:rsidRPr="0018334E">
        <w:rPr>
          <w:rFonts w:ascii="Arial" w:hAnsi="Arial" w:cs="Arial"/>
          <w:sz w:val="24"/>
          <w:szCs w:val="24"/>
          <w:lang w:val="en-US"/>
        </w:rPr>
        <w:t>fewer than 1,500 cases</w:t>
      </w:r>
      <w:r w:rsidR="008310AF">
        <w:rPr>
          <w:rFonts w:ascii="Arial" w:hAnsi="Arial" w:cs="Arial"/>
          <w:sz w:val="24"/>
          <w:szCs w:val="24"/>
          <w:lang w:val="en-US"/>
        </w:rPr>
        <w:t xml:space="preserve"> in each study</w:t>
      </w:r>
      <w:r w:rsidR="003D3F9D" w:rsidRPr="0018334E">
        <w:rPr>
          <w:rFonts w:ascii="Arial" w:hAnsi="Arial" w:cs="Arial"/>
          <w:sz w:val="24"/>
          <w:szCs w:val="24"/>
          <w:lang w:val="en-US"/>
        </w:rPr>
        <w:t>.</w:t>
      </w:r>
      <w:r w:rsidR="00110318" w:rsidRPr="0018334E">
        <w:rPr>
          <w:rFonts w:ascii="Arial" w:hAnsi="Arial" w:cs="Arial"/>
          <w:sz w:val="24"/>
          <w:szCs w:val="24"/>
          <w:lang w:val="en-US"/>
        </w:rPr>
        <w:t xml:space="preserve"> </w:t>
      </w:r>
      <w:r w:rsidR="005C617A" w:rsidRPr="0018334E">
        <w:rPr>
          <w:rFonts w:ascii="Arial" w:hAnsi="Arial" w:cs="Arial"/>
          <w:sz w:val="24"/>
          <w:szCs w:val="24"/>
          <w:lang w:val="en-US"/>
        </w:rPr>
        <w:t>T</w:t>
      </w:r>
      <w:r w:rsidR="00AE3E9B" w:rsidRPr="0018334E">
        <w:rPr>
          <w:rFonts w:ascii="Arial" w:hAnsi="Arial" w:cs="Arial"/>
          <w:sz w:val="24"/>
          <w:szCs w:val="24"/>
          <w:lang w:val="en-US"/>
        </w:rPr>
        <w:t>his</w:t>
      </w:r>
      <w:r w:rsidR="00BF2A8E" w:rsidRPr="0018334E">
        <w:rPr>
          <w:rFonts w:ascii="Arial" w:hAnsi="Arial" w:cs="Arial"/>
          <w:sz w:val="24"/>
          <w:szCs w:val="24"/>
          <w:lang w:val="en-US"/>
        </w:rPr>
        <w:t xml:space="preserve"> is the </w:t>
      </w:r>
      <w:r w:rsidR="00110318" w:rsidRPr="0018334E">
        <w:rPr>
          <w:rFonts w:ascii="Arial" w:hAnsi="Arial" w:cs="Arial"/>
          <w:sz w:val="24"/>
          <w:szCs w:val="24"/>
          <w:lang w:val="en-US"/>
        </w:rPr>
        <w:t xml:space="preserve">first </w:t>
      </w:r>
      <w:r w:rsidR="00092FE1" w:rsidRPr="0018334E">
        <w:rPr>
          <w:rFonts w:ascii="Arial" w:hAnsi="Arial" w:cs="Arial"/>
          <w:sz w:val="24"/>
          <w:szCs w:val="24"/>
          <w:lang w:val="en-US"/>
        </w:rPr>
        <w:t xml:space="preserve">prospective </w:t>
      </w:r>
      <w:r w:rsidR="00BF2A8E" w:rsidRPr="0018334E">
        <w:rPr>
          <w:rFonts w:ascii="Arial" w:hAnsi="Arial" w:cs="Arial"/>
          <w:sz w:val="24"/>
          <w:szCs w:val="24"/>
          <w:lang w:val="en-US"/>
        </w:rPr>
        <w:t xml:space="preserve">study </w:t>
      </w:r>
      <w:r w:rsidR="005E4429" w:rsidRPr="0018334E">
        <w:rPr>
          <w:rFonts w:ascii="Arial" w:hAnsi="Arial" w:cs="Arial"/>
          <w:sz w:val="24"/>
          <w:szCs w:val="24"/>
          <w:lang w:val="en-US"/>
        </w:rPr>
        <w:t xml:space="preserve">to show </w:t>
      </w:r>
      <w:r w:rsidR="00110318" w:rsidRPr="0018334E">
        <w:rPr>
          <w:rFonts w:ascii="Arial" w:hAnsi="Arial" w:cs="Arial"/>
          <w:sz w:val="24"/>
          <w:szCs w:val="24"/>
          <w:lang w:val="en-US"/>
        </w:rPr>
        <w:t xml:space="preserve">that an elevated TSAT </w:t>
      </w:r>
      <w:r w:rsidR="005E4429" w:rsidRPr="0018334E">
        <w:rPr>
          <w:rFonts w:ascii="Arial" w:hAnsi="Arial" w:cs="Arial"/>
          <w:sz w:val="24"/>
          <w:szCs w:val="24"/>
          <w:lang w:val="en-US"/>
        </w:rPr>
        <w:t>is</w:t>
      </w:r>
      <w:r w:rsidR="00110318" w:rsidRPr="0018334E">
        <w:rPr>
          <w:rFonts w:ascii="Arial" w:hAnsi="Arial" w:cs="Arial"/>
          <w:sz w:val="24"/>
          <w:szCs w:val="24"/>
          <w:lang w:val="en-US"/>
        </w:rPr>
        <w:t xml:space="preserve"> </w:t>
      </w:r>
      <w:r w:rsidR="00A1285B" w:rsidRPr="0018334E">
        <w:rPr>
          <w:rFonts w:ascii="Arial" w:hAnsi="Arial" w:cs="Arial"/>
          <w:sz w:val="24"/>
          <w:szCs w:val="24"/>
          <w:lang w:val="en-US"/>
        </w:rPr>
        <w:t>associated with a lower risk of</w:t>
      </w:r>
      <w:r w:rsidR="00110318" w:rsidRPr="0018334E">
        <w:rPr>
          <w:rFonts w:ascii="Arial" w:hAnsi="Arial" w:cs="Arial"/>
          <w:sz w:val="24"/>
          <w:szCs w:val="24"/>
          <w:lang w:val="en-US"/>
        </w:rPr>
        <w:t xml:space="preserve"> </w:t>
      </w:r>
      <w:r w:rsidR="0019207F" w:rsidRPr="0018334E">
        <w:rPr>
          <w:rFonts w:ascii="Arial" w:hAnsi="Arial" w:cs="Arial"/>
          <w:sz w:val="24"/>
          <w:szCs w:val="24"/>
          <w:lang w:val="en-US"/>
        </w:rPr>
        <w:t>type 2 diabetes</w:t>
      </w:r>
      <w:r w:rsidR="00E571F9" w:rsidRPr="0018334E">
        <w:rPr>
          <w:rFonts w:ascii="Arial" w:hAnsi="Arial" w:cs="Arial"/>
          <w:sz w:val="24"/>
          <w:szCs w:val="24"/>
          <w:lang w:val="en-US"/>
        </w:rPr>
        <w:t>,</w:t>
      </w:r>
      <w:r w:rsidR="00BF2A8E" w:rsidRPr="0018334E">
        <w:rPr>
          <w:rFonts w:ascii="Arial" w:hAnsi="Arial" w:cs="Arial"/>
          <w:sz w:val="24"/>
          <w:szCs w:val="24"/>
          <w:lang w:val="en-US"/>
        </w:rPr>
        <w:t xml:space="preserve"> </w:t>
      </w:r>
      <w:r w:rsidR="00A62EC7" w:rsidRPr="0018334E">
        <w:rPr>
          <w:rFonts w:ascii="Arial" w:hAnsi="Arial" w:cs="Arial"/>
          <w:sz w:val="24"/>
          <w:szCs w:val="24"/>
          <w:lang w:val="en-US"/>
        </w:rPr>
        <w:t xml:space="preserve">which was statistically significant </w:t>
      </w:r>
      <w:r w:rsidR="00BF2A8E" w:rsidRPr="0018334E">
        <w:rPr>
          <w:rFonts w:ascii="Arial" w:hAnsi="Arial" w:cs="Arial"/>
          <w:sz w:val="24"/>
          <w:szCs w:val="24"/>
          <w:lang w:val="en-US"/>
        </w:rPr>
        <w:t>in women</w:t>
      </w:r>
      <w:r w:rsidR="00A62EC7" w:rsidRPr="0018334E">
        <w:rPr>
          <w:rFonts w:ascii="Arial" w:hAnsi="Arial" w:cs="Arial"/>
          <w:sz w:val="24"/>
          <w:szCs w:val="24"/>
          <w:lang w:val="en-US"/>
        </w:rPr>
        <w:t xml:space="preserve"> only</w:t>
      </w:r>
      <w:r w:rsidR="00110318" w:rsidRPr="0018334E">
        <w:rPr>
          <w:rFonts w:ascii="Arial" w:hAnsi="Arial" w:cs="Arial"/>
          <w:sz w:val="24"/>
          <w:szCs w:val="24"/>
          <w:lang w:val="en-US"/>
        </w:rPr>
        <w:t>.</w:t>
      </w:r>
      <w:r w:rsidR="00711D5B">
        <w:rPr>
          <w:rFonts w:ascii="Arial" w:hAnsi="Arial" w:cs="Arial"/>
          <w:sz w:val="24"/>
          <w:szCs w:val="24"/>
          <w:lang w:val="en-US"/>
        </w:rPr>
        <w:t xml:space="preserve"> </w:t>
      </w:r>
      <w:r w:rsidR="00B023AA">
        <w:rPr>
          <w:rFonts w:ascii="Arial" w:hAnsi="Arial" w:cs="Arial"/>
          <w:sz w:val="24"/>
          <w:szCs w:val="24"/>
          <w:lang w:val="en-US"/>
        </w:rPr>
        <w:t>R</w:t>
      </w:r>
      <w:r w:rsidR="00DA5DED">
        <w:rPr>
          <w:rFonts w:ascii="Arial" w:hAnsi="Arial" w:cs="Arial"/>
          <w:sz w:val="24"/>
          <w:szCs w:val="24"/>
          <w:lang w:val="en-US"/>
        </w:rPr>
        <w:t xml:space="preserve">ecent </w:t>
      </w:r>
      <w:r w:rsidR="00DA5DED" w:rsidRPr="0018334E">
        <w:rPr>
          <w:rFonts w:ascii="Arial" w:hAnsi="Arial" w:cs="Arial"/>
          <w:sz w:val="24"/>
          <w:szCs w:val="24"/>
          <w:lang w:val="en-US"/>
        </w:rPr>
        <w:t>cross-sectional stud</w:t>
      </w:r>
      <w:r w:rsidR="00DA5DED">
        <w:rPr>
          <w:rFonts w:ascii="Arial" w:hAnsi="Arial" w:cs="Arial"/>
          <w:sz w:val="24"/>
          <w:szCs w:val="24"/>
          <w:lang w:val="en-US"/>
        </w:rPr>
        <w:t>ies</w:t>
      </w:r>
      <w:r w:rsidR="00DA5DED" w:rsidRPr="0018334E">
        <w:rPr>
          <w:rFonts w:ascii="Arial" w:hAnsi="Arial" w:cs="Arial"/>
          <w:sz w:val="24"/>
          <w:szCs w:val="24"/>
          <w:lang w:val="en-US"/>
        </w:rPr>
        <w:t xml:space="preserve"> </w:t>
      </w:r>
      <w:r w:rsidR="00DA5DED">
        <w:rPr>
          <w:rFonts w:ascii="Arial" w:hAnsi="Arial" w:cs="Arial"/>
          <w:sz w:val="24"/>
          <w:szCs w:val="24"/>
          <w:lang w:val="en-US"/>
        </w:rPr>
        <w:t>have shown</w:t>
      </w:r>
      <w:r w:rsidR="00DA5DED" w:rsidRPr="0018334E">
        <w:rPr>
          <w:rFonts w:ascii="Arial" w:hAnsi="Arial" w:cs="Arial"/>
          <w:sz w:val="24"/>
          <w:szCs w:val="24"/>
          <w:lang w:val="en-US"/>
        </w:rPr>
        <w:t xml:space="preserve"> a similar association of high ferritin and low TSAT among individuals with ‘pre-diabetes’ </w:t>
      </w:r>
      <w:r w:rsidR="00DA5DED" w:rsidRPr="0018334E">
        <w:rPr>
          <w:rFonts w:ascii="Arial" w:hAnsi="Arial" w:cs="Arial"/>
          <w:sz w:val="24"/>
          <w:szCs w:val="24"/>
          <w:lang w:val="en-US"/>
        </w:rPr>
        <w:fldChar w:fldCharType="begin" w:fldLock="1"/>
      </w:r>
      <w:r w:rsidR="002F34F2">
        <w:rPr>
          <w:rFonts w:ascii="Arial" w:hAnsi="Arial" w:cs="Arial"/>
          <w:sz w:val="24"/>
          <w:szCs w:val="24"/>
          <w:lang w:val="en-US"/>
        </w:rPr>
        <w:instrText>ADDIN CSL_CITATION { "citationItems" : [ { "id" : "ITEM-1", "itemData" : { "DOI" : "10.1016/j.clnu.2012.11.024", "ISSN" : "1532-1983", "PMID" : "23312547", "abstract" : "BACKGROUND &amp; AIMS\nIron overload is known to cause diabetes. However, the underlying mechanism is poorly understood. We therefore studied the association of different markers of iron metabolism, namely ferritin, erythrocyte protoporphyrin and transferrin saturation (TSAT, as defined by a percentage of transferrin that is saturated with iron) with pre-diabetes (preDM) in US adults without chronic kidney disease, anemia, and iron deficiency. \n\nMETHODS\nData on 2575 participants of the National Health and Nutrition Examination Survey (NHANES) 1999\u20132002 who were free of diabetes, chronic kidney disease, iron deficiency, and anemia were analyzed. Data on 3876 participants of the NHANES III (1988\u20131994) were used as replication. Homeostasis model assessment of insulin resistance (HOMA-IR), blood glycosylated hemoglobin level (HbA1C), fasting glucose, insulin, and preDM (defined as a fasting plasma glucose 100\u2013125\u00a0mg/dl or an HBA1C value 5.7\u20136.4%) were measured as the outcomes. \n\nRESULTS\nLogistic regression analyses indicated independent associations of high ferritin (Ptrend\u00a0=\u00a00.028) and low TSAT (Ptrend\u00a0=\u00a00.029) with preDM after adjusting for sociodemographics, physical activity (active/sedementary), metabolic and inflammatory markers (triglycerides, total cholesterol, HDL cholesterol, mean arterial pressure, CRP, white cell count, and albumin), and liver enzymes (GGT, Alk phos, AST, and ALT). The NHANES III data showed similar associations. Combining the results showed a more significant association for high ferritin (Pmeta\u00a0=\u00a00.016) and low TSAT (Pmeta\u00a0=\u00a00.002). Moreover, TSAT was associated with HbA1C, fasting glucose, insulin, and HOMA-IR (Pmeta\u00a0\u2264\u00a00.001). \n\nCONCLUSIONS\nHigher ferritin and lower TSAT are associated with higher risk of preDM in a general population without confounding diseases. Further research is needed to examine the underlying mechanism of these two indices, especially TSAT, in the pathophysiology of preDM.", "author" : [ { "dropping-particle" : "", "family" : "Cheung", "given" : "Ching-Lung", "non-dropping-particle" : "", "parse-names" : false, "suffix" : "" }, { "dropping-particle" : "", "family" : "Cheung", "given" : "Tommy T.", "non-dropping-particle" : "", "parse-names" : false, "suffix" : "" }, { "dropping-particle" : "", "family" : "Lam", "given" : "Karen S.L. L", "non-dropping-particle" : "", "parse-names" : false, "suffix" : "" }, { "dropping-particle" : "", "family" : "Cheung", "given" : "Bernard M.Y. Y", "non-dropping-particle" : "", "parse-names" : false, "suffix" : "" } ], "container-title" : "Clinical Nutrition", "id" : "ITEM-1", "issue" : "6", "issued" : { "date-parts" : [ [ "2013", "12", "28" ] ] }, "note" : "From Duplicate 3 (High ferritin and low transferrin saturation are associated with pre-diabetes among a national representative sample of U.S. adults. - Cheung, Ching-Lung; Cheung, Tommy T.; Lam, Karen S.L. L; Cheung, Bernard M.Y. Y)\n\nFrom Duplicate 1 ( High ferritin and low transferrin saturation are associated with pre-diabetes among a national representative sample of U.S. adults. - Cheung, Ching-Lung; Cheung, Tommy T; Lam, Karen S L; Cheung, Bernard M Y )\n\nIncreased ferritin and lower TSAT are associated with diabetes", "page" : "1055-60", "publisher" : "Elsevier Ltd", "title" : "High ferritin and low transferrin saturation are associated with pre-diabetes among a national representative sample of U.S. adults.", "type" : "article-journal", "volume" : "32" }, "uris" : [ "http://www.mendeley.com/documents/?uuid=5d51e8b5-d4ce-4531-a16b-2c7313ca04f3" ] }, { "id" : "ITEM-2", "itemData" : { "DOI" : "10.1111/dme.12643", "ISSN" : "1464-5491", "PMID" : "25444086", "abstract" : "AIMS: The associations of transferrin saturation with diabetes have not been well evaluated and conflicting results have been reported. The purpose of this study is to examine the association of iron indices (serum ferritin and transferrin saturation) with risk of impaired fasting glucose and insulin resistance.\n\nMETHODS: We conducted a cross-sectional study in 2413 individuals (1150 men and 1263 women) aged 20-50\u00a0years who participated in the 2010 Korean National Health and Nutrition Examination Survey. Participants were free of diabetes, malignancy, liver cirrhosis, chronic renal failure, anaemia, pregnancy and menopause. Fasting plasma glucose, insulin and the homeostasis model assessment of insulin resistance (HOMA-IR) were measured as the outcomes.\n\nRESULTS: Impaired fasting glucose was more prevalent in the highest compared with the lowest serum ferritin quartile among men (odds ratio [OR], 1.97; 95% confidence interval [CI], 1.20-3.24) after adjustment for multiple covariates. Following the same adjustment, impaired fasting glucose was less prevalent in the highest compared with the lowest transferrin saturation quartile among men (OR, 0.45; 95% CI, 0.25-0.80) and women (OR, 0.33; 95% CI, 0.14-0.77). Moreover, a higher ferritin level was significantly associated with higher HOMA-IR after adjusting for confounders in men. Lower transferrin saturation was also significantly associated with higher insulin levels and HOMA-IR in both sexes.\n\nCONCLUSIONS: Lower transferrin saturations were associated with an increased risk of impaired fasting glucose and insulin resistance among general South Korean population. This article is protected by copyright. All rights reserved.", "author" : [ { "dropping-particle" : "", "family" : "Park", "given" : "Ryoung Jin", "non-dropping-particle" : "", "parse-names" : false, "suffix" : "" }, { "dropping-particle" : "", "family" : "Moon", "given" : "Jai Dong", "non-dropping-particle" : "", "parse-names" : false, "suffix" : "" } ], "container-title" : "Diabetic medicine : a journal of the British Diabetic Association", "id" : "ITEM-2", "issued" : { "date-parts" : [ [ "2014", "11", "29" ] ] }, "title" : "Low transferrin saturation is associated with impaired fasting glucose and insulin resistance in the South Korean adults: the 2010 Korean National Health and Nutrition Examination Survey.", "type" : "article-journal" }, "uris" : [ "http://www.mendeley.com/documents/?uuid=4e36203f-5f0d-4d80-a7d6-d4a0158423aa" ] }, { "id" : "ITEM-3", "itemData" : { "DOI" : "10.1530/EJE-15-0631", "ISSN" : "1479-683X", "PMID" : "26294793", "abstract" : "OBJECTIVE Iron has been suggested to play a role in the etiology of type 2 diabetes mellitus (T2DM). Except for ferritin, evidence is sparse for other markers of iron metabolism that are regulated differently and might act through independent pathways. We therefore investigated the associations of serum ferritin, transferrin, soluble transferrin receptor (sTfR), transferrin saturation (TSAT), sTfR-to-log10ferritin (sTfR-F) index, and iron with impaired glucose metabolism (IGM/'prediabetes'), T2DM, and four continuous glucose and insulin traits. DESIGN AND METHODS Data from 2893 participants of the population-based Cooperative Health Research in the Region of Augsburg (KORA) F4 study (Germany) was investigated through regression analysis. The results were adjusted for socio-demographic, life-style, and obesity measures as well as metabolic, inflammatory, and other iron biomarkers following a step-wise approach. Non-linearity was tested by adding a non-linear spline component to the model. RESULTS Ferritin and transferrin were positively associated with IGM (fourth vs first sex-specific quartile: ferritin odds ratio (OR)=2.08 (95% CI 1.43-3.04) and transferrin OR=1.89 (95% CI 1.32-2.70)), T2DM (ferritin OR=1.98 (95% CI 1.22-3.22) and transferrin OR=2.42 (95% CI 1.54-3.81)), and fasting as well as 2-h glucose. TSAT (OR=0.55 (95% CI 0.34-0.88)) and iron (OR=0.61 (95% CI 0.38-0.97)) were inversely associated with T2DM, sTfR-F-index was inversely associated with IGM (OR=0.67 (95% CI 0.48-0.95)). There was no strong evidence for non-linear relationships. CONCLUSIONS The observed associations of several markers of iron metabolism with hyperglycemia and insulin resistance suggest that iron stores as well as iron-related metabolic pathways contribute to the pathogenesis of IGM and T2DM. Moreover, TSAT levels are decreased in T2DM patients.", "author" : [ { "dropping-particle" : "", "family" : "Huth", "given" : "Cornelia", "non-dropping-particle" : "", "parse-names" : false, "suffix" : "" }, { "dropping-particle" : "", "family" : "Beuerle", "given" : "Simon", "non-dropping-particle" : "", "parse-names" : false, "suffix" : "" }, { "dropping-particle" : "", "family" : "Zierer", "given" : "Astrid", "non-dropping-particle" : "", "parse-names" : false, "suffix" : "" }, { "dropping-particle" : "", "family" : "Heier", "given" : "Margit", "non-dropping-particle" : "", "parse-names" : false, "suffix" : "" }, { "dropping-particle" : "", "family" : "Herder", "given" : "Christian", "non-dropping-particle" : "", "parse-names" : false, "suffix" : "" }, { "dropping-particle" : "", "family" : "Kaiser", "given" : "Thorsten", "non-dropping-particle" : "", "parse-names" : false, "suffix" : "" }, { "dropping-particle" : "", "family" : "Koenig", "given" : "Wolfgang", "non-dropping-particle" : "", "parse-names" : false, "suffix" : "" }, { "dropping-particle" : "", "family" : "Kronenberg", "given" : "Florian", "non-dropping-particle" : "", "parse-names" : false, "suffix" : "" }, { "dropping-particle" : "", "family" : "Oexle", "given" : "Konrad", "non-dropping-particle" : "", "parse-names" : false, "suffix" : "" }, { "dropping-particle" : "", "family" : "Rathmann", "given" : "Wolfgang", "non-dropping-particle" : "", "parse-names" : false, "suffix" : "" }, { "dropping-particle" : "", "family" : "Roden", "given" : "Michael", "non-dropping-particle" : "", "parse-names" : false, "suffix" : "" }, { "dropping-particle" : "", "family" : "Schwab", "given" : "Sigrid", "non-dropping-particle" : "", "parse-names" : false, "suffix" : "" }, { "dropping-particle" : "", "family" : "Seissler", "given" : "Jochen", "non-dropping-particle" : "", "parse-names" : false, "suffix" : "" }, { "dropping-particle" : "", "family" : "St\u00f6ckl", "given" : "Doris", "non-dropping-particle" : "", "parse-names" : false, "suffix" : "" }, { "dropping-particle" : "", "family" : "Meisinger", "given" : "Christa", "non-dropping-particle" : "", "parse-names" : false, "suffix" : "" }, { "dropping-particle" : "", "family" : "Peters", "given" : "Annette", "non-dropping-particle" : "", "parse-names" : false, "suffix" : "" }, { "dropping-particle" : "", "family" : "Thorand", "given" : "Barbara", "non-dropping-particle" : "", "parse-names" : false, "suffix" : "" } ], "container-title" : "European journal of endocrinology / European Federation of Endocrine Societies", "id" : "ITEM-3", "issue" : "5", "issued" : { "date-parts" : [ [ "2015" ] ] }, "page" : "643-53", "title" : "Biomarkers of iron metabolism are independently associated with impaired glucose metabolism and type 2 diabetes: the KORA F4 study.", "type" : "article-journal", "volume" : "173" }, "uris" : [ "http://www.mendeley.com/documents/?uuid=458b26cb-7f8b-4a7f-8c4b-fc172697e66e" ] } ], "mendeley" : { "formattedCitation" : "(26\u201328)", "plainTextFormattedCitation" : "(26\u201328)", "previouslyFormattedCitation" : "(25\u201327)" }, "properties" : { "noteIndex" : 0 }, "schema" : "https://github.com/citation-style-language/schema/raw/master/csl-citation.json" }</w:instrText>
      </w:r>
      <w:r w:rsidR="00DA5DED" w:rsidRPr="0018334E">
        <w:rPr>
          <w:rFonts w:ascii="Arial" w:hAnsi="Arial" w:cs="Arial"/>
          <w:sz w:val="24"/>
          <w:szCs w:val="24"/>
          <w:lang w:val="en-US"/>
        </w:rPr>
        <w:fldChar w:fldCharType="separate"/>
      </w:r>
      <w:r w:rsidR="002F34F2" w:rsidRPr="002F34F2">
        <w:rPr>
          <w:rFonts w:ascii="Arial" w:hAnsi="Arial" w:cs="Arial"/>
          <w:noProof/>
          <w:sz w:val="24"/>
          <w:szCs w:val="24"/>
          <w:lang w:val="en-US"/>
        </w:rPr>
        <w:t>(26–28)</w:t>
      </w:r>
      <w:r w:rsidR="00DA5DED" w:rsidRPr="0018334E">
        <w:rPr>
          <w:rFonts w:ascii="Arial" w:hAnsi="Arial" w:cs="Arial"/>
          <w:sz w:val="24"/>
          <w:szCs w:val="24"/>
          <w:lang w:val="en-US"/>
        </w:rPr>
        <w:fldChar w:fldCharType="end"/>
      </w:r>
      <w:r w:rsidR="00DA5DED" w:rsidRPr="0018334E">
        <w:rPr>
          <w:rFonts w:ascii="Arial" w:hAnsi="Arial" w:cs="Arial"/>
          <w:sz w:val="24"/>
          <w:szCs w:val="24"/>
          <w:lang w:val="en-US"/>
        </w:rPr>
        <w:t xml:space="preserve">.  </w:t>
      </w:r>
      <w:r w:rsidR="005967BC" w:rsidRPr="0018334E">
        <w:rPr>
          <w:rFonts w:ascii="Arial" w:hAnsi="Arial" w:cs="Arial"/>
          <w:sz w:val="24"/>
          <w:szCs w:val="24"/>
          <w:lang w:val="en-US"/>
        </w:rPr>
        <w:t>TSAT is a useful biomarker of iron metabolism in addition to ferritin</w:t>
      </w:r>
      <w:r w:rsidR="00AE3041">
        <w:rPr>
          <w:rFonts w:ascii="Arial" w:hAnsi="Arial" w:cs="Arial"/>
          <w:sz w:val="24"/>
          <w:szCs w:val="24"/>
          <w:lang w:val="en-US"/>
        </w:rPr>
        <w:t xml:space="preserve"> (26)</w:t>
      </w:r>
      <w:r w:rsidR="00F6267A" w:rsidRPr="0018334E">
        <w:rPr>
          <w:rFonts w:ascii="Arial" w:hAnsi="Arial" w:cs="Arial"/>
          <w:sz w:val="24"/>
          <w:szCs w:val="24"/>
          <w:lang w:val="en-US"/>
        </w:rPr>
        <w:t xml:space="preserve">, as TSAT levels are less affected by inflammation than ferritin </w:t>
      </w:r>
      <w:r w:rsidR="00F6267A" w:rsidRPr="0018334E">
        <w:rPr>
          <w:rFonts w:ascii="Arial" w:hAnsi="Arial" w:cs="Arial"/>
          <w:sz w:val="24"/>
          <w:szCs w:val="24"/>
          <w:lang w:val="en-US"/>
        </w:rPr>
        <w:fldChar w:fldCharType="begin" w:fldLock="1"/>
      </w:r>
      <w:r w:rsidR="002F34F2">
        <w:rPr>
          <w:rFonts w:ascii="Arial" w:hAnsi="Arial" w:cs="Arial"/>
          <w:sz w:val="24"/>
          <w:szCs w:val="24"/>
          <w:lang w:val="en-US"/>
        </w:rPr>
        <w:instrText>ADDIN CSL_CITATION { "citationItems" : [ { "id" : "ITEM-1", "itemData" : { "DOI" : "10.1016/j.cca.2012.04.021", "ISSN" : "1873-3492", "PMID" : "22546612", "abstract" : "Despite the growing interest in hepcidin and other relatively new biomarkers, guidelines and clinical pathways continue to recommend traditional markers, such as serum transferrin (Tf) and ferritin, as laboratory tests for the diagnostic evaluation of iron-related disorders. In this study, we aimed to critically evaluate the diagnostic role of Tf relying on the highest level of available evidence by a comprehensive literature search. The role of Tf in iron deficiency (ID) and iron overload (IO) syndrome as well as a risk marker was evaluated. The low accuracy of Tf and Tf saturation (TS) in the diagnosis and management of ID conditions does not permit definitively recommending their use, even if recently published guidelines still consider the TS investigation as a complementary test for ferritin. If a tissue IO is suspected, TS is often used, even if it may not be the best test for detecting this condition. Nevertheless, clinical guidelines strongly recommend the use of TS as a first-level test for performing genetic diagnosis of hereditary hemochromatosis. Recently reported data indicating elevated TS as a risk factor for diabetes mellitus, cancer, and total mortality, may provide useful additions to the debate over whether or not to screen for IO using TS.", "author" : [ { "dropping-particle" : "", "family" : "Sz\u0151ke", "given" : "Dominika", "non-dropping-particle" : "", "parse-names" : false, "suffix" : "" }, { "dropping-particle" : "", "family" : "Panteghini", "given" : "Mauro", "non-dropping-particle" : "", "parse-names" : false, "suffix" : "" } ], "container-title" : "Clinica Chimica Acta", "id" : "ITEM-1", "issue" : "15-16", "issued" : { "date-parts" : [ [ "2012", "8", "16" ] ] }, "note" : "Transferrin may react as negative acute phase protein in acute inflammation", "page" : "1184-9", "publisher" : "Elsevier B.V.", "title" : "Diagnostic value of transferrin.", "type" : "article-journal", "volume" : "413" }, "uris" : [ "http://www.mendeley.com/documents/?uuid=99ae0000-a524-4e74-9a23-3644c1684c5d" ] } ], "mendeley" : { "formattedCitation" : "(29)", "plainTextFormattedCitation" : "(29)", "previouslyFormattedCitation" : "(26)" }, "properties" : { "noteIndex" : 0 }, "schema" : "https://github.com/citation-style-language/schema/raw/master/csl-citation.json" }</w:instrText>
      </w:r>
      <w:r w:rsidR="00F6267A" w:rsidRPr="0018334E">
        <w:rPr>
          <w:rFonts w:ascii="Arial" w:hAnsi="Arial" w:cs="Arial"/>
          <w:sz w:val="24"/>
          <w:szCs w:val="24"/>
          <w:lang w:val="en-US"/>
        </w:rPr>
        <w:fldChar w:fldCharType="separate"/>
      </w:r>
      <w:r w:rsidR="002F34F2" w:rsidRPr="002F34F2">
        <w:rPr>
          <w:rFonts w:ascii="Arial" w:hAnsi="Arial" w:cs="Arial"/>
          <w:noProof/>
          <w:sz w:val="24"/>
          <w:szCs w:val="24"/>
          <w:lang w:val="en-US"/>
        </w:rPr>
        <w:t>(29)</w:t>
      </w:r>
      <w:r w:rsidR="00F6267A" w:rsidRPr="0018334E">
        <w:rPr>
          <w:rFonts w:ascii="Arial" w:hAnsi="Arial" w:cs="Arial"/>
          <w:sz w:val="24"/>
          <w:szCs w:val="24"/>
          <w:lang w:val="en-US"/>
        </w:rPr>
        <w:fldChar w:fldCharType="end"/>
      </w:r>
      <w:r w:rsidR="005967BC" w:rsidRPr="0018334E">
        <w:rPr>
          <w:rFonts w:ascii="Arial" w:hAnsi="Arial" w:cs="Arial"/>
          <w:sz w:val="24"/>
          <w:szCs w:val="24"/>
          <w:lang w:val="en-US"/>
        </w:rPr>
        <w:t xml:space="preserve"> </w:t>
      </w:r>
      <w:r w:rsidR="00F6267A" w:rsidRPr="0018334E">
        <w:rPr>
          <w:rFonts w:ascii="Arial" w:hAnsi="Arial" w:cs="Arial"/>
          <w:sz w:val="24"/>
          <w:szCs w:val="24"/>
          <w:lang w:val="en-US"/>
        </w:rPr>
        <w:t>and</w:t>
      </w:r>
      <w:r w:rsidR="002800C0">
        <w:rPr>
          <w:rFonts w:ascii="Arial" w:hAnsi="Arial" w:cs="Arial"/>
          <w:sz w:val="24"/>
          <w:szCs w:val="24"/>
          <w:lang w:val="en-US"/>
        </w:rPr>
        <w:t xml:space="preserve"> are thought to</w:t>
      </w:r>
      <w:r w:rsidR="00F6267A" w:rsidRPr="0018334E">
        <w:rPr>
          <w:rFonts w:ascii="Arial" w:hAnsi="Arial" w:cs="Arial"/>
          <w:sz w:val="24"/>
          <w:szCs w:val="24"/>
          <w:lang w:val="en-US"/>
        </w:rPr>
        <w:t xml:space="preserve"> reflect</w:t>
      </w:r>
      <w:r w:rsidR="005967BC" w:rsidRPr="0018334E">
        <w:rPr>
          <w:rFonts w:ascii="Arial" w:hAnsi="Arial" w:cs="Arial"/>
          <w:sz w:val="24"/>
          <w:szCs w:val="24"/>
          <w:lang w:val="en-US"/>
        </w:rPr>
        <w:t xml:space="preserve"> </w:t>
      </w:r>
      <w:r w:rsidR="00F6267A" w:rsidRPr="0018334E">
        <w:rPr>
          <w:rFonts w:ascii="Arial" w:hAnsi="Arial" w:cs="Arial"/>
          <w:sz w:val="24"/>
          <w:szCs w:val="24"/>
          <w:lang w:val="en-US"/>
        </w:rPr>
        <w:t xml:space="preserve">levels of </w:t>
      </w:r>
      <w:r w:rsidR="00EB0099">
        <w:rPr>
          <w:rFonts w:ascii="Arial" w:hAnsi="Arial" w:cs="Arial"/>
          <w:sz w:val="24"/>
          <w:szCs w:val="24"/>
          <w:lang w:val="en-US"/>
        </w:rPr>
        <w:t>non-transferrin bound iron</w:t>
      </w:r>
      <w:r>
        <w:rPr>
          <w:rFonts w:ascii="Arial" w:hAnsi="Arial" w:cs="Arial"/>
          <w:sz w:val="24"/>
          <w:szCs w:val="24"/>
          <w:lang w:val="en-US"/>
        </w:rPr>
        <w:t xml:space="preserve"> </w:t>
      </w:r>
      <w:r>
        <w:rPr>
          <w:rFonts w:ascii="Arial" w:hAnsi="Arial" w:cs="Arial"/>
          <w:sz w:val="24"/>
          <w:szCs w:val="24"/>
          <w:lang w:val="en-US"/>
        </w:rPr>
        <w:fldChar w:fldCharType="begin" w:fldLock="1"/>
      </w:r>
      <w:r w:rsidR="004226D0">
        <w:rPr>
          <w:rFonts w:ascii="Arial" w:hAnsi="Arial" w:cs="Arial"/>
          <w:sz w:val="24"/>
          <w:szCs w:val="24"/>
          <w:lang w:val="en-US"/>
        </w:rPr>
        <w:instrText>ADDIN CSL_CITATION { "citationItems" : [ { "id" : "ITEM-1", "itemData" : { "DOI" : "10.1056/NEJMra1004967", "ISSN" : "1533-4406", "PMID" : "22276824", "author" : [ { "dropping-particle" : "", "family" : "Fleming", "given" : "Robert E", "non-dropping-particle" : "", "parse-names" : false, "suffix" : "" }, { "dropping-particle" : "", "family" : "Ponka", "given" : "Prem", "non-dropping-particle" : "", "parse-names" : false, "suffix" : "" } ], "container-title" : "The New England journal of medicine", "id" : "ITEM-1", "issue" : "4", "issued" : { "date-parts" : [ [ "2012", "1", "26" ] ] }, "note" : "biochemical and clinical penetrance of HFE C282Y, affected by modifier genes and environmental factors", "page" : "348-59", "title" : "Iron overload in human disease.", "type" : "article-journal", "volume" : "366" }, "uris" : [ "http://www.mendeley.com/documents/?uuid=1cc80265-6673-4103-8873-f59ccd12262a" ] }, { "id" : "ITEM-2", "itemData" : { "DOI" : "10.1016/j.bbagen.2011.07.014", "ISSN" : "0006-3002", "PMID" : "21855608", "abstract" : "BACKGROUND: Besides transferrin iron, which represents the normal form of circulating iron, non-transferrin bound iron (NTBI) has been identified in the plasma of patients with various pathological conditions in which transferrin saturation is significantly elevated. SCOPE OF THE REVIEW: To show that: i) NTBI is present not only during chronic iron overload disorders (hemochromatosis, transfusional iron overload) but also in miscellaneous diseases which are not primarily iron overloaded conditions; ii) this iron species represents a potentially toxic iron form due to its high propensity to induce reactive oxygen species and is responsible for cellular damage not only at the plasma membrane level but also towards different intracellular organelles; iii) the NTBI concept may be expanded to include intracytosolic iron forms which are not linked to ferritin, the major storage protein which exerts, at the cellular level, the same type of protective effect towards the intracellular environment as transferrin in the plasma. MAJOR CONCLUSIONS: Plasma NTBI and especially labile plasma iron determinations represent a new important biological tool since elimination of this toxic iron species is a major therapeutic goal. GENERAL SIGNIFICANCE: The NTBI approach represents an important mechanistic concept for explaining cellular iron excess and toxicity and provides new important biochemical diagnostic tools. This article is part of a Special Issue entitled Transferrins: Molecular mechanisms of iron transport and disorders.", "author" : [ { "dropping-particle" : "", "family" : "Brissot", "given" : "Pierre", "non-dropping-particle" : "", "parse-names" : false, "suffix" : "" }, { "dropping-particle" : "", "family" : "Ropert", "given" : "Martine", "non-dropping-particle" : "", "parse-names" : false, "suffix" : "" }, { "dropping-particle" : "", "family" : "Lan", "given" : "Caroline", "non-dropping-particle" : "Le", "parse-names" : false, "suffix" : "" }, { "dropping-particle" : "", "family" : "Lor\u00e9al", "given" : "Olivier", "non-dropping-particle" : "", "parse-names" : false, "suffix" : "" } ], "container-title" : "Biochimica et Biophysica Acta", "id" : "ITEM-2", "issue" : "3", "issued" : { "date-parts" : [ [ "2012", "3" ] ] }, "page" : "403-10", "publisher" : "Elsevier B.V.", "title" : "Non-transferrin bound iron: a key role in iron overload and iron toxicity.", "type" : "article-journal", "volume" : "1820" }, "uris" : [ "http://www.mendeley.com/documents/?uuid=b1229880-05e7-4a9d-950d-e3ef10738243" ] } ], "mendeley" : { "formattedCitation" : "(13,14)", "plainTextFormattedCitation" : "(13,14)", "previouslyFormattedCitation" : "(13,14)" }, "properties" : { "noteIndex" : 0 }, "schema" : "https://github.com/citation-style-language/schema/raw/master/csl-citation.json" }</w:instrText>
      </w:r>
      <w:r>
        <w:rPr>
          <w:rFonts w:ascii="Arial" w:hAnsi="Arial" w:cs="Arial"/>
          <w:sz w:val="24"/>
          <w:szCs w:val="24"/>
          <w:lang w:val="en-US"/>
        </w:rPr>
        <w:fldChar w:fldCharType="separate"/>
      </w:r>
      <w:r w:rsidRPr="00891484">
        <w:rPr>
          <w:rFonts w:ascii="Arial" w:hAnsi="Arial" w:cs="Arial"/>
          <w:noProof/>
          <w:sz w:val="24"/>
          <w:szCs w:val="24"/>
          <w:lang w:val="en-US"/>
        </w:rPr>
        <w:t>(13,14)</w:t>
      </w:r>
      <w:r>
        <w:rPr>
          <w:rFonts w:ascii="Arial" w:hAnsi="Arial" w:cs="Arial"/>
          <w:sz w:val="24"/>
          <w:szCs w:val="24"/>
          <w:lang w:val="en-US"/>
        </w:rPr>
        <w:fldChar w:fldCharType="end"/>
      </w:r>
      <w:r>
        <w:rPr>
          <w:rFonts w:ascii="Arial" w:hAnsi="Arial" w:cs="Arial"/>
          <w:sz w:val="24"/>
          <w:szCs w:val="24"/>
          <w:lang w:val="en-US"/>
        </w:rPr>
        <w:t xml:space="preserve">. </w:t>
      </w:r>
      <w:r w:rsidR="00076C25" w:rsidRPr="0018334E">
        <w:rPr>
          <w:rFonts w:ascii="Arial" w:hAnsi="Arial" w:cs="Arial"/>
          <w:sz w:val="24"/>
          <w:szCs w:val="24"/>
          <w:lang w:val="en-US"/>
        </w:rPr>
        <w:t xml:space="preserve">In </w:t>
      </w:r>
      <w:r w:rsidR="00FE3ADD" w:rsidRPr="0018334E">
        <w:rPr>
          <w:rFonts w:ascii="Arial" w:hAnsi="Arial" w:cs="Arial"/>
          <w:sz w:val="24"/>
          <w:szCs w:val="24"/>
          <w:lang w:val="en-US"/>
        </w:rPr>
        <w:t xml:space="preserve">patients with </w:t>
      </w:r>
      <w:r w:rsidR="00076C25" w:rsidRPr="0018334E">
        <w:rPr>
          <w:rFonts w:ascii="Arial" w:hAnsi="Arial" w:cs="Arial"/>
          <w:sz w:val="24"/>
          <w:szCs w:val="24"/>
          <w:lang w:val="en-US"/>
        </w:rPr>
        <w:t xml:space="preserve">HHC, </w:t>
      </w:r>
      <w:r w:rsidR="00C83CCB" w:rsidRPr="0018334E">
        <w:rPr>
          <w:rFonts w:ascii="Arial" w:hAnsi="Arial" w:cs="Arial"/>
          <w:sz w:val="24"/>
          <w:szCs w:val="24"/>
          <w:lang w:val="en-US"/>
        </w:rPr>
        <w:t>which</w:t>
      </w:r>
      <w:r w:rsidR="00B705CA" w:rsidRPr="0018334E">
        <w:rPr>
          <w:rFonts w:ascii="Arial" w:hAnsi="Arial" w:cs="Arial"/>
          <w:sz w:val="24"/>
          <w:szCs w:val="24"/>
          <w:lang w:val="en-US"/>
        </w:rPr>
        <w:t xml:space="preserve"> is </w:t>
      </w:r>
      <w:r w:rsidR="00B23D0A" w:rsidRPr="0018334E">
        <w:rPr>
          <w:rFonts w:ascii="Arial" w:hAnsi="Arial" w:cs="Arial"/>
          <w:sz w:val="24"/>
          <w:szCs w:val="24"/>
          <w:lang w:val="en-US"/>
        </w:rPr>
        <w:t xml:space="preserve">characterized </w:t>
      </w:r>
      <w:r w:rsidR="00B705CA" w:rsidRPr="0018334E">
        <w:rPr>
          <w:rFonts w:ascii="Arial" w:hAnsi="Arial" w:cs="Arial"/>
          <w:sz w:val="24"/>
          <w:szCs w:val="24"/>
          <w:lang w:val="en-US"/>
        </w:rPr>
        <w:t xml:space="preserve">by high iron </w:t>
      </w:r>
      <w:r w:rsidR="00692874" w:rsidRPr="0018334E">
        <w:rPr>
          <w:rFonts w:ascii="Arial" w:hAnsi="Arial" w:cs="Arial"/>
          <w:sz w:val="24"/>
          <w:szCs w:val="24"/>
          <w:lang w:val="en-US"/>
        </w:rPr>
        <w:t>absorption</w:t>
      </w:r>
      <w:r w:rsidR="00076C25" w:rsidRPr="0018334E">
        <w:rPr>
          <w:rFonts w:ascii="Arial" w:hAnsi="Arial" w:cs="Arial"/>
          <w:sz w:val="24"/>
          <w:szCs w:val="24"/>
          <w:lang w:val="en-US"/>
        </w:rPr>
        <w:t>, TSAT is elevated f</w:t>
      </w:r>
      <w:r w:rsidR="00B705CA" w:rsidRPr="0018334E">
        <w:rPr>
          <w:rFonts w:ascii="Arial" w:hAnsi="Arial" w:cs="Arial"/>
          <w:sz w:val="24"/>
          <w:szCs w:val="24"/>
          <w:lang w:val="en-US"/>
        </w:rPr>
        <w:t>irst</w:t>
      </w:r>
      <w:r w:rsidR="009322EC">
        <w:rPr>
          <w:rFonts w:ascii="Arial" w:hAnsi="Arial" w:cs="Arial"/>
          <w:sz w:val="24"/>
          <w:szCs w:val="24"/>
          <w:lang w:val="en-US"/>
        </w:rPr>
        <w:t>,</w:t>
      </w:r>
      <w:r w:rsidR="00076C25" w:rsidRPr="0018334E">
        <w:rPr>
          <w:rFonts w:ascii="Arial" w:hAnsi="Arial" w:cs="Arial"/>
          <w:sz w:val="24"/>
          <w:szCs w:val="24"/>
          <w:lang w:val="en-US"/>
        </w:rPr>
        <w:t xml:space="preserve"> </w:t>
      </w:r>
      <w:r w:rsidR="00937429" w:rsidRPr="0018334E">
        <w:rPr>
          <w:rFonts w:ascii="Arial" w:hAnsi="Arial" w:cs="Arial"/>
          <w:sz w:val="24"/>
          <w:szCs w:val="24"/>
          <w:lang w:val="en-US"/>
        </w:rPr>
        <w:t>followed by</w:t>
      </w:r>
      <w:r w:rsidR="005D2C19" w:rsidRPr="0018334E">
        <w:rPr>
          <w:rFonts w:ascii="Arial" w:hAnsi="Arial" w:cs="Arial"/>
          <w:sz w:val="24"/>
          <w:szCs w:val="24"/>
          <w:lang w:val="en-US"/>
        </w:rPr>
        <w:t xml:space="preserve"> ferritin</w:t>
      </w:r>
      <w:r w:rsidR="00076C25" w:rsidRPr="0018334E">
        <w:rPr>
          <w:rFonts w:ascii="Arial" w:hAnsi="Arial" w:cs="Arial"/>
          <w:sz w:val="24"/>
          <w:szCs w:val="24"/>
          <w:lang w:val="en-US"/>
        </w:rPr>
        <w:t xml:space="preserve"> once tissue iron accumulation has occurred</w:t>
      </w:r>
      <w:r w:rsidR="005D2C19" w:rsidRPr="0018334E">
        <w:rPr>
          <w:rFonts w:ascii="Arial" w:hAnsi="Arial" w:cs="Arial"/>
          <w:sz w:val="24"/>
          <w:szCs w:val="24"/>
          <w:lang w:val="en-US"/>
        </w:rPr>
        <w:t xml:space="preserve"> </w:t>
      </w:r>
      <w:r w:rsidR="005D2C19" w:rsidRPr="0018334E">
        <w:rPr>
          <w:rFonts w:ascii="Arial" w:hAnsi="Arial" w:cs="Arial"/>
          <w:sz w:val="24"/>
          <w:szCs w:val="24"/>
          <w:lang w:val="en-US"/>
        </w:rPr>
        <w:fldChar w:fldCharType="begin" w:fldLock="1"/>
      </w:r>
      <w:r w:rsidR="009702C5" w:rsidRPr="0018334E">
        <w:rPr>
          <w:rFonts w:ascii="Arial" w:hAnsi="Arial" w:cs="Arial"/>
          <w:sz w:val="24"/>
          <w:szCs w:val="24"/>
          <w:lang w:val="en-US"/>
        </w:rPr>
        <w:instrText>ADDIN CSL_CITATION { "citationItems" : [ { "id" : "ITEM-1", "itemData" : { "DOI" : "10.1053/j.gastro.2010.06.013", "ISSN" : "1528-0012", "PMID" : "20542038", "abstract" : "In the late 1800s, hemochromatosis was considered an odd autoptic finding. More than a century later, it was finally recognized as a hereditary, multi-organ disorder associated with a polymorphism that is common among white people: a 845G--&gt;A change in HFE that results in C282Y in the gene product. Hemochromatosis is now a well-defined syndrome characterized by normal iron-driven erythropoiesis and the toxic accumulation of iron in parenchymal cells of liver, heart, and endocrine glands. It can be caused by mutations that affect any of the proteins that limit the entry of iron into the blood. In mice, deletion of the iron hormone hepcidin and any of 8 genes that regulate its biology, including Hfe, transferrin receptor 2 (Tfr2), and hemojuvelin (Hjv) (which all sense the accumulation of iron that hepcidin corrects) or ferroportin (Fpn) (the cellular iron exporter down-regulated by hepcidin), cause iron overload but not organ disease. In humans, loss of TfR2, HJV, and hepcidin itself or FPN mutations result in full-blown hemochromatosis. Unlike these rare instances, in white people, homozygotes for C282Y polymorphism in HFE are numerous, but they are only predisposed to hemochromatosis; complete organ disease develops in a minority, when these individuals abuse alcohol or from other unidentified modifying factors. HFE gene testing can be used to diagnose hemochromatosis, but analyses of liver histology and clinical features are still required to identify patients with rare, non-HFE forms of the disease. The role of hepcidin in the pathogenesis of hemochromatosis reveals its similarities to endocrine diseases such as diabetes and indicates new approaches to diagnosis and management of this common disorder in iron metabolism.", "author" : [ { "dropping-particle" : "", "family" : "Pietrangelo", "given" : "Antonello", "non-dropping-particle" : "", "parse-names" : false, "suffix" : "" } ], "container-title" : "Gastroenterology", "id" : "ITEM-1", "issue" : "2", "issued" : { "date-parts" : [ [ "2010", "8" ] ] }, "page" : "393-408, 408.e1-2", "publisher" : "Elsevier Inc.", "title" : "Hereditary hemochromatosis: pathogenesis, diagnosis, and treatment.", "type" : "article-journal", "volume" : "139" }, "uris" : [ "http://www.mendeley.com/documents/?uuid=62fb35b7-76ba-4940-bc92-291a95eef973" ] } ], "mendeley" : { "formattedCitation" : "(1)", "plainTextFormattedCitation" : "(1)", "previouslyFormattedCitation" : "(1)" }, "properties" : { "noteIndex" : 0 }, "schema" : "https://github.com/citation-style-language/schema/raw/master/csl-citation.json" }</w:instrText>
      </w:r>
      <w:r w:rsidR="005D2C19" w:rsidRPr="0018334E">
        <w:rPr>
          <w:rFonts w:ascii="Arial" w:hAnsi="Arial" w:cs="Arial"/>
          <w:sz w:val="24"/>
          <w:szCs w:val="24"/>
          <w:lang w:val="en-US"/>
        </w:rPr>
        <w:fldChar w:fldCharType="separate"/>
      </w:r>
      <w:r w:rsidR="00CC5AD7" w:rsidRPr="0018334E">
        <w:rPr>
          <w:rFonts w:ascii="Arial" w:hAnsi="Arial" w:cs="Arial"/>
          <w:noProof/>
          <w:sz w:val="24"/>
          <w:szCs w:val="24"/>
          <w:lang w:val="en-US"/>
        </w:rPr>
        <w:t>(1)</w:t>
      </w:r>
      <w:r w:rsidR="005D2C19" w:rsidRPr="0018334E">
        <w:rPr>
          <w:rFonts w:ascii="Arial" w:hAnsi="Arial" w:cs="Arial"/>
          <w:sz w:val="24"/>
          <w:szCs w:val="24"/>
          <w:lang w:val="en-US"/>
        </w:rPr>
        <w:fldChar w:fldCharType="end"/>
      </w:r>
      <w:r w:rsidR="00937429" w:rsidRPr="0018334E">
        <w:rPr>
          <w:rFonts w:ascii="Arial" w:hAnsi="Arial" w:cs="Arial"/>
          <w:sz w:val="24"/>
          <w:szCs w:val="24"/>
          <w:lang w:val="en-US"/>
        </w:rPr>
        <w:t>.</w:t>
      </w:r>
      <w:r w:rsidR="0040489E" w:rsidRPr="0018334E">
        <w:rPr>
          <w:rFonts w:ascii="Arial" w:hAnsi="Arial" w:cs="Arial"/>
          <w:sz w:val="24"/>
          <w:szCs w:val="24"/>
          <w:lang w:val="en-US"/>
        </w:rPr>
        <w:t xml:space="preserve"> </w:t>
      </w:r>
      <w:r w:rsidR="00EB0099">
        <w:rPr>
          <w:rFonts w:ascii="Arial" w:hAnsi="Arial" w:cs="Arial"/>
          <w:sz w:val="24"/>
          <w:szCs w:val="24"/>
          <w:lang w:val="en-US"/>
        </w:rPr>
        <w:t>Non-transferrin bound iron</w:t>
      </w:r>
      <w:r w:rsidR="00F6267A" w:rsidRPr="0018334E">
        <w:rPr>
          <w:rFonts w:ascii="Arial" w:hAnsi="Arial" w:cs="Arial"/>
          <w:sz w:val="24"/>
          <w:szCs w:val="24"/>
          <w:lang w:val="en-US"/>
        </w:rPr>
        <w:t xml:space="preserve"> is thought to </w:t>
      </w:r>
      <w:r w:rsidR="00F6267A" w:rsidRPr="0018334E">
        <w:rPr>
          <w:rFonts w:ascii="Arial" w:hAnsi="Arial" w:cs="Arial"/>
          <w:sz w:val="24"/>
          <w:szCs w:val="24"/>
          <w:lang w:val="en-US"/>
        </w:rPr>
        <w:lastRenderedPageBreak/>
        <w:t>be an important source of organ iron deposition and toxicity as it is</w:t>
      </w:r>
      <w:r w:rsidR="00F46D7F" w:rsidRPr="0018334E">
        <w:rPr>
          <w:rFonts w:ascii="Arial" w:hAnsi="Arial" w:cs="Arial"/>
          <w:sz w:val="24"/>
          <w:szCs w:val="24"/>
          <w:lang w:val="en-US"/>
        </w:rPr>
        <w:t xml:space="preserve"> avidly taken up by tissues, independently of the transferrin receptor</w:t>
      </w:r>
      <w:r w:rsidR="00477E6B" w:rsidRPr="0018334E">
        <w:rPr>
          <w:rFonts w:ascii="Arial" w:hAnsi="Arial" w:cs="Arial"/>
          <w:sz w:val="24"/>
          <w:szCs w:val="24"/>
          <w:lang w:val="en-US"/>
        </w:rPr>
        <w:t xml:space="preserve"> </w:t>
      </w:r>
      <w:r w:rsidR="00F46D7F" w:rsidRPr="0018334E">
        <w:rPr>
          <w:rFonts w:ascii="Arial" w:hAnsi="Arial" w:cs="Arial"/>
          <w:sz w:val="24"/>
          <w:szCs w:val="24"/>
          <w:lang w:val="en-US"/>
        </w:rPr>
        <w:fldChar w:fldCharType="begin" w:fldLock="1"/>
      </w:r>
      <w:r>
        <w:rPr>
          <w:rFonts w:ascii="Arial" w:hAnsi="Arial" w:cs="Arial"/>
          <w:sz w:val="24"/>
          <w:szCs w:val="24"/>
          <w:lang w:val="en-US"/>
        </w:rPr>
        <w:instrText>ADDIN CSL_CITATION { "citationItems" : [ { "id" : "ITEM-1", "itemData" : { "DOI" : "10.1016/j.bbagen.2011.07.014", "ISSN" : "0006-3002", "PMID" : "21855608", "abstract" : "BACKGROUND: Besides transferrin iron, which represents the normal form of circulating iron, non-transferrin bound iron (NTBI) has been identified in the plasma of patients with various pathological conditions in which transferrin saturation is significantly elevated. SCOPE OF THE REVIEW: To show that: i) NTBI is present not only during chronic iron overload disorders (hemochromatosis, transfusional iron overload) but also in miscellaneous diseases which are not primarily iron overloaded conditions; ii) this iron species represents a potentially toxic iron form due to its high propensity to induce reactive oxygen species and is responsible for cellular damage not only at the plasma membrane level but also towards different intracellular organelles; iii) the NTBI concept may be expanded to include intracytosolic iron forms which are not linked to ferritin, the major storage protein which exerts, at the cellular level, the same type of protective effect towards the intracellular environment as transferrin in the plasma. MAJOR CONCLUSIONS: Plasma NTBI and especially labile plasma iron determinations represent a new important biological tool since elimination of this toxic iron species is a major therapeutic goal. GENERAL SIGNIFICANCE: The NTBI approach represents an important mechanistic concept for explaining cellular iron excess and toxicity and provides new important biochemical diagnostic tools. This article is part of a Special Issue entitled Transferrins: Molecular mechanisms of iron transport and disorders.", "author" : [ { "dropping-particle" : "", "family" : "Brissot", "given" : "Pierre", "non-dropping-particle" : "", "parse-names" : false, "suffix" : "" }, { "dropping-particle" : "", "family" : "Ropert", "given" : "Martine", "non-dropping-particle" : "", "parse-names" : false, "suffix" : "" }, { "dropping-particle" : "", "family" : "Lan", "given" : "Caroline", "non-dropping-particle" : "Le", "parse-names" : false, "suffix" : "" }, { "dropping-particle" : "", "family" : "Lor\u00e9al", "given" : "Olivier", "non-dropping-particle" : "", "parse-names" : false, "suffix" : "" } ], "container-title" : "Biochimica et Biophysica Acta", "id" : "ITEM-1", "issue" : "3", "issued" : { "date-parts" : [ [ "2012", "3" ] ] }, "page" : "403-10", "publisher" : "Elsevier B.V.", "title" : "Non-transferrin bound iron: a key role in iron overload and iron toxicity.", "type" : "article-journal", "volume" : "1820" }, "uris" : [ "http://www.mendeley.com/documents/?uuid=b1229880-05e7-4a9d-950d-e3ef10738243" ] } ], "mendeley" : { "formattedCitation" : "(14)", "plainTextFormattedCitation" : "(14)", "previouslyFormattedCitation" : "(14)" }, "properties" : { "noteIndex" : 0 }, "schema" : "https://github.com/citation-style-language/schema/raw/master/csl-citation.json" }</w:instrText>
      </w:r>
      <w:r w:rsidR="00F46D7F" w:rsidRPr="0018334E">
        <w:rPr>
          <w:rFonts w:ascii="Arial" w:hAnsi="Arial" w:cs="Arial"/>
          <w:sz w:val="24"/>
          <w:szCs w:val="24"/>
          <w:lang w:val="en-US"/>
        </w:rPr>
        <w:fldChar w:fldCharType="separate"/>
      </w:r>
      <w:r w:rsidRPr="00891484">
        <w:rPr>
          <w:rFonts w:ascii="Arial" w:hAnsi="Arial" w:cs="Arial"/>
          <w:noProof/>
          <w:sz w:val="24"/>
          <w:szCs w:val="24"/>
          <w:lang w:val="en-US"/>
        </w:rPr>
        <w:t>(14)</w:t>
      </w:r>
      <w:r w:rsidR="00F46D7F" w:rsidRPr="0018334E">
        <w:rPr>
          <w:rFonts w:ascii="Arial" w:hAnsi="Arial" w:cs="Arial"/>
          <w:sz w:val="24"/>
          <w:szCs w:val="24"/>
          <w:lang w:val="en-US"/>
        </w:rPr>
        <w:fldChar w:fldCharType="end"/>
      </w:r>
      <w:r w:rsidR="00A62EC7" w:rsidRPr="0018334E">
        <w:rPr>
          <w:rFonts w:ascii="Arial" w:hAnsi="Arial" w:cs="Arial"/>
          <w:sz w:val="24"/>
          <w:szCs w:val="24"/>
          <w:lang w:val="en-US"/>
        </w:rPr>
        <w:t xml:space="preserve"> and l</w:t>
      </w:r>
      <w:r w:rsidR="00756738" w:rsidRPr="0018334E">
        <w:rPr>
          <w:rFonts w:ascii="Arial" w:hAnsi="Arial" w:cs="Arial"/>
          <w:sz w:val="24"/>
          <w:szCs w:val="24"/>
          <w:lang w:val="en-US"/>
        </w:rPr>
        <w:t>evels have</w:t>
      </w:r>
      <w:r w:rsidR="00DA5146" w:rsidRPr="0018334E">
        <w:rPr>
          <w:rFonts w:ascii="Arial" w:hAnsi="Arial" w:cs="Arial"/>
          <w:sz w:val="24"/>
          <w:szCs w:val="24"/>
          <w:lang w:val="en-US"/>
        </w:rPr>
        <w:t xml:space="preserve"> been shown to be </w:t>
      </w:r>
      <w:r w:rsidR="00756738" w:rsidRPr="0018334E">
        <w:rPr>
          <w:rFonts w:ascii="Arial" w:hAnsi="Arial" w:cs="Arial"/>
          <w:sz w:val="24"/>
          <w:szCs w:val="24"/>
          <w:lang w:val="en-US"/>
        </w:rPr>
        <w:t>higher</w:t>
      </w:r>
      <w:r w:rsidR="00DA5146" w:rsidRPr="0018334E">
        <w:rPr>
          <w:rFonts w:ascii="Arial" w:hAnsi="Arial" w:cs="Arial"/>
          <w:sz w:val="24"/>
          <w:szCs w:val="24"/>
          <w:lang w:val="en-US"/>
        </w:rPr>
        <w:t xml:space="preserve"> in patients with </w:t>
      </w:r>
      <w:r w:rsidR="003813A4" w:rsidRPr="0018334E">
        <w:rPr>
          <w:rFonts w:ascii="Arial" w:hAnsi="Arial" w:cs="Arial"/>
          <w:sz w:val="24"/>
          <w:szCs w:val="24"/>
          <w:lang w:val="en-US"/>
        </w:rPr>
        <w:t>type 2 diabetes</w:t>
      </w:r>
      <w:r w:rsidR="00DA5146" w:rsidRPr="0018334E">
        <w:rPr>
          <w:rFonts w:ascii="Arial" w:hAnsi="Arial" w:cs="Arial"/>
          <w:sz w:val="24"/>
          <w:szCs w:val="24"/>
          <w:lang w:val="en-US"/>
        </w:rPr>
        <w:t xml:space="preserve"> compared to controls </w:t>
      </w:r>
      <w:r w:rsidR="00DA5146" w:rsidRPr="0018334E">
        <w:rPr>
          <w:rFonts w:ascii="Arial" w:hAnsi="Arial" w:cs="Arial"/>
          <w:sz w:val="24"/>
          <w:szCs w:val="24"/>
          <w:lang w:val="en-US"/>
        </w:rPr>
        <w:fldChar w:fldCharType="begin" w:fldLock="1"/>
      </w:r>
      <w:r w:rsidR="002F34F2">
        <w:rPr>
          <w:rFonts w:ascii="Arial" w:hAnsi="Arial" w:cs="Arial"/>
          <w:sz w:val="24"/>
          <w:szCs w:val="24"/>
          <w:lang w:val="en-US"/>
        </w:rPr>
        <w:instrText>ADDIN CSL_CITATION { "citationItems" : [ { "id" : "ITEM-1", "itemData" : { "DOI" : "10.2337/diacare.2951090", "ISSN" : "0149-5992", "PMID" : "16644642", "abstract" : "OBJECTIVE: Recently, we reported increased cardiovascular disease mortality among supplemental vitamin C users with type 2 diabetes in a prospective cohort study. Because vitamin C may cause oxidative stress in the presence of redox active iron, we hypothesized that non-transferrin-bound iron (NTBI), a form of iron susceptible to redox activity, may be present in patients with type 2 diabetes. RESEARCH DESIGN AND METHODS: We measured serum NTBI levels using high-performance liquid chromatography in 48 patients with known diabetes (at least 5 years duration since diagnosis), 49 patients with newly diagnosed diabetes, and 47 healthy control subjects (frequency matched on age and sex). RESULTS: NTBI was commonly present in diabetes: 59% in newly diagnosed diabetes and 92% in advanced diabetes. Mean NTBI values varied significantly between the three groups, with the highest values being observed in patients with known diabetes and the lowest in the control subjects (0.62 +/- 0.43 vs. 0.24 +/- 0.29 vs. 0.04 +/- 0.13 micromol/l Fe). Serum total iron or percent transferrin saturation were very similar among the three groups, yet NTBI was strongly associated with serum total iron (r = 0.74, P &lt; 0.01) and percent transferrin saturation (r = 0.70, P &lt; 0.01) among the patients with known diabetes. CONCLUSIONS: Consistent with our hypothesis, these data demonstrate the common existence of NTBI in type 2 diabetic patients with a strong gradient with severity. Prospective cohort studies are required to clarify the clinical relevance of increased NTBI levels.", "author" : [ { "dropping-particle" : "", "family" : "Lee", "given" : "Duk-Hee D.-H.", "non-dropping-particle" : "", "parse-names" : false, "suffix" : "" }, { "dropping-particle" : "", "family" : "Liu", "given" : "Ding Yong", "non-dropping-particle" : "", "parse-names" : false, "suffix" : "" }, { "dropping-particle" : "", "family" : "Jacobs", "given" : "David R", "non-dropping-particle" : "", "parse-names" : false, "suffix" : "" }, { "dropping-particle" : "", "family" : "Shin", "given" : "Hai-Rim", "non-dropping-particle" : "", "parse-names" : false, "suffix" : "" }, { "dropping-particle" : "", "family" : "Song", "given" : "Kyungeun", "non-dropping-particle" : "", "parse-names" : false, "suffix" : "" }, { "dropping-particle" : "", "family" : "Lee", "given" : "In-Kyu", "non-dropping-particle" : "", "parse-names" : false, "suffix" : "" }, { "dropping-particle" : "", "family" : "Kim", "given" : "Bowan", "non-dropping-particle" : "", "parse-names" : false, "suffix" : "" }, { "dropping-particle" : "", "family" : "Hider", "given" : "Robert C", "non-dropping-particle" : "", "parse-names" : false, "suffix" : "" } ], "container-title" : "Diabetes Care", "id" : "ITEM-1", "issue" : "5", "issued" : { "date-parts" : [ [ "2006", "5", "1" ] ] }, "page" : "1090-5", "title" : "Common presence of non-transferrin-bound iron among patients with type 2 diabetes.", "type" : "article-journal", "volume" : "29" }, "uris" : [ "http://www.mendeley.com/documents/?uuid=3935b8d8-6229-48e5-b4c7-0d2ba72bd5b6" ] } ], "mendeley" : { "formattedCitation" : "(30)", "plainTextFormattedCitation" : "(30)", "previouslyFormattedCitation" : "(27)" }, "properties" : { "noteIndex" : 0 }, "schema" : "https://github.com/citation-style-language/schema/raw/master/csl-citation.json" }</w:instrText>
      </w:r>
      <w:r w:rsidR="00DA5146" w:rsidRPr="0018334E">
        <w:rPr>
          <w:rFonts w:ascii="Arial" w:hAnsi="Arial" w:cs="Arial"/>
          <w:sz w:val="24"/>
          <w:szCs w:val="24"/>
          <w:lang w:val="en-US"/>
        </w:rPr>
        <w:fldChar w:fldCharType="separate"/>
      </w:r>
      <w:r w:rsidR="002F34F2" w:rsidRPr="002F34F2">
        <w:rPr>
          <w:rFonts w:ascii="Arial" w:hAnsi="Arial" w:cs="Arial"/>
          <w:noProof/>
          <w:sz w:val="24"/>
          <w:szCs w:val="24"/>
          <w:lang w:val="en-US"/>
        </w:rPr>
        <w:t>(30)</w:t>
      </w:r>
      <w:r w:rsidR="00DA5146" w:rsidRPr="0018334E">
        <w:rPr>
          <w:rFonts w:ascii="Arial" w:hAnsi="Arial" w:cs="Arial"/>
          <w:sz w:val="24"/>
          <w:szCs w:val="24"/>
          <w:lang w:val="en-US"/>
        </w:rPr>
        <w:fldChar w:fldCharType="end"/>
      </w:r>
      <w:r w:rsidR="00756738" w:rsidRPr="0018334E">
        <w:rPr>
          <w:rFonts w:ascii="Arial" w:hAnsi="Arial" w:cs="Arial"/>
          <w:sz w:val="24"/>
          <w:szCs w:val="24"/>
          <w:lang w:val="en-US"/>
        </w:rPr>
        <w:t>.</w:t>
      </w:r>
      <w:r w:rsidR="00DA5146" w:rsidRPr="0018334E">
        <w:rPr>
          <w:rFonts w:ascii="Arial" w:hAnsi="Arial" w:cs="Arial"/>
          <w:sz w:val="24"/>
          <w:szCs w:val="24"/>
          <w:lang w:val="en-US"/>
        </w:rPr>
        <w:t xml:space="preserve"> </w:t>
      </w:r>
      <w:r w:rsidR="00F6267A" w:rsidRPr="0018334E">
        <w:rPr>
          <w:rFonts w:ascii="Arial" w:hAnsi="Arial" w:cs="Arial"/>
          <w:sz w:val="24"/>
          <w:szCs w:val="24"/>
          <w:lang w:val="en-US"/>
        </w:rPr>
        <w:t>However, t</w:t>
      </w:r>
      <w:r w:rsidR="000024B7" w:rsidRPr="0018334E">
        <w:rPr>
          <w:rFonts w:ascii="Arial" w:hAnsi="Arial" w:cs="Arial"/>
          <w:sz w:val="24"/>
          <w:szCs w:val="24"/>
          <w:lang w:val="en-US"/>
        </w:rPr>
        <w:t xml:space="preserve">he </w:t>
      </w:r>
      <w:r w:rsidR="00EF73CB" w:rsidRPr="0018334E">
        <w:rPr>
          <w:rFonts w:ascii="Arial" w:hAnsi="Arial" w:cs="Arial"/>
          <w:sz w:val="24"/>
          <w:szCs w:val="24"/>
          <w:lang w:val="en-US"/>
        </w:rPr>
        <w:t xml:space="preserve">direction of </w:t>
      </w:r>
      <w:r w:rsidR="00921F66" w:rsidRPr="0018334E">
        <w:rPr>
          <w:rFonts w:ascii="Arial" w:hAnsi="Arial" w:cs="Arial"/>
          <w:sz w:val="24"/>
          <w:szCs w:val="24"/>
          <w:lang w:val="en-US"/>
        </w:rPr>
        <w:t xml:space="preserve">association between TSAT and </w:t>
      </w:r>
      <w:r w:rsidR="0019207F" w:rsidRPr="0018334E">
        <w:rPr>
          <w:rFonts w:ascii="Arial" w:hAnsi="Arial" w:cs="Arial"/>
          <w:sz w:val="24"/>
          <w:szCs w:val="24"/>
          <w:lang w:val="en-US"/>
        </w:rPr>
        <w:t>type 2 diabetes</w:t>
      </w:r>
      <w:r w:rsidR="00921F66" w:rsidRPr="0018334E">
        <w:rPr>
          <w:rFonts w:ascii="Arial" w:hAnsi="Arial" w:cs="Arial"/>
          <w:sz w:val="24"/>
          <w:szCs w:val="24"/>
          <w:lang w:val="en-US"/>
        </w:rPr>
        <w:t xml:space="preserve"> </w:t>
      </w:r>
      <w:r w:rsidR="000024B7" w:rsidRPr="0018334E">
        <w:rPr>
          <w:rFonts w:ascii="Arial" w:hAnsi="Arial" w:cs="Arial"/>
          <w:sz w:val="24"/>
          <w:szCs w:val="24"/>
          <w:lang w:val="en-US"/>
        </w:rPr>
        <w:t xml:space="preserve">observed </w:t>
      </w:r>
      <w:r w:rsidR="0021726B" w:rsidRPr="0018334E">
        <w:rPr>
          <w:rFonts w:ascii="Arial" w:hAnsi="Arial" w:cs="Arial"/>
          <w:sz w:val="24"/>
          <w:szCs w:val="24"/>
          <w:lang w:val="en-US"/>
        </w:rPr>
        <w:t xml:space="preserve">in this study </w:t>
      </w:r>
      <w:r w:rsidR="00937429" w:rsidRPr="0018334E">
        <w:rPr>
          <w:rFonts w:ascii="Arial" w:hAnsi="Arial" w:cs="Arial"/>
          <w:sz w:val="24"/>
          <w:szCs w:val="24"/>
          <w:lang w:val="en-US"/>
        </w:rPr>
        <w:t>does not</w:t>
      </w:r>
      <w:r w:rsidR="00471DD0" w:rsidRPr="0018334E">
        <w:rPr>
          <w:rFonts w:ascii="Arial" w:hAnsi="Arial" w:cs="Arial"/>
          <w:sz w:val="24"/>
          <w:szCs w:val="24"/>
          <w:lang w:val="en-US"/>
        </w:rPr>
        <w:t xml:space="preserve"> suppor</w:t>
      </w:r>
      <w:r w:rsidR="00937429" w:rsidRPr="0018334E">
        <w:rPr>
          <w:rFonts w:ascii="Arial" w:hAnsi="Arial" w:cs="Arial"/>
          <w:sz w:val="24"/>
          <w:szCs w:val="24"/>
          <w:lang w:val="en-US"/>
        </w:rPr>
        <w:t>t</w:t>
      </w:r>
      <w:r w:rsidR="00471DD0" w:rsidRPr="0018334E">
        <w:rPr>
          <w:rFonts w:ascii="Arial" w:hAnsi="Arial" w:cs="Arial"/>
          <w:sz w:val="24"/>
          <w:szCs w:val="24"/>
          <w:lang w:val="en-US"/>
        </w:rPr>
        <w:t xml:space="preserve"> </w:t>
      </w:r>
      <w:r w:rsidR="000024B7" w:rsidRPr="0018334E">
        <w:rPr>
          <w:rFonts w:ascii="Arial" w:hAnsi="Arial" w:cs="Arial"/>
          <w:sz w:val="24"/>
          <w:szCs w:val="24"/>
          <w:lang w:val="en-US"/>
        </w:rPr>
        <w:t>a</w:t>
      </w:r>
      <w:r>
        <w:rPr>
          <w:rFonts w:ascii="Arial" w:hAnsi="Arial" w:cs="Arial"/>
          <w:sz w:val="24"/>
          <w:szCs w:val="24"/>
          <w:lang w:val="en-US"/>
        </w:rPr>
        <w:t xml:space="preserve"> simple</w:t>
      </w:r>
      <w:r w:rsidR="000024B7" w:rsidRPr="0018334E">
        <w:rPr>
          <w:rFonts w:ascii="Arial" w:hAnsi="Arial" w:cs="Arial"/>
          <w:sz w:val="24"/>
          <w:szCs w:val="24"/>
          <w:lang w:val="en-US"/>
        </w:rPr>
        <w:t xml:space="preserve"> association between </w:t>
      </w:r>
      <w:r w:rsidR="00C83CCB" w:rsidRPr="0018334E">
        <w:rPr>
          <w:rFonts w:ascii="Arial" w:hAnsi="Arial" w:cs="Arial"/>
          <w:sz w:val="24"/>
          <w:szCs w:val="24"/>
          <w:lang w:val="en-US"/>
        </w:rPr>
        <w:t xml:space="preserve">increased iron absorption </w:t>
      </w:r>
      <w:proofErr w:type="gramStart"/>
      <w:r w:rsidR="00C83CCB" w:rsidRPr="0018334E">
        <w:rPr>
          <w:rFonts w:ascii="Arial" w:hAnsi="Arial" w:cs="Arial"/>
          <w:sz w:val="24"/>
          <w:szCs w:val="24"/>
          <w:lang w:val="en-US"/>
        </w:rPr>
        <w:t>or</w:t>
      </w:r>
      <w:proofErr w:type="gramEnd"/>
      <w:r w:rsidR="00C83CCB" w:rsidRPr="0018334E">
        <w:rPr>
          <w:rFonts w:ascii="Arial" w:hAnsi="Arial" w:cs="Arial"/>
          <w:sz w:val="24"/>
          <w:szCs w:val="24"/>
          <w:lang w:val="en-US"/>
        </w:rPr>
        <w:t xml:space="preserve"> </w:t>
      </w:r>
      <w:r w:rsidR="00832E84" w:rsidRPr="0018334E">
        <w:rPr>
          <w:rFonts w:ascii="Arial" w:hAnsi="Arial" w:cs="Arial"/>
          <w:sz w:val="24"/>
          <w:szCs w:val="24"/>
          <w:lang w:val="en-US"/>
        </w:rPr>
        <w:t>higher</w:t>
      </w:r>
      <w:r w:rsidR="00EB0099">
        <w:rPr>
          <w:rFonts w:ascii="Arial" w:hAnsi="Arial" w:cs="Arial"/>
          <w:sz w:val="24"/>
          <w:szCs w:val="24"/>
          <w:lang w:val="en-US"/>
        </w:rPr>
        <w:t xml:space="preserve"> non-transferrin bound iron</w:t>
      </w:r>
      <w:r w:rsidR="00DA5146" w:rsidRPr="0018334E">
        <w:rPr>
          <w:rFonts w:ascii="Arial" w:hAnsi="Arial" w:cs="Arial"/>
          <w:sz w:val="24"/>
          <w:szCs w:val="24"/>
          <w:lang w:val="en-US"/>
        </w:rPr>
        <w:t xml:space="preserve"> </w:t>
      </w:r>
      <w:r w:rsidR="000024B7" w:rsidRPr="0018334E">
        <w:rPr>
          <w:rFonts w:ascii="Arial" w:hAnsi="Arial" w:cs="Arial"/>
          <w:sz w:val="24"/>
          <w:szCs w:val="24"/>
          <w:lang w:val="en-US"/>
        </w:rPr>
        <w:t xml:space="preserve">and </w:t>
      </w:r>
      <w:r w:rsidR="0019207F" w:rsidRPr="0018334E">
        <w:rPr>
          <w:rFonts w:ascii="Arial" w:hAnsi="Arial" w:cs="Arial"/>
          <w:sz w:val="24"/>
          <w:szCs w:val="24"/>
          <w:lang w:val="en-US"/>
        </w:rPr>
        <w:t>type 2 diabetes</w:t>
      </w:r>
      <w:r w:rsidR="00024F33" w:rsidRPr="0018334E">
        <w:rPr>
          <w:rFonts w:ascii="Arial" w:hAnsi="Arial" w:cs="Arial"/>
          <w:sz w:val="24"/>
          <w:szCs w:val="24"/>
          <w:lang w:val="en-US"/>
        </w:rPr>
        <w:t xml:space="preserve">. </w:t>
      </w:r>
      <w:r w:rsidR="00366737">
        <w:rPr>
          <w:rFonts w:ascii="Arial" w:hAnsi="Arial" w:cs="Arial"/>
          <w:sz w:val="24"/>
          <w:szCs w:val="24"/>
          <w:lang w:val="en-US"/>
        </w:rPr>
        <w:t xml:space="preserve">This </w:t>
      </w:r>
      <w:r>
        <w:rPr>
          <w:rFonts w:ascii="Arial" w:hAnsi="Arial" w:cs="Arial"/>
          <w:sz w:val="24"/>
          <w:szCs w:val="24"/>
          <w:lang w:val="en-US"/>
        </w:rPr>
        <w:t>may be because</w:t>
      </w:r>
      <w:r w:rsidRPr="0018334E">
        <w:rPr>
          <w:rFonts w:ascii="Arial" w:hAnsi="Arial" w:cs="Arial"/>
          <w:sz w:val="24"/>
          <w:szCs w:val="24"/>
          <w:lang w:val="en-US"/>
        </w:rPr>
        <w:t xml:space="preserve"> not all cases of iron overload are characterized by an elevated TSAT. </w:t>
      </w:r>
      <w:r>
        <w:rPr>
          <w:rFonts w:ascii="Arial" w:hAnsi="Arial" w:cs="Arial"/>
          <w:sz w:val="24"/>
          <w:szCs w:val="24"/>
          <w:lang w:val="en-US"/>
        </w:rPr>
        <w:t>For example, the</w:t>
      </w:r>
      <w:r w:rsidRPr="0018334E">
        <w:rPr>
          <w:rFonts w:ascii="Arial" w:hAnsi="Arial" w:cs="Arial"/>
          <w:sz w:val="24"/>
          <w:szCs w:val="24"/>
          <w:lang w:val="en-US"/>
        </w:rPr>
        <w:t xml:space="preserve"> insulin resistance-associated hepatic iron overload syndrome is characterized by mild to moderate hepatic iron overload on liver biopsy, generally with an elevated ferritin but a normal TSAT </w:t>
      </w:r>
      <w:r w:rsidRPr="0018334E">
        <w:rPr>
          <w:rFonts w:ascii="Arial" w:hAnsi="Arial" w:cs="Arial"/>
          <w:sz w:val="24"/>
          <w:szCs w:val="24"/>
          <w:lang w:val="en-US"/>
        </w:rPr>
        <w:fldChar w:fldCharType="begin" w:fldLock="1"/>
      </w:r>
      <w:r w:rsidR="002F34F2">
        <w:rPr>
          <w:rFonts w:ascii="Arial" w:hAnsi="Arial" w:cs="Arial"/>
          <w:sz w:val="24"/>
          <w:szCs w:val="24"/>
          <w:lang w:val="en-US"/>
        </w:rPr>
        <w:instrText>ADDIN CSL_CITATION { "citationItems" : [ { "id" : "ITEM-1", "itemData" : { "DOI" : "10.1016/S0140-6736(96)06034-5", "ISSN" : "0140-6736", "PMID" : "8996422", "abstract" : "BACKGROUND: We investigated patients who had unexplained hepatic iron overload and normal transferrin saturation. METHODS: 65 patients with a median liver iron concentration of 65 mumol/g dry weight of liver (normal &lt; 36 mumol/g), hyperferritinaemia (566 micrograms/L; normal &lt; 400 micrograms/L), and normal transferrin saturations (32%) were compared with genetic haemochromatosis (GH) controls including homozygous (matched for sex and serum ferritin concentration) and heterozygous individuals. Relatives of patients who had ratios of liver iron concentration to age greater than 1.9 were also studied. FINDINGS: The 65 patients were significantly older and had significantly less hepatic iron overload than individuals with genetic haemochromatosis. The frequency of HLA-A3 antigen was significantly lower in these patients than in individuals with homozygous (p &lt; 0.0001) or heterozygous (p &lt; 0.0002) GH. Five HLA-identical siblings of the patients had normal serum ferritin concentrations. Most of the patients (95%) had one or more of the following conditions; obesity, hyperlipidaemia, abnormal glucose metabolism, or hypertension. INTERPRETATION: We have found a new non-HLA-linked iron-overload syndrome which suggests a link between iron excess and metabolic disorders. The current diagnostic criteria for genetic haemochromatosis should be reviewed.", "author" : [ { "dropping-particle" : "", "family" : "Moirand", "given" : "Romain", "non-dropping-particle" : "", "parse-names" : false, "suffix" : "" }, { "dropping-particle" : "", "family" : "Mortaji", "given" : "a M", "non-dropping-particle" : "", "parse-names" : false, "suffix" : "" }, { "dropping-particle" : "", "family" : "Lor\u00e9al", "given" : "Olivier", "non-dropping-particle" : "", "parse-names" : false, "suffix" : "" }, { "dropping-particle" : "", "family" : "Paillard", "given" : "F", "non-dropping-particle" : "", "parse-names" : false, "suffix" : "" }, { "dropping-particle" : "", "family" : "Brissot", "given" : "P", "non-dropping-particle" : "", "parse-names" : false, "suffix" : "" }, { "dropping-particle" : "", "family" : "Deugnier", "given" : "Y", "non-dropping-particle" : "", "parse-names" : false, "suffix" : "" } ], "container-title" : "Lancet", "id" : "ITEM-1", "issue" : "9045", "issued" : { "date-parts" : [ [ "1997", "1", "11" ] ] }, "note" : "Seminal paper of new syndrome of mild-moderate iron overload with hyperferritinemia, normal TSAT and concomitant metabolic disorder. (before discovery of HFE!)", "page" : "95-7", "title" : "A new syndrome of liver iron overload with normal transferrin saturation.", "type" : "article-journal", "volume" : "349" }, "uris" : [ "http://www.mendeley.com/documents/?uuid=3f5959f1-c96c-48d0-943f-b97e37bb52ea" ] }, { "id" : "ITEM-2", "itemData" : { "ISSN" : "0016-5085", "PMID" : "10535879", "abstract" : "BACKGROUND &amp; AIMS: Hepatic iron overload has been reported in various metabolic conditions, including the insulin-resistance syndrome (IRS) and nonalcoholic steatohepatitis (NASH). The aim of this study was to show that such hepatic iron overload is part of a unique and unrecognized entity. METHODS: A total of 161 non-C282Y-homozygous patients with unexplained hepatic iron overload were included. We determined the age; sex; presence of IRS (1 or more of the following: body mass index of &gt;25, diabetes, or hyperlipidemia); serum iron tests and liver iron concentration (LIC; reference value, &lt;36 micromol/g); liver function test results; C282Y and H63D HFE mutations; and liver histological status. RESULTS: Patients were predominantly male and middle-aged. Most (94%) had IRS. Transferrin saturation was increased in 35% (median, 42%; range, 13%-94%). LIC ranged from 38 to 332 micromol/g (median, 90 micromol/g), and LIC/age ratio ranged from 0.5 to 4.8 (median, 1.8). Allelic frequencies of both HFE mutations were significantly increased compared with values in normal controls (C282Y, 20% vs. 9%; H63D, 30% vs. 17%), only because of a higher prevalence of compound heterozygotes. Patients with no HFE mutations had similar degrees of iron overload as those with other genotypes, except for compound heterozygotes, who had slightly more iron burden. Steatosis was present in 25% of patients and NASH in 27%. Portal fibrosis (grades 0-3) was present in 62% of patients (grade 2 or 3 in 12%) in association with steatosis, inflammation, and increased age. Sex ratio, IRS, transferrin saturation, and LIC did not vary with liver damage. Serum ferritin concentration, liver function test results, and fibrosis grade were more elevated in patients with steatosis and NASH than in others, but LIC and allelic frequencies of HFE mutations were similar. CONCLUSIONS: This study shows that patients with unexplained hepatic iron overload are characterized by a mild to moderate iron burden and the nearly constant association of an IRS irrespective of liver damage.", "author" : [ { "dropping-particle" : "", "family" : "Mendler", "given" : "M H", "non-dropping-particle" : "", "parse-names" : false, "suffix" : "" }, { "dropping-particle" : "", "family" : "Turlin", "given" : "B", "non-dropping-particle" : "", "parse-names" : false, "suffix" : "" }, { "dropping-particle" : "", "family" : "Moirand", "given" : "Romain", "non-dropping-particle" : "", "parse-names" : false, "suffix" : "" }, { "dropping-particle" : "", "family" : "Jouanolle", "given" : "a M", "non-dropping-particle" : "", "parse-names" : false, "suffix" : "" }, { "dropping-particle" : "", "family" : "Sapey", "given" : "T", "non-dropping-particle" : "", "parse-names" : false, "suffix" : "" }, { "dropping-particle" : "", "family" : "Guyader", "given" : "D", "non-dropping-particle" : "", "parse-names" : false, "suffix" : "" }, { "dropping-particle" : "", "family" : "Gall", "given" : "J Y", "non-dropping-particle" : "Le", "parse-names" : false, "suffix" : "" }, { "dropping-particle" : "", "family" : "Brissot", "given" : "P", "non-dropping-particle" : "", "parse-names" : false, "suffix" : "" }, { "dropping-particle" : "", "family" : "David", "given" : "Veronique", "non-dropping-particle" : "", "parse-names" : false, "suffix" : "" }, { "dropping-particle" : "", "family" : "Deugnier", "given" : "Y", "non-dropping-particle" : "", "parse-names" : false, "suffix" : "" } ], "container-title" : "Gastroenterology", "id" : "ITEM-2", "issue" : "5", "issued" : { "date-parts" : [ [ "1999", "11" ] ] }, "note" : "IR-HIO described after discovery of HFE.\n\nDefinition of iron overload based on liver histology:\nhepatic iron overload, defined as liver iron concentration (LIC) of&amp;gt;36 \u00b5mol/g dry liver weight or a histological iron score of &amp;gt;=3 (range, 0\u201360).", "page" : "1155-63", "title" : "Insulin resistance-associated hepatic iron overload.", "type" : "article-journal", "volume" : "117" }, "uris" : [ "http://www.mendeley.com/documents/?uuid=aa126e74-1cb3-44a3-a7b6-7205d678d7ed" ] }, { "id" : "ITEM-3", "itemData" : { "DOI" : "10.1309/WWNE-KW2C-4KTW-PTJ5", "ISSN" : "0002-9173", "PMID" : "11488074", "abstract" : "The aim of the present study was to describe histologic features of the liver in insulin resistance-associated hepatic iron overload (IR-HIO), defined as the association of metabolic disorders and hepatic iron overload. We included 139 patients in the study on the basis of one or more metabolic disorders and liver iron overload unrelated to usual causes. Liver biopsy specimens were reviewed, and histologic data were compared with those of a previously published, well-defined population with genetic hemochromatosis. Iron overload was characterized by a mixed pattern with iron deposits in hepatocytes and sinusoidal cells. Steatosis was present in 59.7% of patients with inflammation in 32.4% of cases. Periportal fibrosis was found in 67.4% of patients. These patients were older, had higher sinusoidal iron scores, and had a higher prevalence of steatosis and inflammation than patients without fibrosis. Iron overload in IR-HIO was histologically different from that in genetic hemochromatosis.", "author" : [ { "dropping-particle" : "", "family" : "Turlin", "given" : "B", "non-dropping-particle" : "", "parse-names" : false, "suffix" : "" }, { "dropping-particle" : "", "family" : "Mendler", "given" : "M H", "non-dropping-particle" : "", "parse-names" : false, "suffix" : "" }, { "dropping-particle" : "", "family" : "Moirand", "given" : "Romain", "non-dropping-particle" : "", "parse-names" : false, "suffix" : "" }, { "dropping-particle" : "", "family" : "Guyader", "given" : "D", "non-dropping-particle" : "", "parse-names" : false, "suffix" : "" }, { "dropping-particle" : "", "family" : "Guillygomarc'h", "given" : "A", "non-dropping-particle" : "", "parse-names" : false, "suffix" : "" }, { "dropping-particle" : "", "family" : "Deugnier", "given" : "Y", "non-dropping-particle" : "", "parse-names" : false, "suffix" : "" } ], "container-title" : "American Journal of Clinical Pathology", "id" : "ITEM-3", "issue" : "2", "issued" : { "date-parts" : [ [ "2001", "8" ] ] }, "page" : "263-70", "title" : "Histologic features of the liver in insulin resistance-associated iron overload. A study of 139 patients.", "type" : "article-journal", "volume" : "116" }, "uris" : [ "http://www.mendeley.com/documents/?uuid=2827649b-a525-4c81-bc60-71fc42527cf1" ] } ], "mendeley" : { "formattedCitation" : "(31\u201333)", "plainTextFormattedCitation" : "(31\u201333)", "previouslyFormattedCitation" : "(29\u201331)" }, "properties" : { "noteIndex" : 0 }, "schema" : "https://github.com/citation-style-language/schema/raw/master/csl-citation.json" }</w:instrText>
      </w:r>
      <w:r w:rsidRPr="0018334E">
        <w:rPr>
          <w:rFonts w:ascii="Arial" w:hAnsi="Arial" w:cs="Arial"/>
          <w:sz w:val="24"/>
          <w:szCs w:val="24"/>
          <w:lang w:val="en-US"/>
        </w:rPr>
        <w:fldChar w:fldCharType="separate"/>
      </w:r>
      <w:r w:rsidR="002F34F2" w:rsidRPr="002F34F2">
        <w:rPr>
          <w:rFonts w:ascii="Arial" w:hAnsi="Arial" w:cs="Arial"/>
          <w:noProof/>
          <w:sz w:val="24"/>
          <w:szCs w:val="24"/>
          <w:lang w:val="en-US"/>
        </w:rPr>
        <w:t>(31–33)</w:t>
      </w:r>
      <w:r w:rsidRPr="0018334E">
        <w:rPr>
          <w:rFonts w:ascii="Arial" w:hAnsi="Arial" w:cs="Arial"/>
          <w:sz w:val="24"/>
          <w:szCs w:val="24"/>
          <w:lang w:val="en-US"/>
        </w:rPr>
        <w:fldChar w:fldCharType="end"/>
      </w:r>
      <w:r w:rsidRPr="0018334E">
        <w:rPr>
          <w:rFonts w:ascii="Arial" w:hAnsi="Arial" w:cs="Arial"/>
          <w:sz w:val="24"/>
          <w:szCs w:val="24"/>
          <w:lang w:val="en-US"/>
        </w:rPr>
        <w:t xml:space="preserve">. </w:t>
      </w:r>
      <w:r>
        <w:rPr>
          <w:rFonts w:ascii="Arial" w:hAnsi="Arial" w:cs="Arial"/>
          <w:sz w:val="24"/>
          <w:szCs w:val="24"/>
          <w:lang w:val="en-US"/>
        </w:rPr>
        <w:t xml:space="preserve">Alternatively, a higher TSAT could reflect more successful scavenging of non-transferrin bound iron and therefore be protective for type 2 diabetes.  Finally, as </w:t>
      </w:r>
      <w:r w:rsidR="00366737">
        <w:rPr>
          <w:rFonts w:ascii="Arial" w:hAnsi="Arial" w:cs="Arial"/>
          <w:sz w:val="24"/>
          <w:szCs w:val="24"/>
          <w:lang w:val="en-US"/>
        </w:rPr>
        <w:t>TSAT is inversely associated with inflammation</w:t>
      </w:r>
      <w:r>
        <w:rPr>
          <w:rFonts w:ascii="Arial" w:hAnsi="Arial" w:cs="Arial"/>
          <w:sz w:val="24"/>
          <w:szCs w:val="24"/>
          <w:lang w:val="en-US"/>
        </w:rPr>
        <w:t>, negative confounding by inflammation may mask an</w:t>
      </w:r>
      <w:r w:rsidR="00366737">
        <w:rPr>
          <w:rFonts w:ascii="Arial" w:hAnsi="Arial" w:cs="Arial"/>
          <w:sz w:val="24"/>
          <w:szCs w:val="24"/>
          <w:lang w:val="en-US"/>
        </w:rPr>
        <w:t xml:space="preserve"> association </w:t>
      </w:r>
      <w:r>
        <w:rPr>
          <w:rFonts w:ascii="Arial" w:hAnsi="Arial" w:cs="Arial"/>
          <w:sz w:val="24"/>
          <w:szCs w:val="24"/>
          <w:lang w:val="en-US"/>
        </w:rPr>
        <w:t xml:space="preserve">of TSAT </w:t>
      </w:r>
      <w:r w:rsidR="00F95F5C">
        <w:rPr>
          <w:rFonts w:ascii="Arial" w:hAnsi="Arial" w:cs="Arial"/>
          <w:sz w:val="24"/>
          <w:szCs w:val="24"/>
          <w:lang w:val="en-US"/>
        </w:rPr>
        <w:t xml:space="preserve">with type </w:t>
      </w:r>
      <w:proofErr w:type="gramStart"/>
      <w:r w:rsidR="00F95F5C">
        <w:rPr>
          <w:rFonts w:ascii="Arial" w:hAnsi="Arial" w:cs="Arial"/>
          <w:sz w:val="24"/>
          <w:szCs w:val="24"/>
          <w:lang w:val="en-US"/>
        </w:rPr>
        <w:t>2 diabetes</w:t>
      </w:r>
      <w:proofErr w:type="gramEnd"/>
      <w:r>
        <w:rPr>
          <w:rFonts w:ascii="Arial" w:hAnsi="Arial" w:cs="Arial"/>
          <w:sz w:val="24"/>
          <w:szCs w:val="24"/>
          <w:lang w:val="en-US"/>
        </w:rPr>
        <w:t xml:space="preserve">. </w:t>
      </w:r>
    </w:p>
    <w:p w:rsidR="00ED6BB9" w:rsidRPr="0018334E" w:rsidRDefault="00ED6BB9" w:rsidP="00F328BE">
      <w:pPr>
        <w:spacing w:after="0" w:line="480" w:lineRule="auto"/>
        <w:jc w:val="both"/>
        <w:rPr>
          <w:rFonts w:ascii="Arial" w:hAnsi="Arial" w:cs="Arial"/>
          <w:sz w:val="24"/>
          <w:szCs w:val="24"/>
          <w:lang w:val="en-US"/>
        </w:rPr>
      </w:pPr>
    </w:p>
    <w:p w:rsidR="00F473D7" w:rsidRPr="0018334E" w:rsidRDefault="005F1B95" w:rsidP="00F328BE">
      <w:pPr>
        <w:spacing w:after="0" w:line="480" w:lineRule="auto"/>
        <w:jc w:val="both"/>
        <w:rPr>
          <w:rFonts w:ascii="Arial" w:hAnsi="Arial" w:cs="Arial"/>
          <w:sz w:val="24"/>
          <w:szCs w:val="24"/>
          <w:lang w:val="en-US"/>
        </w:rPr>
      </w:pPr>
      <w:r w:rsidRPr="0018334E">
        <w:rPr>
          <w:rFonts w:ascii="Arial" w:hAnsi="Arial" w:cs="Arial"/>
          <w:sz w:val="24"/>
          <w:szCs w:val="24"/>
          <w:lang w:val="en-US"/>
        </w:rPr>
        <w:t>High levels of f</w:t>
      </w:r>
      <w:r w:rsidR="0015319E" w:rsidRPr="0018334E">
        <w:rPr>
          <w:rFonts w:ascii="Arial" w:hAnsi="Arial" w:cs="Arial"/>
          <w:sz w:val="24"/>
          <w:szCs w:val="24"/>
          <w:lang w:val="en-US"/>
        </w:rPr>
        <w:t>erritin and transferrin</w:t>
      </w:r>
      <w:r w:rsidR="00566EE6" w:rsidRPr="0018334E">
        <w:rPr>
          <w:rFonts w:ascii="Arial" w:hAnsi="Arial" w:cs="Arial"/>
          <w:sz w:val="24"/>
          <w:szCs w:val="24"/>
          <w:lang w:val="en-US"/>
        </w:rPr>
        <w:t xml:space="preserve"> </w:t>
      </w:r>
      <w:r w:rsidR="0015319E" w:rsidRPr="0018334E">
        <w:rPr>
          <w:rFonts w:ascii="Arial" w:hAnsi="Arial" w:cs="Arial"/>
          <w:sz w:val="24"/>
          <w:szCs w:val="24"/>
          <w:lang w:val="en-US"/>
        </w:rPr>
        <w:t>are markers of high and low iron st</w:t>
      </w:r>
      <w:r w:rsidR="00EE74FC" w:rsidRPr="0018334E">
        <w:rPr>
          <w:rFonts w:ascii="Arial" w:hAnsi="Arial" w:cs="Arial"/>
          <w:sz w:val="24"/>
          <w:szCs w:val="24"/>
          <w:lang w:val="en-US"/>
        </w:rPr>
        <w:t>ores</w:t>
      </w:r>
      <w:r w:rsidR="00937429" w:rsidRPr="0018334E">
        <w:rPr>
          <w:rFonts w:ascii="Arial" w:hAnsi="Arial" w:cs="Arial"/>
          <w:sz w:val="24"/>
          <w:szCs w:val="24"/>
          <w:lang w:val="en-US"/>
        </w:rPr>
        <w:t>,</w:t>
      </w:r>
      <w:r w:rsidR="00AF0AAC" w:rsidRPr="0018334E">
        <w:rPr>
          <w:rFonts w:ascii="Arial" w:hAnsi="Arial" w:cs="Arial"/>
          <w:sz w:val="24"/>
          <w:szCs w:val="24"/>
          <w:lang w:val="en-US"/>
        </w:rPr>
        <w:t xml:space="preserve"> respectively </w:t>
      </w:r>
      <w:r w:rsidR="00DA4718" w:rsidRPr="0018334E">
        <w:rPr>
          <w:rFonts w:ascii="Arial" w:hAnsi="Arial" w:cs="Arial"/>
          <w:sz w:val="24"/>
          <w:szCs w:val="24"/>
          <w:lang w:val="en-US"/>
        </w:rPr>
        <w:t>and were strongly inversely correlated</w:t>
      </w:r>
      <w:r w:rsidR="00A1285B" w:rsidRPr="0018334E">
        <w:rPr>
          <w:rFonts w:ascii="Arial" w:hAnsi="Arial" w:cs="Arial"/>
          <w:sz w:val="24"/>
          <w:szCs w:val="24"/>
          <w:lang w:val="en-US"/>
        </w:rPr>
        <w:t>. H</w:t>
      </w:r>
      <w:r w:rsidR="00DA4718" w:rsidRPr="0018334E">
        <w:rPr>
          <w:rFonts w:ascii="Arial" w:hAnsi="Arial" w:cs="Arial"/>
          <w:sz w:val="24"/>
          <w:szCs w:val="24"/>
          <w:lang w:val="en-US"/>
        </w:rPr>
        <w:t xml:space="preserve">owever, they </w:t>
      </w:r>
      <w:r w:rsidR="0015319E" w:rsidRPr="0018334E">
        <w:rPr>
          <w:rFonts w:ascii="Arial" w:hAnsi="Arial" w:cs="Arial"/>
          <w:sz w:val="24"/>
          <w:szCs w:val="24"/>
          <w:lang w:val="en-US"/>
        </w:rPr>
        <w:t xml:space="preserve">were both </w:t>
      </w:r>
      <w:r w:rsidR="00051B85" w:rsidRPr="0018334E">
        <w:rPr>
          <w:rFonts w:ascii="Arial" w:hAnsi="Arial" w:cs="Arial"/>
          <w:sz w:val="24"/>
          <w:szCs w:val="24"/>
          <w:lang w:val="en-US"/>
        </w:rPr>
        <w:t xml:space="preserve">positively </w:t>
      </w:r>
      <w:r w:rsidR="0015319E" w:rsidRPr="0018334E">
        <w:rPr>
          <w:rFonts w:ascii="Arial" w:hAnsi="Arial" w:cs="Arial"/>
          <w:sz w:val="24"/>
          <w:szCs w:val="24"/>
          <w:lang w:val="en-US"/>
        </w:rPr>
        <w:t xml:space="preserve">associated with </w:t>
      </w:r>
      <w:r w:rsidR="0019207F" w:rsidRPr="0018334E">
        <w:rPr>
          <w:rFonts w:ascii="Arial" w:hAnsi="Arial" w:cs="Arial"/>
          <w:sz w:val="24"/>
          <w:szCs w:val="24"/>
          <w:lang w:val="en-US"/>
        </w:rPr>
        <w:t>type 2 diabetes</w:t>
      </w:r>
      <w:r w:rsidR="0015319E" w:rsidRPr="0018334E">
        <w:rPr>
          <w:rFonts w:ascii="Arial" w:hAnsi="Arial" w:cs="Arial"/>
          <w:sz w:val="24"/>
          <w:szCs w:val="24"/>
          <w:lang w:val="en-US"/>
        </w:rPr>
        <w:t xml:space="preserve"> in this study</w:t>
      </w:r>
      <w:r w:rsidR="00937429" w:rsidRPr="0018334E">
        <w:rPr>
          <w:rFonts w:ascii="Arial" w:hAnsi="Arial" w:cs="Arial"/>
          <w:sz w:val="24"/>
          <w:szCs w:val="24"/>
          <w:lang w:val="en-US"/>
        </w:rPr>
        <w:t>.</w:t>
      </w:r>
      <w:r w:rsidR="00BD456B" w:rsidRPr="0018334E">
        <w:rPr>
          <w:rFonts w:ascii="Arial" w:hAnsi="Arial" w:cs="Arial"/>
          <w:sz w:val="24"/>
          <w:szCs w:val="24"/>
          <w:lang w:val="en-US"/>
        </w:rPr>
        <w:t xml:space="preserve"> </w:t>
      </w:r>
      <w:r w:rsidR="00A1285B" w:rsidRPr="0018334E">
        <w:rPr>
          <w:rFonts w:ascii="Arial" w:hAnsi="Arial" w:cs="Arial"/>
          <w:sz w:val="24"/>
          <w:szCs w:val="24"/>
          <w:lang w:val="en-US"/>
        </w:rPr>
        <w:t>P</w:t>
      </w:r>
      <w:r w:rsidR="00EE74FC" w:rsidRPr="0018334E">
        <w:rPr>
          <w:rFonts w:ascii="Arial" w:hAnsi="Arial" w:cs="Arial"/>
          <w:sz w:val="24"/>
          <w:szCs w:val="24"/>
          <w:lang w:val="en-US"/>
        </w:rPr>
        <w:t xml:space="preserve">articipants with low ferritin levels had a lower </w:t>
      </w:r>
      <w:r w:rsidR="00CA7DA4" w:rsidRPr="0018334E">
        <w:rPr>
          <w:rFonts w:ascii="Arial" w:hAnsi="Arial" w:cs="Arial"/>
          <w:sz w:val="24"/>
          <w:szCs w:val="24"/>
          <w:lang w:val="en-US"/>
        </w:rPr>
        <w:t>risk</w:t>
      </w:r>
      <w:r w:rsidR="00EE74FC" w:rsidRPr="0018334E">
        <w:rPr>
          <w:rFonts w:ascii="Arial" w:hAnsi="Arial" w:cs="Arial"/>
          <w:sz w:val="24"/>
          <w:szCs w:val="24"/>
          <w:lang w:val="en-US"/>
        </w:rPr>
        <w:t xml:space="preserve"> of developing </w:t>
      </w:r>
      <w:r w:rsidR="0019207F" w:rsidRPr="0018334E">
        <w:rPr>
          <w:rFonts w:ascii="Arial" w:hAnsi="Arial" w:cs="Arial"/>
          <w:sz w:val="24"/>
          <w:szCs w:val="24"/>
          <w:lang w:val="en-US"/>
        </w:rPr>
        <w:t>type 2 diabetes</w:t>
      </w:r>
      <w:r w:rsidR="00EE74FC" w:rsidRPr="0018334E">
        <w:rPr>
          <w:rFonts w:ascii="Arial" w:hAnsi="Arial" w:cs="Arial"/>
          <w:sz w:val="24"/>
          <w:szCs w:val="24"/>
          <w:lang w:val="en-US"/>
        </w:rPr>
        <w:t xml:space="preserve"> compared to the median, suggesting that low iron stores </w:t>
      </w:r>
      <w:r w:rsidR="00EE74FC" w:rsidRPr="0018334E">
        <w:rPr>
          <w:rFonts w:ascii="Arial" w:hAnsi="Arial" w:cs="Arial"/>
          <w:i/>
          <w:sz w:val="24"/>
          <w:szCs w:val="24"/>
          <w:lang w:val="en-US"/>
        </w:rPr>
        <w:t>per se</w:t>
      </w:r>
      <w:r w:rsidR="00EE74FC" w:rsidRPr="0018334E">
        <w:rPr>
          <w:rFonts w:ascii="Arial" w:hAnsi="Arial" w:cs="Arial"/>
          <w:sz w:val="24"/>
          <w:szCs w:val="24"/>
          <w:lang w:val="en-US"/>
        </w:rPr>
        <w:t xml:space="preserve"> are not associated with a higher </w:t>
      </w:r>
      <w:r w:rsidR="00CA7DA4" w:rsidRPr="0018334E">
        <w:rPr>
          <w:rFonts w:ascii="Arial" w:hAnsi="Arial" w:cs="Arial"/>
          <w:sz w:val="24"/>
          <w:szCs w:val="24"/>
          <w:lang w:val="en-US"/>
        </w:rPr>
        <w:t>risk</w:t>
      </w:r>
      <w:r w:rsidR="00EE74FC" w:rsidRPr="0018334E">
        <w:rPr>
          <w:rFonts w:ascii="Arial" w:hAnsi="Arial" w:cs="Arial"/>
          <w:sz w:val="24"/>
          <w:szCs w:val="24"/>
          <w:lang w:val="en-US"/>
        </w:rPr>
        <w:t xml:space="preserve"> of </w:t>
      </w:r>
      <w:r w:rsidR="0019207F" w:rsidRPr="0018334E">
        <w:rPr>
          <w:rFonts w:ascii="Arial" w:hAnsi="Arial" w:cs="Arial"/>
          <w:sz w:val="24"/>
          <w:szCs w:val="24"/>
          <w:lang w:val="en-US"/>
        </w:rPr>
        <w:t>type 2 diabetes</w:t>
      </w:r>
      <w:r w:rsidR="00EE74FC" w:rsidRPr="0018334E">
        <w:rPr>
          <w:rFonts w:ascii="Arial" w:hAnsi="Arial" w:cs="Arial"/>
          <w:sz w:val="24"/>
          <w:szCs w:val="24"/>
          <w:lang w:val="en-US"/>
        </w:rPr>
        <w:t xml:space="preserve">. </w:t>
      </w:r>
      <w:r w:rsidR="00436F4E" w:rsidRPr="0018334E">
        <w:rPr>
          <w:rFonts w:ascii="Arial" w:hAnsi="Arial" w:cs="Arial"/>
          <w:sz w:val="24"/>
          <w:szCs w:val="24"/>
          <w:lang w:val="en-US"/>
        </w:rPr>
        <w:t>While a cross-talk between iron and insulin resistance is likely, the initiating factor of the vicious circle remains unclear</w:t>
      </w:r>
      <w:r w:rsidR="004F57FB" w:rsidRPr="0018334E">
        <w:rPr>
          <w:rFonts w:ascii="Arial" w:hAnsi="Arial" w:cs="Arial"/>
          <w:sz w:val="24"/>
          <w:szCs w:val="24"/>
          <w:lang w:val="en-US"/>
        </w:rPr>
        <w:t xml:space="preserve"> </w:t>
      </w:r>
      <w:r w:rsidR="004F57FB" w:rsidRPr="0018334E">
        <w:rPr>
          <w:rFonts w:ascii="Arial" w:hAnsi="Arial" w:cs="Arial"/>
          <w:sz w:val="24"/>
          <w:szCs w:val="24"/>
          <w:lang w:val="en-US"/>
        </w:rPr>
        <w:fldChar w:fldCharType="begin" w:fldLock="1"/>
      </w:r>
      <w:r w:rsidR="002F34F2">
        <w:rPr>
          <w:rFonts w:ascii="Arial" w:hAnsi="Arial" w:cs="Arial"/>
          <w:sz w:val="24"/>
          <w:szCs w:val="24"/>
          <w:lang w:val="en-US"/>
        </w:rPr>
        <w:instrText>ADDIN CSL_CITATION { "citationItems" : [ { "id" : "ITEM-1", "itemData" : { "ISSN" : "0012-1797", "PMID" : "12145144", "abstract" : "Emerging scientific evidence has disclosed unsuspected influences between iron metabolism and type 2 diabetes. The relationship is bi-directional--iron affects glucose metabolism, and glucose metabolism impinges on several iron metabolic pathways. Oxidative stress and inflammatory cytokines influence these relationships, amplifying and potentiating the initiated events. The clinical impact of these interactions depends on both the genetic predisposition and the time frame in which this network of closely related signals acts. In recent years, increased iron stores have been found to predict the development of type 2 diabetes while iron depletion was protective. Iron-induced damage might also modulate the development of chronic diabetes complications. Iron depletion has been demonstrated to be beneficial in coronary artery responses, endothelial dysfunction, insulin secretion, insulin action, and metabolic control in type 2 diabetes. Here, we show that iron modulates insulin action in healthy individuals and in patients with type 2 diabetes. The extent of this influence should be tested in large-scale clinical trials, searching for the usefulness and cost-effectiveness of therapeutic measures that decrease iron toxicity. The study of individual susceptibility and of the mechanisms that influence tissue iron deposition and damage are proposed to be valuable in anticipating and treating diabetes complications.", "author" : [ { "dropping-particle" : "", "family" : "Fern\u00e1ndez-Real", "given" : "Jos\u00e9 Manuel", "non-dropping-particle" : "", "parse-names" : false, "suffix" : "" }, { "dropping-particle" : "", "family" : "L\u00f3pez-Bermejo", "given" : "Abel", "non-dropping-particle" : "", "parse-names" : false, "suffix" : "" }, { "dropping-particle" : "", "family" : "Ricart", "given" : "Wifredo", "non-dropping-particle" : "", "parse-names" : false, "suffix" : "" } ], "container-title" : "Diabetes", "id" : "ITEM-1", "issue" : "8", "issued" : { "date-parts" : [ [ "2002", "8" ] ] }, "page" : "2348-54", "title" : "Cross-talk between iron metabolism and diabetes.", "type" : "article-journal", "volume" : "51" }, "uris" : [ "http://www.mendeley.com/documents/?uuid=e53c2f72-383f-4cb2-9c43-6ea891f981d8" ] } ], "mendeley" : { "formattedCitation" : "(34)", "plainTextFormattedCitation" : "(34)", "previouslyFormattedCitation" : "(28)" }, "properties" : { "noteIndex" : 0 }, "schema" : "https://github.com/citation-style-language/schema/raw/master/csl-citation.json" }</w:instrText>
      </w:r>
      <w:r w:rsidR="004F57FB" w:rsidRPr="0018334E">
        <w:rPr>
          <w:rFonts w:ascii="Arial" w:hAnsi="Arial" w:cs="Arial"/>
          <w:sz w:val="24"/>
          <w:szCs w:val="24"/>
          <w:lang w:val="en-US"/>
        </w:rPr>
        <w:fldChar w:fldCharType="separate"/>
      </w:r>
      <w:r w:rsidR="002F34F2" w:rsidRPr="002F34F2">
        <w:rPr>
          <w:rFonts w:ascii="Arial" w:hAnsi="Arial" w:cs="Arial"/>
          <w:noProof/>
          <w:sz w:val="24"/>
          <w:szCs w:val="24"/>
          <w:lang w:val="en-US"/>
        </w:rPr>
        <w:t>(34)</w:t>
      </w:r>
      <w:r w:rsidR="004F57FB" w:rsidRPr="0018334E">
        <w:rPr>
          <w:rFonts w:ascii="Arial" w:hAnsi="Arial" w:cs="Arial"/>
          <w:sz w:val="24"/>
          <w:szCs w:val="24"/>
          <w:lang w:val="en-US"/>
        </w:rPr>
        <w:fldChar w:fldCharType="end"/>
      </w:r>
      <w:r w:rsidR="00436F4E" w:rsidRPr="0018334E">
        <w:rPr>
          <w:rFonts w:ascii="Arial" w:hAnsi="Arial" w:cs="Arial"/>
          <w:sz w:val="24"/>
          <w:szCs w:val="24"/>
          <w:lang w:val="en-US"/>
        </w:rPr>
        <w:t xml:space="preserve">. </w:t>
      </w:r>
      <w:r w:rsidR="00D966DB" w:rsidRPr="0018334E">
        <w:rPr>
          <w:rFonts w:ascii="Arial" w:hAnsi="Arial" w:cs="Arial"/>
          <w:sz w:val="24"/>
          <w:szCs w:val="24"/>
          <w:lang w:val="en-US"/>
        </w:rPr>
        <w:t>C</w:t>
      </w:r>
      <w:r w:rsidR="00CE2216" w:rsidRPr="0018334E">
        <w:rPr>
          <w:rFonts w:ascii="Arial" w:hAnsi="Arial" w:cs="Arial"/>
          <w:sz w:val="24"/>
          <w:szCs w:val="24"/>
          <w:lang w:val="en-US"/>
        </w:rPr>
        <w:t xml:space="preserve">ross-sectional studies </w:t>
      </w:r>
      <w:r w:rsidR="00436F4E" w:rsidRPr="0018334E">
        <w:rPr>
          <w:rFonts w:ascii="Arial" w:hAnsi="Arial" w:cs="Arial"/>
          <w:sz w:val="24"/>
          <w:szCs w:val="24"/>
          <w:lang w:val="en-US"/>
        </w:rPr>
        <w:t>showed</w:t>
      </w:r>
      <w:r w:rsidR="00CE2216" w:rsidRPr="0018334E">
        <w:rPr>
          <w:rFonts w:ascii="Arial" w:hAnsi="Arial" w:cs="Arial"/>
          <w:sz w:val="24"/>
          <w:szCs w:val="24"/>
          <w:lang w:val="en-US"/>
        </w:rPr>
        <w:t xml:space="preserve"> that fe</w:t>
      </w:r>
      <w:r w:rsidR="0015319E" w:rsidRPr="0018334E">
        <w:rPr>
          <w:rFonts w:ascii="Arial" w:hAnsi="Arial" w:cs="Arial"/>
          <w:sz w:val="24"/>
          <w:szCs w:val="24"/>
          <w:lang w:val="en-US"/>
        </w:rPr>
        <w:t xml:space="preserve">rritin </w:t>
      </w:r>
      <w:r w:rsidR="00A1285B" w:rsidRPr="0018334E">
        <w:rPr>
          <w:rFonts w:ascii="Arial" w:hAnsi="Arial" w:cs="Arial"/>
          <w:sz w:val="24"/>
          <w:szCs w:val="24"/>
          <w:lang w:val="en-US"/>
        </w:rPr>
        <w:t xml:space="preserve">was </w:t>
      </w:r>
      <w:r w:rsidR="0015319E" w:rsidRPr="0018334E">
        <w:rPr>
          <w:rFonts w:ascii="Arial" w:hAnsi="Arial" w:cs="Arial"/>
          <w:sz w:val="24"/>
          <w:szCs w:val="24"/>
          <w:lang w:val="en-US"/>
        </w:rPr>
        <w:t>correlate</w:t>
      </w:r>
      <w:r w:rsidR="00EE74FC" w:rsidRPr="0018334E">
        <w:rPr>
          <w:rFonts w:ascii="Arial" w:hAnsi="Arial" w:cs="Arial"/>
          <w:sz w:val="24"/>
          <w:szCs w:val="24"/>
          <w:lang w:val="en-US"/>
        </w:rPr>
        <w:t>d</w:t>
      </w:r>
      <w:r w:rsidR="0015319E" w:rsidRPr="0018334E">
        <w:rPr>
          <w:rFonts w:ascii="Arial" w:hAnsi="Arial" w:cs="Arial"/>
          <w:sz w:val="24"/>
          <w:szCs w:val="24"/>
          <w:lang w:val="en-US"/>
        </w:rPr>
        <w:t xml:space="preserve"> with 2-hour glucose concentration and inversely with insulin sensitivity in individuals without </w:t>
      </w:r>
      <w:r w:rsidR="0019207F" w:rsidRPr="0018334E">
        <w:rPr>
          <w:rFonts w:ascii="Arial" w:hAnsi="Arial" w:cs="Arial"/>
          <w:sz w:val="24"/>
          <w:szCs w:val="24"/>
          <w:lang w:val="en-US"/>
        </w:rPr>
        <w:t>type 2 diabetes</w:t>
      </w:r>
      <w:r w:rsidR="000E08D5" w:rsidRPr="0018334E">
        <w:rPr>
          <w:rFonts w:ascii="Arial" w:hAnsi="Arial" w:cs="Arial"/>
          <w:sz w:val="24"/>
          <w:szCs w:val="24"/>
          <w:lang w:val="en-US"/>
        </w:rPr>
        <w:t xml:space="preserve"> </w:t>
      </w:r>
      <w:r w:rsidR="0015319E" w:rsidRPr="0018334E">
        <w:rPr>
          <w:rFonts w:ascii="Arial" w:hAnsi="Arial" w:cs="Arial"/>
          <w:sz w:val="24"/>
          <w:szCs w:val="24"/>
          <w:lang w:val="en-US"/>
        </w:rPr>
        <w:fldChar w:fldCharType="begin" w:fldLock="1"/>
      </w:r>
      <w:r w:rsidR="006372DC">
        <w:rPr>
          <w:rFonts w:ascii="Arial" w:hAnsi="Arial" w:cs="Arial"/>
          <w:sz w:val="24"/>
          <w:szCs w:val="24"/>
          <w:lang w:val="en-US"/>
        </w:rPr>
        <w:instrText>ADDIN CSL_CITATION { "citationItems" : [ { "id" : "ITEM-1", "itemData" : { "DOI" : "10.7326/0003-4819-139-10-200311180-00029", "ISSN" : "1539-3704", "PMID" : "14623634", "author" : [ { "dropping-particle" : "", "family" : "Haap", "given" : "Michael", "non-dropping-particle" : "", "parse-names" : false, "suffix" : "" }, { "dropping-particle" : "", "family" : "Fritsche", "given" : "Andreas", "non-dropping-particle" : "", "parse-names" : false, "suffix" : "" }, { "dropping-particle" : "", "family" : "Mensing", "given" : "Heinz Joachim", "non-dropping-particle" : "", "parse-names" : false, "suffix" : "" }, { "dropping-particle" : "", "family" : "H\u00e4ring", "given" : "Hans-Ulrich", "non-dropping-particle" : "", "parse-names" : false, "suffix" : "" }, { "dropping-particle" : "", "family" : "Stumvoll", "given" : "Michael", "non-dropping-particle" : "", "parse-names" : false, "suffix" : "" } ], "container-title" : "Annals of Internal Medicine", "id" : "ITEM-1", "issue" : "10", "issued" : { "date-parts" : [ [ "2003", "11", "18" ] ] }, "page" : "869-71", "publisher" : "American College of Physicians", "title" : "Association of high serum ferritin concentration with glucose intolerance and insulin resistance in healthy people.", "type" : "article-journal", "volume" : "139" }, "uris" : [ "http://www.mendeley.com/documents/?uuid=a4c5a098-ef88-4e62-becf-bd4897fe51f7" ] } ], "mendeley" : { "formattedCitation" : "(8)", "plainTextFormattedCitation" : "(8)", "previouslyFormattedCitation" : "(8)" }, "properties" : { "noteIndex" : 0 }, "schema" : "https://github.com/citation-style-language/schema/raw/master/csl-citation.json" }</w:instrText>
      </w:r>
      <w:r w:rsidR="0015319E" w:rsidRPr="0018334E">
        <w:rPr>
          <w:rFonts w:ascii="Arial" w:hAnsi="Arial" w:cs="Arial"/>
          <w:sz w:val="24"/>
          <w:szCs w:val="24"/>
          <w:lang w:val="en-US"/>
        </w:rPr>
        <w:fldChar w:fldCharType="separate"/>
      </w:r>
      <w:r w:rsidR="006372DC" w:rsidRPr="006372DC">
        <w:rPr>
          <w:rFonts w:ascii="Arial" w:hAnsi="Arial" w:cs="Arial"/>
          <w:noProof/>
          <w:sz w:val="24"/>
          <w:szCs w:val="24"/>
          <w:lang w:val="en-US"/>
        </w:rPr>
        <w:t>(8)</w:t>
      </w:r>
      <w:r w:rsidR="0015319E" w:rsidRPr="0018334E">
        <w:rPr>
          <w:rFonts w:ascii="Arial" w:hAnsi="Arial" w:cs="Arial"/>
          <w:sz w:val="24"/>
          <w:szCs w:val="24"/>
          <w:lang w:val="en-US"/>
        </w:rPr>
        <w:fldChar w:fldCharType="end"/>
      </w:r>
      <w:r w:rsidR="00681807" w:rsidRPr="0018334E">
        <w:rPr>
          <w:rFonts w:ascii="Arial" w:hAnsi="Arial" w:cs="Arial"/>
          <w:sz w:val="24"/>
          <w:szCs w:val="24"/>
          <w:lang w:val="en-US"/>
        </w:rPr>
        <w:t>,</w:t>
      </w:r>
      <w:r w:rsidR="006B546C" w:rsidRPr="0018334E">
        <w:rPr>
          <w:rFonts w:ascii="Arial" w:hAnsi="Arial" w:cs="Arial"/>
          <w:sz w:val="24"/>
          <w:szCs w:val="24"/>
          <w:lang w:val="en-US"/>
        </w:rPr>
        <w:t xml:space="preserve"> as well as </w:t>
      </w:r>
      <w:r w:rsidR="00CE2216" w:rsidRPr="0018334E">
        <w:rPr>
          <w:rFonts w:ascii="Arial" w:hAnsi="Arial" w:cs="Arial"/>
          <w:sz w:val="24"/>
          <w:szCs w:val="24"/>
          <w:lang w:val="en-US"/>
        </w:rPr>
        <w:t>inversely with adiponectin</w:t>
      </w:r>
      <w:r w:rsidR="000E08D5" w:rsidRPr="0018334E">
        <w:rPr>
          <w:rFonts w:ascii="Arial" w:hAnsi="Arial" w:cs="Arial"/>
          <w:sz w:val="24"/>
          <w:szCs w:val="24"/>
          <w:lang w:val="en-US"/>
        </w:rPr>
        <w:t xml:space="preserve"> </w:t>
      </w:r>
      <w:r w:rsidR="0015319E" w:rsidRPr="0018334E">
        <w:rPr>
          <w:rFonts w:ascii="Arial" w:hAnsi="Arial" w:cs="Arial"/>
          <w:sz w:val="24"/>
          <w:szCs w:val="24"/>
          <w:lang w:val="en-US"/>
        </w:rPr>
        <w:fldChar w:fldCharType="begin" w:fldLock="1"/>
      </w:r>
      <w:r w:rsidR="002F34F2">
        <w:rPr>
          <w:rFonts w:ascii="Arial" w:hAnsi="Arial" w:cs="Arial"/>
          <w:sz w:val="24"/>
          <w:szCs w:val="24"/>
          <w:lang w:val="en-US"/>
        </w:rPr>
        <w:instrText>ADDIN CSL_CITATION { "citationItems" : [ { "id" : "ITEM-1", "itemData" : { "DOI" : "10.1007/s00125-007-0604-5", "ISSN" : "0012-186X", "PMID" : "17333112", "abstract" : "AIMS/HYPOTHESIS: The aim of this study was to examine the association between baseline body iron stores and new-onset diabetes. SUBJECTS AND METHODS: We studied the association between baseline serum ferritin concentration and type 2 diabetes in 360 clinically incident diabetes cases and 758 controls nested within the EPIC (European Prospective Investigation of Cancer)-Norfolk Cohort Study. Serum ferritin levels were categorised into five groups: sex-specific quartiles of the normal range of ferritin and a group with clinically raised ferritin below levels indicative of haemochromatosis. RESULTS: Baseline serum ferritin was higher among cases than control participants (geometric mean: men 96.6 vs 67.8 ng/ml, respectively, p &lt; 0.001; women 45.9 vs 34.8 ng/ml, respectively, p = 0.005). In analyses adjusted for known risk factors (age, BMI, sex, family history, physical activity, smoking habit) and dietary factors measured by 7-day food diary, the risk of diabetes was markedly elevated in participants with clinically raised ferritin compared with the lowest quartile (odds ratio [OR] 7.4, 95% CI 3.5-15.4). Further adjustment for potential confounding by inflammation (C-reactive protein, IL-6 and fibrinogen) had no material impact on the observed association, while adjustment for hepatic enzymes (alanine aminotransferase and gamma glutamyl transferase) and adiponectin attenuated the magnitude of association, but it remained statistically significant (OR 3.2 [1.3-7.6]). CONCLUSIONS/INTERPRETATION: Serum ferritin is an important and independent predictor of the development of diabetes. This finding may have important implications for understanding the aetiology of diabetes.", "author" : [ { "dropping-particle" : "", "family" : "Forouhi", "given" : "Nita G", "non-dropping-particle" : "", "parse-names" : false, "suffix" : "" }, { "dropping-particle" : "", "family" : "Harding", "given" : "Anne Helen", "non-dropping-particle" : "", "parse-names" : false, "suffix" : "" }, { "dropping-particle" : "", "family" : "Allison", "given" : "M", "non-dropping-particle" : "", "parse-names" : false, "suffix" : "" }, { "dropping-particle" : "", "family" : "Sandhu", "given" : "M S", "non-dropping-particle" : "", "parse-names" : false, "suffix" : "" }, { "dropping-particle" : "", "family" : "Welch", "given" : "A", "non-dropping-particle" : "", "parse-names" : false, "suffix" : "" }, { "dropping-particle" : "", "family" : "Luben", "given" : "R", "non-dropping-particle" : "", "parse-names" : false, "suffix" : "" }, { "dropping-particle" : "", "family" : "Bingham", "given" : "S", "non-dropping-particle" : "", "parse-names" : false, "suffix" : "" }, { "dropping-particle" : "", "family" : "Khaw", "given" : "K T", "non-dropping-particle" : "", "parse-names" : false, "suffix" : "" }, { "dropping-particle" : "", "family" : "Wareham", "given" : "Nicholas J", "non-dropping-particle" : "", "parse-names" : false, "suffix" : "" } ], "container-title" : "Diabetologia", "id" : "ITEM-1", "issue" : "5", "issued" : { "date-parts" : [ [ "2007", "5" ] ] }, "page" : "949-56", "title" : "Elevated serum ferritin levels predict new-onset type 2 diabetes: results from the EPIC-Norfolk prospective study.", "type" : "article-journal", "volume" : "50" }, "uris" : [ "http://www.mendeley.com/documents/?uuid=9605bcff-e11d-44f9-9099-d0e625c831e8" ] }, { "id" : "ITEM-2", "itemData" : { "DOI" : "10.1172/JCI44421", "ISSN" : "1558-8238", "PMID" : "22996660", "abstract" : "Iron overload is associated with increased diabetes risk. We therefore investigated the effect of iron on adiponectin, an insulin-sensitizing adipokine that is decreased in diabetic patients. In humans, normal-range serum ferritin levels were inversely associated with adiponectin, independent of inflammation. Ferritin was increased and adiponectin was decreased in type 2 diabetic and in obese diabetic subjects compared with those in equally obese individuals without metabolic syndrome. Mice fed a high-iron diet and cultured adipocytes treated with iron exhibited decreased adiponectin mRNA and protein. We found that iron negatively regulated adiponectin transcription via FOXO1-mediated repression. Further, loss of the adipocyte iron export channel, ferroportin, in mice resulted in adipocyte iron loading, decreased adiponectin, and insulin resistance. Conversely, organismal iron overload and increased adipocyte ferroportin expression because of hemochromatosis are associated with decreased adipocyte iron, increased adiponectin, improved glucose tolerance, and increased insulin sensitivity. Phlebotomy of humans with impaired glucose tolerance and ferritin values in the highest quartile of normal increased adiponectin and improved glucose tolerance. These findings demonstrate a causal role for iron as a risk factor for metabolic syndrome and a role for adipocytes in modulating metabolism through adiponectin in response to iron stores.", "author" : [ { "dropping-particle" : "", "family" : "Gabrielsen", "given" : "J Scott", "non-dropping-particle" : "", "parse-names" : false, "suffix" : "" }, { "dropping-particle" : "", "family" : "Gao", "given" : "Yan", "non-dropping-particle" : "", "parse-names" : false, "suffix" : "" }, { "dropping-particle" : "", "family" : "Simcox", "given" : "Judith A", "non-dropping-particle" : "", "parse-names" : false, "suffix" : "" }, { "dropping-particle" : "", "family" : "Huang", "given" : "Jingyu", "non-dropping-particle" : "", "parse-names" : false, "suffix" : "" }, { "dropping-particle" : "", "family" : "Thorup", "given" : "David", "non-dropping-particle" : "", "parse-names" : false, "suffix" : "" }, { "dropping-particle" : "", "family" : "Jones", "given" : "Deborah", "non-dropping-particle" : "", "parse-names" : false, "suffix" : "" }, { "dropping-particle" : "", "family" : "Cooksey", "given" : "Robert C", "non-dropping-particle" : "", "parse-names" : false, "suffix" : "" }, { "dropping-particle" : "", "family" : "Gabrielsen", "given" : "David", "non-dropping-particle" : "", "parse-names" : false, "suffix" : "" }, { "dropping-particle" : "", "family" : "Adams", "given" : "Ted D", "non-dropping-particle" : "", "parse-names" : false, "suffix" : "" }, { "dropping-particle" : "", "family" : "Hunt", "given" : "Steven C", "non-dropping-particle" : "", "parse-names" : false, "suffix" : "" }, { "dropping-particle" : "", "family" : "Hopkins", "given" : "Paul N", "non-dropping-particle" : "", "parse-names" : false, "suffix" : "" }, { "dropping-particle" : "", "family" : "Cefalu", "given" : "William T", "non-dropping-particle" : "", "parse-names" : false, "suffix" : "" }, { "dropping-particle" : "", "family" : "McClain", "given" : "Donald A", "non-dropping-particle" : "", "parse-names" : false, "suffix" : "" } ], "container-title" : "The Journal of Clinical Investigation", "id" : "ITEM-2", "issue" : "10", "issued" : { "date-parts" : [ [ "2012", "10", "1" ] ] }, "page" : "3529-40", "title" : "Adipocyte iron regulates adiponectin and insulin sensitivity.", "type" : "article-journal", "volume" : "122" }, "uris" : [ "http://www.mendeley.com/documents/?uuid=76d6b572-caf9-4165-8897-c44eea7d87f0" ] } ], "mendeley" : { "formattedCitation" : "(35,36)", "plainTextFormattedCitation" : "(35,36)", "previouslyFormattedCitation" : "(32,33)" }, "properties" : { "noteIndex" : 0 }, "schema" : "https://github.com/citation-style-language/schema/raw/master/csl-citation.json" }</w:instrText>
      </w:r>
      <w:r w:rsidR="0015319E" w:rsidRPr="0018334E">
        <w:rPr>
          <w:rFonts w:ascii="Arial" w:hAnsi="Arial" w:cs="Arial"/>
          <w:sz w:val="24"/>
          <w:szCs w:val="24"/>
          <w:lang w:val="en-US"/>
        </w:rPr>
        <w:fldChar w:fldCharType="separate"/>
      </w:r>
      <w:r w:rsidR="002F34F2" w:rsidRPr="002F34F2">
        <w:rPr>
          <w:rFonts w:ascii="Arial" w:hAnsi="Arial" w:cs="Arial"/>
          <w:noProof/>
          <w:sz w:val="24"/>
          <w:szCs w:val="24"/>
          <w:lang w:val="en-US"/>
        </w:rPr>
        <w:t>(35,36)</w:t>
      </w:r>
      <w:r w:rsidR="0015319E" w:rsidRPr="0018334E">
        <w:rPr>
          <w:rFonts w:ascii="Arial" w:hAnsi="Arial" w:cs="Arial"/>
          <w:sz w:val="24"/>
          <w:szCs w:val="24"/>
          <w:lang w:val="en-US"/>
        </w:rPr>
        <w:fldChar w:fldCharType="end"/>
      </w:r>
      <w:r w:rsidR="000E08D5" w:rsidRPr="0018334E">
        <w:rPr>
          <w:rFonts w:ascii="Arial" w:hAnsi="Arial" w:cs="Arial"/>
          <w:sz w:val="24"/>
          <w:szCs w:val="24"/>
          <w:lang w:val="en-US"/>
        </w:rPr>
        <w:t>.</w:t>
      </w:r>
      <w:r w:rsidR="002C5C4E" w:rsidRPr="0018334E">
        <w:rPr>
          <w:rFonts w:ascii="Arial" w:hAnsi="Arial" w:cs="Arial"/>
          <w:sz w:val="24"/>
          <w:szCs w:val="24"/>
          <w:lang w:val="en-US"/>
        </w:rPr>
        <w:t xml:space="preserve"> </w:t>
      </w:r>
      <w:r w:rsidR="001C5BDC" w:rsidRPr="0018334E">
        <w:rPr>
          <w:rFonts w:ascii="Arial" w:hAnsi="Arial" w:cs="Arial"/>
          <w:sz w:val="24"/>
          <w:szCs w:val="24"/>
          <w:lang w:val="en-US"/>
        </w:rPr>
        <w:t>A</w:t>
      </w:r>
      <w:r w:rsidR="00924D5B" w:rsidRPr="0018334E">
        <w:rPr>
          <w:rFonts w:ascii="Arial" w:hAnsi="Arial" w:cs="Arial"/>
          <w:sz w:val="24"/>
          <w:szCs w:val="24"/>
          <w:lang w:val="en-US"/>
        </w:rPr>
        <w:t xml:space="preserve"> recent study </w:t>
      </w:r>
      <w:r w:rsidR="00436F4E" w:rsidRPr="0018334E">
        <w:rPr>
          <w:rFonts w:ascii="Arial" w:hAnsi="Arial" w:cs="Arial"/>
          <w:sz w:val="24"/>
          <w:szCs w:val="24"/>
          <w:lang w:val="en-US"/>
        </w:rPr>
        <w:t>showed</w:t>
      </w:r>
      <w:r w:rsidR="002C5C4E" w:rsidRPr="0018334E">
        <w:rPr>
          <w:rFonts w:ascii="Arial" w:hAnsi="Arial" w:cs="Arial"/>
          <w:sz w:val="24"/>
          <w:szCs w:val="24"/>
          <w:lang w:val="en-US"/>
        </w:rPr>
        <w:t xml:space="preserve"> that ferritin and transferrin were </w:t>
      </w:r>
      <w:r w:rsidR="002C5C4E" w:rsidRPr="0018334E">
        <w:rPr>
          <w:rFonts w:ascii="Arial" w:hAnsi="Arial" w:cs="Arial"/>
          <w:sz w:val="24"/>
          <w:szCs w:val="24"/>
          <w:lang w:val="en-US"/>
        </w:rPr>
        <w:lastRenderedPageBreak/>
        <w:t xml:space="preserve">prospectively associated with </w:t>
      </w:r>
      <w:r w:rsidR="00924D5B" w:rsidRPr="0018334E">
        <w:rPr>
          <w:rFonts w:ascii="Arial" w:hAnsi="Arial" w:cs="Arial"/>
          <w:sz w:val="24"/>
          <w:szCs w:val="24"/>
          <w:lang w:val="en-US"/>
        </w:rPr>
        <w:t>indices</w:t>
      </w:r>
      <w:r w:rsidR="00B31719" w:rsidRPr="0018334E">
        <w:rPr>
          <w:rFonts w:ascii="Arial" w:hAnsi="Arial" w:cs="Arial"/>
          <w:sz w:val="24"/>
          <w:szCs w:val="24"/>
          <w:lang w:val="en-US"/>
        </w:rPr>
        <w:t xml:space="preserve"> of </w:t>
      </w:r>
      <w:r w:rsidR="00924D5B" w:rsidRPr="0018334E">
        <w:rPr>
          <w:rFonts w:ascii="Arial" w:hAnsi="Arial" w:cs="Arial"/>
          <w:sz w:val="24"/>
          <w:szCs w:val="24"/>
          <w:lang w:val="en-US"/>
        </w:rPr>
        <w:t xml:space="preserve">hepatic, muscular and adipocyte </w:t>
      </w:r>
      <w:r w:rsidR="00B31719" w:rsidRPr="0018334E">
        <w:rPr>
          <w:rFonts w:ascii="Arial" w:hAnsi="Arial" w:cs="Arial"/>
          <w:sz w:val="24"/>
          <w:szCs w:val="24"/>
          <w:lang w:val="en-US"/>
        </w:rPr>
        <w:t xml:space="preserve">insulin </w:t>
      </w:r>
      <w:r w:rsidR="00924D5B" w:rsidRPr="0018334E">
        <w:rPr>
          <w:rStyle w:val="apple-converted-space"/>
          <w:rFonts w:ascii="Arial" w:hAnsi="Arial" w:cs="Arial"/>
          <w:sz w:val="24"/>
          <w:szCs w:val="24"/>
          <w:shd w:val="clear" w:color="auto" w:fill="FFFFFF"/>
        </w:rPr>
        <w:t xml:space="preserve">resistance </w:t>
      </w:r>
      <w:r w:rsidR="00924D5B" w:rsidRPr="0018334E">
        <w:rPr>
          <w:rStyle w:val="apple-converted-space"/>
          <w:rFonts w:ascii="Arial" w:hAnsi="Arial" w:cs="Arial"/>
          <w:sz w:val="24"/>
          <w:szCs w:val="24"/>
          <w:shd w:val="clear" w:color="auto" w:fill="FFFFFF"/>
        </w:rPr>
        <w:fldChar w:fldCharType="begin" w:fldLock="1"/>
      </w:r>
      <w:r w:rsidR="002F34F2">
        <w:rPr>
          <w:rStyle w:val="apple-converted-space"/>
          <w:rFonts w:ascii="Arial" w:hAnsi="Arial" w:cs="Arial"/>
          <w:sz w:val="24"/>
          <w:szCs w:val="24"/>
          <w:shd w:val="clear" w:color="auto" w:fill="FFFFFF"/>
        </w:rPr>
        <w:instrText>ADDIN CSL_CITATION { "citationItems" : [ { "id" : "ITEM-1", "itemData" : { "DOI" : "10.1007/s00592-014-0646-3", "ISBN" : "0059201406463", "ISSN" : "1432-5233", "PMID" : "25267079", "abstract" : "OBJECTIVES: Several markers of iron metabolism have been associated with insulin resistance (IR) and type 2 diabetes mellitus in cross-sectional studies. However, prospective data on these associations are scarce, and it is currently unclear in which tissues iron metabolism may contribute to IR. Therefore, we investigated whether markers of iron metabolism were associated with IR in muscle, liver, and adipocytes, and with glucose intolerance over a 7-year follow-up period. DESIGN AND METHODS: Serum ferritin, transferrin, total iron, non-transferrin-bound iron, and transferrin saturation were determined at baseline of a prospective cohort study in 509 individuals (60 % men, age 59 \u00b1 6.9 years, body mass index 28.5 \u00b1 4.3). Both at baseline and after a 7-year follow-up (n = 386), measures of glucose, insulin (during glucose tolerance tests), and non-esterified fatty acids were obtained. Using generalized estimating equations, we investigated associations between baseline iron markers and indices of muscle, liver, and adipocyte insulin resistance (adipocyte IR), as well as glucose intolerance, over the 7-year period. RESULTS: Over a 7-year period, baseline serum ferritin (per 10 \u03bcg/L increase) was positively associated with homeostasis model assessment insulin resistance (HOMA2-IR) [\u03b2 = 0.77 % (95 % CI 0.50-1.03)], hepatic insulin resistance (hepatic IR) [\u03b2 = 0.39 % (0.23-0.55)], adipocyte IR [\u03b2 = 1.00 % (0.65-1.35)], and AUCglucose [\u03b2 = 0.32 % (0.18-0.46)] after adjustment for several covariates, including inflammatory markers (all p &lt; 0.001). Similarly, serum transferrin (per 0.1 g/L) was associated with HOMA2-IR [\u03b2 = 2.66 % (1.55-3.78)], hepatic IR [\u03b2 = 1.16 % (0.47-1.85)], adipocyte IR [\u03b2 = 3.75 % (2.27-5.25)], and AUCglucose [\u03b2 = 1.35 % (0.74-1.96)] over 7 years. CONCLUSIONS: Iron metabolism and related factors may contribute to IR in muscle, liver, and adipocytes, eventually leading to impaired glucose metabolism and hyperglycaemia.", "author" : [ { "dropping-particle" : "", "family" : "Wlazlo", "given" : "Nick", "non-dropping-particle" : "", "parse-names" : false, "suffix" : "" }, { "dropping-particle" : "", "family" : "Greevenbroek", "given" : "Marleen M J", "non-dropping-particle" : "van", "parse-names" : false, "suffix" : "" }, { "dropping-particle" : "", "family" : "Ferreira", "given" : "Isabel", "non-dropping-particle" : "", "parse-names" : false, "suffix" : "" }, { "dropping-particle" : "", "family" : "Jansen", "given" : "Eugene H J M", "non-dropping-particle" : "", "parse-names" : false, "suffix" : "" }, { "dropping-particle" : "", "family" : "Feskens", "given" : "Edith J M", "non-dropping-particle" : "", "parse-names" : false, "suffix" : "" }, { "dropping-particle" : "", "family" : "Kallen", "given" : "Carla J H", "non-dropping-particle" : "van der", "parse-names" : false, "suffix" : "" }, { "dropping-particle" : "", "family" : "Schalkwijk", "given" : "Casper G", "non-dropping-particle" : "", "parse-names" : false, "suffix" : "" }, { "dropping-particle" : "", "family" : "Bravenboer", "given" : "Bert", "non-dropping-particle" : "", "parse-names" : false, "suffix" : "" }, { "dropping-particle" : "", "family" : "Stehouwer", "given" : "Coen D a", "non-dropping-particle" : "", "parse-names" : false, "suffix" : "" } ], "container-title" : "Acta Diabetologica", "id" : "ITEM-1", "issued" : { "date-parts" : [ [ "2014", "10", "1" ] ] }, "title" : "Iron metabolism is prospectively associated with insulin resistance and glucose intolerance over a 7-year follow-up period: the CODAM study.", "type" : "article-journal" }, "uris" : [ "http://www.mendeley.com/documents/?uuid=48db7b4c-634c-420e-a392-a38553f7b772" ] } ], "mendeley" : { "formattedCitation" : "(37)", "plainTextFormattedCitation" : "(37)", "previouslyFormattedCitation" : "(34)" }, "properties" : { "noteIndex" : 0 }, "schema" : "https://github.com/citation-style-language/schema/raw/master/csl-citation.json" }</w:instrText>
      </w:r>
      <w:r w:rsidR="00924D5B" w:rsidRPr="0018334E">
        <w:rPr>
          <w:rStyle w:val="apple-converted-space"/>
          <w:rFonts w:ascii="Arial" w:hAnsi="Arial" w:cs="Arial"/>
          <w:sz w:val="24"/>
          <w:szCs w:val="24"/>
          <w:shd w:val="clear" w:color="auto" w:fill="FFFFFF"/>
        </w:rPr>
        <w:fldChar w:fldCharType="separate"/>
      </w:r>
      <w:r w:rsidR="002F34F2" w:rsidRPr="002F34F2">
        <w:rPr>
          <w:rStyle w:val="apple-converted-space"/>
          <w:rFonts w:ascii="Arial" w:hAnsi="Arial" w:cs="Arial"/>
          <w:noProof/>
          <w:sz w:val="24"/>
          <w:szCs w:val="24"/>
          <w:shd w:val="clear" w:color="auto" w:fill="FFFFFF"/>
        </w:rPr>
        <w:t>(37)</w:t>
      </w:r>
      <w:r w:rsidR="00924D5B" w:rsidRPr="0018334E">
        <w:rPr>
          <w:rStyle w:val="apple-converted-space"/>
          <w:rFonts w:ascii="Arial" w:hAnsi="Arial" w:cs="Arial"/>
          <w:sz w:val="24"/>
          <w:szCs w:val="24"/>
          <w:shd w:val="clear" w:color="auto" w:fill="FFFFFF"/>
        </w:rPr>
        <w:fldChar w:fldCharType="end"/>
      </w:r>
      <w:r w:rsidR="00B31719" w:rsidRPr="0018334E">
        <w:rPr>
          <w:rStyle w:val="apple-converted-space"/>
          <w:rFonts w:ascii="Arial" w:hAnsi="Arial" w:cs="Arial"/>
          <w:sz w:val="24"/>
          <w:szCs w:val="24"/>
          <w:shd w:val="clear" w:color="auto" w:fill="FFFFFF"/>
        </w:rPr>
        <w:t>.</w:t>
      </w:r>
      <w:r w:rsidR="002C5C4E" w:rsidRPr="0018334E">
        <w:rPr>
          <w:rFonts w:ascii="Arial" w:hAnsi="Arial" w:cs="Arial"/>
          <w:sz w:val="24"/>
          <w:szCs w:val="24"/>
          <w:lang w:val="en-US"/>
        </w:rPr>
        <w:t xml:space="preserve"> Some e</w:t>
      </w:r>
      <w:r w:rsidR="006B546C" w:rsidRPr="0018334E">
        <w:rPr>
          <w:rFonts w:ascii="Arial" w:hAnsi="Arial" w:cs="Arial"/>
          <w:sz w:val="24"/>
          <w:szCs w:val="24"/>
          <w:lang w:val="en-US"/>
        </w:rPr>
        <w:t>xperimental studies report</w:t>
      </w:r>
      <w:r w:rsidR="0015319E" w:rsidRPr="0018334E">
        <w:rPr>
          <w:rFonts w:ascii="Arial" w:hAnsi="Arial" w:cs="Arial"/>
          <w:sz w:val="24"/>
          <w:szCs w:val="24"/>
          <w:lang w:val="en-US"/>
        </w:rPr>
        <w:t xml:space="preserve"> an upregulation of transferrin </w:t>
      </w:r>
      <w:r w:rsidR="006B546C" w:rsidRPr="0018334E">
        <w:rPr>
          <w:rFonts w:ascii="Arial" w:hAnsi="Arial" w:cs="Arial"/>
          <w:sz w:val="24"/>
          <w:szCs w:val="24"/>
          <w:lang w:val="en-US"/>
        </w:rPr>
        <w:t xml:space="preserve">expression </w:t>
      </w:r>
      <w:r w:rsidR="000E08D5" w:rsidRPr="0018334E">
        <w:rPr>
          <w:rFonts w:ascii="Arial" w:hAnsi="Arial" w:cs="Arial"/>
          <w:sz w:val="24"/>
          <w:szCs w:val="24"/>
          <w:lang w:val="en-US"/>
        </w:rPr>
        <w:t xml:space="preserve">by insulin in human hepatocytes </w:t>
      </w:r>
      <w:r w:rsidR="0015319E" w:rsidRPr="0018334E">
        <w:rPr>
          <w:rFonts w:ascii="Arial" w:hAnsi="Arial" w:cs="Arial"/>
          <w:sz w:val="24"/>
          <w:szCs w:val="24"/>
          <w:lang w:val="en-US"/>
        </w:rPr>
        <w:fldChar w:fldCharType="begin" w:fldLock="1"/>
      </w:r>
      <w:r w:rsidR="002F34F2">
        <w:rPr>
          <w:rFonts w:ascii="Arial" w:hAnsi="Arial" w:cs="Arial"/>
          <w:sz w:val="24"/>
          <w:szCs w:val="24"/>
          <w:lang w:val="en-US"/>
        </w:rPr>
        <w:instrText>ADDIN CSL_CITATION { "citationItems" : [ { "id" : "ITEM-1", "itemData" : { "ISSN" : "0002-9513", "PMID" : "7544533", "abstract" : "After trauma or sepsis, the liver undergoes a reprioritization of export protein synthesis with elevated production of some acute-phase reactants and reduced production of others. We have examined the effects of combinations of insulin and the counterregulatory hormones (dexamethasone, glucagon, and epinephrine), in the presence or absence of interleukin (IL)-6, on the production by isolated hepatocytes of the positive acute-phase proteins C-reactive protein, alpha 1-antichymotrypsin, alpha 1-acid glycoprotein, and haptoglobin, and the negative acute-phase proteins prealbumin and transferrin. The effect of IL-6 on the production of the above proteins was influenced significantly by insulin and all of the counterregulatory hormones. Significant three-way interactions as well as higher order interactions between the stress hormones and insulin were seen in the case of C-reactive protein. The results indicate that both positive and negative acute-phase proteins respond differently to insulin and the counterregulatory hormones and that the potential exists for the regulation of synthesis of individual acute-phase reactants by interaction between the cytokine network and the classical endocrine hormones.", "author" : [ { "dropping-particle" : "", "family" : "O'Riordain", "given" : "M G", "non-dropping-particle" : "", "parse-names" : false, "suffix" : "" }, { "dropping-particle" : "", "family" : "Ross", "given" : "J a", "non-dropping-particle" : "", "parse-names" : false, "suffix" : "" }, { "dropping-particle" : "", "family" : "Fearon", "given" : "K C", "non-dropping-particle" : "", "parse-names" : false, "suffix" : "" }, { "dropping-particle" : "", "family" : "Maingay", "given" : "J", "non-dropping-particle" : "", "parse-names" : false, "suffix" : "" }, { "dropping-particle" : "", "family" : "Farouk", "given" : "M", "non-dropping-particle" : "", "parse-names" : false, "suffix" : "" }, { "dropping-particle" : "", "family" : "Garden", "given" : "O J", "non-dropping-particle" : "", "parse-names" : false, "suffix" : "" }, { "dropping-particle" : "", "family" : "Carter", "given" : "D C", "non-dropping-particle" : "", "parse-names" : false, "suffix" : "" } ], "container-title" : "The American Journal of Physiology", "id" : "ITEM-1", "issue" : "2 Pt 1", "issued" : { "date-parts" : [ [ "1995", "8" ] ] }, "note" : "insulin increases expression of transferrin in hepatocytes", "page" : "E323-30", "title" : "Insulin and counterregulatory hormones influence acute-phase protein production in human hepatocytes.", "type" : "article-journal", "volume" : "269" }, "uris" : [ "http://www.mendeley.com/documents/?uuid=8621e108-6d30-4033-8403-ae8046d59bbf" ] }, { "id" : "ITEM-2", "itemData" : { "ISSN" : "0021-9258", "PMID" : "3298247", "abstract" : "Incubation of 3T3-L1 adipocytes with insulin at 37 degrees C resulted in a 2-fold increase in specific binding of transferrin to cell-surface receptors, as measured by a subsequent incubation of cells at 4 degrees C with 125I-transferrin. The insulin concentration required for half-maximal effect was 10 nM, and the half-time for insulin action was 40 s. By comparison, insulin stimulated hexose transport in 3T3-L1 adipocytes with a half-maximal effect at 8 nM and a half-time of 105 s. Scatchard analysis of 125I-transferrin binding to cells at 4 degrees C showed that the insulin-induced increase in transferrin receptor binding was due to an increase in the number of surface transferrin receptors. When cells were incubated for 2 h at 37 degrees C with 125I-transferrin to achieve steady-state binding and then exposed to insulin, there was a 1.7-fold increase in surface-bound transferrin (acid-sensitive) and a corresponding decrease in intracellularly bound transferrin (acid-insensitive). Thus, insulin elicits translocation of intracellular transferrin receptors to the plasma membrane. Concomitant with the 2-fold increase in surface receptors in response to insulin, there was a 2-fold increase in the rate of 59Fe3+ uptake from 59Fe3+-loaded transferrin. The rate of externalization of the intracellular 125I-transferrin-receptor complex at 37 degrees C was determined for basal and insulin-treated cells. Insulin increased the first-order rate constant for this process 1.7-fold. The effect of insulin on the rate of externalization is sufficient to account for the increase in surface transferrin receptors.", "author" : [ { "dropping-particle" : "", "family" : "Tanner", "given" : "Laura I", "non-dropping-particle" : "", "parse-names" : false, "suffix" : "" }, { "dropping-particle" : "", "family" : "Lienhard", "given" : "Gustav E", "non-dropping-particle" : "", "parse-names" : false, "suffix" : "" } ], "container-title" : "The Journal of Biological Chemistry", "id" : "ITEM-2", "issue" : "19", "issued" : { "date-parts" : [ [ "1987", "7", "5" ] ] }, "note" : "From Duplicate 1 ( Insulin elicits a redistribution of transferrin receptors in 3T3-L1 adipocytes through an increase in the rate constant for receptor externalization. - Tanner, L I; Lienhard, G E )\n\nSupports idea of insulin increasing cellular iron uptake\n\nFrom Duplicate 2 ( Insulin elicits a redistribution of transferrin receptors in 3T3-L1 adipocytes through an increase in the rate constant for receptor externalization. - Tanner, Laura I; Lienhard, Gustav E )\n\nFrom Duplicate 1 ( Insulin elicits a redistribution of transferrin receptors in 3T3-L1 adipocytes through an increase in the rate constant for receptor externalization. - Tanner, Laura I; Lienhard, Gustav E )\n\nFrom Duplicate 1 ( Insulin elicits a redistribution of transferrin receptors in 3T3-L1 adipocytes through an increase in the rate constant for receptor externalization. - Tanner, L I; Lienhard, G E )\n\nSupports idea of insulin increasing cellular iron uptake\n\n\n\nFrom Duplicate 2 ( Insulin elicits a redistribution of transferrin receptors in 3T3-L1 adipocytes through an increase in the rate constant for receptor externalization. - Tanner, L I; Lienhard, G E )\n\nSupports idea of insulin increasing cellular iron uptake", "page" : "8975-80", "title" : "Insulin elicits a redistribution of transferrin receptors in 3T3-L1 adipocytes through an increase in the rate constant for receptor externalization.", "type" : "article-journal", "volume" : "262" }, "uris" : [ "http://www.mendeley.com/documents/?uuid=7764d4a5-4fa3-42b4-af34-afdebd7824a0" ] } ], "mendeley" : { "formattedCitation" : "(38,39)", "plainTextFormattedCitation" : "(38,39)", "previouslyFormattedCitation" : "(35,36)" }, "properties" : { "noteIndex" : 0 }, "schema" : "https://github.com/citation-style-language/schema/raw/master/csl-citation.json" }</w:instrText>
      </w:r>
      <w:r w:rsidR="0015319E" w:rsidRPr="0018334E">
        <w:rPr>
          <w:rFonts w:ascii="Arial" w:hAnsi="Arial" w:cs="Arial"/>
          <w:sz w:val="24"/>
          <w:szCs w:val="24"/>
          <w:lang w:val="en-US"/>
        </w:rPr>
        <w:fldChar w:fldCharType="separate"/>
      </w:r>
      <w:r w:rsidR="002F34F2" w:rsidRPr="002F34F2">
        <w:rPr>
          <w:rFonts w:ascii="Arial" w:hAnsi="Arial" w:cs="Arial"/>
          <w:noProof/>
          <w:sz w:val="24"/>
          <w:szCs w:val="24"/>
          <w:lang w:val="en-US"/>
        </w:rPr>
        <w:t>(38,39)</w:t>
      </w:r>
      <w:r w:rsidR="0015319E" w:rsidRPr="0018334E">
        <w:rPr>
          <w:rFonts w:ascii="Arial" w:hAnsi="Arial" w:cs="Arial"/>
          <w:sz w:val="24"/>
          <w:szCs w:val="24"/>
          <w:lang w:val="en-US"/>
        </w:rPr>
        <w:fldChar w:fldCharType="end"/>
      </w:r>
      <w:r w:rsidR="002C5C4E" w:rsidRPr="0018334E">
        <w:rPr>
          <w:rFonts w:ascii="Arial" w:hAnsi="Arial" w:cs="Arial"/>
          <w:sz w:val="24"/>
          <w:szCs w:val="24"/>
          <w:lang w:val="en-US"/>
        </w:rPr>
        <w:t>, while o</w:t>
      </w:r>
      <w:r w:rsidR="00EF73CB" w:rsidRPr="0018334E">
        <w:rPr>
          <w:rFonts w:ascii="Arial" w:hAnsi="Arial" w:cs="Arial"/>
          <w:sz w:val="24"/>
          <w:szCs w:val="24"/>
          <w:lang w:val="en-US"/>
        </w:rPr>
        <w:t xml:space="preserve">ther studies </w:t>
      </w:r>
      <w:r w:rsidR="002C5C4E" w:rsidRPr="0018334E">
        <w:rPr>
          <w:rFonts w:ascii="Arial" w:hAnsi="Arial" w:cs="Arial"/>
          <w:sz w:val="24"/>
          <w:szCs w:val="24"/>
          <w:lang w:val="en-US"/>
        </w:rPr>
        <w:t xml:space="preserve">suggest </w:t>
      </w:r>
      <w:r w:rsidR="008D28CE" w:rsidRPr="0018334E">
        <w:rPr>
          <w:rFonts w:ascii="Arial" w:hAnsi="Arial" w:cs="Arial"/>
          <w:sz w:val="24"/>
          <w:szCs w:val="24"/>
          <w:lang w:val="en-US"/>
        </w:rPr>
        <w:t xml:space="preserve">an antagonist effect of </w:t>
      </w:r>
      <w:r w:rsidR="00D924A5" w:rsidRPr="0018334E">
        <w:rPr>
          <w:rFonts w:ascii="Arial" w:hAnsi="Arial" w:cs="Arial"/>
          <w:sz w:val="24"/>
          <w:szCs w:val="24"/>
          <w:lang w:val="en-US"/>
        </w:rPr>
        <w:t>transferrin</w:t>
      </w:r>
      <w:r w:rsidR="008D28CE" w:rsidRPr="0018334E">
        <w:rPr>
          <w:rFonts w:ascii="Arial" w:hAnsi="Arial" w:cs="Arial"/>
          <w:sz w:val="24"/>
          <w:szCs w:val="24"/>
          <w:lang w:val="en-US"/>
        </w:rPr>
        <w:t xml:space="preserve"> on </w:t>
      </w:r>
      <w:r w:rsidR="00D924A5" w:rsidRPr="0018334E">
        <w:rPr>
          <w:rFonts w:ascii="Arial" w:hAnsi="Arial" w:cs="Arial"/>
          <w:sz w:val="24"/>
          <w:szCs w:val="24"/>
          <w:lang w:val="en-US"/>
        </w:rPr>
        <w:t>insulin</w:t>
      </w:r>
      <w:r w:rsidR="00134FC8" w:rsidRPr="0018334E">
        <w:rPr>
          <w:rFonts w:ascii="Arial" w:hAnsi="Arial" w:cs="Arial"/>
          <w:sz w:val="24"/>
          <w:szCs w:val="24"/>
          <w:lang w:val="en-US"/>
        </w:rPr>
        <w:t xml:space="preserve"> action</w:t>
      </w:r>
      <w:r w:rsidR="002C5C4E" w:rsidRPr="0018334E">
        <w:rPr>
          <w:rFonts w:ascii="Arial" w:hAnsi="Arial" w:cs="Arial"/>
          <w:sz w:val="24"/>
          <w:szCs w:val="24"/>
          <w:lang w:val="en-US"/>
        </w:rPr>
        <w:t>, leading to insulin resistance</w:t>
      </w:r>
      <w:r w:rsidR="000E08D5" w:rsidRPr="0018334E">
        <w:rPr>
          <w:rFonts w:ascii="Arial" w:hAnsi="Arial" w:cs="Arial"/>
          <w:sz w:val="24"/>
          <w:szCs w:val="24"/>
          <w:lang w:val="en-US"/>
        </w:rPr>
        <w:t xml:space="preserve"> </w:t>
      </w:r>
      <w:r w:rsidR="008D28CE" w:rsidRPr="0018334E">
        <w:rPr>
          <w:rFonts w:ascii="Arial" w:hAnsi="Arial" w:cs="Arial"/>
          <w:sz w:val="24"/>
          <w:szCs w:val="24"/>
          <w:lang w:val="en-US"/>
        </w:rPr>
        <w:fldChar w:fldCharType="begin" w:fldLock="1"/>
      </w:r>
      <w:r w:rsidR="002F34F2">
        <w:rPr>
          <w:rFonts w:ascii="Arial" w:hAnsi="Arial" w:cs="Arial"/>
          <w:sz w:val="24"/>
          <w:szCs w:val="24"/>
          <w:lang w:val="en-US"/>
        </w:rPr>
        <w:instrText>ADDIN CSL_CITATION { "citationItems" : [ { "id" : "ITEM-1", "itemData" : { "DOI" : "10.1055/s-2007-978847", "ISSN" : "0018-5043", "PMID" : "9566850", "abstract" : "We have purified alpha2-glycoprotein (alpha2-GP), an insulin antagonist from human plasma which is induced by growth hormone (GH), and shown that pure alpha2-GP is a potent antagonist of severe insulin-induced hypoglycemia, producing acute hyperglycemia in intact rats and ketonuria in diabetic rats. The N-terminal amino acid sequence of alpha2-GP and the reactivity of alpha2-GP with an antitransferrin monoclonal antibody show that alpha2-GP is identical to human serum transferrin. Furthermore, pure human serum transferrin and non-glycosylated recombinant human transferrin reproduce the insulin antagonist effects of alpha2-GP in rats, whereas ovotransferrin shows no such effect. The neutralization of the insulin antagonism of human serum transferrin by an anti-transferrin monoclonal antibody shows that transferrin has a new function as a potent insulin antagonist. This novel role for human serum transferrin in the regulation of glucose metabolism provides a reasonable mechanism for the diabetogenic effect of GH, and has important implications for the etiology and progression of diabetes.", "author" : [ { "dropping-particle" : "", "family" : "Vargas", "given" : "L.", "non-dropping-particle" : "", "parse-names" : false, "suffix" : "" }, { "dropping-particle" : "", "family" : "Kawada", "given" : "M. E", "non-dropping-particle" : "", "parse-names" : false, "suffix" : "" }, { "dropping-particle" : "", "family" : "Bazaes", "given" : "S.", "non-dropping-particle" : "", "parse-names" : false, "suffix" : "" }, { "dropping-particle" : "", "family" : "Karp", "given" : "P A", "non-dropping-particle" : "", "parse-names" : false, "suffix" : "" }, { "dropping-particle" : "", "family" : "Faerman", "given" : "C. H", "non-dropping-particle" : "", "parse-names" : false, "suffix" : "" }, { "dropping-particle" : "", "family" : "Karplus", "given" : "P A", "non-dropping-particle" : "", "parse-names" : false, "suffix" : "" }, { "dropping-particle" : "", "family" : "Faerman", "given" : "C. H", "non-dropping-particle" : "", "parse-names" : false, "suffix" : "" } ], "container-title" : "Hormone and metabolic research = Hormon- und Stoffwechselforschung = Hormones et m\u00e9tabolisme", "id" : "ITEM-1", "issue" : "3", "issued" : { "date-parts" : [ [ "1998", "3", "20" ] ] }, "language" : "en", "page" : "113-7", "publisher" : "\u00a9 Georg Thieme Verlag Stuttgart \u00b7 New York", "title" : "Insulin antagonism: a novel role for human serum transferrin.", "type" : "article-journal", "volume" : "30" }, "uris" : [ "http://www.mendeley.com/documents/?uuid=6d6c5a93-1dd4-46bf-b7fd-529b0bab16bc" ] } ], "mendeley" : { "formattedCitation" : "(40)", "plainTextFormattedCitation" : "(40)", "previouslyFormattedCitation" : "(37)" }, "properties" : { "noteIndex" : 0 }, "schema" : "https://github.com/citation-style-language/schema/raw/master/csl-citation.json" }</w:instrText>
      </w:r>
      <w:r w:rsidR="008D28CE" w:rsidRPr="0018334E">
        <w:rPr>
          <w:rFonts w:ascii="Arial" w:hAnsi="Arial" w:cs="Arial"/>
          <w:sz w:val="24"/>
          <w:szCs w:val="24"/>
          <w:lang w:val="en-US"/>
        </w:rPr>
        <w:fldChar w:fldCharType="separate"/>
      </w:r>
      <w:r w:rsidR="002F34F2" w:rsidRPr="002F34F2">
        <w:rPr>
          <w:rFonts w:ascii="Arial" w:hAnsi="Arial" w:cs="Arial"/>
          <w:noProof/>
          <w:sz w:val="24"/>
          <w:szCs w:val="24"/>
          <w:lang w:val="en-US"/>
        </w:rPr>
        <w:t>(40)</w:t>
      </w:r>
      <w:r w:rsidR="008D28CE" w:rsidRPr="0018334E">
        <w:rPr>
          <w:rFonts w:ascii="Arial" w:hAnsi="Arial" w:cs="Arial"/>
          <w:sz w:val="24"/>
          <w:szCs w:val="24"/>
          <w:lang w:val="en-US"/>
        </w:rPr>
        <w:fldChar w:fldCharType="end"/>
      </w:r>
      <w:r w:rsidR="000E08D5" w:rsidRPr="0018334E">
        <w:rPr>
          <w:rFonts w:ascii="Arial" w:hAnsi="Arial" w:cs="Arial"/>
          <w:sz w:val="24"/>
          <w:szCs w:val="24"/>
          <w:lang w:val="en-US"/>
        </w:rPr>
        <w:t>.</w:t>
      </w:r>
      <w:r w:rsidR="008D28CE" w:rsidRPr="0018334E">
        <w:rPr>
          <w:rFonts w:ascii="Arial" w:hAnsi="Arial" w:cs="Arial"/>
          <w:sz w:val="24"/>
          <w:szCs w:val="24"/>
          <w:lang w:val="en-US"/>
        </w:rPr>
        <w:t xml:space="preserve"> </w:t>
      </w:r>
      <w:r w:rsidR="00B164B9" w:rsidRPr="0018334E">
        <w:rPr>
          <w:rFonts w:ascii="Arial" w:hAnsi="Arial" w:cs="Arial"/>
          <w:sz w:val="24"/>
          <w:szCs w:val="24"/>
          <w:lang w:val="en-US"/>
        </w:rPr>
        <w:t>We</w:t>
      </w:r>
      <w:r w:rsidR="00A45C0E" w:rsidRPr="0018334E">
        <w:rPr>
          <w:rFonts w:ascii="Arial" w:hAnsi="Arial" w:cs="Arial"/>
          <w:sz w:val="24"/>
          <w:szCs w:val="24"/>
          <w:lang w:val="en-US"/>
        </w:rPr>
        <w:t xml:space="preserve"> suggest that </w:t>
      </w:r>
      <w:r w:rsidR="00F473D7" w:rsidRPr="0018334E">
        <w:rPr>
          <w:rFonts w:ascii="Arial" w:hAnsi="Arial" w:cs="Arial"/>
          <w:sz w:val="24"/>
          <w:szCs w:val="24"/>
          <w:lang w:val="en-US"/>
        </w:rPr>
        <w:t xml:space="preserve">the association of both ferritin and transferrin with incident </w:t>
      </w:r>
      <w:r w:rsidR="0019207F" w:rsidRPr="0018334E">
        <w:rPr>
          <w:rFonts w:ascii="Arial" w:hAnsi="Arial" w:cs="Arial"/>
          <w:sz w:val="24"/>
          <w:szCs w:val="24"/>
          <w:lang w:val="en-US"/>
        </w:rPr>
        <w:t xml:space="preserve">type </w:t>
      </w:r>
      <w:proofErr w:type="gramStart"/>
      <w:r w:rsidR="0019207F" w:rsidRPr="0018334E">
        <w:rPr>
          <w:rFonts w:ascii="Arial" w:hAnsi="Arial" w:cs="Arial"/>
          <w:sz w:val="24"/>
          <w:szCs w:val="24"/>
          <w:lang w:val="en-US"/>
        </w:rPr>
        <w:t>2 diabetes</w:t>
      </w:r>
      <w:proofErr w:type="gramEnd"/>
      <w:r w:rsidR="00F473D7" w:rsidRPr="0018334E">
        <w:rPr>
          <w:rFonts w:ascii="Arial" w:hAnsi="Arial" w:cs="Arial"/>
          <w:sz w:val="24"/>
          <w:szCs w:val="24"/>
          <w:lang w:val="en-US"/>
        </w:rPr>
        <w:t xml:space="preserve"> </w:t>
      </w:r>
      <w:r w:rsidR="000E08D5" w:rsidRPr="0018334E">
        <w:rPr>
          <w:rFonts w:ascii="Arial" w:hAnsi="Arial" w:cs="Arial"/>
          <w:sz w:val="24"/>
          <w:szCs w:val="24"/>
          <w:lang w:val="en-US"/>
        </w:rPr>
        <w:t xml:space="preserve">could </w:t>
      </w:r>
      <w:r w:rsidR="00F473D7" w:rsidRPr="0018334E">
        <w:rPr>
          <w:rFonts w:ascii="Arial" w:hAnsi="Arial" w:cs="Arial"/>
          <w:sz w:val="24"/>
          <w:szCs w:val="24"/>
          <w:lang w:val="en-US"/>
        </w:rPr>
        <w:t>be explained</w:t>
      </w:r>
      <w:r w:rsidR="005A3E6B" w:rsidRPr="0018334E">
        <w:rPr>
          <w:rFonts w:ascii="Arial" w:hAnsi="Arial" w:cs="Arial"/>
          <w:sz w:val="24"/>
          <w:szCs w:val="24"/>
          <w:lang w:val="en-US"/>
        </w:rPr>
        <w:t>,</w:t>
      </w:r>
      <w:r w:rsidR="00F473D7" w:rsidRPr="0018334E">
        <w:rPr>
          <w:rFonts w:ascii="Arial" w:hAnsi="Arial" w:cs="Arial"/>
          <w:sz w:val="24"/>
          <w:szCs w:val="24"/>
          <w:lang w:val="en-US"/>
        </w:rPr>
        <w:t xml:space="preserve"> </w:t>
      </w:r>
      <w:r w:rsidR="005A3E6B" w:rsidRPr="0018334E">
        <w:rPr>
          <w:rFonts w:ascii="Arial" w:hAnsi="Arial" w:cs="Arial"/>
          <w:sz w:val="24"/>
          <w:szCs w:val="24"/>
          <w:lang w:val="en-US"/>
        </w:rPr>
        <w:t xml:space="preserve">at least in part, </w:t>
      </w:r>
      <w:r w:rsidR="00F473D7" w:rsidRPr="0018334E">
        <w:rPr>
          <w:rFonts w:ascii="Arial" w:hAnsi="Arial" w:cs="Arial"/>
          <w:sz w:val="24"/>
          <w:szCs w:val="24"/>
          <w:lang w:val="en-US"/>
        </w:rPr>
        <w:t xml:space="preserve">by </w:t>
      </w:r>
      <w:r w:rsidR="00CD2DC9" w:rsidRPr="0018334E">
        <w:rPr>
          <w:rFonts w:ascii="Arial" w:hAnsi="Arial" w:cs="Arial"/>
          <w:sz w:val="24"/>
          <w:szCs w:val="24"/>
          <w:lang w:val="en-US"/>
        </w:rPr>
        <w:t>insulin resistance</w:t>
      </w:r>
      <w:r w:rsidR="00A45C0E" w:rsidRPr="0018334E">
        <w:rPr>
          <w:rFonts w:ascii="Arial" w:hAnsi="Arial" w:cs="Arial"/>
          <w:sz w:val="24"/>
          <w:szCs w:val="24"/>
          <w:lang w:val="en-US"/>
        </w:rPr>
        <w:t xml:space="preserve">. </w:t>
      </w:r>
      <w:r w:rsidR="00B164B9" w:rsidRPr="0018334E">
        <w:rPr>
          <w:rFonts w:ascii="Arial" w:hAnsi="Arial" w:cs="Arial"/>
          <w:sz w:val="24"/>
          <w:szCs w:val="24"/>
          <w:lang w:val="en-US"/>
        </w:rPr>
        <w:t xml:space="preserve">This is supported by the fact that in the present study, the strength of the associations of ferritin and transferrin with </w:t>
      </w:r>
      <w:r w:rsidR="0019207F" w:rsidRPr="0018334E">
        <w:rPr>
          <w:rFonts w:ascii="Arial" w:hAnsi="Arial" w:cs="Arial"/>
          <w:sz w:val="24"/>
          <w:szCs w:val="24"/>
          <w:lang w:val="en-US"/>
        </w:rPr>
        <w:t>type 2 diabetes</w:t>
      </w:r>
      <w:r w:rsidR="00B164B9" w:rsidRPr="0018334E">
        <w:rPr>
          <w:rFonts w:ascii="Arial" w:hAnsi="Arial" w:cs="Arial"/>
          <w:sz w:val="24"/>
          <w:szCs w:val="24"/>
          <w:lang w:val="en-US"/>
        </w:rPr>
        <w:t xml:space="preserve"> was </w:t>
      </w:r>
      <w:r w:rsidR="0078680B" w:rsidRPr="0018334E">
        <w:rPr>
          <w:rFonts w:ascii="Arial" w:hAnsi="Arial" w:cs="Arial"/>
          <w:sz w:val="24"/>
          <w:szCs w:val="24"/>
          <w:lang w:val="en-US"/>
        </w:rPr>
        <w:t>most strongly</w:t>
      </w:r>
      <w:r w:rsidR="00B164B9" w:rsidRPr="0018334E">
        <w:rPr>
          <w:rFonts w:ascii="Arial" w:hAnsi="Arial" w:cs="Arial"/>
          <w:sz w:val="24"/>
          <w:szCs w:val="24"/>
          <w:lang w:val="en-US"/>
        </w:rPr>
        <w:t xml:space="preserve"> attenuated after adjustment for BMI and ALT, which are both associated with insulin resistance </w:t>
      </w:r>
      <w:r w:rsidR="00B164B9" w:rsidRPr="0018334E">
        <w:rPr>
          <w:rFonts w:ascii="Arial" w:hAnsi="Arial" w:cs="Arial"/>
          <w:sz w:val="24"/>
          <w:szCs w:val="24"/>
          <w:lang w:val="en-US"/>
        </w:rPr>
        <w:fldChar w:fldCharType="begin" w:fldLock="1"/>
      </w:r>
      <w:r w:rsidR="002F34F2">
        <w:rPr>
          <w:rFonts w:ascii="Arial" w:hAnsi="Arial" w:cs="Arial"/>
          <w:sz w:val="24"/>
          <w:szCs w:val="24"/>
          <w:lang w:val="en-US"/>
        </w:rPr>
        <w:instrText>ADDIN CSL_CITATION { "citationItems" : [ { "id" : "ITEM-1", "itemData" : { "ISSN" : "0012-1797", "PMID" : "15448093", "abstract" : "A limited number of studies have reported associations of markers of liver injury, including elevated concentrations of aspartate aminotransferase (AST) and alanine aminotransferase (ALT), with prospective risk of type 2 diabetes. However, only one study has adjusted for a detailed measure of insulin sensitivity (insulin sensitivity index [S(i)]), which is important given associations of obesity and S(i) with nonalcoholic fatty liver disease (NAFLD). Our objective was to investigate the associations of elevated AST and ALT with incident type 2 diabetes among 906 participants in the Insulin Resistance Atherosclerosis Study who were nondiabetic at baseline. S(i) and acute insulin response (AIR) were measured directly from the frequently sampled intravenous glucose tolerance test among black, Hispanic, and non-Hispanic white participants aged 40-69 years. After 5.2 years, 148 individuals had developed type 2 diabetes. Baseline AST and ALT were positively correlated with fasting insulin (r = 0.22 and r = 0.35, respectively), waist circumference (r = 0.18 and r = 0.34), and fasting glucose (r = 0.13 and r = 0.29) and inversely with S(i) (r = -0.18 and r = -0.30; all P &lt; 0.0001). In separate logistic regression models adjusting for age, sex, ethnicity, clinical center, and alcohol consumption, participants in the highest quartiles (Q4) of AST and ALT were at significantly increased risk of incident type 2 diabetes compared with those in the lowest three quartiles (Q1-Q3): AST: odds ratio (OR) 1.73 (95% CI 1.17-2.57); ALT: OR 2.32 (1.36-3.75). After further adjustment for smoking, waist circumference, triglyceride, HDL, impaired glucose tolerance, S(i), and AIR, both AST and ALT remained significantly associated with incident type 2 diabetes: AST, Q4 vs. Q1-Q3: OR 1.98 (1.23-3.17); ALT, Q4 vs. Q1-Q3: OR 2.00 (1.22-3.28). There were no interactions of sex, ethnicity, obesity, impaired glucose tolerance, or S(i) with AST or ALT in the prediction of type 2 diabetes. When entered into the same model with adjustment for demographic variables, both C-reactive protein and ALT independently predicted type 2 diabetes. In addition, AST and ALT were positively associated with incident type 2 diabetes after excluding former and moderate to heavy drinkers. In conclusion, AST and ALT independently predict type 2 diabetes. Baseline elevations of these markers may reflect NAFLD or related pathologies.", "author" : [ { "dropping-particle" : "", "family" : "Hanley", "given" : "Anthony J G", "non-dropping-particle" : "", "parse-names" : false, "suffix" : "" }, { "dropping-particle" : "", "family" : "Williams", "given" : "Ken", "non-dropping-particle" : "", "parse-names" : false, "suffix" : "" }, { "dropping-particle" : "", "family" : "Festa", "given" : "Andreas", "non-dropping-particle" : "", "parse-names" : false, "suffix" : "" }, { "dropping-particle" : "", "family" : "Wagenknecht", "given" : "Lynne E", "non-dropping-particle" : "", "parse-names" : false, "suffix" : "" }, { "dropping-particle" : "", "family" : "D'Agostino", "given" : "Ralph B", "non-dropping-particle" : "", "parse-names" : false, "suffix" : "" }, { "dropping-particle" : "", "family" : "Kempf", "given" : "Judy", "non-dropping-particle" : "", "parse-names" : false, "suffix" : "" }, { "dropping-particle" : "", "family" : "Zinman", "given" : "Bernard", "non-dropping-particle" : "", "parse-names" : false, "suffix" : "" }, { "dropping-particle" : "", "family" : "Haffner", "given" : "Steven M", "non-dropping-particle" : "", "parse-names" : false, "suffix" : "" } ], "container-title" : "Diabetes", "id" : "ITEM-1", "issue" : "10", "issued" : { "date-parts" : [ [ "2004", "10" ] ] }, "page" : "2623-32", "title" : "Elevations in markers of liver injury and risk of type 2 diabetes: the insulin resistance atherosclerosis study.", "type" : "article-journal", "volume" : "53" }, "uris" : [ "http://www.mendeley.com/documents/?uuid=c6ab349f-093c-4a2b-a866-053572705a5e" ] }, { "id" : "ITEM-2", "itemData" : { "DOI" : "10.1016/S0140-6736(11)60614-4", "ISSN" : "1474-547X", "PMID" : "21705072", "abstract" : "Type 2 diabetes is now a pandemic and shows no signs of abatement. In this Seminar we review the pathophysiology of this disorder, with particular attention to epidemiology, genetics, epigenetics, and molecular cell biology. Evidence is emerging that a substantial part of diabetes susceptibility is acquired early in life, probably owing to fetal or neonatal programming via epigenetic phenomena. Maternal and early childhood health might, therefore, be crucial to the development of effective prevention strategies. Diabetes develops because of inadequate islet \u03b2-cell and adipose-tissue responses to chronic fuel excess, which results in so-called nutrient spillover, insulin resistance, and metabolic stress. The latter damages multiple organs. Insulin resistance, while forcing \u03b2 cells to work harder, might also have an important defensive role against nutrient-related toxic effects in tissues such as the heart. Reversal of overnutrition, healing of the \u03b2 cells, and lessening of adipose tissue defects should be treatment priorities.", "author" : [ { "dropping-particle" : "", "family" : "Nolan", "given" : "Christopher J", "non-dropping-particle" : "", "parse-names" : false, "suffix" : "" }, { "dropping-particle" : "", "family" : "Damm", "given" : "Peter", "non-dropping-particle" : "", "parse-names" : false, "suffix" : "" }, { "dropping-particle" : "", "family" : "Prentki", "given" : "Marc", "non-dropping-particle" : "", "parse-names" : false, "suffix" : "" } ], "container-title" : "Lancet", "id" : "ITEM-2", "issue" : "9786", "issued" : { "date-parts" : [ [ "2011", "7", "9" ] ] }, "note" : "Good review on diabetes, talks about lean diabetics and non-diabetic obese", "page" : "169-81", "publisher" : "Elsevier Ltd", "title" : "Type 2 diabetes across generations: from pathophysiology to prevention and management.", "type" : "article-journal", "volume" : "378" }, "uris" : [ "http://www.mendeley.com/documents/?uuid=4179c187-296c-4ca0-ad7e-f57ecd2415d5" ] } ], "mendeley" : { "formattedCitation" : "(41,42)", "plainTextFormattedCitation" : "(41,42)", "previouslyFormattedCitation" : "(38,39)" }, "properties" : { "noteIndex" : 0 }, "schema" : "https://github.com/citation-style-language/schema/raw/master/csl-citation.json" }</w:instrText>
      </w:r>
      <w:r w:rsidR="00B164B9" w:rsidRPr="0018334E">
        <w:rPr>
          <w:rFonts w:ascii="Arial" w:hAnsi="Arial" w:cs="Arial"/>
          <w:sz w:val="24"/>
          <w:szCs w:val="24"/>
          <w:lang w:val="en-US"/>
        </w:rPr>
        <w:fldChar w:fldCharType="separate"/>
      </w:r>
      <w:r w:rsidR="002F34F2" w:rsidRPr="002F34F2">
        <w:rPr>
          <w:rFonts w:ascii="Arial" w:hAnsi="Arial" w:cs="Arial"/>
          <w:noProof/>
          <w:sz w:val="24"/>
          <w:szCs w:val="24"/>
          <w:lang w:val="en-US"/>
        </w:rPr>
        <w:t>(41,42)</w:t>
      </w:r>
      <w:r w:rsidR="00B164B9" w:rsidRPr="0018334E">
        <w:rPr>
          <w:rFonts w:ascii="Arial" w:hAnsi="Arial" w:cs="Arial"/>
          <w:sz w:val="24"/>
          <w:szCs w:val="24"/>
          <w:lang w:val="en-US"/>
        </w:rPr>
        <w:fldChar w:fldCharType="end"/>
      </w:r>
      <w:r w:rsidR="00B164B9" w:rsidRPr="0018334E">
        <w:rPr>
          <w:rFonts w:ascii="Arial" w:hAnsi="Arial" w:cs="Arial"/>
          <w:sz w:val="24"/>
          <w:szCs w:val="24"/>
          <w:lang w:val="en-US"/>
        </w:rPr>
        <w:t xml:space="preserve">. </w:t>
      </w:r>
    </w:p>
    <w:p w:rsidR="00815610" w:rsidRPr="0018334E" w:rsidRDefault="00815610" w:rsidP="00F328BE">
      <w:pPr>
        <w:spacing w:after="0" w:line="480" w:lineRule="auto"/>
        <w:jc w:val="both"/>
        <w:rPr>
          <w:rFonts w:ascii="Arial" w:hAnsi="Arial" w:cs="Arial"/>
          <w:sz w:val="24"/>
          <w:szCs w:val="24"/>
          <w:lang w:val="en-US"/>
        </w:rPr>
      </w:pPr>
    </w:p>
    <w:p w:rsidR="00B705CA" w:rsidRPr="0018334E" w:rsidRDefault="00D17F43" w:rsidP="00F328BE">
      <w:pPr>
        <w:spacing w:after="0" w:line="480" w:lineRule="auto"/>
        <w:jc w:val="both"/>
        <w:rPr>
          <w:rFonts w:ascii="Arial" w:hAnsi="Arial" w:cs="Arial"/>
          <w:sz w:val="24"/>
          <w:szCs w:val="24"/>
          <w:lang w:val="en-US"/>
        </w:rPr>
      </w:pPr>
      <w:r w:rsidRPr="0018334E">
        <w:rPr>
          <w:rFonts w:ascii="Arial" w:hAnsi="Arial" w:cs="Arial"/>
          <w:sz w:val="24"/>
          <w:szCs w:val="24"/>
          <w:lang w:val="en-US"/>
        </w:rPr>
        <w:t>Taken together, the</w:t>
      </w:r>
      <w:r w:rsidR="00D966DB" w:rsidRPr="0018334E">
        <w:rPr>
          <w:rFonts w:ascii="Arial" w:hAnsi="Arial" w:cs="Arial"/>
          <w:sz w:val="24"/>
          <w:szCs w:val="24"/>
          <w:lang w:val="en-US"/>
        </w:rPr>
        <w:t>se observed</w:t>
      </w:r>
      <w:r w:rsidRPr="0018334E">
        <w:rPr>
          <w:rFonts w:ascii="Arial" w:hAnsi="Arial" w:cs="Arial"/>
          <w:sz w:val="24"/>
          <w:szCs w:val="24"/>
          <w:lang w:val="en-US"/>
        </w:rPr>
        <w:t xml:space="preserve"> associations of TSAT and transferrin</w:t>
      </w:r>
      <w:r w:rsidR="00D8283D" w:rsidRPr="0018334E">
        <w:rPr>
          <w:rFonts w:ascii="Arial" w:hAnsi="Arial" w:cs="Arial"/>
          <w:sz w:val="24"/>
          <w:szCs w:val="24"/>
          <w:lang w:val="en-US"/>
        </w:rPr>
        <w:t xml:space="preserve"> with </w:t>
      </w:r>
      <w:r w:rsidR="0019207F" w:rsidRPr="0018334E">
        <w:rPr>
          <w:rFonts w:ascii="Arial" w:hAnsi="Arial" w:cs="Arial"/>
          <w:sz w:val="24"/>
          <w:szCs w:val="24"/>
          <w:lang w:val="en-US"/>
        </w:rPr>
        <w:t>type 2 diabetes</w:t>
      </w:r>
      <w:r w:rsidR="00991A25" w:rsidRPr="0018334E">
        <w:rPr>
          <w:rFonts w:ascii="Arial" w:hAnsi="Arial" w:cs="Arial"/>
          <w:sz w:val="24"/>
          <w:szCs w:val="24"/>
          <w:lang w:val="en-US"/>
        </w:rPr>
        <w:t xml:space="preserve"> do not support the</w:t>
      </w:r>
      <w:r w:rsidRPr="0018334E">
        <w:rPr>
          <w:rFonts w:ascii="Arial" w:hAnsi="Arial" w:cs="Arial"/>
          <w:sz w:val="24"/>
          <w:szCs w:val="24"/>
          <w:lang w:val="en-US"/>
        </w:rPr>
        <w:t xml:space="preserve"> </w:t>
      </w:r>
      <w:r w:rsidR="00E22133" w:rsidRPr="0018334E">
        <w:rPr>
          <w:rFonts w:ascii="Arial" w:hAnsi="Arial" w:cs="Arial"/>
          <w:sz w:val="24"/>
          <w:szCs w:val="24"/>
          <w:lang w:val="en-US"/>
        </w:rPr>
        <w:t xml:space="preserve">clear </w:t>
      </w:r>
      <w:r w:rsidRPr="0018334E">
        <w:rPr>
          <w:rFonts w:ascii="Arial" w:hAnsi="Arial" w:cs="Arial"/>
          <w:sz w:val="24"/>
          <w:szCs w:val="24"/>
          <w:lang w:val="en-US"/>
        </w:rPr>
        <w:t xml:space="preserve">role of </w:t>
      </w:r>
      <w:r w:rsidR="00D72A8C" w:rsidRPr="0018334E">
        <w:rPr>
          <w:rFonts w:ascii="Arial" w:hAnsi="Arial" w:cs="Arial"/>
          <w:sz w:val="24"/>
          <w:szCs w:val="24"/>
          <w:lang w:val="en-US"/>
        </w:rPr>
        <w:t>iron</w:t>
      </w:r>
      <w:r w:rsidRPr="0018334E">
        <w:rPr>
          <w:rFonts w:ascii="Arial" w:hAnsi="Arial" w:cs="Arial"/>
          <w:sz w:val="24"/>
          <w:szCs w:val="24"/>
          <w:lang w:val="en-US"/>
        </w:rPr>
        <w:t xml:space="preserve"> in t</w:t>
      </w:r>
      <w:r w:rsidR="00991A25" w:rsidRPr="0018334E">
        <w:rPr>
          <w:rFonts w:ascii="Arial" w:hAnsi="Arial" w:cs="Arial"/>
          <w:sz w:val="24"/>
          <w:szCs w:val="24"/>
          <w:lang w:val="en-US"/>
        </w:rPr>
        <w:t xml:space="preserve">he pathogenesis of </w:t>
      </w:r>
      <w:r w:rsidR="0019207F" w:rsidRPr="0018334E">
        <w:rPr>
          <w:rFonts w:ascii="Arial" w:hAnsi="Arial" w:cs="Arial"/>
          <w:sz w:val="24"/>
          <w:szCs w:val="24"/>
          <w:lang w:val="en-US"/>
        </w:rPr>
        <w:t xml:space="preserve">type </w:t>
      </w:r>
      <w:proofErr w:type="gramStart"/>
      <w:r w:rsidR="0019207F" w:rsidRPr="0018334E">
        <w:rPr>
          <w:rFonts w:ascii="Arial" w:hAnsi="Arial" w:cs="Arial"/>
          <w:sz w:val="24"/>
          <w:szCs w:val="24"/>
          <w:lang w:val="en-US"/>
        </w:rPr>
        <w:t>2 diabetes</w:t>
      </w:r>
      <w:r w:rsidR="00991A25" w:rsidRPr="0018334E">
        <w:rPr>
          <w:rFonts w:ascii="Arial" w:hAnsi="Arial" w:cs="Arial"/>
          <w:sz w:val="24"/>
          <w:szCs w:val="24"/>
          <w:lang w:val="en-US"/>
        </w:rPr>
        <w:t xml:space="preserve"> that might have been suggested by the association of ferritin</w:t>
      </w:r>
      <w:proofErr w:type="gramEnd"/>
      <w:r w:rsidRPr="0018334E">
        <w:rPr>
          <w:rFonts w:ascii="Arial" w:hAnsi="Arial" w:cs="Arial"/>
          <w:sz w:val="24"/>
          <w:szCs w:val="24"/>
          <w:lang w:val="en-US"/>
        </w:rPr>
        <w:t xml:space="preserve">. </w:t>
      </w:r>
      <w:r w:rsidR="00B9540D" w:rsidRPr="0018334E">
        <w:rPr>
          <w:rFonts w:ascii="Arial" w:hAnsi="Arial" w:cs="Arial"/>
          <w:sz w:val="24"/>
          <w:szCs w:val="24"/>
          <w:lang w:val="en-US"/>
        </w:rPr>
        <w:t>Case series in the 20</w:t>
      </w:r>
      <w:r w:rsidR="00B9540D" w:rsidRPr="0018334E">
        <w:rPr>
          <w:rFonts w:ascii="Arial" w:hAnsi="Arial" w:cs="Arial"/>
          <w:sz w:val="24"/>
          <w:szCs w:val="24"/>
          <w:vertAlign w:val="superscript"/>
          <w:lang w:val="en-US"/>
        </w:rPr>
        <w:t>th</w:t>
      </w:r>
      <w:r w:rsidR="00B9540D" w:rsidRPr="0018334E">
        <w:rPr>
          <w:rFonts w:ascii="Arial" w:hAnsi="Arial" w:cs="Arial"/>
          <w:sz w:val="24"/>
          <w:szCs w:val="24"/>
          <w:lang w:val="en-US"/>
        </w:rPr>
        <w:t xml:space="preserve"> century reported a relatively high prevalence of </w:t>
      </w:r>
      <w:r w:rsidR="0019207F" w:rsidRPr="0018334E">
        <w:rPr>
          <w:rFonts w:ascii="Arial" w:hAnsi="Arial" w:cs="Arial"/>
          <w:sz w:val="24"/>
          <w:szCs w:val="24"/>
          <w:lang w:val="en-US"/>
        </w:rPr>
        <w:t>diabetes</w:t>
      </w:r>
      <w:r w:rsidR="00B9540D" w:rsidRPr="0018334E">
        <w:rPr>
          <w:rFonts w:ascii="Arial" w:hAnsi="Arial" w:cs="Arial"/>
          <w:sz w:val="24"/>
          <w:szCs w:val="24"/>
          <w:lang w:val="en-US"/>
        </w:rPr>
        <w:t xml:space="preserve"> among patients with HHC</w:t>
      </w:r>
      <w:r w:rsidR="00477E6B" w:rsidRPr="0018334E">
        <w:rPr>
          <w:rFonts w:ascii="Arial" w:hAnsi="Arial" w:cs="Arial"/>
          <w:sz w:val="24"/>
          <w:szCs w:val="24"/>
          <w:lang w:val="en-US"/>
        </w:rPr>
        <w:t>, which formed an important</w:t>
      </w:r>
      <w:r w:rsidR="00F6267A" w:rsidRPr="0018334E">
        <w:rPr>
          <w:rFonts w:ascii="Arial" w:hAnsi="Arial" w:cs="Arial"/>
          <w:sz w:val="24"/>
          <w:szCs w:val="24"/>
          <w:lang w:val="en-US"/>
        </w:rPr>
        <w:t xml:space="preserve"> basis for the </w:t>
      </w:r>
      <w:r w:rsidR="00A62EC7" w:rsidRPr="0018334E">
        <w:rPr>
          <w:rFonts w:ascii="Arial" w:hAnsi="Arial" w:cs="Arial"/>
          <w:sz w:val="24"/>
          <w:szCs w:val="24"/>
          <w:lang w:val="en-US"/>
        </w:rPr>
        <w:t>hypothesized</w:t>
      </w:r>
      <w:r w:rsidR="00F6267A" w:rsidRPr="0018334E">
        <w:rPr>
          <w:rFonts w:ascii="Arial" w:hAnsi="Arial" w:cs="Arial"/>
          <w:sz w:val="24"/>
          <w:szCs w:val="24"/>
          <w:lang w:val="en-US"/>
        </w:rPr>
        <w:t xml:space="preserve"> role of iron in the </w:t>
      </w:r>
      <w:r w:rsidR="00A62EC7" w:rsidRPr="0018334E">
        <w:rPr>
          <w:rFonts w:ascii="Arial" w:hAnsi="Arial" w:cs="Arial"/>
          <w:sz w:val="24"/>
          <w:szCs w:val="24"/>
          <w:lang w:val="en-US"/>
        </w:rPr>
        <w:t>pathogenesis</w:t>
      </w:r>
      <w:r w:rsidR="00F6267A" w:rsidRPr="0018334E">
        <w:rPr>
          <w:rFonts w:ascii="Arial" w:hAnsi="Arial" w:cs="Arial"/>
          <w:sz w:val="24"/>
          <w:szCs w:val="24"/>
          <w:lang w:val="en-US"/>
        </w:rPr>
        <w:t xml:space="preserve"> of </w:t>
      </w:r>
      <w:r w:rsidR="0019207F" w:rsidRPr="0018334E">
        <w:rPr>
          <w:rFonts w:ascii="Arial" w:hAnsi="Arial" w:cs="Arial"/>
          <w:sz w:val="24"/>
          <w:szCs w:val="24"/>
          <w:lang w:val="en-US"/>
        </w:rPr>
        <w:t>type 2 diabetes</w:t>
      </w:r>
      <w:r w:rsidR="00B9540D" w:rsidRPr="0018334E">
        <w:rPr>
          <w:rFonts w:ascii="Arial" w:hAnsi="Arial" w:cs="Arial"/>
          <w:sz w:val="24"/>
          <w:szCs w:val="24"/>
          <w:lang w:val="en-US"/>
        </w:rPr>
        <w:t xml:space="preserve">. </w:t>
      </w:r>
      <w:r w:rsidR="00A333B0" w:rsidRPr="0018334E">
        <w:rPr>
          <w:rFonts w:ascii="Arial" w:hAnsi="Arial" w:cs="Arial"/>
          <w:sz w:val="24"/>
          <w:szCs w:val="24"/>
          <w:lang w:val="en-US"/>
        </w:rPr>
        <w:t>However, t</w:t>
      </w:r>
      <w:r w:rsidRPr="0018334E">
        <w:rPr>
          <w:rFonts w:ascii="Arial" w:hAnsi="Arial" w:cs="Arial"/>
          <w:sz w:val="24"/>
          <w:szCs w:val="24"/>
          <w:lang w:val="en-US"/>
        </w:rPr>
        <w:t xml:space="preserve">he Hemochromatosis and Iron Overload Screening Study found </w:t>
      </w:r>
      <w:r w:rsidR="00D72A8C" w:rsidRPr="0018334E">
        <w:rPr>
          <w:rFonts w:ascii="Arial" w:hAnsi="Arial" w:cs="Arial"/>
          <w:sz w:val="24"/>
          <w:szCs w:val="24"/>
          <w:lang w:val="en-US"/>
        </w:rPr>
        <w:t xml:space="preserve">the </w:t>
      </w:r>
      <w:r w:rsidRPr="0018334E">
        <w:rPr>
          <w:rFonts w:ascii="Arial" w:hAnsi="Arial" w:cs="Arial"/>
          <w:sz w:val="24"/>
          <w:szCs w:val="24"/>
          <w:lang w:val="en-US"/>
        </w:rPr>
        <w:t xml:space="preserve">sex- and age-adjusted prevalence of self-reported diabetes similar in C282Y homozygotes and in participants without </w:t>
      </w:r>
      <w:r w:rsidRPr="0018334E">
        <w:rPr>
          <w:rFonts w:ascii="Arial" w:hAnsi="Arial" w:cs="Arial"/>
          <w:i/>
          <w:sz w:val="24"/>
          <w:szCs w:val="24"/>
          <w:lang w:val="en-US"/>
        </w:rPr>
        <w:t>HFE</w:t>
      </w:r>
      <w:r w:rsidR="00D8283D" w:rsidRPr="0018334E">
        <w:rPr>
          <w:rFonts w:ascii="Arial" w:hAnsi="Arial" w:cs="Arial"/>
          <w:sz w:val="24"/>
          <w:szCs w:val="24"/>
          <w:lang w:val="en-US"/>
        </w:rPr>
        <w:t xml:space="preserve"> C282Y and H</w:t>
      </w:r>
      <w:r w:rsidR="00DA4718" w:rsidRPr="0018334E">
        <w:rPr>
          <w:rFonts w:ascii="Arial" w:hAnsi="Arial" w:cs="Arial"/>
          <w:sz w:val="24"/>
          <w:szCs w:val="24"/>
          <w:lang w:val="en-US"/>
        </w:rPr>
        <w:t>63</w:t>
      </w:r>
      <w:r w:rsidRPr="0018334E">
        <w:rPr>
          <w:rFonts w:ascii="Arial" w:hAnsi="Arial" w:cs="Arial"/>
          <w:sz w:val="24"/>
          <w:szCs w:val="24"/>
          <w:lang w:val="en-US"/>
        </w:rPr>
        <w:t xml:space="preserve">D mutations </w:t>
      </w:r>
      <w:r w:rsidRPr="0018334E">
        <w:rPr>
          <w:rFonts w:ascii="Arial" w:hAnsi="Arial" w:cs="Arial"/>
          <w:sz w:val="24"/>
          <w:szCs w:val="24"/>
          <w:lang w:val="en-US"/>
        </w:rPr>
        <w:fldChar w:fldCharType="begin" w:fldLock="1"/>
      </w:r>
      <w:r w:rsidR="002F34F2">
        <w:rPr>
          <w:rFonts w:ascii="Arial" w:hAnsi="Arial" w:cs="Arial"/>
          <w:sz w:val="24"/>
          <w:szCs w:val="24"/>
          <w:lang w:val="en-US"/>
        </w:rPr>
        <w:instrText>ADDIN CSL_CITATION { "citationItems" : [ { "id" : "ITEM-1", "itemData" : { "ISSN" : "1916-7237", "PMID" : "23862168", "abstract" : "BACKGROUND: Many patients referred for an elevated serum ferritin level &lt;1000 \u00b5g\u2044L are advised that they likely have iron overload and hemochromatosis. AIMS: To determine the prevalence of HFE mutations in the hemochromatosis gene for 11 serum ferritin concentration intervals from 200 \u00b5g\u2044L to 1000 \u00b5g\u2044L in Caucasian participants in a primary care, population-based study. METHODS: The Hemochromatosis and Iron Overload Screening study screened 99,711 participants for serum ferritin levels, transferrin saturation and genetic testing for the C282Y and H63D mutations of the HFE gene. This analysis was confined to 17,160 male and 27,465 female Caucasian participants because the HFE C282Y mutation is rare in other races. Post-test likelihood was calculated for prediction of C282Y homozygosity from a ferritin interval. A subgroup analysis was performed in participants with both an elevated serum ferritin level and transferrin saturation. RESULTS: There were 3359 male and 2416 female participants with an elevated serum ferritin level (200 \u00b5g\u2044L to 1000 \u00b5g\u2044L for women, 300 \u00b5g\u2044L to 1000 \u00b5g\u2044L for men). There were 69 male (2.1%) and 87 female (3.6%) C282Y homozygotes, and the probability of being a homozygote increased as the ferritin level increased. Post-test likelihood values were 0.3% to 16% in men and 0.3% to 30.4% in women. CONCLUSIONS: Iron loading HFE mutations are unlikely to be the most common cause of an elevated serum ferritin level in patients with mild hyperferritinemia. Patients should be advised that there are many causes of an elevated serum ferritin level including iron overload.", "author" : [ { "dropping-particle" : "", "family" : "Adams", "given" : "Paul C", "non-dropping-particle" : "", "parse-names" : false, "suffix" : "" }, { "dropping-particle" : "", "family" : "McLaren", "given" : "Christine E", "non-dropping-particle" : "", "parse-names" : false, "suffix" : "" }, { "dropping-particle" : "", "family" : "Speechley", "given" : "Mark", "non-dropping-particle" : "", "parse-names" : false, "suffix" : "" }, { "dropping-particle" : "", "family" : "McLaren", "given" : "Gordon D", "non-dropping-particle" : "", "parse-names" : false, "suffix" : "" }, { "dropping-particle" : "", "family" : "Barton", "given" : "James C", "non-dropping-particle" : "", "parse-names" : false, "suffix" : "" }, { "dropping-particle" : "", "family" : "Eckfeldt", "given" : "John H", "non-dropping-particle" : "", "parse-names" : false, "suffix" : "" } ], "container-title" : "Canadian Journal of Gastroenterology", "id" : "ITEM-1", "issue" : "7", "issued" : { "date-parts" : [ [ "2013", "7" ] ] }, "note" : "\n        From Duplicate 2 ( \n        \n        \n          HFE mutations in Caucasian participants of the Hemochromatosis and Iron Overload Screening study with serum ferritin level  - Adams, Paul C; McLaren, Christine E; Speechley, Mark; McLaren, Gordon D; Barton, James C; Eckfeldt, John H )\n\n          \n        \n        \n        \npaper not availabel yet (1 year embargo on perunil) - track down. \n\n        \nMild to moderate iron overload not explained by HFE - other genes involved\n\n        \n\n      ", "page" : "390-2", "title" : "HFE mutations in Caucasian participants of the Hemochromatosis and Iron Overload Screening study with serum ferritin level &lt;1000 \u00b5g/L.", "type" : "article-journal", "volume" : "27" }, "uris" : [ "http://www.mendeley.com/documents/?uuid=a487ad5e-cbde-425c-b431-696add093e49" ] }, { "id" : "ITEM-2", "itemData" : { "DOI" : "10.1056/NEJMoa041534", "ISSN" : "1533-4406", "PMID" : "15858186", "abstract" : "BACKGROUND: Iron overload and hemochromatosis are common, treatable conditions. HFE genotypes, levels of serum ferritin, transferrin saturation values, and self-reported medical history were studied in a multiethnic primary care population. METHODS: Participants were recruited from primary care practices and blood-drawing laboratories. Blood samples were tested for transferrin saturation, serum ferritin, and C282Y and H63D mutations of the HFE gene. Before genetic screening, participants were asked whether they had a history of medical conditions related to iron overload. RESULTS: Of the 99,711 participants, 299 were homozygous for the C282Y mutation. The estimated prevalence of C282Y homozygotes was higher in non-Hispanic whites (0.44 percent) than in Native Americans (0.11 percent), Hispanics (0.027 percent), blacks (0.014 percent), Pacific Islanders (0.012 percent), or Asians (0.000039 percent). Among participants who were homozygous for the C282Y mutation but in whom iron overload had not been diagnosed (227 participants), serum ferritin levels were greater than 300 mug per liter in 78 of 89 men (88 percent) and greater than 200 microg per liter in 79 of 138 women (57 percent). Pacific Islanders and Asians had the highest geometric mean levels of serum ferritin and mean transferrin saturation despite having the lowest prevalence of C282Y homozygotes. There were 364 participants in whom iron overload had not been diagnosed (29 C282Y homozygotes) who had a serum ferritin level greater than 1000 microg per liter. Among men, C282Y homozygotes and compound heterozygotes were more likely to report a history of liver disease than were participants without HFE mutations. CONCLUSIONS: The C282Y mutation is most common in whites, and most C282Y homozygotes have elevations in serum ferritin levels and transferrin saturation. The C282Y mutation does not account for high mean serum ferritin levels and transferrin saturation values in nonwhites.", "author" : [ { "dropping-particle" : "", "family" : "Adams", "given" : "Paul C", "non-dropping-particle" : "", "parse-names" : false, "suffix" : "" }, { "dropping-particle" : "", "family" : "Reboussin", "given" : "David M", "non-dropping-particle" : "", "parse-names" : false, "suffix" : "" }, { "dropping-particle" : "", "family" : "Barton", "given" : "James C", "non-dropping-particle" : "", "parse-names" : false, "suffix" : "" }, { "dropping-particle" : "", "family" : "McLaren", "given" : "Christine E", "non-dropping-particle" : "", "parse-names" : false, "suffix" : "" }, { "dropping-particle" : "", "family" : "Eckfeldt", "given" : "John H", "non-dropping-particle" : "", "parse-names" : false, "suffix" : "" }, { "dropping-particle" : "", "family" : "McLaren", "given" : "Gordon D", "non-dropping-particle" : "", "parse-names" : false, "suffix" : "" }, { "dropping-particle" : "", "family" : "Dawkins", "given" : "Fitzroy W", "non-dropping-particle" : "", "parse-names" : false, "suffix" : "" }, { "dropping-particle" : "", "family" : "Acton", "given" : "Ronald T", "non-dropping-particle" : "", "parse-names" : false, "suffix" : "" }, { "dropping-particle" : "", "family" : "Harris", "given" : "Emily L", "non-dropping-particle" : "", "parse-names" : false, "suffix" : "" }, { "dropping-particle" : "", "family" : "Gordeuk", "given" : "Victor R", "non-dropping-particle" : "", "parse-names" : false, "suffix" : "" }, { "dropping-particle" : "", "family" : "Leiendecker-Foster", "given" : "Catherine", "non-dropping-particle" : "", "parse-names" : false, "suffix" : "" }, { "dropping-particle" : "", "family" : "Speechley", "given" : "Mark", "non-dropping-particle" : "", "parse-names" : false, "suffix" : "" }, { "dropping-particle" : "", "family" : "Snively", "given" : "Beverly M", "non-dropping-particle" : "", "parse-names" : false, "suffix" : "" }, { "dropping-particle" : "", "family" : "Holup", "given" : "Joan L", "non-dropping-particle" : "", "parse-names" : false, "suffix" : "" }, { "dropping-particle" : "", "family" : "Thomson", "given" : "Elizabeth", "non-dropping-particle" : "", "parse-names" : false, "suffix" : "" }, { "dropping-particle" : "", "family" : "Sholinsky", "given" : "Phyliss", "non-dropping-particle" : "", "parse-names" : false, "suffix" : "" } ], "container-title" : "The New England Journal of Medicine", "id" : "ITEM-2", "issue" : "17", "issued" : { "date-parts" : [ [ "2005", "4", "28" ] ] }, "note" : "No over representation of diabetes among HFE iin HEIRS\n\n        \n\n        \n\n      ", "page" : "1769-78", "title" : "Hemochromatosis and iron-overload screening in a racially diverse population.", "type" : "article-journal", "volume" : "352" }, "uris" : [ "http://www.mendeley.com/documents/?uuid=a5c85f4d-c16a-4aae-8a73-d598772703bd" ] }, { "id" : "ITEM-3", "itemData" : { "DOI" : "10.1056/NEJMoa073286", "ISSN" : "1533-4406", "PMID" : "18199861", "abstract" : "BACKGROUND: Most persons who are homozygous for C282Y, the HFE allele most commonly asssociated with hereditary hemochromatosis, have elevated levels of serum ferritin and transferrin saturation. Diseases related to iron overload develop in some C282Y homozygotes, but the extent of the risk is controversial. METHODS: We assessed HFE mutations in 31,192 persons of northern European descent between the ages of 40 and 69 years who participated in the Melbourne Collaborative Cohort Study and were followed for an average of 12 years. In a random sample of 1438 subjects stratified according to HFE genotype, including all 203 C282Y homozygotes (of whom 108 were women and 95 were men), we obtained clinical and biochemical data, including two sets of iron measurements performed 12 years apart. Disease related to iron overload was defined as documented iron overload and one or more of the following conditions: cirrhosis, liver fibrosis, hepatocellular carcinoma, elevated aminotransferase levels, physician-diagnosed symptomatic hemochromatosis, and arthropathy of the second and third metacarpophalangeal joints. RESULTS: The proportion of C282Y homozygotes with documented iron-overload-related disease was 28.4% (95% confidence interval [CI], 18.8 to 40.2) for men and 1.2% (95% CI, 0.03 to 6.5) for women. Only one non-C282Y homozygote (a compound heterozygote) had documented iron-overload-related disease. Male C282Y homozygotes with a serum ferritin level of 1000 mug per liter or more were more likely to report fatigue, use of arthritis medicine, and a history of liver disease than were men who had the wild-type gene. CONCLUSIONS: In persons who are homozygous for the C282Y mutation, iron-overload-related disease developed in a substantial proportion of men but in a small proportion of women.", "author" : [ { "dropping-particle" : "", "family" : "Allen", "given" : "Katrina J", "non-dropping-particle" : "", "parse-names" : false, "suffix" : "" }, { "dropping-particle" : "", "family" : "Gurrin", "given" : "Lyle C", "non-dropping-particle" : "", "parse-names" : false, "suffix" : "" }, { "dropping-particle" : "", "family" : "Constantine", "given" : "Clare C", "non-dropping-particle" : "", "parse-names" : false, "suffix" : "" }, { "dropping-particle" : "", "family" : "Osborne", "given" : "Nicholas J", "non-dropping-particle" : "", "parse-names" : false, "suffix" : "" }, { "dropping-particle" : "", "family" : "Delatycki", "given" : "Martin B", "non-dropping-particle" : "", "parse-names" : false, "suffix" : "" }, { "dropping-particle" : "", "family" : "Nicoll", "given" : "Amanda J", "non-dropping-particle" : "", "parse-names" : false, "suffix" : "" }, { "dropping-particle" : "", "family" : "McLaren", "given" : "Christine E", "non-dropping-particle" : "", "parse-names" : false, "suffix" : "" }, { "dropping-particle" : "", "family" : "Bahlo", "given" : "Melanie", "non-dropping-particle" : "", "parse-names" : false, "suffix" : "" }, { "dropping-particle" : "", "family" : "Nisselle", "given" : "Amy E", "non-dropping-particle" : "", "parse-names" : false, "suffix" : "" }, { "dropping-particle" : "", "family" : "Vulpe", "given" : "Chris D", "non-dropping-particle" : "", "parse-names" : false, "suffix" : "" }, { "dropping-particle" : "", "family" : "Anderson", "given" : "Gregory J", "non-dropping-particle" : "", "parse-names" : false, "suffix" : "" }, { "dropping-particle" : "", "family" : "Southey", "given" : "Melissa C", "non-dropping-particle" : "", "parse-names" : false, "suffix" : "" }, { "dropping-particle" : "", "family" : "Giles", "given" : "Graham G", "non-dropping-particle" : "", "parse-names" : false, "suffix" : "" }, { "dropping-particle" : "", "family" : "English", "given" : "Dallas R", "non-dropping-particle" : "", "parse-names" : false, "suffix" : "" }, { "dropping-particle" : "", "family" : "Hopper", "given" : "John L", "non-dropping-particle" : "", "parse-names" : false, "suffix" : "" }, { "dropping-particle" : "", "family" : "Olynyk", "given" : "John K", "non-dropping-particle" : "", "parse-names" : false, "suffix" : "" }, { "dropping-particle" : "", "family" : "Powell", "given" : "Lawrie W", "non-dropping-particle" : "", "parse-names" : false, "suffix" : "" }, { "dropping-particle" : "", "family" : "Gertig", "given" : "Dorota M", "non-dropping-particle" : "", "parse-names" : false, "suffix" : "" } ], "container-title" : "The New England Journal of Medicine", "id" : "ITEM-3", "issue" : "3", "issued" : { "date-parts" : [ [ "2008", "1", "17" ] ] }, "note" : "Penetrance of C282Y\n\nTable 2. Patients with HFE hemochromatosis do not have a higher prevalence of diabetes than wild types.", "page" : "221-30", "title" : "Iron-overload-related disease in HFE hereditary hemochromatosis.", "type" : "article-journal", "volume" : "358" }, "uris" : [ "http://www.mendeley.com/documents/?uuid=c307908a-29dc-4383-beb4-64d2017641fc" ] }, { "id" : "ITEM-4", "itemData" : { "DOI" : "10.1016/S0140-6736(02)07447-0", "ISSN" : "0140-6736", "PMID" : "11812557", "abstract" : "BACKGROUND: There has been much interest in screening populations for disease-associated mutations. A favoured candidate has been the HFE gene, mutations of which are the most common cause of haemochromatosis in the European population. About five people in 1000 are homozygotes for the 845G--&gt;A mutation, but little is known of how many have mutation-caused clinical manifestations.\n\nMETHODS: We screened 41038 individuals attending a health appraisal clinic in the USA for the 845G--&gt; A and 187C--&gt;G HFE mutations, and analysed laboratory data and data on signs and symptoms of haemochromatosis as elicited by questionnaire.\n\nFINDINGS: The most common symptoms of haemochromatosis, including poor general health, diabetes, arthropathies, arrhythmias, impotence, and skin pigmentation were no more prevalent among the 152 identified homozygotes than among the controls. The age distribution of homozygotes and compound heterozygotes did not differ significantly from that of controls: there was no measurable loss of such individuals from the population during ageing. However, there was a significantly increased prevalence of a history of hepatitis or \"liver trouble\" among homozygotes and in the proportion of homozygotes with increased concentrations of serum aspartate aminotransferase and collagen IV; these changes were not related to iron burden or to age. Only one of the 152 homozygotes had signs and symptoms that would suggest a diagnosis of haemochromatosis.\n\nINTERPRETATION: The normal age distribution of people with the haemochromatosis genotype, and the lack of symptoms in patients of all ages, indicate that the penetrance of hereditary haemochromatosis is much lower than generally thought. The clinical penetrance of a disorder is an essential consideration in screening for genetic disease; disorders with low penetrance are more expensive candidates for screening than disorders with high penetrance. Our best estimate is that less than 1% of homozygotes develop frank clinical haemochromatosis.", "author" : [ { "dropping-particle" : "", "family" : "Beutler", "given" : "Ernest", "non-dropping-particle" : "", "parse-names" : false, "suffix" : "" }, { "dropping-particle" : "", "family" : "Felitti", "given" : "Vincent J", "non-dropping-particle" : "", "parse-names" : false, "suffix" : "" }, { "dropping-particle" : "", "family" : "Koziol", "given" : "James a", "non-dropping-particle" : "", "parse-names" : false, "suffix" : "" }, { "dropping-particle" : "", "family" : "Ho", "given" : "Ngoc J", "non-dropping-particle" : "", "parse-names" : false, "suffix" : "" }, { "dropping-particle" : "", "family" : "Gelbart", "given" : "Terri", "non-dropping-particle" : "", "parse-names" : false, "suffix" : "" } ], "container-title" : "Lancet", "id" : "ITEM-4", "issue" : "9302", "issued" : { "date-parts" : [ [ "2002", "1", "19" ] ] }, "note" : "Biochemical penetrance of C282Y (less than 1%)\n\nPatients with HFE hemochromatosis do not have a higher prevalence of diabetes than wild types.", "page" : "211-8", "title" : "Penetrance of 845G--&gt; A (C282Y) HFE hereditary haemochromatosis mutation in the USA.", "type" : "article-journal", "volume" : "359" }, "uris" : [ "http://www.mendeley.com/documents/?uuid=76795226-72a4-4ee8-8e31-3321b4a94297" ] } ], "mendeley" : { "formattedCitation" : "(43\u201346)", "plainTextFormattedCitation" : "(43\u201346)", "previouslyFormattedCitation" : "(40\u201343)" }, "properties" : { "noteIndex" : 0 }, "schema" : "https://github.com/citation-style-language/schema/raw/master/csl-citation.json" }</w:instrText>
      </w:r>
      <w:r w:rsidRPr="0018334E">
        <w:rPr>
          <w:rFonts w:ascii="Arial" w:hAnsi="Arial" w:cs="Arial"/>
          <w:sz w:val="24"/>
          <w:szCs w:val="24"/>
          <w:lang w:val="en-US"/>
        </w:rPr>
        <w:fldChar w:fldCharType="separate"/>
      </w:r>
      <w:r w:rsidR="002F34F2" w:rsidRPr="002F34F2">
        <w:rPr>
          <w:rFonts w:ascii="Arial" w:hAnsi="Arial" w:cs="Arial"/>
          <w:noProof/>
          <w:sz w:val="24"/>
          <w:szCs w:val="24"/>
          <w:lang w:val="en-US"/>
        </w:rPr>
        <w:t>(43–46)</w:t>
      </w:r>
      <w:r w:rsidRPr="0018334E">
        <w:rPr>
          <w:rFonts w:ascii="Arial" w:hAnsi="Arial" w:cs="Arial"/>
          <w:sz w:val="24"/>
          <w:szCs w:val="24"/>
          <w:lang w:val="en-US"/>
        </w:rPr>
        <w:fldChar w:fldCharType="end"/>
      </w:r>
      <w:r w:rsidRPr="0018334E">
        <w:rPr>
          <w:rFonts w:ascii="Arial" w:hAnsi="Arial" w:cs="Arial"/>
          <w:sz w:val="24"/>
          <w:szCs w:val="24"/>
          <w:lang w:val="en-US"/>
        </w:rPr>
        <w:t xml:space="preserve">. </w:t>
      </w:r>
      <w:r w:rsidR="00483A04">
        <w:rPr>
          <w:rFonts w:ascii="Arial" w:hAnsi="Arial" w:cs="Arial"/>
          <w:sz w:val="24"/>
          <w:szCs w:val="24"/>
          <w:lang w:val="en-US"/>
        </w:rPr>
        <w:t>Also</w:t>
      </w:r>
      <w:r w:rsidRPr="0018334E">
        <w:rPr>
          <w:rFonts w:ascii="Arial" w:hAnsi="Arial" w:cs="Arial"/>
          <w:sz w:val="24"/>
          <w:szCs w:val="24"/>
          <w:lang w:val="en-US"/>
        </w:rPr>
        <w:t xml:space="preserve">, genetic studies to date show that C282Y is not associated with </w:t>
      </w:r>
      <w:r w:rsidR="0019207F" w:rsidRPr="0018334E">
        <w:rPr>
          <w:rFonts w:ascii="Arial" w:hAnsi="Arial" w:cs="Arial"/>
          <w:sz w:val="24"/>
          <w:szCs w:val="24"/>
          <w:lang w:val="en-US"/>
        </w:rPr>
        <w:t>type 2 diabetes</w:t>
      </w:r>
      <w:r w:rsidR="00DA4718" w:rsidRPr="0018334E">
        <w:rPr>
          <w:rFonts w:ascii="Arial" w:hAnsi="Arial" w:cs="Arial"/>
          <w:sz w:val="24"/>
          <w:szCs w:val="24"/>
          <w:lang w:val="en-US"/>
        </w:rPr>
        <w:t>, while</w:t>
      </w:r>
      <w:r w:rsidR="00A333B0" w:rsidRPr="0018334E">
        <w:rPr>
          <w:rFonts w:ascii="Arial" w:hAnsi="Arial" w:cs="Arial"/>
          <w:sz w:val="24"/>
          <w:szCs w:val="24"/>
          <w:lang w:val="en-US"/>
        </w:rPr>
        <w:t xml:space="preserve"> H63</w:t>
      </w:r>
      <w:r w:rsidR="00D8283D" w:rsidRPr="0018334E">
        <w:rPr>
          <w:rFonts w:ascii="Arial" w:hAnsi="Arial" w:cs="Arial"/>
          <w:sz w:val="24"/>
          <w:szCs w:val="24"/>
          <w:lang w:val="en-US"/>
        </w:rPr>
        <w:t>D</w:t>
      </w:r>
      <w:r w:rsidRPr="0018334E">
        <w:rPr>
          <w:rFonts w:ascii="Arial" w:hAnsi="Arial" w:cs="Arial"/>
          <w:sz w:val="24"/>
          <w:szCs w:val="24"/>
          <w:lang w:val="en-US"/>
        </w:rPr>
        <w:t xml:space="preserve"> </w:t>
      </w:r>
      <w:r w:rsidR="00DA5DED">
        <w:rPr>
          <w:rFonts w:ascii="Arial" w:hAnsi="Arial" w:cs="Arial"/>
          <w:sz w:val="24"/>
          <w:szCs w:val="24"/>
          <w:lang w:val="en-US"/>
        </w:rPr>
        <w:t>is modestly</w:t>
      </w:r>
      <w:r w:rsidR="009038B4" w:rsidRPr="0018334E">
        <w:rPr>
          <w:rFonts w:ascii="Arial" w:hAnsi="Arial" w:cs="Arial"/>
          <w:sz w:val="24"/>
          <w:szCs w:val="24"/>
          <w:lang w:val="en-US"/>
        </w:rPr>
        <w:t xml:space="preserve"> associat</w:t>
      </w:r>
      <w:r w:rsidR="00DA5DED">
        <w:rPr>
          <w:rFonts w:ascii="Arial" w:hAnsi="Arial" w:cs="Arial"/>
          <w:sz w:val="24"/>
          <w:szCs w:val="24"/>
          <w:lang w:val="en-US"/>
        </w:rPr>
        <w:t>ed</w:t>
      </w:r>
      <w:r w:rsidR="00A333B0" w:rsidRPr="0018334E">
        <w:rPr>
          <w:rFonts w:ascii="Arial" w:hAnsi="Arial" w:cs="Arial"/>
          <w:sz w:val="24"/>
          <w:szCs w:val="24"/>
          <w:lang w:val="en-US"/>
        </w:rPr>
        <w:t xml:space="preserve"> </w:t>
      </w:r>
      <w:r w:rsidRPr="0018334E">
        <w:rPr>
          <w:rFonts w:ascii="Arial" w:hAnsi="Arial" w:cs="Arial"/>
          <w:sz w:val="24"/>
          <w:szCs w:val="24"/>
          <w:lang w:val="en-US"/>
        </w:rPr>
        <w:fldChar w:fldCharType="begin" w:fldLock="1"/>
      </w:r>
      <w:r w:rsidR="002F34F2">
        <w:rPr>
          <w:rFonts w:ascii="Arial" w:hAnsi="Arial" w:cs="Arial"/>
          <w:sz w:val="24"/>
          <w:szCs w:val="24"/>
          <w:lang w:val="en-US"/>
        </w:rPr>
        <w:instrText>ADDIN CSL_CITATION { "citationItems" : [ { "id" : "ITEM-1", "itemData" : { "DOI" : "10.1093/aje/kws126", "ISSN" : "1476-6256", "PMID" : "22908207", "abstract" : "The hemochromatosis gene (HFE) has been involved in the etiology of type 2 diabetes mellitus and investigated in numerous epidemiologic studies. The current meta-analysis was conducted to evaluate the gene-disease association in relevant studies. Electronic literature search was performed on June 18, 2011, from databases of PubMed/MEDLINE, EMBASE, and HuGE Navigator. Articles were inspected by 2 authors independently, and data were extracted by identical extraction form. A total of 5,528 type 2 diabetes cases and 6,920 controls in relation to HFE polymorphisms (a cysteine to tyrosine substitution at amino acid position 282 (C282Y) and a histidine to aspartate substitution at amino acid position 63 (H63D)) were included in the meta-analysis (1997-2011). A fixed- or random-effect model was used to calculate the pooled odds ratios based on the results from the heterogeneity tests. An increased odds ratio for type 2 diabetes mellitus was observed in persons carrying a D allele at the H63D polymorphism compared with those with an H allele (odds ratio (OR) = 1.21, 95% confidence interval (CI): 1.03, 1.41; P = 0.02). Moreover, carriers of a D allele had a modestly increased risk compared with persons with the wild genotype (OR = 1.12, 95% CI: 1.00, 1.25; P = 0.04). The C282Y variant was not significantly associated with diabetes risk. In summary, persons with a D allele may have a moderately increased risk of type 2 diabetes mellitus.", "author" : [ { "dropping-particle" : "", "family" : "Rong", "given" : "Ying", "non-dropping-particle" : "", "parse-names" : false, "suffix" : "" }, { "dropping-particle" : "", "family" : "Bao", "given" : "Wei", "non-dropping-particle" : "", "parse-names" : false, "suffix" : "" }, { "dropping-particle" : "", "family" : "Rong", "given" : "Shuang", "non-dropping-particle" : "", "parse-names" : false, "suffix" : "" }, { "dropping-particle" : "", "family" : "Fang", "given" : "Min", "non-dropping-particle" : "", "parse-names" : false, "suffix" : "" }, { "dropping-particle" : "", "family" : "Wang", "given" : "Di", "non-dropping-particle" : "", "parse-names" : false, "suffix" : "" }, { "dropping-particle" : "", "family" : "Yao", "given" : "Ping", "non-dropping-particle" : "", "parse-names" : false, "suffix" : "" }, { "dropping-particle" : "", "family" : "Hu", "given" : "Frank B", "non-dropping-particle" : "", "parse-names" : false, "suffix" : "" }, { "dropping-particle" : "", "family" : "Liu", "given" : "Liegang", "non-dropping-particle" : "", "parse-names" : false, "suffix" : "" } ], "container-title" : "American Journal of Epidemiology", "id" : "ITEM-1", "issue" : "6", "issued" : { "date-parts" : [ [ "2012", "9", "15" ] ] }, "page" : "461-72", "title" : "Hemochromatosis gene (HFE) polymorphisms and risk of type 2 diabetes mellitus: a meta-analysis.", "type" : "article-journal", "volume" : "176" }, "uris" : [ "http://www.mendeley.com/documents/?uuid=8794b04f-156a-4610-9d18-af08f70df76b" ] }, { "id" : "ITEM-2", "itemData" : { "DOI" : "10.1093/aje/kws480", "ISSN" : "1476-6256", "PMID" : "23348007", "author" : [ { "dropping-particle" : "", "family" : "Zhang", "given" : "Dongfeng", "non-dropping-particle" : "", "parse-names" : false, "suffix" : "" }, { "dropping-particle" : "", "family" : "Jiang", "given" : "Xiubo", "non-dropping-particle" : "", "parse-names" : false, "suffix" : "" }, { "dropping-particle" : "", "family" : "Wu", "given" : "Yili", "non-dropping-particle" : "", "parse-names" : false, "suffix" : "" }, { "dropping-particle" : "", "family" : "Jiang", "given" : "Wenjie", "non-dropping-particle" : "", "parse-names" : false, "suffix" : "" }, { "dropping-particle" : "", "family" : "Pang", "given" : "Zengchang", "non-dropping-particle" : "", "parse-names" : false, "suffix" : "" } ], "container-title" : "American Journal of Epidemiology", "id" : "ITEM-2", "issue" : "4", "issued" : { "date-parts" : [ [ "2013", "2", "15" ] ] }, "page" : "372-3", "title" : "Re: \"hemochromatosis gene (HFE) polymorphisms and risk of type 2 diabetes mellitus: a meta-analysis\".", "type" : "article-journal", "volume" : "177" }, "uris" : [ "http://www.mendeley.com/documents/?uuid=3901213b-31b7-41dc-a018-9dbd860c3750" ] } ], "mendeley" : { "formattedCitation" : "(47,48)", "plainTextFormattedCitation" : "(47,48)", "previouslyFormattedCitation" : "(44,45)" }, "properties" : { "noteIndex" : 0 }, "schema" : "https://github.com/citation-style-language/schema/raw/master/csl-citation.json" }</w:instrText>
      </w:r>
      <w:r w:rsidRPr="0018334E">
        <w:rPr>
          <w:rFonts w:ascii="Arial" w:hAnsi="Arial" w:cs="Arial"/>
          <w:sz w:val="24"/>
          <w:szCs w:val="24"/>
          <w:lang w:val="en-US"/>
        </w:rPr>
        <w:fldChar w:fldCharType="separate"/>
      </w:r>
      <w:r w:rsidR="002F34F2" w:rsidRPr="002F34F2">
        <w:rPr>
          <w:rFonts w:ascii="Arial" w:hAnsi="Arial" w:cs="Arial"/>
          <w:noProof/>
          <w:sz w:val="24"/>
          <w:szCs w:val="24"/>
          <w:lang w:val="en-US"/>
        </w:rPr>
        <w:t>(47,48)</w:t>
      </w:r>
      <w:r w:rsidRPr="0018334E">
        <w:rPr>
          <w:rFonts w:ascii="Arial" w:hAnsi="Arial" w:cs="Arial"/>
          <w:sz w:val="24"/>
          <w:szCs w:val="24"/>
          <w:lang w:val="en-US"/>
        </w:rPr>
        <w:fldChar w:fldCharType="end"/>
      </w:r>
      <w:r w:rsidRPr="0018334E">
        <w:rPr>
          <w:rFonts w:ascii="Arial" w:hAnsi="Arial" w:cs="Arial"/>
          <w:sz w:val="24"/>
          <w:szCs w:val="24"/>
          <w:lang w:val="en-US"/>
        </w:rPr>
        <w:t>. HHC was historically defined in the 19</w:t>
      </w:r>
      <w:r w:rsidRPr="0018334E">
        <w:rPr>
          <w:rFonts w:ascii="Arial" w:hAnsi="Arial" w:cs="Arial"/>
          <w:sz w:val="24"/>
          <w:szCs w:val="24"/>
          <w:vertAlign w:val="superscript"/>
          <w:lang w:val="en-US"/>
        </w:rPr>
        <w:t>th</w:t>
      </w:r>
      <w:r w:rsidRPr="0018334E">
        <w:rPr>
          <w:rFonts w:ascii="Arial" w:hAnsi="Arial" w:cs="Arial"/>
          <w:sz w:val="24"/>
          <w:szCs w:val="24"/>
          <w:lang w:val="en-US"/>
        </w:rPr>
        <w:t xml:space="preserve"> century </w:t>
      </w:r>
      <w:r w:rsidR="00D966DB" w:rsidRPr="0018334E">
        <w:rPr>
          <w:rFonts w:ascii="Arial" w:hAnsi="Arial" w:cs="Arial"/>
          <w:sz w:val="24"/>
          <w:szCs w:val="24"/>
          <w:lang w:val="en-US"/>
        </w:rPr>
        <w:t xml:space="preserve">as the </w:t>
      </w:r>
      <w:r w:rsidR="004E63D5" w:rsidRPr="0018334E">
        <w:rPr>
          <w:rFonts w:ascii="Arial" w:hAnsi="Arial" w:cs="Arial"/>
          <w:sz w:val="24"/>
          <w:szCs w:val="24"/>
          <w:lang w:val="en-US"/>
        </w:rPr>
        <w:t>co</w:t>
      </w:r>
      <w:r w:rsidR="009038B4" w:rsidRPr="0018334E">
        <w:rPr>
          <w:rFonts w:ascii="Arial" w:hAnsi="Arial" w:cs="Arial"/>
          <w:sz w:val="24"/>
          <w:szCs w:val="24"/>
          <w:lang w:val="en-US"/>
        </w:rPr>
        <w:t xml:space="preserve">-occurrence </w:t>
      </w:r>
      <w:r w:rsidRPr="0018334E">
        <w:rPr>
          <w:rFonts w:ascii="Arial" w:hAnsi="Arial" w:cs="Arial"/>
          <w:sz w:val="24"/>
          <w:szCs w:val="24"/>
          <w:lang w:val="en-US"/>
        </w:rPr>
        <w:t xml:space="preserve">of cirrhosis, diabetes and skin pigmentation and this triad became the </w:t>
      </w:r>
      <w:r w:rsidRPr="0018334E">
        <w:rPr>
          <w:rFonts w:ascii="Arial" w:hAnsi="Arial" w:cs="Arial"/>
          <w:i/>
          <w:sz w:val="24"/>
          <w:szCs w:val="24"/>
          <w:lang w:val="en-US"/>
        </w:rPr>
        <w:t>sine qua non</w:t>
      </w:r>
      <w:r w:rsidRPr="0018334E">
        <w:rPr>
          <w:rFonts w:ascii="Arial" w:hAnsi="Arial" w:cs="Arial"/>
          <w:sz w:val="24"/>
          <w:szCs w:val="24"/>
          <w:lang w:val="en-US"/>
        </w:rPr>
        <w:t xml:space="preserve"> of HHC </w:t>
      </w:r>
      <w:r w:rsidR="00A333B0" w:rsidRPr="0018334E">
        <w:rPr>
          <w:rFonts w:ascii="Arial" w:hAnsi="Arial" w:cs="Arial"/>
          <w:sz w:val="24"/>
          <w:szCs w:val="24"/>
          <w:lang w:val="en-US"/>
        </w:rPr>
        <w:t>until the end of the 20</w:t>
      </w:r>
      <w:r w:rsidR="00A333B0" w:rsidRPr="0018334E">
        <w:rPr>
          <w:rFonts w:ascii="Arial" w:hAnsi="Arial" w:cs="Arial"/>
          <w:sz w:val="24"/>
          <w:szCs w:val="24"/>
          <w:vertAlign w:val="superscript"/>
          <w:lang w:val="en-US"/>
        </w:rPr>
        <w:t>th</w:t>
      </w:r>
      <w:r w:rsidR="00A333B0" w:rsidRPr="0018334E">
        <w:rPr>
          <w:rFonts w:ascii="Arial" w:hAnsi="Arial" w:cs="Arial"/>
          <w:sz w:val="24"/>
          <w:szCs w:val="24"/>
          <w:lang w:val="en-US"/>
        </w:rPr>
        <w:t xml:space="preserve"> century</w:t>
      </w:r>
      <w:r w:rsidRPr="0018334E">
        <w:rPr>
          <w:rFonts w:ascii="Arial" w:hAnsi="Arial" w:cs="Arial"/>
          <w:sz w:val="24"/>
          <w:szCs w:val="24"/>
          <w:lang w:val="en-US"/>
        </w:rPr>
        <w:t xml:space="preserve">. </w:t>
      </w:r>
      <w:r w:rsidR="00024B2A" w:rsidRPr="0018334E">
        <w:rPr>
          <w:rFonts w:ascii="Arial" w:hAnsi="Arial" w:cs="Arial"/>
          <w:sz w:val="24"/>
          <w:szCs w:val="24"/>
          <w:lang w:val="en-US"/>
        </w:rPr>
        <w:t>Because diabetes</w:t>
      </w:r>
      <w:r w:rsidR="009038B4" w:rsidRPr="0018334E">
        <w:rPr>
          <w:rFonts w:ascii="Arial" w:hAnsi="Arial" w:cs="Arial"/>
          <w:sz w:val="24"/>
          <w:szCs w:val="24"/>
          <w:lang w:val="en-US"/>
        </w:rPr>
        <w:t xml:space="preserve"> was</w:t>
      </w:r>
      <w:r w:rsidR="00024B2A" w:rsidRPr="0018334E">
        <w:rPr>
          <w:rFonts w:ascii="Arial" w:hAnsi="Arial" w:cs="Arial"/>
          <w:sz w:val="24"/>
          <w:szCs w:val="24"/>
          <w:lang w:val="en-US"/>
        </w:rPr>
        <w:t xml:space="preserve"> </w:t>
      </w:r>
      <w:r w:rsidR="009038B4" w:rsidRPr="0018334E">
        <w:rPr>
          <w:rFonts w:ascii="Arial" w:hAnsi="Arial" w:cs="Arial"/>
          <w:sz w:val="24"/>
          <w:szCs w:val="24"/>
          <w:lang w:val="en-US"/>
        </w:rPr>
        <w:t>part of the triad used to define HHC, clinicians w</w:t>
      </w:r>
      <w:r w:rsidR="00483A04">
        <w:rPr>
          <w:rFonts w:ascii="Arial" w:hAnsi="Arial" w:cs="Arial"/>
          <w:sz w:val="24"/>
          <w:szCs w:val="24"/>
          <w:lang w:val="en-US"/>
        </w:rPr>
        <w:t>ould</w:t>
      </w:r>
      <w:r w:rsidR="009038B4" w:rsidRPr="0018334E">
        <w:rPr>
          <w:rFonts w:ascii="Arial" w:hAnsi="Arial" w:cs="Arial"/>
          <w:sz w:val="24"/>
          <w:szCs w:val="24"/>
          <w:lang w:val="en-US"/>
        </w:rPr>
        <w:t xml:space="preserve"> look for </w:t>
      </w:r>
      <w:r w:rsidR="0019207F" w:rsidRPr="0018334E">
        <w:rPr>
          <w:rFonts w:ascii="Arial" w:hAnsi="Arial" w:cs="Arial"/>
          <w:sz w:val="24"/>
          <w:szCs w:val="24"/>
          <w:lang w:val="en-US"/>
        </w:rPr>
        <w:t>type 2 diabetes</w:t>
      </w:r>
      <w:r w:rsidR="00024B2A" w:rsidRPr="0018334E">
        <w:rPr>
          <w:rFonts w:ascii="Arial" w:hAnsi="Arial" w:cs="Arial"/>
          <w:sz w:val="24"/>
          <w:szCs w:val="24"/>
          <w:lang w:val="en-US"/>
        </w:rPr>
        <w:t xml:space="preserve"> </w:t>
      </w:r>
      <w:r w:rsidR="009038B4" w:rsidRPr="0018334E">
        <w:rPr>
          <w:rFonts w:ascii="Arial" w:hAnsi="Arial" w:cs="Arial"/>
          <w:sz w:val="24"/>
          <w:szCs w:val="24"/>
          <w:lang w:val="en-US"/>
        </w:rPr>
        <w:t>in people they suspect of having HHC</w:t>
      </w:r>
      <w:r w:rsidR="00024B2A" w:rsidRPr="0018334E">
        <w:rPr>
          <w:rFonts w:ascii="Arial" w:hAnsi="Arial" w:cs="Arial"/>
          <w:sz w:val="24"/>
          <w:szCs w:val="24"/>
          <w:lang w:val="en-US"/>
        </w:rPr>
        <w:t xml:space="preserve">. This creates an ascertainment bias, which is less likely to occur now that genetic testing </w:t>
      </w:r>
      <w:r w:rsidR="00024B2A" w:rsidRPr="0018334E">
        <w:rPr>
          <w:rFonts w:ascii="Arial" w:hAnsi="Arial" w:cs="Arial"/>
          <w:sz w:val="24"/>
          <w:szCs w:val="24"/>
          <w:lang w:val="en-US"/>
        </w:rPr>
        <w:lastRenderedPageBreak/>
        <w:t>is the gold standard for the diagnosis of HHC</w:t>
      </w:r>
      <w:r w:rsidR="009038B4" w:rsidRPr="0018334E">
        <w:rPr>
          <w:rFonts w:ascii="Arial" w:hAnsi="Arial" w:cs="Arial"/>
          <w:sz w:val="24"/>
          <w:szCs w:val="24"/>
          <w:lang w:val="en-US"/>
        </w:rPr>
        <w:t>.</w:t>
      </w:r>
      <w:r w:rsidR="00D8283D" w:rsidRPr="0018334E">
        <w:rPr>
          <w:rFonts w:ascii="Arial" w:hAnsi="Arial" w:cs="Arial"/>
          <w:sz w:val="24"/>
          <w:szCs w:val="24"/>
          <w:lang w:val="en-US"/>
        </w:rPr>
        <w:t xml:space="preserve"> </w:t>
      </w:r>
      <w:r w:rsidR="00A45C0E" w:rsidRPr="0018334E">
        <w:rPr>
          <w:rFonts w:ascii="Arial" w:hAnsi="Arial" w:cs="Arial"/>
          <w:sz w:val="24"/>
          <w:szCs w:val="24"/>
          <w:lang w:val="en-US"/>
        </w:rPr>
        <w:t>A</w:t>
      </w:r>
      <w:r w:rsidR="0083603D" w:rsidRPr="0018334E">
        <w:rPr>
          <w:rFonts w:ascii="Arial" w:hAnsi="Arial" w:cs="Arial"/>
          <w:sz w:val="24"/>
          <w:szCs w:val="24"/>
          <w:lang w:val="en-US"/>
        </w:rPr>
        <w:t>n alternative</w:t>
      </w:r>
      <w:r w:rsidR="00A333B0" w:rsidRPr="0018334E">
        <w:rPr>
          <w:rFonts w:ascii="Arial" w:hAnsi="Arial" w:cs="Arial"/>
          <w:sz w:val="24"/>
          <w:szCs w:val="24"/>
          <w:lang w:val="en-US"/>
        </w:rPr>
        <w:t xml:space="preserve"> explanation </w:t>
      </w:r>
      <w:r w:rsidR="00A45C0E" w:rsidRPr="0018334E">
        <w:rPr>
          <w:rFonts w:ascii="Arial" w:hAnsi="Arial" w:cs="Arial"/>
          <w:sz w:val="24"/>
          <w:szCs w:val="24"/>
          <w:lang w:val="en-US"/>
        </w:rPr>
        <w:t xml:space="preserve">to the </w:t>
      </w:r>
      <w:r w:rsidR="00A333B0" w:rsidRPr="0018334E">
        <w:rPr>
          <w:rFonts w:ascii="Arial" w:hAnsi="Arial" w:cs="Arial"/>
          <w:sz w:val="24"/>
          <w:szCs w:val="24"/>
          <w:lang w:val="en-US"/>
        </w:rPr>
        <w:t xml:space="preserve">associations </w:t>
      </w:r>
      <w:r w:rsidR="008D280E" w:rsidRPr="0018334E">
        <w:rPr>
          <w:rFonts w:ascii="Arial" w:hAnsi="Arial" w:cs="Arial"/>
          <w:sz w:val="24"/>
          <w:szCs w:val="24"/>
          <w:lang w:val="en-US"/>
        </w:rPr>
        <w:t xml:space="preserve">observed </w:t>
      </w:r>
      <w:r w:rsidR="008D280E">
        <w:rPr>
          <w:rFonts w:ascii="Arial" w:hAnsi="Arial" w:cs="Arial"/>
          <w:sz w:val="24"/>
          <w:szCs w:val="24"/>
          <w:lang w:val="en-US"/>
        </w:rPr>
        <w:t xml:space="preserve">in this study </w:t>
      </w:r>
      <w:r w:rsidR="00A333B0" w:rsidRPr="0018334E">
        <w:rPr>
          <w:rFonts w:ascii="Arial" w:hAnsi="Arial" w:cs="Arial"/>
          <w:sz w:val="24"/>
          <w:szCs w:val="24"/>
          <w:lang w:val="en-US"/>
        </w:rPr>
        <w:t xml:space="preserve">is that </w:t>
      </w:r>
      <w:r w:rsidR="004E63D5" w:rsidRPr="0018334E">
        <w:rPr>
          <w:rFonts w:ascii="Arial" w:hAnsi="Arial" w:cs="Arial"/>
          <w:sz w:val="24"/>
          <w:szCs w:val="24"/>
          <w:lang w:val="en-US"/>
        </w:rPr>
        <w:t xml:space="preserve">disorders of iron overload caused by </w:t>
      </w:r>
      <w:r w:rsidR="00A333B0" w:rsidRPr="0018334E">
        <w:rPr>
          <w:rFonts w:ascii="Arial" w:hAnsi="Arial" w:cs="Arial"/>
          <w:sz w:val="24"/>
          <w:szCs w:val="24"/>
          <w:lang w:val="en-US"/>
        </w:rPr>
        <w:t xml:space="preserve">different </w:t>
      </w:r>
      <w:r w:rsidR="004E63D5" w:rsidRPr="0018334E">
        <w:rPr>
          <w:rFonts w:ascii="Arial" w:hAnsi="Arial" w:cs="Arial"/>
          <w:sz w:val="24"/>
          <w:szCs w:val="24"/>
          <w:lang w:val="en-US"/>
        </w:rPr>
        <w:t>mechanisms</w:t>
      </w:r>
      <w:r w:rsidR="00A333B0" w:rsidRPr="0018334E">
        <w:rPr>
          <w:rFonts w:ascii="Arial" w:hAnsi="Arial" w:cs="Arial"/>
          <w:sz w:val="24"/>
          <w:szCs w:val="24"/>
          <w:lang w:val="en-US"/>
        </w:rPr>
        <w:t xml:space="preserve"> </w:t>
      </w:r>
      <w:r w:rsidR="004E63D5" w:rsidRPr="0018334E">
        <w:rPr>
          <w:rFonts w:ascii="Arial" w:hAnsi="Arial" w:cs="Arial"/>
          <w:sz w:val="24"/>
          <w:szCs w:val="24"/>
          <w:lang w:val="en-US"/>
        </w:rPr>
        <w:t>show</w:t>
      </w:r>
      <w:r w:rsidR="00A333B0" w:rsidRPr="0018334E">
        <w:rPr>
          <w:rFonts w:ascii="Arial" w:hAnsi="Arial" w:cs="Arial"/>
          <w:sz w:val="24"/>
          <w:szCs w:val="24"/>
          <w:lang w:val="en-US"/>
        </w:rPr>
        <w:t xml:space="preserve"> different associations with </w:t>
      </w:r>
      <w:r w:rsidR="0019207F" w:rsidRPr="0018334E">
        <w:rPr>
          <w:rFonts w:ascii="Arial" w:hAnsi="Arial" w:cs="Arial"/>
          <w:sz w:val="24"/>
          <w:szCs w:val="24"/>
          <w:lang w:val="en-US"/>
        </w:rPr>
        <w:t>type 2 diabetes</w:t>
      </w:r>
      <w:r w:rsidR="00692874" w:rsidRPr="0018334E">
        <w:rPr>
          <w:rFonts w:ascii="Arial" w:hAnsi="Arial" w:cs="Arial"/>
          <w:sz w:val="24"/>
          <w:szCs w:val="24"/>
          <w:lang w:val="en-US"/>
        </w:rPr>
        <w:t>,</w:t>
      </w:r>
      <w:r w:rsidR="00A333B0" w:rsidRPr="0018334E">
        <w:rPr>
          <w:rFonts w:ascii="Arial" w:hAnsi="Arial" w:cs="Arial"/>
          <w:sz w:val="24"/>
          <w:szCs w:val="24"/>
          <w:lang w:val="en-US"/>
        </w:rPr>
        <w:t xml:space="preserve"> </w:t>
      </w:r>
      <w:r w:rsidR="004E63D5" w:rsidRPr="0018334E">
        <w:rPr>
          <w:rFonts w:ascii="Arial" w:hAnsi="Arial" w:cs="Arial"/>
          <w:sz w:val="24"/>
          <w:szCs w:val="24"/>
          <w:lang w:val="en-US"/>
        </w:rPr>
        <w:t>but</w:t>
      </w:r>
      <w:r w:rsidR="00A333B0" w:rsidRPr="0018334E">
        <w:rPr>
          <w:rFonts w:ascii="Arial" w:hAnsi="Arial" w:cs="Arial"/>
          <w:sz w:val="24"/>
          <w:szCs w:val="24"/>
          <w:lang w:val="en-US"/>
        </w:rPr>
        <w:t xml:space="preserve"> that </w:t>
      </w:r>
      <w:r w:rsidR="004E63D5" w:rsidRPr="0018334E">
        <w:rPr>
          <w:rFonts w:ascii="Arial" w:hAnsi="Arial" w:cs="Arial"/>
          <w:sz w:val="24"/>
          <w:szCs w:val="24"/>
          <w:lang w:val="en-US"/>
        </w:rPr>
        <w:t xml:space="preserve">these differences </w:t>
      </w:r>
      <w:r w:rsidR="00A3586C" w:rsidRPr="0018334E">
        <w:rPr>
          <w:rFonts w:ascii="Arial" w:hAnsi="Arial" w:cs="Arial"/>
          <w:sz w:val="24"/>
          <w:szCs w:val="24"/>
          <w:lang w:val="en-US"/>
        </w:rPr>
        <w:t>may</w:t>
      </w:r>
      <w:r w:rsidR="00A333B0" w:rsidRPr="0018334E">
        <w:rPr>
          <w:rFonts w:ascii="Arial" w:hAnsi="Arial" w:cs="Arial"/>
          <w:sz w:val="24"/>
          <w:szCs w:val="24"/>
          <w:lang w:val="en-US"/>
        </w:rPr>
        <w:t xml:space="preserve"> not </w:t>
      </w:r>
      <w:r w:rsidR="00A3586C" w:rsidRPr="0018334E">
        <w:rPr>
          <w:rFonts w:ascii="Arial" w:hAnsi="Arial" w:cs="Arial"/>
          <w:sz w:val="24"/>
          <w:szCs w:val="24"/>
          <w:lang w:val="en-US"/>
        </w:rPr>
        <w:t xml:space="preserve">be </w:t>
      </w:r>
      <w:r w:rsidR="00A333B0" w:rsidRPr="0018334E">
        <w:rPr>
          <w:rFonts w:ascii="Arial" w:hAnsi="Arial" w:cs="Arial"/>
          <w:sz w:val="24"/>
          <w:szCs w:val="24"/>
          <w:lang w:val="en-US"/>
        </w:rPr>
        <w:t xml:space="preserve">captured by the use of </w:t>
      </w:r>
      <w:r w:rsidR="00E93163" w:rsidRPr="0018334E">
        <w:rPr>
          <w:rFonts w:ascii="Arial" w:hAnsi="Arial" w:cs="Arial"/>
          <w:sz w:val="24"/>
          <w:szCs w:val="24"/>
          <w:lang w:val="en-US"/>
        </w:rPr>
        <w:t>bio</w:t>
      </w:r>
      <w:r w:rsidR="00A45C0E" w:rsidRPr="0018334E">
        <w:rPr>
          <w:rFonts w:ascii="Arial" w:hAnsi="Arial" w:cs="Arial"/>
          <w:sz w:val="24"/>
          <w:szCs w:val="24"/>
          <w:lang w:val="en-US"/>
        </w:rPr>
        <w:t>markers</w:t>
      </w:r>
      <w:r w:rsidR="00A333B0" w:rsidRPr="0018334E">
        <w:rPr>
          <w:rFonts w:ascii="Arial" w:hAnsi="Arial" w:cs="Arial"/>
          <w:sz w:val="24"/>
          <w:szCs w:val="24"/>
          <w:lang w:val="en-US"/>
        </w:rPr>
        <w:t xml:space="preserve">. </w:t>
      </w:r>
      <w:r w:rsidR="00692874" w:rsidRPr="0018334E">
        <w:rPr>
          <w:rFonts w:ascii="Arial" w:hAnsi="Arial" w:cs="Arial"/>
          <w:sz w:val="24"/>
          <w:szCs w:val="24"/>
          <w:lang w:val="en-US"/>
        </w:rPr>
        <w:t xml:space="preserve">However, </w:t>
      </w:r>
      <w:r w:rsidR="00F02C06">
        <w:rPr>
          <w:rFonts w:ascii="Arial" w:hAnsi="Arial" w:cs="Arial"/>
          <w:sz w:val="24"/>
          <w:szCs w:val="24"/>
          <w:lang w:val="en-US"/>
        </w:rPr>
        <w:t xml:space="preserve">the use of </w:t>
      </w:r>
      <w:r w:rsidR="00E93163" w:rsidRPr="0018334E">
        <w:rPr>
          <w:rFonts w:ascii="Arial" w:hAnsi="Arial" w:cs="Arial"/>
          <w:sz w:val="24"/>
          <w:szCs w:val="24"/>
          <w:lang w:val="en-US"/>
        </w:rPr>
        <w:t xml:space="preserve">more invasive measures of iron </w:t>
      </w:r>
      <w:r w:rsidR="005A3E6B" w:rsidRPr="0018334E">
        <w:rPr>
          <w:rFonts w:ascii="Arial" w:hAnsi="Arial" w:cs="Arial"/>
          <w:sz w:val="24"/>
          <w:szCs w:val="24"/>
          <w:lang w:val="en-US"/>
        </w:rPr>
        <w:t xml:space="preserve">stores </w:t>
      </w:r>
      <w:r w:rsidR="00692874" w:rsidRPr="0018334E">
        <w:rPr>
          <w:rFonts w:ascii="Arial" w:hAnsi="Arial" w:cs="Arial"/>
          <w:sz w:val="24"/>
          <w:szCs w:val="24"/>
          <w:lang w:val="en-US"/>
        </w:rPr>
        <w:t>necessary to distinguish these disorders</w:t>
      </w:r>
      <w:r w:rsidR="0083603D" w:rsidRPr="0018334E">
        <w:rPr>
          <w:rFonts w:ascii="Arial" w:hAnsi="Arial" w:cs="Arial"/>
          <w:sz w:val="24"/>
          <w:szCs w:val="24"/>
          <w:lang w:val="en-US"/>
        </w:rPr>
        <w:t xml:space="preserve"> </w:t>
      </w:r>
      <w:r w:rsidR="00F02C06">
        <w:rPr>
          <w:rFonts w:ascii="Arial" w:hAnsi="Arial" w:cs="Arial"/>
          <w:sz w:val="24"/>
          <w:szCs w:val="24"/>
          <w:lang w:val="en-US"/>
        </w:rPr>
        <w:t xml:space="preserve">is </w:t>
      </w:r>
      <w:r w:rsidR="00024B2A" w:rsidRPr="0018334E">
        <w:rPr>
          <w:rFonts w:ascii="Arial" w:hAnsi="Arial" w:cs="Arial"/>
          <w:sz w:val="24"/>
          <w:szCs w:val="24"/>
          <w:lang w:val="en-US"/>
        </w:rPr>
        <w:t>unlikely to be feasible</w:t>
      </w:r>
      <w:r w:rsidR="0083603D" w:rsidRPr="0018334E">
        <w:rPr>
          <w:rFonts w:ascii="Arial" w:hAnsi="Arial" w:cs="Arial"/>
          <w:sz w:val="24"/>
          <w:szCs w:val="24"/>
          <w:lang w:val="en-US"/>
        </w:rPr>
        <w:t xml:space="preserve"> on a large scale</w:t>
      </w:r>
      <w:r w:rsidR="00692874" w:rsidRPr="0018334E">
        <w:rPr>
          <w:rFonts w:ascii="Arial" w:hAnsi="Arial" w:cs="Arial"/>
          <w:sz w:val="24"/>
          <w:szCs w:val="24"/>
          <w:lang w:val="en-US"/>
        </w:rPr>
        <w:t xml:space="preserve">. </w:t>
      </w:r>
    </w:p>
    <w:p w:rsidR="00692874" w:rsidRPr="0018334E" w:rsidRDefault="00692874" w:rsidP="00F328BE">
      <w:pPr>
        <w:spacing w:after="0" w:line="480" w:lineRule="auto"/>
        <w:jc w:val="both"/>
        <w:rPr>
          <w:rFonts w:ascii="Arial" w:hAnsi="Arial" w:cs="Arial"/>
          <w:b/>
          <w:sz w:val="24"/>
          <w:szCs w:val="24"/>
          <w:lang w:val="en-US"/>
        </w:rPr>
      </w:pPr>
    </w:p>
    <w:p w:rsidR="00074BC8" w:rsidRPr="0018334E" w:rsidRDefault="00C61D13" w:rsidP="00F328BE">
      <w:pPr>
        <w:spacing w:after="0" w:line="480" w:lineRule="auto"/>
        <w:jc w:val="both"/>
        <w:rPr>
          <w:rFonts w:ascii="Arial" w:eastAsia="Verdana" w:hAnsi="Arial" w:cs="Arial"/>
          <w:sz w:val="24"/>
          <w:szCs w:val="24"/>
          <w:lang w:val="en-US"/>
        </w:rPr>
      </w:pPr>
      <w:r w:rsidRPr="0018334E">
        <w:rPr>
          <w:rFonts w:ascii="Arial" w:hAnsi="Arial" w:cs="Arial"/>
          <w:sz w:val="24"/>
          <w:szCs w:val="24"/>
          <w:lang w:val="en-US"/>
        </w:rPr>
        <w:t xml:space="preserve">This is the first prospective study to comprehensively report the association of four commonly used clinical measures of iron stores and </w:t>
      </w:r>
      <w:r w:rsidR="0019207F" w:rsidRPr="0018334E">
        <w:rPr>
          <w:rFonts w:ascii="Arial" w:hAnsi="Arial" w:cs="Arial"/>
          <w:sz w:val="24"/>
          <w:szCs w:val="24"/>
          <w:lang w:val="en-US"/>
        </w:rPr>
        <w:t xml:space="preserve">type </w:t>
      </w:r>
      <w:proofErr w:type="gramStart"/>
      <w:r w:rsidR="0019207F" w:rsidRPr="0018334E">
        <w:rPr>
          <w:rFonts w:ascii="Arial" w:hAnsi="Arial" w:cs="Arial"/>
          <w:sz w:val="24"/>
          <w:szCs w:val="24"/>
          <w:lang w:val="en-US"/>
        </w:rPr>
        <w:t>2 diabetes</w:t>
      </w:r>
      <w:proofErr w:type="gramEnd"/>
      <w:r w:rsidRPr="0018334E">
        <w:rPr>
          <w:rFonts w:ascii="Arial" w:hAnsi="Arial" w:cs="Arial"/>
          <w:sz w:val="24"/>
          <w:szCs w:val="24"/>
          <w:lang w:val="en-US"/>
        </w:rPr>
        <w:t xml:space="preserve">. </w:t>
      </w:r>
      <w:r w:rsidR="00171E76">
        <w:rPr>
          <w:rFonts w:ascii="Arial" w:hAnsi="Arial" w:cs="Arial"/>
          <w:sz w:val="24"/>
          <w:szCs w:val="24"/>
          <w:lang w:val="en-US"/>
        </w:rPr>
        <w:t>It</w:t>
      </w:r>
      <w:r w:rsidR="00CE2216" w:rsidRPr="0018334E">
        <w:rPr>
          <w:rFonts w:ascii="Arial" w:hAnsi="Arial" w:cs="Arial"/>
          <w:sz w:val="24"/>
          <w:szCs w:val="24"/>
          <w:lang w:val="en-US"/>
        </w:rPr>
        <w:t xml:space="preserve"> i</w:t>
      </w:r>
      <w:r w:rsidR="00CB059A" w:rsidRPr="0018334E">
        <w:rPr>
          <w:rFonts w:ascii="Arial" w:hAnsi="Arial" w:cs="Arial"/>
          <w:sz w:val="24"/>
          <w:szCs w:val="24"/>
          <w:lang w:val="en-US"/>
        </w:rPr>
        <w:t>s</w:t>
      </w:r>
      <w:r w:rsidR="00CE2216" w:rsidRPr="0018334E">
        <w:rPr>
          <w:rFonts w:ascii="Arial" w:hAnsi="Arial" w:cs="Arial"/>
          <w:sz w:val="24"/>
          <w:szCs w:val="24"/>
          <w:lang w:val="en-US"/>
        </w:rPr>
        <w:t xml:space="preserve"> limited by the fact that we had </w:t>
      </w:r>
      <w:r w:rsidR="00C3176E" w:rsidRPr="0018334E">
        <w:rPr>
          <w:rFonts w:ascii="Arial" w:hAnsi="Arial" w:cs="Arial"/>
          <w:sz w:val="24"/>
          <w:szCs w:val="24"/>
          <w:lang w:val="en-US"/>
        </w:rPr>
        <w:t xml:space="preserve">a </w:t>
      </w:r>
      <w:r w:rsidR="00EB6BD7" w:rsidRPr="0018334E">
        <w:rPr>
          <w:rFonts w:ascii="Arial" w:hAnsi="Arial" w:cs="Arial"/>
          <w:sz w:val="24"/>
          <w:szCs w:val="24"/>
          <w:lang w:val="en-US"/>
        </w:rPr>
        <w:t>single measure</w:t>
      </w:r>
      <w:r w:rsidR="00CE2216" w:rsidRPr="0018334E">
        <w:rPr>
          <w:rFonts w:ascii="Arial" w:hAnsi="Arial" w:cs="Arial"/>
          <w:sz w:val="24"/>
          <w:szCs w:val="24"/>
          <w:lang w:val="en-US"/>
        </w:rPr>
        <w:t xml:space="preserve"> of TSAT</w:t>
      </w:r>
      <w:r w:rsidR="00C3176E" w:rsidRPr="0018334E">
        <w:rPr>
          <w:rFonts w:ascii="Arial" w:hAnsi="Arial" w:cs="Arial"/>
          <w:sz w:val="24"/>
          <w:szCs w:val="24"/>
          <w:lang w:val="en-US"/>
        </w:rPr>
        <w:t xml:space="preserve"> for each individual</w:t>
      </w:r>
      <w:r w:rsidR="00CE2216" w:rsidRPr="0018334E">
        <w:rPr>
          <w:rFonts w:ascii="Arial" w:hAnsi="Arial" w:cs="Arial"/>
          <w:sz w:val="24"/>
          <w:szCs w:val="24"/>
          <w:lang w:val="en-US"/>
        </w:rPr>
        <w:t xml:space="preserve"> </w:t>
      </w:r>
      <w:r w:rsidR="00891484">
        <w:rPr>
          <w:rFonts w:ascii="Arial" w:hAnsi="Arial" w:cs="Arial"/>
          <w:sz w:val="24"/>
          <w:szCs w:val="24"/>
          <w:lang w:val="en-US"/>
        </w:rPr>
        <w:t xml:space="preserve">and that </w:t>
      </w:r>
      <w:r w:rsidR="00F02C06">
        <w:rPr>
          <w:rFonts w:ascii="Arial" w:hAnsi="Arial" w:cs="Arial"/>
          <w:sz w:val="24"/>
          <w:szCs w:val="24"/>
          <w:lang w:val="en-US"/>
        </w:rPr>
        <w:t>most</w:t>
      </w:r>
      <w:r w:rsidR="006615C9">
        <w:rPr>
          <w:rFonts w:ascii="Arial" w:hAnsi="Arial" w:cs="Arial"/>
          <w:sz w:val="24"/>
          <w:szCs w:val="24"/>
          <w:lang w:val="en-US"/>
        </w:rPr>
        <w:t xml:space="preserve"> samples were non-fasting</w:t>
      </w:r>
      <w:r w:rsidR="00736D30">
        <w:rPr>
          <w:rFonts w:ascii="Arial" w:hAnsi="Arial" w:cs="Arial"/>
          <w:sz w:val="24"/>
          <w:szCs w:val="24"/>
          <w:lang w:val="en-US"/>
        </w:rPr>
        <w:t>, which may have affected the dichotomous categorization of TSAT</w:t>
      </w:r>
      <w:r w:rsidR="006615C9">
        <w:rPr>
          <w:rFonts w:ascii="Arial" w:hAnsi="Arial" w:cs="Arial"/>
          <w:sz w:val="24"/>
          <w:szCs w:val="24"/>
          <w:lang w:val="en-US"/>
        </w:rPr>
        <w:t xml:space="preserve">. </w:t>
      </w:r>
      <w:r w:rsidR="00024B2A" w:rsidRPr="0018334E">
        <w:rPr>
          <w:rFonts w:ascii="Arial" w:hAnsi="Arial" w:cs="Arial"/>
          <w:sz w:val="24"/>
          <w:szCs w:val="24"/>
          <w:lang w:val="en-US"/>
        </w:rPr>
        <w:t xml:space="preserve">However, </w:t>
      </w:r>
      <w:r w:rsidR="004C6C10">
        <w:rPr>
          <w:rFonts w:ascii="Arial" w:hAnsi="Arial" w:cs="Arial"/>
          <w:sz w:val="24"/>
          <w:szCs w:val="24"/>
          <w:lang w:val="en-US"/>
        </w:rPr>
        <w:t>this</w:t>
      </w:r>
      <w:r w:rsidR="00995BA3" w:rsidRPr="0018334E">
        <w:rPr>
          <w:rFonts w:ascii="Arial" w:hAnsi="Arial" w:cs="Arial"/>
          <w:sz w:val="24"/>
          <w:szCs w:val="24"/>
          <w:lang w:val="en-US"/>
        </w:rPr>
        <w:t xml:space="preserve"> applied to all participants irrespective of </w:t>
      </w:r>
      <w:r w:rsidR="00657C76" w:rsidRPr="0018334E">
        <w:rPr>
          <w:rFonts w:ascii="Arial" w:hAnsi="Arial" w:cs="Arial"/>
          <w:sz w:val="24"/>
          <w:szCs w:val="24"/>
          <w:lang w:val="en-US"/>
        </w:rPr>
        <w:t xml:space="preserve">their </w:t>
      </w:r>
      <w:r w:rsidR="00995BA3" w:rsidRPr="0018334E">
        <w:rPr>
          <w:rFonts w:ascii="Arial" w:hAnsi="Arial" w:cs="Arial"/>
          <w:sz w:val="24"/>
          <w:szCs w:val="24"/>
          <w:lang w:val="en-US"/>
        </w:rPr>
        <w:t xml:space="preserve">diabetes status, </w:t>
      </w:r>
      <w:r w:rsidR="00D36ED4">
        <w:rPr>
          <w:rFonts w:ascii="Arial" w:hAnsi="Arial" w:cs="Arial"/>
          <w:sz w:val="24"/>
          <w:szCs w:val="24"/>
          <w:lang w:val="en-US"/>
        </w:rPr>
        <w:t xml:space="preserve">and the consequence would be non-differential error </w:t>
      </w:r>
      <w:r w:rsidR="00995BA3" w:rsidRPr="0018334E">
        <w:rPr>
          <w:rFonts w:ascii="Arial" w:hAnsi="Arial" w:cs="Arial"/>
          <w:sz w:val="24"/>
          <w:szCs w:val="24"/>
          <w:lang w:val="en-US"/>
        </w:rPr>
        <w:t xml:space="preserve">which </w:t>
      </w:r>
      <w:r w:rsidR="00657C76" w:rsidRPr="0018334E">
        <w:rPr>
          <w:rFonts w:ascii="Arial" w:hAnsi="Arial" w:cs="Arial"/>
          <w:sz w:val="24"/>
          <w:szCs w:val="24"/>
          <w:lang w:val="en-US"/>
        </w:rPr>
        <w:t xml:space="preserve">would </w:t>
      </w:r>
      <w:r w:rsidR="00995BA3" w:rsidRPr="0018334E">
        <w:rPr>
          <w:rFonts w:ascii="Arial" w:hAnsi="Arial" w:cs="Arial"/>
          <w:sz w:val="24"/>
          <w:szCs w:val="24"/>
          <w:lang w:val="en-US"/>
        </w:rPr>
        <w:t>under-estimate the</w:t>
      </w:r>
      <w:r w:rsidR="00657C76" w:rsidRPr="0018334E">
        <w:rPr>
          <w:rFonts w:ascii="Arial" w:hAnsi="Arial" w:cs="Arial"/>
          <w:sz w:val="24"/>
          <w:szCs w:val="24"/>
          <w:lang w:val="en-US"/>
        </w:rPr>
        <w:t xml:space="preserve"> strength of the </w:t>
      </w:r>
      <w:r w:rsidR="00995BA3" w:rsidRPr="0018334E">
        <w:rPr>
          <w:rFonts w:ascii="Arial" w:hAnsi="Arial" w:cs="Arial"/>
          <w:sz w:val="24"/>
          <w:szCs w:val="24"/>
          <w:lang w:val="en-US"/>
        </w:rPr>
        <w:t xml:space="preserve">association between TSAT and </w:t>
      </w:r>
      <w:r w:rsidR="0019207F" w:rsidRPr="0018334E">
        <w:rPr>
          <w:rFonts w:ascii="Arial" w:hAnsi="Arial" w:cs="Arial"/>
          <w:sz w:val="24"/>
          <w:szCs w:val="24"/>
          <w:lang w:val="en-US"/>
        </w:rPr>
        <w:t xml:space="preserve">type </w:t>
      </w:r>
      <w:proofErr w:type="gramStart"/>
      <w:r w:rsidR="0019207F" w:rsidRPr="0018334E">
        <w:rPr>
          <w:rFonts w:ascii="Arial" w:hAnsi="Arial" w:cs="Arial"/>
          <w:sz w:val="24"/>
          <w:szCs w:val="24"/>
          <w:lang w:val="en-US"/>
        </w:rPr>
        <w:t>2 diabetes</w:t>
      </w:r>
      <w:proofErr w:type="gramEnd"/>
      <w:r w:rsidR="00995BA3" w:rsidRPr="0018334E">
        <w:rPr>
          <w:rFonts w:ascii="Arial" w:hAnsi="Arial" w:cs="Arial"/>
          <w:sz w:val="24"/>
          <w:szCs w:val="24"/>
          <w:lang w:val="en-US"/>
        </w:rPr>
        <w:t xml:space="preserve">. </w:t>
      </w:r>
      <w:r w:rsidR="004C6C10">
        <w:rPr>
          <w:rFonts w:ascii="Arial" w:hAnsi="Arial" w:cs="Arial"/>
          <w:sz w:val="24"/>
          <w:szCs w:val="24"/>
          <w:lang w:val="en-US"/>
        </w:rPr>
        <w:t>T</w:t>
      </w:r>
      <w:r w:rsidR="00657C76" w:rsidRPr="0018334E">
        <w:rPr>
          <w:rFonts w:ascii="Arial" w:hAnsi="Arial" w:cs="Arial"/>
          <w:sz w:val="24"/>
          <w:szCs w:val="24"/>
          <w:lang w:val="en-US"/>
        </w:rPr>
        <w:t xml:space="preserve">his could contribute to the lack of observed association in men, </w:t>
      </w:r>
      <w:r w:rsidR="004C6C10">
        <w:rPr>
          <w:rFonts w:ascii="Arial" w:hAnsi="Arial" w:cs="Arial"/>
          <w:sz w:val="24"/>
          <w:szCs w:val="24"/>
          <w:lang w:val="en-US"/>
        </w:rPr>
        <w:t>but</w:t>
      </w:r>
      <w:r w:rsidR="004C6C10" w:rsidRPr="0018334E">
        <w:rPr>
          <w:rFonts w:ascii="Arial" w:hAnsi="Arial" w:cs="Arial"/>
          <w:sz w:val="24"/>
          <w:szCs w:val="24"/>
          <w:lang w:val="en-US"/>
        </w:rPr>
        <w:t xml:space="preserve"> </w:t>
      </w:r>
      <w:r w:rsidR="00657C76" w:rsidRPr="0018334E">
        <w:rPr>
          <w:rFonts w:ascii="Arial" w:hAnsi="Arial" w:cs="Arial"/>
          <w:sz w:val="24"/>
          <w:szCs w:val="24"/>
          <w:lang w:val="en-US"/>
        </w:rPr>
        <w:t>does not explain the association in women.</w:t>
      </w:r>
      <w:r w:rsidR="00995BA3" w:rsidRPr="0018334E">
        <w:rPr>
          <w:rFonts w:ascii="Arial" w:hAnsi="Arial" w:cs="Arial"/>
          <w:sz w:val="24"/>
          <w:szCs w:val="24"/>
          <w:lang w:val="en-US"/>
        </w:rPr>
        <w:t xml:space="preserve"> </w:t>
      </w:r>
      <w:r w:rsidR="00CE2216" w:rsidRPr="0018334E">
        <w:rPr>
          <w:rFonts w:ascii="Arial" w:hAnsi="Arial" w:cs="Arial"/>
          <w:sz w:val="24"/>
          <w:szCs w:val="24"/>
          <w:lang w:val="en-US"/>
        </w:rPr>
        <w:t>Also</w:t>
      </w:r>
      <w:r w:rsidR="00F473D7" w:rsidRPr="0018334E">
        <w:rPr>
          <w:rFonts w:ascii="Arial" w:hAnsi="Arial" w:cs="Arial"/>
          <w:sz w:val="24"/>
          <w:szCs w:val="24"/>
          <w:lang w:val="en-US"/>
        </w:rPr>
        <w:t xml:space="preserve">, we </w:t>
      </w:r>
      <w:r w:rsidR="00020EBB">
        <w:rPr>
          <w:rFonts w:ascii="Arial" w:hAnsi="Arial" w:cs="Arial"/>
          <w:sz w:val="24"/>
          <w:szCs w:val="24"/>
          <w:lang w:val="en-US"/>
        </w:rPr>
        <w:t xml:space="preserve">were unable to exclude participants with clinically diagnosed HHC. </w:t>
      </w:r>
      <w:r w:rsidR="00052E78" w:rsidRPr="0018334E">
        <w:rPr>
          <w:rFonts w:ascii="Arial" w:hAnsi="Arial" w:cs="Arial"/>
          <w:sz w:val="24"/>
          <w:szCs w:val="24"/>
          <w:lang w:val="en-US"/>
        </w:rPr>
        <w:t xml:space="preserve">However, although </w:t>
      </w:r>
      <w:r w:rsidR="00052E78" w:rsidRPr="0018334E">
        <w:rPr>
          <w:rFonts w:ascii="Arial" w:hAnsi="Arial" w:cs="Arial"/>
          <w:i/>
          <w:sz w:val="24"/>
          <w:szCs w:val="24"/>
          <w:lang w:val="en-US"/>
        </w:rPr>
        <w:t>HFE</w:t>
      </w:r>
      <w:r w:rsidR="00052E78" w:rsidRPr="0018334E">
        <w:rPr>
          <w:rFonts w:ascii="Arial" w:hAnsi="Arial" w:cs="Arial"/>
          <w:sz w:val="24"/>
          <w:szCs w:val="24"/>
          <w:lang w:val="en-US"/>
        </w:rPr>
        <w:t xml:space="preserve"> mutations are common, the </w:t>
      </w:r>
      <w:r w:rsidR="00EB6BD7" w:rsidRPr="0018334E">
        <w:rPr>
          <w:rFonts w:ascii="Arial" w:hAnsi="Arial" w:cs="Arial"/>
          <w:sz w:val="24"/>
          <w:szCs w:val="24"/>
          <w:lang w:val="en-US"/>
        </w:rPr>
        <w:t xml:space="preserve">clinical </w:t>
      </w:r>
      <w:r w:rsidR="00052E78" w:rsidRPr="0018334E">
        <w:rPr>
          <w:rFonts w:ascii="Arial" w:hAnsi="Arial" w:cs="Arial"/>
          <w:sz w:val="24"/>
          <w:szCs w:val="24"/>
          <w:lang w:val="en-US"/>
        </w:rPr>
        <w:t>penetrance of the disease is extremely low</w:t>
      </w:r>
      <w:r w:rsidR="00171E76">
        <w:rPr>
          <w:rFonts w:ascii="Arial" w:hAnsi="Arial" w:cs="Arial"/>
          <w:sz w:val="24"/>
          <w:szCs w:val="24"/>
          <w:lang w:val="en-US"/>
        </w:rPr>
        <w:t xml:space="preserve"> </w:t>
      </w:r>
      <w:r w:rsidR="00171E76" w:rsidRPr="0018334E">
        <w:rPr>
          <w:rFonts w:ascii="Arial" w:hAnsi="Arial" w:cs="Arial"/>
          <w:sz w:val="24"/>
          <w:szCs w:val="24"/>
          <w:lang w:val="en-US"/>
        </w:rPr>
        <w:fldChar w:fldCharType="begin" w:fldLock="1"/>
      </w:r>
      <w:r w:rsidR="002F34F2">
        <w:rPr>
          <w:rFonts w:ascii="Arial" w:hAnsi="Arial" w:cs="Arial"/>
          <w:sz w:val="24"/>
          <w:szCs w:val="24"/>
          <w:lang w:val="en-US"/>
        </w:rPr>
        <w:instrText>ADDIN CSL_CITATION { "citationItems" : [ { "id" : "ITEM-1", "itemData" : { "DOI" : "10.1056/NEJMe078215", "ISSN" : "1533-4406", "PMID" : "18199868", "author" : [ { "dropping-particle" : "", "family" : "Bacon", "given" : "Bruce R", "non-dropping-particle" : "", "parse-names" : false, "suffix" : "" }, { "dropping-particle" : "", "family" : "Britton", "given" : "Robert S", "non-dropping-particle" : "", "parse-names" : false, "suffix" : "" } ], "container-title" : "The New England Journal of Medicine", "id" : "ITEM-1", "issue" : "3", "issued" : { "date-parts" : [ [ "2008", "1", "17" ] ] }, "note" : "clinical penetrance HFE", "page" : "291-2", "title" : "Clinical penetrance of hereditary hemochromatosis.", "type" : "article-journal", "volume" : "358" }, "uris" : [ "http://www.mendeley.com/documents/?uuid=ccd8f1c9-b98f-4634-9756-4c78e1b0555b" ] } ], "mendeley" : { "formattedCitation" : "(49)", "plainTextFormattedCitation" : "(49)", "previouslyFormattedCitation" : "(46)" }, "properties" : { "noteIndex" : 0 }, "schema" : "https://github.com/citation-style-language/schema/raw/master/csl-citation.json" }</w:instrText>
      </w:r>
      <w:r w:rsidR="00171E76" w:rsidRPr="0018334E">
        <w:rPr>
          <w:rFonts w:ascii="Arial" w:hAnsi="Arial" w:cs="Arial"/>
          <w:sz w:val="24"/>
          <w:szCs w:val="24"/>
          <w:lang w:val="en-US"/>
        </w:rPr>
        <w:fldChar w:fldCharType="separate"/>
      </w:r>
      <w:r w:rsidR="002F34F2" w:rsidRPr="002F34F2">
        <w:rPr>
          <w:rFonts w:ascii="Arial" w:hAnsi="Arial" w:cs="Arial"/>
          <w:noProof/>
          <w:sz w:val="24"/>
          <w:szCs w:val="24"/>
          <w:lang w:val="en-US"/>
        </w:rPr>
        <w:t>(49)</w:t>
      </w:r>
      <w:r w:rsidR="00171E76" w:rsidRPr="0018334E">
        <w:rPr>
          <w:rFonts w:ascii="Arial" w:hAnsi="Arial" w:cs="Arial"/>
          <w:sz w:val="24"/>
          <w:szCs w:val="24"/>
          <w:lang w:val="en-US"/>
        </w:rPr>
        <w:fldChar w:fldCharType="end"/>
      </w:r>
      <w:r w:rsidR="000E08D5" w:rsidRPr="0018334E">
        <w:rPr>
          <w:rFonts w:ascii="Arial" w:hAnsi="Arial" w:cs="Arial"/>
          <w:sz w:val="24"/>
          <w:szCs w:val="24"/>
          <w:lang w:val="en-US"/>
        </w:rPr>
        <w:t>,</w:t>
      </w:r>
      <w:r w:rsidR="00EB6BD7" w:rsidRPr="0018334E">
        <w:rPr>
          <w:rFonts w:ascii="Arial" w:hAnsi="Arial" w:cs="Arial"/>
          <w:sz w:val="24"/>
          <w:szCs w:val="24"/>
          <w:lang w:val="en-US"/>
        </w:rPr>
        <w:t xml:space="preserve"> </w:t>
      </w:r>
      <w:r w:rsidR="006C6388" w:rsidRPr="0018334E">
        <w:rPr>
          <w:rFonts w:ascii="Arial" w:hAnsi="Arial" w:cs="Arial"/>
          <w:sz w:val="24"/>
          <w:szCs w:val="24"/>
          <w:lang w:val="en-US"/>
        </w:rPr>
        <w:t xml:space="preserve">therefore this is </w:t>
      </w:r>
      <w:r w:rsidR="00D8283D" w:rsidRPr="0018334E">
        <w:rPr>
          <w:rFonts w:ascii="Arial" w:hAnsi="Arial" w:cs="Arial"/>
          <w:sz w:val="24"/>
          <w:szCs w:val="24"/>
          <w:lang w:val="en-US"/>
        </w:rPr>
        <w:t>unl</w:t>
      </w:r>
      <w:r w:rsidR="006C6388" w:rsidRPr="0018334E">
        <w:rPr>
          <w:rFonts w:ascii="Arial" w:hAnsi="Arial" w:cs="Arial"/>
          <w:sz w:val="24"/>
          <w:szCs w:val="24"/>
          <w:lang w:val="en-US"/>
        </w:rPr>
        <w:t xml:space="preserve">ikely to have </w:t>
      </w:r>
      <w:r w:rsidR="00D72A8C" w:rsidRPr="0018334E">
        <w:rPr>
          <w:rFonts w:ascii="Arial" w:hAnsi="Arial" w:cs="Arial"/>
          <w:sz w:val="24"/>
          <w:szCs w:val="24"/>
          <w:lang w:val="en-US"/>
        </w:rPr>
        <w:t xml:space="preserve">substantially </w:t>
      </w:r>
      <w:r w:rsidR="006C6388" w:rsidRPr="0018334E">
        <w:rPr>
          <w:rFonts w:ascii="Arial" w:hAnsi="Arial" w:cs="Arial"/>
          <w:sz w:val="24"/>
          <w:szCs w:val="24"/>
          <w:lang w:val="en-US"/>
        </w:rPr>
        <w:t>affected our results</w:t>
      </w:r>
      <w:r w:rsidR="00052E78" w:rsidRPr="0018334E">
        <w:rPr>
          <w:rFonts w:ascii="Arial" w:hAnsi="Arial" w:cs="Arial"/>
          <w:sz w:val="24"/>
          <w:szCs w:val="24"/>
          <w:lang w:val="en-US"/>
        </w:rPr>
        <w:t>.</w:t>
      </w:r>
      <w:r w:rsidR="00483A04">
        <w:rPr>
          <w:rFonts w:ascii="Arial" w:hAnsi="Arial" w:cs="Arial"/>
          <w:sz w:val="24"/>
          <w:szCs w:val="24"/>
          <w:lang w:val="en-US"/>
        </w:rPr>
        <w:t xml:space="preserve"> </w:t>
      </w:r>
      <w:r w:rsidR="00074BC8" w:rsidRPr="0018334E">
        <w:rPr>
          <w:rFonts w:ascii="Arial" w:hAnsi="Arial" w:cs="Arial"/>
          <w:sz w:val="24"/>
          <w:szCs w:val="24"/>
          <w:lang w:val="en-US"/>
        </w:rPr>
        <w:t xml:space="preserve">As for all observational studies, </w:t>
      </w:r>
      <w:r w:rsidR="00483A04">
        <w:rPr>
          <w:rFonts w:ascii="Arial" w:hAnsi="Arial" w:cs="Arial"/>
          <w:sz w:val="24"/>
          <w:szCs w:val="24"/>
          <w:lang w:val="en-US"/>
        </w:rPr>
        <w:t xml:space="preserve">we cannot </w:t>
      </w:r>
      <w:r w:rsidR="00074BC8" w:rsidRPr="0018334E">
        <w:rPr>
          <w:rFonts w:ascii="Arial" w:eastAsia="Verdana" w:hAnsi="Arial" w:cs="Arial"/>
          <w:sz w:val="24"/>
          <w:szCs w:val="24"/>
          <w:lang w:val="en-US"/>
        </w:rPr>
        <w:t>exclude reverse causality or residual confounding as potential explanations for our findings.</w:t>
      </w:r>
      <w:r w:rsidR="00A61F27">
        <w:rPr>
          <w:rFonts w:ascii="Arial" w:eastAsia="Verdana" w:hAnsi="Arial" w:cs="Arial"/>
          <w:sz w:val="24"/>
          <w:szCs w:val="24"/>
          <w:lang w:val="en-US"/>
        </w:rPr>
        <w:t xml:space="preserve"> However, there was no relationship between the iron biomarkers and HbA1c at baseline in the </w:t>
      </w:r>
      <w:proofErr w:type="spellStart"/>
      <w:r w:rsidR="00A61F27">
        <w:rPr>
          <w:rFonts w:ascii="Arial" w:eastAsia="Verdana" w:hAnsi="Arial" w:cs="Arial"/>
          <w:sz w:val="24"/>
          <w:szCs w:val="24"/>
          <w:lang w:val="en-US"/>
        </w:rPr>
        <w:t>subcohort</w:t>
      </w:r>
      <w:proofErr w:type="spellEnd"/>
      <w:r w:rsidR="00A61F27">
        <w:rPr>
          <w:rFonts w:ascii="Arial" w:eastAsia="Verdana" w:hAnsi="Arial" w:cs="Arial"/>
          <w:sz w:val="24"/>
          <w:szCs w:val="24"/>
          <w:lang w:val="en-US"/>
        </w:rPr>
        <w:t xml:space="preserve"> and sensitivity analyses excluding individuals who developed diabetes </w:t>
      </w:r>
      <w:r w:rsidR="00D95F5D">
        <w:rPr>
          <w:rFonts w:ascii="Arial" w:eastAsia="Verdana" w:hAnsi="Arial" w:cs="Arial"/>
          <w:sz w:val="24"/>
          <w:szCs w:val="24"/>
          <w:lang w:val="en-US"/>
        </w:rPr>
        <w:t xml:space="preserve">within </w:t>
      </w:r>
      <w:r w:rsidR="00D510F6">
        <w:rPr>
          <w:rFonts w:ascii="Arial" w:eastAsia="Verdana" w:hAnsi="Arial" w:cs="Arial"/>
          <w:sz w:val="24"/>
          <w:szCs w:val="24"/>
          <w:lang w:val="en-US"/>
        </w:rPr>
        <w:t xml:space="preserve">the first </w:t>
      </w:r>
      <w:r w:rsidR="00AA137D">
        <w:rPr>
          <w:rFonts w:ascii="Arial" w:eastAsia="Verdana" w:hAnsi="Arial" w:cs="Arial"/>
          <w:sz w:val="24"/>
          <w:szCs w:val="24"/>
          <w:lang w:val="en-US"/>
        </w:rPr>
        <w:t>two</w:t>
      </w:r>
      <w:r w:rsidR="00D510F6">
        <w:rPr>
          <w:rFonts w:ascii="Arial" w:eastAsia="Verdana" w:hAnsi="Arial" w:cs="Arial"/>
          <w:sz w:val="24"/>
          <w:szCs w:val="24"/>
          <w:lang w:val="en-US"/>
        </w:rPr>
        <w:t xml:space="preserve"> </w:t>
      </w:r>
      <w:r w:rsidR="00AA137D">
        <w:rPr>
          <w:rFonts w:ascii="Arial" w:eastAsia="Verdana" w:hAnsi="Arial" w:cs="Arial"/>
          <w:sz w:val="24"/>
          <w:szCs w:val="24"/>
          <w:lang w:val="en-US"/>
        </w:rPr>
        <w:t>ye</w:t>
      </w:r>
      <w:r w:rsidR="00D95F5D">
        <w:rPr>
          <w:rFonts w:ascii="Arial" w:eastAsia="Verdana" w:hAnsi="Arial" w:cs="Arial"/>
          <w:sz w:val="24"/>
          <w:szCs w:val="24"/>
          <w:lang w:val="en-US"/>
        </w:rPr>
        <w:t>ars</w:t>
      </w:r>
      <w:r w:rsidR="00A61F27">
        <w:rPr>
          <w:rFonts w:ascii="Arial" w:eastAsia="Verdana" w:hAnsi="Arial" w:cs="Arial"/>
          <w:sz w:val="24"/>
          <w:szCs w:val="24"/>
          <w:lang w:val="en-US"/>
        </w:rPr>
        <w:t xml:space="preserve"> </w:t>
      </w:r>
      <w:r w:rsidR="00D510F6">
        <w:rPr>
          <w:rFonts w:ascii="Arial" w:eastAsia="Verdana" w:hAnsi="Arial" w:cs="Arial"/>
          <w:sz w:val="24"/>
          <w:szCs w:val="24"/>
          <w:lang w:val="en-US"/>
        </w:rPr>
        <w:t>of</w:t>
      </w:r>
      <w:r w:rsidR="00A61F27">
        <w:rPr>
          <w:rFonts w:ascii="Arial" w:eastAsia="Verdana" w:hAnsi="Arial" w:cs="Arial"/>
          <w:sz w:val="24"/>
          <w:szCs w:val="24"/>
          <w:lang w:val="en-US"/>
        </w:rPr>
        <w:t xml:space="preserve"> follow-up did not change the results. These observations lessen the likelihood of reverse causality.</w:t>
      </w:r>
    </w:p>
    <w:p w:rsidR="00815610" w:rsidRPr="0018334E" w:rsidRDefault="006F71EE" w:rsidP="00F328BE">
      <w:pPr>
        <w:tabs>
          <w:tab w:val="left" w:pos="1970"/>
        </w:tabs>
        <w:spacing w:after="0" w:line="480" w:lineRule="auto"/>
        <w:jc w:val="both"/>
        <w:rPr>
          <w:rFonts w:ascii="Arial" w:hAnsi="Arial" w:cs="Arial"/>
          <w:b/>
          <w:sz w:val="24"/>
          <w:szCs w:val="24"/>
          <w:lang w:val="en-US"/>
        </w:rPr>
      </w:pPr>
      <w:r>
        <w:rPr>
          <w:rFonts w:ascii="Arial" w:hAnsi="Arial" w:cs="Arial"/>
          <w:b/>
          <w:sz w:val="24"/>
          <w:szCs w:val="24"/>
          <w:lang w:val="en-US"/>
        </w:rPr>
        <w:tab/>
      </w:r>
    </w:p>
    <w:p w:rsidR="007A6D1C" w:rsidRPr="0018334E" w:rsidRDefault="00A333B0" w:rsidP="00F328BE">
      <w:pPr>
        <w:spacing w:after="0" w:line="480" w:lineRule="auto"/>
        <w:jc w:val="both"/>
        <w:rPr>
          <w:rFonts w:ascii="Arial" w:hAnsi="Arial" w:cs="Arial"/>
          <w:sz w:val="24"/>
          <w:szCs w:val="24"/>
          <w:lang w:val="en-US"/>
        </w:rPr>
      </w:pPr>
      <w:r w:rsidRPr="0018334E">
        <w:rPr>
          <w:rFonts w:ascii="Arial" w:eastAsia="Verdana" w:hAnsi="Arial" w:cs="Arial"/>
          <w:sz w:val="24"/>
          <w:szCs w:val="24"/>
          <w:lang w:val="en-US"/>
        </w:rPr>
        <w:lastRenderedPageBreak/>
        <w:t>In conclusion, t</w:t>
      </w:r>
      <w:r w:rsidR="00815610" w:rsidRPr="0018334E">
        <w:rPr>
          <w:rFonts w:ascii="Arial" w:eastAsia="Verdana" w:hAnsi="Arial" w:cs="Arial"/>
          <w:sz w:val="24"/>
          <w:szCs w:val="24"/>
          <w:lang w:val="en-US"/>
        </w:rPr>
        <w:t>he</w:t>
      </w:r>
      <w:r w:rsidR="000E08D5" w:rsidRPr="0018334E">
        <w:rPr>
          <w:rFonts w:ascii="Arial" w:eastAsia="Verdana" w:hAnsi="Arial" w:cs="Arial"/>
          <w:sz w:val="24"/>
          <w:szCs w:val="24"/>
          <w:lang w:val="en-US"/>
        </w:rPr>
        <w:t xml:space="preserve"> </w:t>
      </w:r>
      <w:r w:rsidR="00815610" w:rsidRPr="0018334E">
        <w:rPr>
          <w:rFonts w:ascii="Arial" w:eastAsia="Verdana" w:hAnsi="Arial" w:cs="Arial"/>
          <w:sz w:val="24"/>
          <w:szCs w:val="24"/>
          <w:lang w:val="en-US"/>
        </w:rPr>
        <w:t xml:space="preserve">observed </w:t>
      </w:r>
      <w:r w:rsidR="000E08D5" w:rsidRPr="0018334E">
        <w:rPr>
          <w:rFonts w:ascii="Arial" w:eastAsia="Verdana" w:hAnsi="Arial" w:cs="Arial"/>
          <w:sz w:val="24"/>
          <w:szCs w:val="24"/>
          <w:lang w:val="en-US"/>
        </w:rPr>
        <w:t xml:space="preserve">pattern of association </w:t>
      </w:r>
      <w:r w:rsidR="00815610" w:rsidRPr="0018334E">
        <w:rPr>
          <w:rFonts w:ascii="Arial" w:eastAsia="Verdana" w:hAnsi="Arial" w:cs="Arial"/>
          <w:sz w:val="24"/>
          <w:szCs w:val="24"/>
          <w:lang w:val="en-US"/>
        </w:rPr>
        <w:t xml:space="preserve">of these biomarkers of iron metabolism and </w:t>
      </w:r>
      <w:r w:rsidR="0019207F" w:rsidRPr="0018334E">
        <w:rPr>
          <w:rFonts w:ascii="Arial" w:hAnsi="Arial" w:cs="Arial"/>
          <w:sz w:val="24"/>
          <w:szCs w:val="24"/>
          <w:lang w:val="en-US"/>
        </w:rPr>
        <w:t>type 2 diabetes</w:t>
      </w:r>
      <w:r w:rsidR="00815610" w:rsidRPr="0018334E">
        <w:rPr>
          <w:rFonts w:ascii="Arial" w:eastAsia="Verdana" w:hAnsi="Arial" w:cs="Arial"/>
          <w:sz w:val="24"/>
          <w:szCs w:val="24"/>
          <w:lang w:val="en-US"/>
        </w:rPr>
        <w:t xml:space="preserve"> </w:t>
      </w:r>
      <w:r w:rsidRPr="0018334E">
        <w:rPr>
          <w:rFonts w:ascii="Arial" w:eastAsia="Verdana" w:hAnsi="Arial" w:cs="Arial"/>
          <w:sz w:val="24"/>
          <w:szCs w:val="24"/>
          <w:lang w:val="en-US"/>
        </w:rPr>
        <w:t>s</w:t>
      </w:r>
      <w:r w:rsidR="00A3586C" w:rsidRPr="0018334E">
        <w:rPr>
          <w:rFonts w:ascii="Arial" w:eastAsia="Verdana" w:hAnsi="Arial" w:cs="Arial"/>
          <w:sz w:val="24"/>
          <w:szCs w:val="24"/>
          <w:lang w:val="en-US"/>
        </w:rPr>
        <w:t>uggests</w:t>
      </w:r>
      <w:r w:rsidR="000E08D5" w:rsidRPr="0018334E">
        <w:rPr>
          <w:rFonts w:ascii="Arial" w:eastAsia="Verdana" w:hAnsi="Arial" w:cs="Arial"/>
          <w:sz w:val="24"/>
          <w:szCs w:val="24"/>
          <w:lang w:val="en-US"/>
        </w:rPr>
        <w:t xml:space="preserve"> a more complex </w:t>
      </w:r>
      <w:r w:rsidR="004C6C10">
        <w:rPr>
          <w:rFonts w:ascii="Arial" w:eastAsia="Verdana" w:hAnsi="Arial" w:cs="Arial"/>
          <w:sz w:val="24"/>
          <w:szCs w:val="24"/>
          <w:lang w:val="en-US"/>
        </w:rPr>
        <w:t>relationship</w:t>
      </w:r>
      <w:r w:rsidR="004C6C10" w:rsidRPr="0018334E">
        <w:rPr>
          <w:rFonts w:ascii="Arial" w:eastAsia="Verdana" w:hAnsi="Arial" w:cs="Arial"/>
          <w:sz w:val="24"/>
          <w:szCs w:val="24"/>
          <w:lang w:val="en-US"/>
        </w:rPr>
        <w:t xml:space="preserve"> </w:t>
      </w:r>
      <w:r w:rsidR="000E08D5" w:rsidRPr="0018334E">
        <w:rPr>
          <w:rFonts w:ascii="Arial" w:eastAsia="Verdana" w:hAnsi="Arial" w:cs="Arial"/>
          <w:sz w:val="24"/>
          <w:szCs w:val="24"/>
          <w:lang w:val="en-US"/>
        </w:rPr>
        <w:t xml:space="preserve">than simply high iron stores being a risk factor for </w:t>
      </w:r>
      <w:r w:rsidR="0019207F" w:rsidRPr="0018334E">
        <w:rPr>
          <w:rFonts w:ascii="Arial" w:hAnsi="Arial" w:cs="Arial"/>
          <w:sz w:val="24"/>
          <w:szCs w:val="24"/>
          <w:lang w:val="en-US"/>
        </w:rPr>
        <w:t>type 2 diabetes</w:t>
      </w:r>
      <w:r w:rsidR="000E08D5" w:rsidRPr="0018334E">
        <w:rPr>
          <w:rFonts w:ascii="Arial" w:eastAsia="Verdana" w:hAnsi="Arial" w:cs="Arial"/>
          <w:sz w:val="24"/>
          <w:szCs w:val="24"/>
          <w:lang w:val="en-US"/>
        </w:rPr>
        <w:t xml:space="preserve">. </w:t>
      </w:r>
      <w:r w:rsidR="00E12C27">
        <w:rPr>
          <w:rFonts w:ascii="Arial" w:eastAsia="Verdana" w:hAnsi="Arial" w:cs="Arial"/>
          <w:sz w:val="24"/>
          <w:szCs w:val="24"/>
          <w:lang w:val="en-US"/>
        </w:rPr>
        <w:t>I</w:t>
      </w:r>
      <w:r w:rsidR="00E201A7" w:rsidRPr="0018334E">
        <w:rPr>
          <w:rFonts w:ascii="Arial" w:eastAsia="Verdana" w:hAnsi="Arial" w:cs="Arial"/>
          <w:sz w:val="24"/>
          <w:szCs w:val="24"/>
          <w:lang w:val="en-US"/>
        </w:rPr>
        <w:t xml:space="preserve">t remains to be clarified </w:t>
      </w:r>
      <w:r w:rsidR="00F46D7F" w:rsidRPr="0018334E">
        <w:rPr>
          <w:rFonts w:ascii="Arial" w:eastAsia="Verdana" w:hAnsi="Arial" w:cs="Arial"/>
          <w:sz w:val="24"/>
          <w:szCs w:val="24"/>
          <w:lang w:val="en-US"/>
        </w:rPr>
        <w:t xml:space="preserve">whether </w:t>
      </w:r>
      <w:r w:rsidR="00E12C27">
        <w:rPr>
          <w:rFonts w:ascii="Arial" w:eastAsia="Verdana" w:hAnsi="Arial" w:cs="Arial"/>
          <w:sz w:val="24"/>
          <w:szCs w:val="24"/>
          <w:lang w:val="en-US"/>
        </w:rPr>
        <w:t>the association</w:t>
      </w:r>
      <w:r w:rsidR="004C6C10">
        <w:rPr>
          <w:rFonts w:ascii="Arial" w:eastAsia="Verdana" w:hAnsi="Arial" w:cs="Arial"/>
          <w:sz w:val="24"/>
          <w:szCs w:val="24"/>
          <w:lang w:val="en-US"/>
        </w:rPr>
        <w:t>s</w:t>
      </w:r>
      <w:r w:rsidR="00E12C27">
        <w:rPr>
          <w:rFonts w:ascii="Arial" w:eastAsia="Verdana" w:hAnsi="Arial" w:cs="Arial"/>
          <w:sz w:val="24"/>
          <w:szCs w:val="24"/>
          <w:lang w:val="en-US"/>
        </w:rPr>
        <w:t xml:space="preserve"> of higher ferritin and transferrin with type 2 diabetes </w:t>
      </w:r>
      <w:proofErr w:type="spellStart"/>
      <w:r w:rsidR="004C6C10">
        <w:rPr>
          <w:rFonts w:ascii="Arial" w:eastAsia="Verdana" w:hAnsi="Arial" w:cs="Arial"/>
          <w:sz w:val="24"/>
          <w:szCs w:val="24"/>
          <w:lang w:val="en-US"/>
        </w:rPr>
        <w:t>are</w:t>
      </w:r>
      <w:r w:rsidR="00F46D7F" w:rsidRPr="0018334E">
        <w:rPr>
          <w:rFonts w:ascii="Arial" w:eastAsia="Verdana" w:hAnsi="Arial" w:cs="Arial"/>
          <w:sz w:val="24"/>
          <w:szCs w:val="24"/>
          <w:lang w:val="en-US"/>
        </w:rPr>
        <w:t>due</w:t>
      </w:r>
      <w:proofErr w:type="spellEnd"/>
      <w:r w:rsidR="00F46D7F" w:rsidRPr="0018334E">
        <w:rPr>
          <w:rFonts w:ascii="Arial" w:eastAsia="Verdana" w:hAnsi="Arial" w:cs="Arial"/>
          <w:sz w:val="24"/>
          <w:szCs w:val="24"/>
          <w:lang w:val="en-US"/>
        </w:rPr>
        <w:t xml:space="preserve"> to a causal role </w:t>
      </w:r>
      <w:r w:rsidR="00E201A7" w:rsidRPr="0018334E">
        <w:rPr>
          <w:rFonts w:ascii="Arial" w:eastAsia="Verdana" w:hAnsi="Arial" w:cs="Arial"/>
          <w:sz w:val="24"/>
          <w:szCs w:val="24"/>
          <w:lang w:val="en-US"/>
        </w:rPr>
        <w:t xml:space="preserve">of </w:t>
      </w:r>
      <w:r w:rsidR="00F46D7F" w:rsidRPr="0018334E">
        <w:rPr>
          <w:rFonts w:ascii="Arial" w:eastAsia="Verdana" w:hAnsi="Arial" w:cs="Arial"/>
          <w:sz w:val="24"/>
          <w:szCs w:val="24"/>
          <w:lang w:val="en-US"/>
        </w:rPr>
        <w:t xml:space="preserve">iron </w:t>
      </w:r>
      <w:r w:rsidR="00E201A7" w:rsidRPr="0018334E">
        <w:rPr>
          <w:rFonts w:ascii="Arial" w:eastAsia="Verdana" w:hAnsi="Arial" w:cs="Arial"/>
          <w:sz w:val="24"/>
          <w:szCs w:val="24"/>
          <w:lang w:val="en-US"/>
        </w:rPr>
        <w:t>in the pathogenesis of</w:t>
      </w:r>
      <w:r w:rsidR="00F46D7F" w:rsidRPr="0018334E">
        <w:rPr>
          <w:rFonts w:ascii="Arial" w:eastAsia="Verdana" w:hAnsi="Arial" w:cs="Arial"/>
          <w:sz w:val="24"/>
          <w:szCs w:val="24"/>
          <w:lang w:val="en-US"/>
        </w:rPr>
        <w:t xml:space="preserve"> </w:t>
      </w:r>
      <w:r w:rsidR="0019207F" w:rsidRPr="0018334E">
        <w:rPr>
          <w:rFonts w:ascii="Arial" w:hAnsi="Arial" w:cs="Arial"/>
          <w:sz w:val="24"/>
          <w:szCs w:val="24"/>
          <w:lang w:val="en-US"/>
        </w:rPr>
        <w:t>type 2 diabetes</w:t>
      </w:r>
      <w:r w:rsidR="00F46D7F" w:rsidRPr="0018334E">
        <w:rPr>
          <w:rFonts w:ascii="Arial" w:eastAsia="Verdana" w:hAnsi="Arial" w:cs="Arial"/>
          <w:sz w:val="24"/>
          <w:szCs w:val="24"/>
          <w:lang w:val="en-US"/>
        </w:rPr>
        <w:t xml:space="preserve">, or whether </w:t>
      </w:r>
      <w:r w:rsidR="00E201A7" w:rsidRPr="0018334E">
        <w:rPr>
          <w:rFonts w:ascii="Arial" w:eastAsia="Verdana" w:hAnsi="Arial" w:cs="Arial"/>
          <w:sz w:val="24"/>
          <w:szCs w:val="24"/>
          <w:lang w:val="en-US"/>
        </w:rPr>
        <w:t xml:space="preserve">it </w:t>
      </w:r>
      <w:r w:rsidR="00E93163" w:rsidRPr="0018334E">
        <w:rPr>
          <w:rFonts w:ascii="Arial" w:eastAsia="Verdana" w:hAnsi="Arial" w:cs="Arial"/>
          <w:sz w:val="24"/>
          <w:szCs w:val="24"/>
          <w:lang w:val="en-US"/>
        </w:rPr>
        <w:t xml:space="preserve">simply </w:t>
      </w:r>
      <w:r w:rsidR="00E201A7" w:rsidRPr="0018334E">
        <w:rPr>
          <w:rFonts w:ascii="Arial" w:eastAsia="Verdana" w:hAnsi="Arial" w:cs="Arial"/>
          <w:sz w:val="24"/>
          <w:szCs w:val="24"/>
          <w:lang w:val="en-US"/>
        </w:rPr>
        <w:t>reflects</w:t>
      </w:r>
      <w:r w:rsidR="00F46D7F" w:rsidRPr="0018334E">
        <w:rPr>
          <w:rFonts w:ascii="Arial" w:eastAsia="Verdana" w:hAnsi="Arial" w:cs="Arial"/>
          <w:sz w:val="24"/>
          <w:szCs w:val="24"/>
          <w:lang w:val="en-US"/>
        </w:rPr>
        <w:t xml:space="preserve"> the underlying progression of insulin </w:t>
      </w:r>
      <w:r w:rsidR="00E201A7" w:rsidRPr="0018334E">
        <w:rPr>
          <w:rFonts w:ascii="Arial" w:eastAsia="Verdana" w:hAnsi="Arial" w:cs="Arial"/>
          <w:sz w:val="24"/>
          <w:szCs w:val="24"/>
          <w:lang w:val="en-US"/>
        </w:rPr>
        <w:t>resistance</w:t>
      </w:r>
      <w:r w:rsidR="00F46D7F" w:rsidRPr="0018334E">
        <w:rPr>
          <w:rFonts w:ascii="Arial" w:eastAsia="Verdana" w:hAnsi="Arial" w:cs="Arial"/>
          <w:sz w:val="24"/>
          <w:szCs w:val="24"/>
          <w:lang w:val="en-US"/>
        </w:rPr>
        <w:t xml:space="preserve">. </w:t>
      </w:r>
      <w:r w:rsidR="00E201A7" w:rsidRPr="0018334E">
        <w:rPr>
          <w:rFonts w:ascii="Arial" w:eastAsia="Verdana" w:hAnsi="Arial" w:cs="Arial"/>
          <w:sz w:val="24"/>
          <w:szCs w:val="24"/>
          <w:lang w:val="en-US"/>
        </w:rPr>
        <w:t>The</w:t>
      </w:r>
      <w:r w:rsidR="00E93163" w:rsidRPr="0018334E">
        <w:rPr>
          <w:rFonts w:ascii="Arial" w:eastAsia="Verdana" w:hAnsi="Arial" w:cs="Arial"/>
          <w:sz w:val="24"/>
          <w:szCs w:val="24"/>
          <w:lang w:val="en-US"/>
        </w:rPr>
        <w:t xml:space="preserve"> genetics of iron metabolism in general and specifically of</w:t>
      </w:r>
      <w:r w:rsidR="005A1970" w:rsidRPr="0018334E">
        <w:rPr>
          <w:rFonts w:ascii="Arial" w:eastAsia="Verdana" w:hAnsi="Arial" w:cs="Arial"/>
          <w:sz w:val="24"/>
          <w:szCs w:val="24"/>
          <w:lang w:val="en-US"/>
        </w:rPr>
        <w:t xml:space="preserve"> </w:t>
      </w:r>
      <w:r w:rsidR="00356861" w:rsidRPr="0018334E">
        <w:rPr>
          <w:rFonts w:ascii="Arial" w:eastAsia="Verdana" w:hAnsi="Arial" w:cs="Arial"/>
          <w:sz w:val="24"/>
          <w:szCs w:val="24"/>
          <w:lang w:val="en-US"/>
        </w:rPr>
        <w:t xml:space="preserve">different </w:t>
      </w:r>
      <w:r w:rsidR="00E201A7" w:rsidRPr="0018334E">
        <w:rPr>
          <w:rFonts w:ascii="Arial" w:hAnsi="Arial" w:cs="Arial"/>
          <w:sz w:val="24"/>
          <w:szCs w:val="24"/>
          <w:lang w:val="en-US"/>
        </w:rPr>
        <w:t xml:space="preserve">disorders of iron </w:t>
      </w:r>
      <w:r w:rsidR="00E93163" w:rsidRPr="0018334E">
        <w:rPr>
          <w:rFonts w:ascii="Arial" w:hAnsi="Arial" w:cs="Arial"/>
          <w:sz w:val="24"/>
          <w:szCs w:val="24"/>
          <w:lang w:val="en-US"/>
        </w:rPr>
        <w:t>metabolism</w:t>
      </w:r>
      <w:r w:rsidR="00E201A7" w:rsidRPr="0018334E">
        <w:rPr>
          <w:rFonts w:ascii="Arial" w:hAnsi="Arial" w:cs="Arial"/>
          <w:sz w:val="24"/>
          <w:szCs w:val="24"/>
          <w:lang w:val="en-US"/>
        </w:rPr>
        <w:t xml:space="preserve"> </w:t>
      </w:r>
      <w:r w:rsidR="00674E55" w:rsidRPr="0018334E">
        <w:rPr>
          <w:rFonts w:ascii="Arial" w:hAnsi="Arial" w:cs="Arial"/>
          <w:sz w:val="24"/>
          <w:szCs w:val="24"/>
          <w:lang w:val="en-US"/>
        </w:rPr>
        <w:t xml:space="preserve">based on </w:t>
      </w:r>
      <w:r w:rsidR="00356861" w:rsidRPr="0018334E">
        <w:rPr>
          <w:rFonts w:ascii="Arial" w:hAnsi="Arial" w:cs="Arial"/>
          <w:sz w:val="24"/>
          <w:szCs w:val="24"/>
          <w:lang w:val="en-US"/>
        </w:rPr>
        <w:t>their</w:t>
      </w:r>
      <w:r w:rsidR="00E201A7" w:rsidRPr="0018334E">
        <w:rPr>
          <w:rFonts w:ascii="Arial" w:hAnsi="Arial" w:cs="Arial"/>
          <w:sz w:val="24"/>
          <w:szCs w:val="24"/>
          <w:lang w:val="en-US"/>
        </w:rPr>
        <w:t xml:space="preserve"> mechanisms </w:t>
      </w:r>
      <w:r w:rsidR="00B74949" w:rsidRPr="0018334E">
        <w:rPr>
          <w:rFonts w:ascii="Arial" w:hAnsi="Arial" w:cs="Arial"/>
          <w:sz w:val="24"/>
          <w:szCs w:val="24"/>
          <w:lang w:val="en-US"/>
        </w:rPr>
        <w:t xml:space="preserve">may </w:t>
      </w:r>
      <w:r w:rsidR="00674E55" w:rsidRPr="0018334E">
        <w:rPr>
          <w:rFonts w:ascii="Arial" w:hAnsi="Arial" w:cs="Arial"/>
          <w:sz w:val="24"/>
          <w:szCs w:val="24"/>
          <w:lang w:val="en-US"/>
        </w:rPr>
        <w:t>be useful in</w:t>
      </w:r>
      <w:r w:rsidR="00B74949" w:rsidRPr="0018334E">
        <w:rPr>
          <w:rFonts w:ascii="Arial" w:hAnsi="Arial" w:cs="Arial"/>
          <w:sz w:val="24"/>
          <w:szCs w:val="24"/>
          <w:lang w:val="en-US"/>
        </w:rPr>
        <w:t xml:space="preserve"> address</w:t>
      </w:r>
      <w:r w:rsidR="00674E55" w:rsidRPr="0018334E">
        <w:rPr>
          <w:rFonts w:ascii="Arial" w:hAnsi="Arial" w:cs="Arial"/>
          <w:sz w:val="24"/>
          <w:szCs w:val="24"/>
          <w:lang w:val="en-US"/>
        </w:rPr>
        <w:t>ing</w:t>
      </w:r>
      <w:r w:rsidR="00B74949" w:rsidRPr="0018334E">
        <w:rPr>
          <w:rFonts w:ascii="Arial" w:hAnsi="Arial" w:cs="Arial"/>
          <w:sz w:val="24"/>
          <w:szCs w:val="24"/>
          <w:lang w:val="en-US"/>
        </w:rPr>
        <w:t xml:space="preserve"> these questions</w:t>
      </w:r>
      <w:r w:rsidR="00477E6B" w:rsidRPr="0018334E">
        <w:rPr>
          <w:rFonts w:ascii="Arial" w:hAnsi="Arial" w:cs="Arial"/>
          <w:sz w:val="24"/>
          <w:szCs w:val="24"/>
          <w:lang w:val="en-US"/>
        </w:rPr>
        <w:t xml:space="preserve"> which are difficult to answer using traditional observational designs</w:t>
      </w:r>
      <w:r w:rsidR="00B74949" w:rsidRPr="0018334E">
        <w:rPr>
          <w:rFonts w:ascii="Arial" w:hAnsi="Arial" w:cs="Arial"/>
          <w:sz w:val="24"/>
          <w:szCs w:val="24"/>
          <w:lang w:val="en-US"/>
        </w:rPr>
        <w:t>.</w:t>
      </w:r>
    </w:p>
    <w:p w:rsidR="007A6D1C" w:rsidRPr="0018334E" w:rsidRDefault="007A6D1C" w:rsidP="00F328BE">
      <w:pPr>
        <w:jc w:val="both"/>
        <w:rPr>
          <w:rFonts w:ascii="Arial" w:hAnsi="Arial" w:cs="Arial"/>
          <w:sz w:val="24"/>
          <w:szCs w:val="24"/>
          <w:lang w:val="en-US"/>
        </w:rPr>
      </w:pPr>
      <w:r w:rsidRPr="0018334E">
        <w:rPr>
          <w:rFonts w:ascii="Arial" w:hAnsi="Arial" w:cs="Arial"/>
          <w:sz w:val="24"/>
          <w:szCs w:val="24"/>
          <w:lang w:val="en-US"/>
        </w:rPr>
        <w:br w:type="page"/>
      </w:r>
    </w:p>
    <w:p w:rsidR="00815610" w:rsidRDefault="00270896" w:rsidP="003E14CA">
      <w:pPr>
        <w:spacing w:after="0" w:line="480" w:lineRule="auto"/>
        <w:jc w:val="both"/>
        <w:rPr>
          <w:rFonts w:ascii="Arial" w:eastAsia="Verdana" w:hAnsi="Arial" w:cs="Arial"/>
          <w:sz w:val="24"/>
          <w:szCs w:val="24"/>
          <w:lang w:val="en-US"/>
        </w:rPr>
      </w:pPr>
      <w:r w:rsidRPr="00022037">
        <w:rPr>
          <w:rFonts w:ascii="Arial" w:eastAsia="Verdana" w:hAnsi="Arial" w:cs="Arial"/>
          <w:sz w:val="24"/>
          <w:szCs w:val="24"/>
          <w:lang w:val="en-US"/>
        </w:rPr>
        <w:lastRenderedPageBreak/>
        <w:t>ACKNOWLEDGEMENTS</w:t>
      </w:r>
    </w:p>
    <w:p w:rsidR="00EA5579" w:rsidRDefault="00EA5579" w:rsidP="003E14CA">
      <w:pPr>
        <w:spacing w:after="0" w:line="480" w:lineRule="auto"/>
        <w:jc w:val="both"/>
        <w:rPr>
          <w:rFonts w:ascii="Arial" w:eastAsia="Verdana" w:hAnsi="Arial" w:cs="Arial"/>
          <w:sz w:val="24"/>
          <w:szCs w:val="24"/>
          <w:lang w:val="en-US"/>
        </w:rPr>
      </w:pPr>
    </w:p>
    <w:p w:rsidR="00735502" w:rsidRPr="00735502" w:rsidRDefault="00735502" w:rsidP="00735502">
      <w:pPr>
        <w:spacing w:after="0" w:line="480" w:lineRule="auto"/>
        <w:jc w:val="both"/>
        <w:rPr>
          <w:rFonts w:ascii="Arial" w:eastAsia="Verdana" w:hAnsi="Arial" w:cs="Arial"/>
          <w:sz w:val="24"/>
          <w:szCs w:val="24"/>
          <w:lang w:val="en-US"/>
        </w:rPr>
      </w:pPr>
      <w:r w:rsidRPr="00735502">
        <w:rPr>
          <w:rFonts w:ascii="Arial" w:eastAsia="Verdana" w:hAnsi="Arial" w:cs="Arial"/>
          <w:sz w:val="24"/>
          <w:szCs w:val="24"/>
          <w:lang w:val="en-US"/>
        </w:rPr>
        <w:t>Main Author contributions:</w:t>
      </w:r>
    </w:p>
    <w:p w:rsidR="00735502" w:rsidRPr="0018334E" w:rsidRDefault="00735502" w:rsidP="00735502">
      <w:pPr>
        <w:spacing w:after="120" w:line="480" w:lineRule="auto"/>
        <w:jc w:val="both"/>
        <w:rPr>
          <w:rFonts w:ascii="Arial" w:hAnsi="Arial" w:cs="Arial"/>
          <w:sz w:val="24"/>
          <w:szCs w:val="24"/>
          <w:lang w:eastAsia="ja-JP"/>
        </w:rPr>
      </w:pPr>
      <w:r w:rsidRPr="0018334E">
        <w:rPr>
          <w:rFonts w:ascii="Arial" w:hAnsi="Arial" w:cs="Arial"/>
          <w:sz w:val="24"/>
          <w:szCs w:val="24"/>
          <w:lang w:eastAsia="ja-JP"/>
        </w:rPr>
        <w:t xml:space="preserve">CP analysed the data and drafted the manuscript. </w:t>
      </w:r>
      <w:r>
        <w:rPr>
          <w:rFonts w:ascii="Arial" w:hAnsi="Arial" w:cs="Arial"/>
          <w:sz w:val="24"/>
          <w:szCs w:val="24"/>
          <w:lang w:eastAsia="ja-JP"/>
        </w:rPr>
        <w:t xml:space="preserve">CP, KM, MBS, RAS, AR, ASB, EDA, JD, LA, AB, HB, FCC, AJC, CCD, GF, PWF, DG, SG, MJG, GG, PJ, VK, TJK, TK, AM, PMN, AO, KO, DP, JRQ, OR, CS, ESC, NS, IS, AMWS, AT, RT, DLA, YTS, EJMF, NGF, SJS, ER, CL and NJW </w:t>
      </w:r>
      <w:r w:rsidRPr="0018334E">
        <w:rPr>
          <w:rFonts w:ascii="Arial" w:hAnsi="Arial" w:cs="Arial"/>
          <w:sz w:val="24"/>
          <w:szCs w:val="24"/>
          <w:lang w:eastAsia="ja-JP"/>
        </w:rPr>
        <w:t xml:space="preserve">contributed to </w:t>
      </w:r>
      <w:r>
        <w:rPr>
          <w:rFonts w:ascii="Arial" w:hAnsi="Arial" w:cs="Arial"/>
          <w:sz w:val="24"/>
          <w:szCs w:val="24"/>
          <w:lang w:eastAsia="ja-JP"/>
        </w:rPr>
        <w:t xml:space="preserve">the </w:t>
      </w:r>
      <w:r w:rsidRPr="0018334E">
        <w:rPr>
          <w:rFonts w:ascii="Arial" w:hAnsi="Arial" w:cs="Arial"/>
          <w:sz w:val="24"/>
          <w:szCs w:val="24"/>
          <w:lang w:eastAsia="ja-JP"/>
        </w:rPr>
        <w:t>conception and design</w:t>
      </w:r>
      <w:r>
        <w:rPr>
          <w:rFonts w:ascii="Arial" w:hAnsi="Arial" w:cs="Arial"/>
          <w:sz w:val="24"/>
          <w:szCs w:val="24"/>
          <w:lang w:eastAsia="ja-JP"/>
        </w:rPr>
        <w:t xml:space="preserve"> of the study</w:t>
      </w:r>
      <w:r w:rsidRPr="0018334E">
        <w:rPr>
          <w:rFonts w:ascii="Arial" w:hAnsi="Arial" w:cs="Arial"/>
          <w:sz w:val="24"/>
          <w:szCs w:val="24"/>
          <w:lang w:eastAsia="ja-JP"/>
        </w:rPr>
        <w:t xml:space="preserve">, </w:t>
      </w:r>
      <w:r>
        <w:rPr>
          <w:rFonts w:ascii="Arial" w:hAnsi="Arial" w:cs="Arial"/>
          <w:sz w:val="24"/>
          <w:szCs w:val="24"/>
          <w:lang w:eastAsia="ja-JP"/>
        </w:rPr>
        <w:t xml:space="preserve">the </w:t>
      </w:r>
      <w:r w:rsidRPr="0018334E">
        <w:rPr>
          <w:rFonts w:ascii="Arial" w:hAnsi="Arial" w:cs="Arial"/>
          <w:sz w:val="24"/>
          <w:szCs w:val="24"/>
          <w:lang w:eastAsia="ja-JP"/>
        </w:rPr>
        <w:t xml:space="preserve">interpretation of data, </w:t>
      </w:r>
      <w:r>
        <w:rPr>
          <w:rFonts w:ascii="Arial" w:hAnsi="Arial" w:cs="Arial"/>
          <w:sz w:val="24"/>
          <w:szCs w:val="24"/>
          <w:lang w:eastAsia="ja-JP"/>
        </w:rPr>
        <w:t xml:space="preserve">and the </w:t>
      </w:r>
      <w:r w:rsidRPr="0018334E">
        <w:rPr>
          <w:rFonts w:ascii="Arial" w:hAnsi="Arial" w:cs="Arial"/>
          <w:sz w:val="24"/>
          <w:szCs w:val="24"/>
          <w:lang w:eastAsia="ja-JP"/>
        </w:rPr>
        <w:t>revisi</w:t>
      </w:r>
      <w:r>
        <w:rPr>
          <w:rFonts w:ascii="Arial" w:hAnsi="Arial" w:cs="Arial"/>
          <w:sz w:val="24"/>
          <w:szCs w:val="24"/>
          <w:lang w:eastAsia="ja-JP"/>
        </w:rPr>
        <w:t xml:space="preserve">on of </w:t>
      </w:r>
      <w:r w:rsidRPr="0018334E">
        <w:rPr>
          <w:rFonts w:ascii="Arial" w:hAnsi="Arial" w:cs="Arial"/>
          <w:sz w:val="24"/>
          <w:szCs w:val="24"/>
          <w:lang w:eastAsia="ja-JP"/>
        </w:rPr>
        <w:t xml:space="preserve">the article.  </w:t>
      </w:r>
    </w:p>
    <w:p w:rsidR="00735502" w:rsidRPr="00735502" w:rsidRDefault="00735502" w:rsidP="00735502">
      <w:pPr>
        <w:spacing w:after="0" w:line="480" w:lineRule="auto"/>
        <w:jc w:val="both"/>
        <w:rPr>
          <w:rFonts w:ascii="Arial" w:eastAsia="Verdana" w:hAnsi="Arial" w:cs="Arial"/>
          <w:sz w:val="24"/>
          <w:szCs w:val="24"/>
          <w:lang w:val="en-US"/>
        </w:rPr>
      </w:pPr>
    </w:p>
    <w:p w:rsidR="00735502" w:rsidRPr="00735502" w:rsidRDefault="00735502" w:rsidP="00735502">
      <w:pPr>
        <w:spacing w:after="0" w:line="480" w:lineRule="auto"/>
        <w:jc w:val="both"/>
        <w:rPr>
          <w:rFonts w:ascii="Arial" w:eastAsia="Verdana" w:hAnsi="Arial" w:cs="Arial"/>
          <w:sz w:val="24"/>
          <w:szCs w:val="24"/>
          <w:lang w:val="en-US"/>
        </w:rPr>
      </w:pPr>
      <w:r w:rsidRPr="00735502">
        <w:rPr>
          <w:rFonts w:ascii="Arial" w:eastAsia="Verdana" w:hAnsi="Arial" w:cs="Arial"/>
          <w:sz w:val="24"/>
          <w:szCs w:val="24"/>
          <w:lang w:val="en-US"/>
        </w:rPr>
        <w:t>Guarantor Statement:</w:t>
      </w:r>
    </w:p>
    <w:p w:rsidR="00735502" w:rsidRPr="00735502" w:rsidRDefault="00735502" w:rsidP="00735502">
      <w:pPr>
        <w:spacing w:after="0" w:line="480" w:lineRule="auto"/>
        <w:jc w:val="both"/>
        <w:rPr>
          <w:rFonts w:ascii="Arial" w:eastAsia="Verdana" w:hAnsi="Arial" w:cs="Arial"/>
          <w:sz w:val="24"/>
          <w:szCs w:val="24"/>
          <w:lang w:val="en-US"/>
        </w:rPr>
      </w:pPr>
      <w:r>
        <w:rPr>
          <w:rFonts w:ascii="Arial" w:hAnsi="Arial" w:cs="Arial"/>
          <w:sz w:val="24"/>
          <w:szCs w:val="24"/>
          <w:lang w:eastAsia="ja-JP"/>
        </w:rPr>
        <w:t>Professor Nick Wareham is the guarantor of this work and, as such, had full access to all the data in the study and takes responsibility for the integrity of the data and the accuracy of the data analysis.</w:t>
      </w:r>
    </w:p>
    <w:p w:rsidR="00735502" w:rsidRDefault="00735502" w:rsidP="00735502">
      <w:pPr>
        <w:spacing w:after="0" w:line="480" w:lineRule="auto"/>
        <w:jc w:val="both"/>
        <w:rPr>
          <w:rFonts w:ascii="Arial" w:eastAsia="Verdana" w:hAnsi="Arial" w:cs="Arial"/>
          <w:sz w:val="24"/>
          <w:szCs w:val="24"/>
          <w:lang w:val="en-US"/>
        </w:rPr>
      </w:pPr>
    </w:p>
    <w:p w:rsidR="004A62DB" w:rsidRDefault="00735502" w:rsidP="00735502">
      <w:pPr>
        <w:spacing w:after="0" w:line="480" w:lineRule="auto"/>
        <w:jc w:val="both"/>
        <w:rPr>
          <w:rFonts w:ascii="Arial" w:eastAsia="Verdana" w:hAnsi="Arial" w:cs="Arial"/>
          <w:sz w:val="24"/>
          <w:szCs w:val="24"/>
          <w:lang w:val="en-US"/>
        </w:rPr>
      </w:pPr>
      <w:r w:rsidRPr="00735502">
        <w:rPr>
          <w:rFonts w:ascii="Arial" w:eastAsia="Verdana" w:hAnsi="Arial" w:cs="Arial"/>
          <w:sz w:val="24"/>
          <w:szCs w:val="24"/>
          <w:lang w:val="en-US"/>
        </w:rPr>
        <w:t>Conflict of Interest:</w:t>
      </w:r>
      <w:r>
        <w:rPr>
          <w:rFonts w:ascii="Arial" w:eastAsia="Verdana" w:hAnsi="Arial" w:cs="Arial"/>
          <w:sz w:val="24"/>
          <w:szCs w:val="24"/>
          <w:lang w:val="en-US"/>
        </w:rPr>
        <w:t xml:space="preserve"> </w:t>
      </w:r>
      <w:r w:rsidR="000C0367" w:rsidRPr="000C0367">
        <w:rPr>
          <w:rFonts w:ascii="Arial" w:eastAsia="Verdana" w:hAnsi="Arial" w:cs="Arial"/>
          <w:sz w:val="24"/>
          <w:szCs w:val="24"/>
          <w:lang w:val="en-US"/>
        </w:rPr>
        <w:t>None of the authors declare a conflict of interest</w:t>
      </w:r>
      <w:proofErr w:type="gramStart"/>
      <w:r w:rsidR="000C0367" w:rsidRPr="000C0367">
        <w:rPr>
          <w:rFonts w:ascii="Arial" w:eastAsia="Verdana" w:hAnsi="Arial" w:cs="Arial"/>
          <w:sz w:val="24"/>
          <w:szCs w:val="24"/>
          <w:lang w:val="en-US"/>
        </w:rPr>
        <w:t>.</w:t>
      </w:r>
      <w:r>
        <w:rPr>
          <w:rFonts w:ascii="Arial" w:eastAsia="Verdana" w:hAnsi="Arial" w:cs="Arial"/>
          <w:sz w:val="24"/>
          <w:szCs w:val="24"/>
          <w:lang w:val="en-US"/>
        </w:rPr>
        <w:t>.</w:t>
      </w:r>
      <w:proofErr w:type="gramEnd"/>
    </w:p>
    <w:p w:rsidR="003E14CA" w:rsidRPr="0018334E" w:rsidRDefault="003E14CA" w:rsidP="003E14CA">
      <w:pPr>
        <w:spacing w:after="0" w:line="480" w:lineRule="auto"/>
        <w:jc w:val="both"/>
        <w:rPr>
          <w:rFonts w:ascii="Arial" w:eastAsia="Verdana" w:hAnsi="Arial" w:cs="Arial"/>
          <w:b/>
          <w:sz w:val="24"/>
          <w:szCs w:val="24"/>
          <w:lang w:val="en-US"/>
        </w:rPr>
      </w:pPr>
    </w:p>
    <w:p w:rsidR="00FC0998" w:rsidRPr="0018334E" w:rsidRDefault="000768FB" w:rsidP="003E14CA">
      <w:pPr>
        <w:spacing w:line="480" w:lineRule="auto"/>
        <w:jc w:val="both"/>
        <w:rPr>
          <w:rFonts w:ascii="Arial" w:hAnsi="Arial" w:cs="Arial"/>
          <w:sz w:val="24"/>
          <w:szCs w:val="24"/>
          <w:lang w:eastAsia="ja-JP"/>
        </w:rPr>
      </w:pPr>
      <w:r w:rsidRPr="0018334E">
        <w:rPr>
          <w:rFonts w:ascii="Arial" w:hAnsi="Arial" w:cs="Arial"/>
          <w:sz w:val="24"/>
          <w:szCs w:val="24"/>
          <w:lang w:eastAsia="ja-JP"/>
        </w:rPr>
        <w:t xml:space="preserve">We thank all EPIC participants and staff for their contribution to the study. We thank Nicola Kerrison (MRC Epidemiology Unit, Cambridge) for managing the data for the </w:t>
      </w:r>
      <w:proofErr w:type="spellStart"/>
      <w:r w:rsidRPr="0018334E">
        <w:rPr>
          <w:rFonts w:ascii="Arial" w:hAnsi="Arial" w:cs="Arial"/>
          <w:sz w:val="24"/>
          <w:szCs w:val="24"/>
          <w:lang w:eastAsia="ja-JP"/>
        </w:rPr>
        <w:t>InterAct</w:t>
      </w:r>
      <w:proofErr w:type="spellEnd"/>
      <w:r w:rsidRPr="0018334E">
        <w:rPr>
          <w:rFonts w:ascii="Arial" w:hAnsi="Arial" w:cs="Arial"/>
          <w:sz w:val="24"/>
          <w:szCs w:val="24"/>
          <w:lang w:eastAsia="ja-JP"/>
        </w:rPr>
        <w:t xml:space="preserve"> Project.  </w:t>
      </w:r>
      <w:r w:rsidR="00F11E3C">
        <w:rPr>
          <w:rFonts w:ascii="Arial" w:hAnsi="Arial" w:cs="Arial"/>
          <w:sz w:val="24"/>
          <w:szCs w:val="24"/>
          <w:lang w:eastAsia="ja-JP"/>
        </w:rPr>
        <w:t xml:space="preserve">We thank Dr Felix Day </w:t>
      </w:r>
      <w:r w:rsidR="00CA14B1" w:rsidRPr="0018334E">
        <w:rPr>
          <w:rFonts w:ascii="Arial" w:hAnsi="Arial" w:cs="Arial"/>
          <w:sz w:val="24"/>
          <w:szCs w:val="24"/>
          <w:lang w:eastAsia="ja-JP"/>
        </w:rPr>
        <w:t xml:space="preserve">(MRC Epidemiology Unit, Cambridge) </w:t>
      </w:r>
      <w:bookmarkStart w:id="1" w:name="_GoBack"/>
      <w:bookmarkEnd w:id="1"/>
      <w:r w:rsidR="00F11E3C">
        <w:rPr>
          <w:rFonts w:ascii="Arial" w:hAnsi="Arial" w:cs="Arial"/>
          <w:sz w:val="24"/>
          <w:szCs w:val="24"/>
          <w:lang w:eastAsia="ja-JP"/>
        </w:rPr>
        <w:t xml:space="preserve">for assistance with figures. </w:t>
      </w:r>
      <w:r w:rsidRPr="0018334E">
        <w:rPr>
          <w:rFonts w:ascii="Arial" w:hAnsi="Arial" w:cs="Arial"/>
          <w:sz w:val="24"/>
          <w:szCs w:val="24"/>
          <w:lang w:eastAsia="ja-JP"/>
        </w:rPr>
        <w:t xml:space="preserve">Funding for the </w:t>
      </w:r>
      <w:proofErr w:type="spellStart"/>
      <w:r w:rsidRPr="0018334E">
        <w:rPr>
          <w:rFonts w:ascii="Arial" w:hAnsi="Arial" w:cs="Arial"/>
          <w:sz w:val="24"/>
          <w:szCs w:val="24"/>
          <w:lang w:eastAsia="ja-JP"/>
        </w:rPr>
        <w:t>InterAct</w:t>
      </w:r>
      <w:proofErr w:type="spellEnd"/>
      <w:r w:rsidRPr="0018334E">
        <w:rPr>
          <w:rFonts w:ascii="Arial" w:hAnsi="Arial" w:cs="Arial"/>
          <w:sz w:val="24"/>
          <w:szCs w:val="24"/>
          <w:lang w:eastAsia="ja-JP"/>
        </w:rPr>
        <w:t xml:space="preserve"> project was provided by the EU FP6 programme (grant number LSHM_CT_2006_037197). In addition, </w:t>
      </w:r>
      <w:proofErr w:type="spellStart"/>
      <w:r w:rsidRPr="0018334E">
        <w:rPr>
          <w:rFonts w:ascii="Arial" w:hAnsi="Arial" w:cs="Arial"/>
          <w:sz w:val="24"/>
          <w:szCs w:val="24"/>
          <w:lang w:eastAsia="ja-JP"/>
        </w:rPr>
        <w:t>InterAct</w:t>
      </w:r>
      <w:proofErr w:type="spellEnd"/>
      <w:r w:rsidRPr="0018334E">
        <w:rPr>
          <w:rFonts w:ascii="Arial" w:hAnsi="Arial" w:cs="Arial"/>
          <w:sz w:val="24"/>
          <w:szCs w:val="24"/>
          <w:lang w:eastAsia="ja-JP"/>
        </w:rPr>
        <w:t xml:space="preserve"> investigators acknowledge funding from the following agencies: IS, JWJB and </w:t>
      </w:r>
      <w:proofErr w:type="spellStart"/>
      <w:r w:rsidRPr="0018334E">
        <w:rPr>
          <w:rFonts w:ascii="Arial" w:hAnsi="Arial" w:cs="Arial"/>
          <w:sz w:val="24"/>
          <w:szCs w:val="24"/>
          <w:lang w:eastAsia="ja-JP"/>
        </w:rPr>
        <w:t>YTvdS</w:t>
      </w:r>
      <w:proofErr w:type="spellEnd"/>
      <w:r w:rsidRPr="0018334E">
        <w:rPr>
          <w:rFonts w:ascii="Arial" w:hAnsi="Arial" w:cs="Arial"/>
          <w:sz w:val="24"/>
          <w:szCs w:val="24"/>
          <w:lang w:eastAsia="ja-JP"/>
        </w:rPr>
        <w:t>: Verification of diabetes cases was additionally funded by NL Agency grant IGE05012 and an Incentive Grant from the Board of the UMC Utrecht (The Netherlands</w:t>
      </w:r>
      <w:r w:rsidR="00CC7927">
        <w:rPr>
          <w:rFonts w:ascii="Arial" w:hAnsi="Arial" w:cs="Arial"/>
          <w:sz w:val="24"/>
          <w:szCs w:val="24"/>
          <w:lang w:eastAsia="ja-JP"/>
        </w:rPr>
        <w:t>)</w:t>
      </w:r>
      <w:r w:rsidRPr="0018334E">
        <w:rPr>
          <w:rFonts w:ascii="Arial" w:hAnsi="Arial" w:cs="Arial"/>
          <w:sz w:val="24"/>
          <w:szCs w:val="24"/>
          <w:lang w:eastAsia="ja-JP"/>
        </w:rPr>
        <w:t xml:space="preserve">; </w:t>
      </w:r>
      <w:proofErr w:type="spellStart"/>
      <w:r w:rsidRPr="0018334E">
        <w:rPr>
          <w:rFonts w:ascii="Arial" w:hAnsi="Arial" w:cs="Arial"/>
          <w:sz w:val="24"/>
          <w:szCs w:val="24"/>
          <w:lang w:eastAsia="ja-JP"/>
        </w:rPr>
        <w:t>HBBdM</w:t>
      </w:r>
      <w:proofErr w:type="spellEnd"/>
      <w:r w:rsidRPr="0018334E">
        <w:rPr>
          <w:rFonts w:ascii="Arial" w:hAnsi="Arial" w:cs="Arial"/>
          <w:sz w:val="24"/>
          <w:szCs w:val="24"/>
          <w:lang w:eastAsia="ja-JP"/>
        </w:rPr>
        <w:t xml:space="preserve">, AMWS and </w:t>
      </w:r>
      <w:proofErr w:type="spellStart"/>
      <w:r w:rsidRPr="0018334E">
        <w:rPr>
          <w:rFonts w:ascii="Arial" w:hAnsi="Arial" w:cs="Arial"/>
          <w:sz w:val="24"/>
          <w:szCs w:val="24"/>
          <w:lang w:eastAsia="ja-JP"/>
        </w:rPr>
        <w:t>DLvdA</w:t>
      </w:r>
      <w:proofErr w:type="spellEnd"/>
      <w:r w:rsidRPr="0018334E">
        <w:rPr>
          <w:rFonts w:ascii="Arial" w:hAnsi="Arial" w:cs="Arial"/>
          <w:sz w:val="24"/>
          <w:szCs w:val="24"/>
          <w:lang w:eastAsia="ja-JP"/>
        </w:rPr>
        <w:t xml:space="preserve">: Dutch Ministry of Public Health, Welfare </w:t>
      </w:r>
      <w:r w:rsidRPr="0018334E">
        <w:rPr>
          <w:rFonts w:ascii="Arial" w:hAnsi="Arial" w:cs="Arial"/>
          <w:sz w:val="24"/>
          <w:szCs w:val="24"/>
          <w:lang w:eastAsia="ja-JP"/>
        </w:rPr>
        <w:lastRenderedPageBreak/>
        <w:t>and Sports (VWS), Netherlands Cancer Registry (NKR), LK Research Funds, Dutch Prevention Funds, Dutch ZON (</w:t>
      </w:r>
      <w:proofErr w:type="spellStart"/>
      <w:r w:rsidRPr="0018334E">
        <w:rPr>
          <w:rFonts w:ascii="Arial" w:hAnsi="Arial" w:cs="Arial"/>
          <w:sz w:val="24"/>
          <w:szCs w:val="24"/>
          <w:lang w:eastAsia="ja-JP"/>
        </w:rPr>
        <w:t>Zorg</w:t>
      </w:r>
      <w:proofErr w:type="spellEnd"/>
      <w:r w:rsidRPr="0018334E">
        <w:rPr>
          <w:rFonts w:ascii="Arial" w:hAnsi="Arial" w:cs="Arial"/>
          <w:sz w:val="24"/>
          <w:szCs w:val="24"/>
          <w:lang w:eastAsia="ja-JP"/>
        </w:rPr>
        <w:t xml:space="preserve"> </w:t>
      </w:r>
      <w:proofErr w:type="spellStart"/>
      <w:r w:rsidRPr="0018334E">
        <w:rPr>
          <w:rFonts w:ascii="Arial" w:hAnsi="Arial" w:cs="Arial"/>
          <w:sz w:val="24"/>
          <w:szCs w:val="24"/>
          <w:lang w:eastAsia="ja-JP"/>
        </w:rPr>
        <w:t>Onderzoek</w:t>
      </w:r>
      <w:proofErr w:type="spellEnd"/>
      <w:r w:rsidRPr="0018334E">
        <w:rPr>
          <w:rFonts w:ascii="Arial" w:hAnsi="Arial" w:cs="Arial"/>
          <w:sz w:val="24"/>
          <w:szCs w:val="24"/>
          <w:lang w:eastAsia="ja-JP"/>
        </w:rPr>
        <w:t xml:space="preserve"> Nederland), World Cancer Research Fund (WCRF), Statistics Netherlands (The Netherlands); FLC: Cancer Research UK; PWF: Swedish Research Council, Novo </w:t>
      </w:r>
      <w:proofErr w:type="spellStart"/>
      <w:r w:rsidRPr="0018334E">
        <w:rPr>
          <w:rFonts w:ascii="Arial" w:hAnsi="Arial" w:cs="Arial"/>
          <w:sz w:val="24"/>
          <w:szCs w:val="24"/>
          <w:lang w:eastAsia="ja-JP"/>
        </w:rPr>
        <w:t>nordisk</w:t>
      </w:r>
      <w:proofErr w:type="spellEnd"/>
      <w:r w:rsidRPr="0018334E">
        <w:rPr>
          <w:rFonts w:ascii="Arial" w:hAnsi="Arial" w:cs="Arial"/>
          <w:sz w:val="24"/>
          <w:szCs w:val="24"/>
          <w:lang w:eastAsia="ja-JP"/>
        </w:rPr>
        <w:t xml:space="preserve">, Swedish Heart Lung Foundation, Swedish Diabetes Association; JH, KO and AT: Danish Cancer Society; RK: Deutsche </w:t>
      </w:r>
      <w:proofErr w:type="spellStart"/>
      <w:r w:rsidRPr="0018334E">
        <w:rPr>
          <w:rFonts w:ascii="Arial" w:hAnsi="Arial" w:cs="Arial"/>
          <w:sz w:val="24"/>
          <w:szCs w:val="24"/>
          <w:lang w:eastAsia="ja-JP"/>
        </w:rPr>
        <w:t>Krebshilfe</w:t>
      </w:r>
      <w:proofErr w:type="spellEnd"/>
      <w:r w:rsidRPr="0018334E">
        <w:rPr>
          <w:rFonts w:ascii="Arial" w:hAnsi="Arial" w:cs="Arial"/>
          <w:sz w:val="24"/>
          <w:szCs w:val="24"/>
          <w:lang w:eastAsia="ja-JP"/>
        </w:rPr>
        <w:t xml:space="preserve">; SP: </w:t>
      </w:r>
      <w:proofErr w:type="spellStart"/>
      <w:r w:rsidRPr="0018334E">
        <w:rPr>
          <w:rFonts w:ascii="Arial" w:hAnsi="Arial" w:cs="Arial"/>
          <w:sz w:val="24"/>
          <w:szCs w:val="24"/>
          <w:lang w:eastAsia="ja-JP"/>
        </w:rPr>
        <w:t>Associazione</w:t>
      </w:r>
      <w:proofErr w:type="spellEnd"/>
      <w:r w:rsidRPr="0018334E">
        <w:rPr>
          <w:rFonts w:ascii="Arial" w:hAnsi="Arial" w:cs="Arial"/>
          <w:sz w:val="24"/>
          <w:szCs w:val="24"/>
          <w:lang w:eastAsia="ja-JP"/>
        </w:rPr>
        <w:t xml:space="preserve"> </w:t>
      </w:r>
      <w:proofErr w:type="spellStart"/>
      <w:r w:rsidRPr="0018334E">
        <w:rPr>
          <w:rFonts w:ascii="Arial" w:hAnsi="Arial" w:cs="Arial"/>
          <w:sz w:val="24"/>
          <w:szCs w:val="24"/>
          <w:lang w:eastAsia="ja-JP"/>
        </w:rPr>
        <w:t>Italiana</w:t>
      </w:r>
      <w:proofErr w:type="spellEnd"/>
      <w:r w:rsidRPr="0018334E">
        <w:rPr>
          <w:rFonts w:ascii="Arial" w:hAnsi="Arial" w:cs="Arial"/>
          <w:sz w:val="24"/>
          <w:szCs w:val="24"/>
          <w:lang w:eastAsia="ja-JP"/>
        </w:rPr>
        <w:t xml:space="preserve"> per la </w:t>
      </w:r>
      <w:proofErr w:type="spellStart"/>
      <w:r w:rsidRPr="0018334E">
        <w:rPr>
          <w:rFonts w:ascii="Arial" w:hAnsi="Arial" w:cs="Arial"/>
          <w:sz w:val="24"/>
          <w:szCs w:val="24"/>
          <w:lang w:eastAsia="ja-JP"/>
        </w:rPr>
        <w:t>Ricerca</w:t>
      </w:r>
      <w:proofErr w:type="spellEnd"/>
      <w:r w:rsidRPr="0018334E">
        <w:rPr>
          <w:rFonts w:ascii="Arial" w:hAnsi="Arial" w:cs="Arial"/>
          <w:sz w:val="24"/>
          <w:szCs w:val="24"/>
          <w:lang w:eastAsia="ja-JP"/>
        </w:rPr>
        <w:t xml:space="preserve"> </w:t>
      </w:r>
      <w:proofErr w:type="spellStart"/>
      <w:r w:rsidRPr="0018334E">
        <w:rPr>
          <w:rFonts w:ascii="Arial" w:hAnsi="Arial" w:cs="Arial"/>
          <w:sz w:val="24"/>
          <w:szCs w:val="24"/>
          <w:lang w:eastAsia="ja-JP"/>
        </w:rPr>
        <w:t>sul</w:t>
      </w:r>
      <w:proofErr w:type="spellEnd"/>
      <w:r w:rsidRPr="0018334E">
        <w:rPr>
          <w:rFonts w:ascii="Arial" w:hAnsi="Arial" w:cs="Arial"/>
          <w:sz w:val="24"/>
          <w:szCs w:val="24"/>
          <w:lang w:eastAsia="ja-JP"/>
        </w:rPr>
        <w:t xml:space="preserve"> </w:t>
      </w:r>
      <w:proofErr w:type="spellStart"/>
      <w:r w:rsidRPr="0018334E">
        <w:rPr>
          <w:rFonts w:ascii="Arial" w:hAnsi="Arial" w:cs="Arial"/>
          <w:sz w:val="24"/>
          <w:szCs w:val="24"/>
          <w:lang w:eastAsia="ja-JP"/>
        </w:rPr>
        <w:t>Cancro</w:t>
      </w:r>
      <w:proofErr w:type="spellEnd"/>
      <w:r w:rsidRPr="0018334E">
        <w:rPr>
          <w:rFonts w:ascii="Arial" w:hAnsi="Arial" w:cs="Arial"/>
          <w:sz w:val="24"/>
          <w:szCs w:val="24"/>
          <w:lang w:eastAsia="ja-JP"/>
        </w:rPr>
        <w:t xml:space="preserve">; JRQ: Asturias Regional Government; MT: Health Research Fund (FIS) of the Spanish Ministry of Health; the CIBER </w:t>
      </w:r>
      <w:proofErr w:type="spellStart"/>
      <w:r w:rsidRPr="0018334E">
        <w:rPr>
          <w:rFonts w:ascii="Arial" w:hAnsi="Arial" w:cs="Arial"/>
          <w:sz w:val="24"/>
          <w:szCs w:val="24"/>
          <w:lang w:eastAsia="ja-JP"/>
        </w:rPr>
        <w:t>en</w:t>
      </w:r>
      <w:proofErr w:type="spellEnd"/>
      <w:r w:rsidRPr="0018334E">
        <w:rPr>
          <w:rFonts w:ascii="Arial" w:hAnsi="Arial" w:cs="Arial"/>
          <w:sz w:val="24"/>
          <w:szCs w:val="24"/>
          <w:lang w:eastAsia="ja-JP"/>
        </w:rPr>
        <w:t xml:space="preserve"> </w:t>
      </w:r>
      <w:proofErr w:type="spellStart"/>
      <w:r w:rsidRPr="0018334E">
        <w:rPr>
          <w:rFonts w:ascii="Arial" w:hAnsi="Arial" w:cs="Arial"/>
          <w:sz w:val="24"/>
          <w:szCs w:val="24"/>
          <w:lang w:eastAsia="ja-JP"/>
        </w:rPr>
        <w:t>Epidemiología</w:t>
      </w:r>
      <w:proofErr w:type="spellEnd"/>
      <w:r w:rsidRPr="0018334E">
        <w:rPr>
          <w:rFonts w:ascii="Arial" w:hAnsi="Arial" w:cs="Arial"/>
          <w:sz w:val="24"/>
          <w:szCs w:val="24"/>
          <w:lang w:eastAsia="ja-JP"/>
        </w:rPr>
        <w:t xml:space="preserve"> y </w:t>
      </w:r>
      <w:proofErr w:type="spellStart"/>
      <w:r w:rsidRPr="0018334E">
        <w:rPr>
          <w:rFonts w:ascii="Arial" w:hAnsi="Arial" w:cs="Arial"/>
          <w:sz w:val="24"/>
          <w:szCs w:val="24"/>
          <w:lang w:eastAsia="ja-JP"/>
        </w:rPr>
        <w:t>Salud</w:t>
      </w:r>
      <w:proofErr w:type="spellEnd"/>
      <w:r w:rsidRPr="0018334E">
        <w:rPr>
          <w:rFonts w:ascii="Arial" w:hAnsi="Arial" w:cs="Arial"/>
          <w:sz w:val="24"/>
          <w:szCs w:val="24"/>
          <w:lang w:eastAsia="ja-JP"/>
        </w:rPr>
        <w:t xml:space="preserve"> </w:t>
      </w:r>
      <w:proofErr w:type="spellStart"/>
      <w:r w:rsidRPr="0018334E">
        <w:rPr>
          <w:rFonts w:ascii="Arial" w:hAnsi="Arial" w:cs="Arial"/>
          <w:sz w:val="24"/>
          <w:szCs w:val="24"/>
          <w:lang w:eastAsia="ja-JP"/>
        </w:rPr>
        <w:t>Pública</w:t>
      </w:r>
      <w:proofErr w:type="spellEnd"/>
      <w:r w:rsidRPr="0018334E">
        <w:rPr>
          <w:rFonts w:ascii="Arial" w:hAnsi="Arial" w:cs="Arial"/>
          <w:sz w:val="24"/>
          <w:szCs w:val="24"/>
          <w:lang w:eastAsia="ja-JP"/>
        </w:rPr>
        <w:t xml:space="preserve"> (CIBERESP), Spain; Murcia Regional Government (Nº 6236); RT: AIRE-ONLUS Ragusa, AVIS-Ragusa, Sicilian Regional Government.</w:t>
      </w:r>
      <w:r w:rsidR="00FC0998" w:rsidRPr="0018334E">
        <w:rPr>
          <w:rFonts w:ascii="Arial" w:hAnsi="Arial" w:cs="Arial"/>
          <w:sz w:val="24"/>
          <w:szCs w:val="24"/>
          <w:lang w:eastAsia="ja-JP"/>
        </w:rPr>
        <w:t xml:space="preserve"> </w:t>
      </w:r>
      <w:r w:rsidR="00B766EA" w:rsidRPr="0018334E">
        <w:rPr>
          <w:rFonts w:ascii="Arial" w:hAnsi="Arial" w:cs="Arial"/>
          <w:sz w:val="24"/>
          <w:szCs w:val="24"/>
        </w:rPr>
        <w:t xml:space="preserve">Biomarker measurements in the </w:t>
      </w:r>
      <w:r w:rsidR="00A9063B" w:rsidRPr="0018334E">
        <w:rPr>
          <w:rFonts w:ascii="Arial" w:hAnsi="Arial" w:cs="Arial"/>
          <w:sz w:val="24"/>
          <w:szCs w:val="24"/>
        </w:rPr>
        <w:t>EPIC-</w:t>
      </w:r>
      <w:proofErr w:type="spellStart"/>
      <w:r w:rsidR="00A9063B" w:rsidRPr="0018334E">
        <w:rPr>
          <w:rFonts w:ascii="Arial" w:hAnsi="Arial" w:cs="Arial"/>
          <w:sz w:val="24"/>
          <w:szCs w:val="24"/>
        </w:rPr>
        <w:t>InterAct</w:t>
      </w:r>
      <w:proofErr w:type="spellEnd"/>
      <w:r w:rsidR="00B766EA" w:rsidRPr="0018334E">
        <w:rPr>
          <w:rFonts w:ascii="Arial" w:hAnsi="Arial" w:cs="Arial"/>
          <w:sz w:val="24"/>
          <w:szCs w:val="24"/>
        </w:rPr>
        <w:t xml:space="preserve"> </w:t>
      </w:r>
      <w:proofErr w:type="spellStart"/>
      <w:r w:rsidR="00B766EA" w:rsidRPr="0018334E">
        <w:rPr>
          <w:rFonts w:ascii="Arial" w:hAnsi="Arial" w:cs="Arial"/>
          <w:sz w:val="24"/>
          <w:szCs w:val="24"/>
        </w:rPr>
        <w:t>subcohort</w:t>
      </w:r>
      <w:proofErr w:type="spellEnd"/>
      <w:r w:rsidR="00B766EA" w:rsidRPr="0018334E">
        <w:rPr>
          <w:rFonts w:ascii="Arial" w:hAnsi="Arial" w:cs="Arial"/>
          <w:sz w:val="24"/>
          <w:szCs w:val="24"/>
        </w:rPr>
        <w:t xml:space="preserve"> were partially funded by a grant from the UK Medical Research Council and British Heart Foundation (EPIC-Heart: G0800270).</w:t>
      </w:r>
      <w:r w:rsidR="00B766EA" w:rsidRPr="0018334E" w:rsidDel="007C0387">
        <w:rPr>
          <w:rFonts w:ascii="Arial" w:hAnsi="Arial" w:cs="Arial"/>
          <w:sz w:val="24"/>
          <w:szCs w:val="24"/>
          <w:lang w:eastAsia="ja-JP"/>
        </w:rPr>
        <w:t xml:space="preserve"> </w:t>
      </w:r>
      <w:r w:rsidR="00FC0998" w:rsidRPr="0018334E">
        <w:rPr>
          <w:rFonts w:ascii="Arial" w:hAnsi="Arial" w:cs="Arial"/>
          <w:sz w:val="24"/>
          <w:szCs w:val="24"/>
          <w:lang w:eastAsia="ja-JP"/>
        </w:rPr>
        <w:t xml:space="preserve">Clara Podmore is funded by the </w:t>
      </w:r>
      <w:proofErr w:type="spellStart"/>
      <w:r w:rsidR="00FC0998" w:rsidRPr="0018334E">
        <w:rPr>
          <w:rFonts w:ascii="Arial" w:hAnsi="Arial" w:cs="Arial"/>
          <w:sz w:val="24"/>
          <w:szCs w:val="24"/>
          <w:lang w:eastAsia="ja-JP"/>
        </w:rPr>
        <w:t>Wellcome</w:t>
      </w:r>
      <w:proofErr w:type="spellEnd"/>
      <w:r w:rsidR="00FC0998" w:rsidRPr="0018334E">
        <w:rPr>
          <w:rFonts w:ascii="Arial" w:hAnsi="Arial" w:cs="Arial"/>
          <w:sz w:val="24"/>
          <w:szCs w:val="24"/>
          <w:lang w:eastAsia="ja-JP"/>
        </w:rPr>
        <w:t xml:space="preserve"> Trust (097451/Z/11/Z).</w:t>
      </w:r>
    </w:p>
    <w:p w:rsidR="00C61D13" w:rsidRPr="0018334E" w:rsidRDefault="000768FB" w:rsidP="00A46AFA">
      <w:pPr>
        <w:spacing w:line="480" w:lineRule="auto"/>
        <w:jc w:val="both"/>
        <w:rPr>
          <w:rFonts w:ascii="Arial" w:hAnsi="Arial" w:cs="Arial"/>
          <w:sz w:val="24"/>
          <w:szCs w:val="24"/>
          <w:lang w:eastAsia="ja-JP"/>
        </w:rPr>
      </w:pPr>
      <w:r w:rsidRPr="0018334E">
        <w:rPr>
          <w:rFonts w:ascii="Arial" w:hAnsi="Arial" w:cs="Arial"/>
          <w:sz w:val="24"/>
          <w:szCs w:val="24"/>
          <w:lang w:eastAsia="ja-JP"/>
        </w:rPr>
        <w:t xml:space="preserve">We </w:t>
      </w:r>
      <w:r w:rsidR="00DC5B2D" w:rsidRPr="0018334E">
        <w:rPr>
          <w:rFonts w:ascii="Arial" w:hAnsi="Arial" w:cs="Arial"/>
          <w:sz w:val="24"/>
          <w:szCs w:val="24"/>
          <w:lang w:eastAsia="ja-JP"/>
        </w:rPr>
        <w:t xml:space="preserve">particularly </w:t>
      </w:r>
      <w:r w:rsidRPr="0018334E">
        <w:rPr>
          <w:rFonts w:ascii="Arial" w:hAnsi="Arial" w:cs="Arial"/>
          <w:sz w:val="24"/>
          <w:szCs w:val="24"/>
          <w:lang w:eastAsia="ja-JP"/>
        </w:rPr>
        <w:t xml:space="preserve">thank staff from the </w:t>
      </w:r>
      <w:r w:rsidR="00DC5B2D" w:rsidRPr="0018334E">
        <w:rPr>
          <w:rFonts w:ascii="Arial" w:hAnsi="Arial" w:cs="Arial"/>
          <w:sz w:val="24"/>
          <w:szCs w:val="24"/>
          <w:lang w:eastAsia="ja-JP"/>
        </w:rPr>
        <w:t>Laboratory</w:t>
      </w:r>
      <w:r w:rsidRPr="0018334E">
        <w:rPr>
          <w:rFonts w:ascii="Arial" w:hAnsi="Arial" w:cs="Arial"/>
          <w:sz w:val="24"/>
          <w:szCs w:val="24"/>
          <w:lang w:eastAsia="ja-JP"/>
        </w:rPr>
        <w:t xml:space="preserve">, Field Epidemiology and Data Teams of the MRC Epidemiology Unit in Cambridge, UK, for carrying out sample preparation, DNA provision and quality control, genotyping and data-handling work. We specifically thank S. Dawson </w:t>
      </w:r>
      <w:r w:rsidR="00DC5B2D" w:rsidRPr="0018334E">
        <w:rPr>
          <w:rFonts w:ascii="Arial" w:hAnsi="Arial" w:cs="Arial"/>
          <w:sz w:val="24"/>
          <w:szCs w:val="24"/>
          <w:lang w:eastAsia="ja-JP"/>
        </w:rPr>
        <w:t>and V.</w:t>
      </w:r>
      <w:r w:rsidR="008B6F61" w:rsidRPr="0018334E">
        <w:rPr>
          <w:rFonts w:ascii="Arial" w:hAnsi="Arial" w:cs="Arial"/>
          <w:sz w:val="24"/>
          <w:szCs w:val="24"/>
          <w:lang w:eastAsia="ja-JP"/>
        </w:rPr>
        <w:t xml:space="preserve"> </w:t>
      </w:r>
      <w:r w:rsidR="00DC5B2D" w:rsidRPr="0018334E">
        <w:rPr>
          <w:rFonts w:ascii="Arial" w:hAnsi="Arial" w:cs="Arial"/>
          <w:sz w:val="24"/>
          <w:szCs w:val="24"/>
          <w:lang w:eastAsia="ja-JP"/>
        </w:rPr>
        <w:t xml:space="preserve">Kaimakis </w:t>
      </w:r>
      <w:r w:rsidRPr="0018334E">
        <w:rPr>
          <w:rFonts w:ascii="Arial" w:hAnsi="Arial" w:cs="Arial"/>
          <w:sz w:val="24"/>
          <w:szCs w:val="24"/>
          <w:lang w:eastAsia="ja-JP"/>
        </w:rPr>
        <w:t xml:space="preserve">for coordinating the sample provision for biomarker measurements </w:t>
      </w:r>
      <w:r w:rsidR="009F6E7F" w:rsidRPr="0018334E">
        <w:rPr>
          <w:rFonts w:ascii="Arial" w:hAnsi="Arial" w:cs="Arial"/>
          <w:sz w:val="24"/>
          <w:szCs w:val="24"/>
          <w:lang w:eastAsia="ja-JP"/>
        </w:rPr>
        <w:t xml:space="preserve">and </w:t>
      </w:r>
      <w:r w:rsidRPr="0018334E">
        <w:rPr>
          <w:rFonts w:ascii="Arial" w:hAnsi="Arial" w:cs="Arial"/>
          <w:sz w:val="24"/>
          <w:szCs w:val="24"/>
          <w:lang w:eastAsia="ja-JP"/>
        </w:rPr>
        <w:t>M. Sims for writing the technical laboratory specification for the intermediate pathway biomarker measurements and for overseeing the laboratory work.</w:t>
      </w:r>
      <w:r w:rsidR="008B6F61" w:rsidRPr="0018334E">
        <w:rPr>
          <w:rFonts w:ascii="Arial" w:hAnsi="Arial" w:cs="Arial"/>
          <w:sz w:val="24"/>
          <w:szCs w:val="24"/>
          <w:lang w:eastAsia="ja-JP"/>
        </w:rPr>
        <w:t xml:space="preserve"> We thank the </w:t>
      </w:r>
      <w:r w:rsidR="00316F3E" w:rsidRPr="0018334E">
        <w:rPr>
          <w:rFonts w:ascii="Arial" w:hAnsi="Arial" w:cs="Arial"/>
          <w:sz w:val="24"/>
          <w:szCs w:val="24"/>
        </w:rPr>
        <w:t>SHL-</w:t>
      </w:r>
      <w:proofErr w:type="spellStart"/>
      <w:r w:rsidR="00316F3E" w:rsidRPr="0018334E">
        <w:rPr>
          <w:rFonts w:ascii="Arial" w:hAnsi="Arial" w:cs="Arial"/>
          <w:sz w:val="24"/>
          <w:szCs w:val="24"/>
        </w:rPr>
        <w:t>Groep</w:t>
      </w:r>
      <w:proofErr w:type="spellEnd"/>
      <w:r w:rsidR="008B6F61" w:rsidRPr="0018334E">
        <w:rPr>
          <w:rFonts w:ascii="Arial" w:hAnsi="Arial" w:cs="Arial"/>
          <w:sz w:val="24"/>
          <w:szCs w:val="24"/>
        </w:rPr>
        <w:t xml:space="preserve">, </w:t>
      </w:r>
      <w:proofErr w:type="spellStart"/>
      <w:r w:rsidR="008B6F61" w:rsidRPr="0018334E">
        <w:rPr>
          <w:rFonts w:ascii="Arial" w:hAnsi="Arial" w:cs="Arial"/>
          <w:sz w:val="24"/>
          <w:szCs w:val="24"/>
          <w:lang w:eastAsia="en-GB"/>
        </w:rPr>
        <w:t>Etten-Leur</w:t>
      </w:r>
      <w:proofErr w:type="spellEnd"/>
      <w:r w:rsidR="008B6F61" w:rsidRPr="0018334E">
        <w:rPr>
          <w:rFonts w:ascii="Arial" w:hAnsi="Arial" w:cs="Arial"/>
          <w:sz w:val="24"/>
          <w:szCs w:val="24"/>
          <w:lang w:eastAsia="en-GB"/>
        </w:rPr>
        <w:t xml:space="preserve">, </w:t>
      </w:r>
      <w:r w:rsidR="008B6F61" w:rsidRPr="0018334E">
        <w:rPr>
          <w:rFonts w:ascii="Arial" w:hAnsi="Arial" w:cs="Arial"/>
          <w:sz w:val="24"/>
          <w:szCs w:val="24"/>
        </w:rPr>
        <w:t xml:space="preserve">Netherlands, where the measurement of biomarkers took place. </w:t>
      </w:r>
    </w:p>
    <w:p w:rsidR="00017047" w:rsidRPr="0018334E" w:rsidRDefault="00017047" w:rsidP="00C61D13">
      <w:pPr>
        <w:spacing w:line="480" w:lineRule="auto"/>
        <w:jc w:val="both"/>
        <w:rPr>
          <w:rFonts w:ascii="Arial" w:hAnsi="Arial" w:cs="Arial"/>
          <w:sz w:val="24"/>
          <w:szCs w:val="24"/>
          <w:lang w:eastAsia="ja-JP"/>
        </w:rPr>
      </w:pPr>
    </w:p>
    <w:p w:rsidR="00692874" w:rsidRPr="00022037" w:rsidRDefault="00202FA4" w:rsidP="00E37A7F">
      <w:pPr>
        <w:rPr>
          <w:rFonts w:ascii="Arial" w:eastAsia="Times New Roman" w:hAnsi="Arial" w:cs="Arial"/>
          <w:b/>
          <w:sz w:val="24"/>
          <w:szCs w:val="24"/>
          <w:lang w:val="en-US" w:eastAsia="en-GB"/>
        </w:rPr>
      </w:pPr>
      <w:r w:rsidRPr="0018334E">
        <w:rPr>
          <w:rFonts w:ascii="Arial" w:hAnsi="Arial" w:cs="Arial"/>
          <w:sz w:val="24"/>
          <w:szCs w:val="24"/>
          <w:lang w:eastAsia="ja-JP"/>
        </w:rPr>
        <w:br w:type="page"/>
      </w:r>
    </w:p>
    <w:p w:rsidR="003309EC" w:rsidRPr="0018334E" w:rsidRDefault="00270896" w:rsidP="00EF6887">
      <w:pPr>
        <w:pStyle w:val="NormalWeb"/>
        <w:spacing w:line="276" w:lineRule="auto"/>
        <w:ind w:left="640" w:hanging="640"/>
        <w:jc w:val="both"/>
        <w:divId w:val="1276131505"/>
        <w:rPr>
          <w:rFonts w:ascii="Arial" w:hAnsi="Arial" w:cs="Arial"/>
          <w:b/>
          <w:lang w:val="en-US"/>
        </w:rPr>
      </w:pPr>
      <w:r w:rsidRPr="0018334E">
        <w:rPr>
          <w:rFonts w:ascii="Arial" w:hAnsi="Arial" w:cs="Arial"/>
          <w:b/>
          <w:lang w:val="en-US"/>
        </w:rPr>
        <w:lastRenderedPageBreak/>
        <w:t>REFERENCES</w:t>
      </w:r>
    </w:p>
    <w:p w:rsidR="002F34F2" w:rsidRPr="002F34F2" w:rsidRDefault="009B7FDF" w:rsidP="002F34F2">
      <w:pPr>
        <w:widowControl w:val="0"/>
        <w:autoSpaceDE w:val="0"/>
        <w:autoSpaceDN w:val="0"/>
        <w:adjustRightInd w:val="0"/>
        <w:spacing w:after="140" w:line="240" w:lineRule="auto"/>
        <w:ind w:left="640" w:hanging="640"/>
        <w:rPr>
          <w:rFonts w:ascii="Arial" w:hAnsi="Arial" w:cs="Arial"/>
          <w:noProof/>
          <w:sz w:val="24"/>
          <w:szCs w:val="24"/>
        </w:rPr>
      </w:pPr>
      <w:r w:rsidRPr="0018334E">
        <w:rPr>
          <w:rFonts w:ascii="Arial" w:hAnsi="Arial" w:cs="Arial"/>
          <w:b/>
          <w:lang w:val="en-US"/>
        </w:rPr>
        <w:fldChar w:fldCharType="begin" w:fldLock="1"/>
      </w:r>
      <w:r w:rsidRPr="0018334E">
        <w:rPr>
          <w:rFonts w:ascii="Arial" w:hAnsi="Arial" w:cs="Arial"/>
          <w:b/>
          <w:lang w:val="en-US"/>
        </w:rPr>
        <w:instrText xml:space="preserve">ADDIN Mendeley Bibliography CSL_BIBLIOGRAPHY </w:instrText>
      </w:r>
      <w:r w:rsidRPr="0018334E">
        <w:rPr>
          <w:rFonts w:ascii="Arial" w:hAnsi="Arial" w:cs="Arial"/>
          <w:b/>
          <w:lang w:val="en-US"/>
        </w:rPr>
        <w:fldChar w:fldCharType="separate"/>
      </w:r>
      <w:r w:rsidR="002F34F2" w:rsidRPr="002F34F2">
        <w:rPr>
          <w:rFonts w:ascii="Arial" w:hAnsi="Arial" w:cs="Arial"/>
          <w:noProof/>
          <w:sz w:val="24"/>
          <w:szCs w:val="24"/>
        </w:rPr>
        <w:t xml:space="preserve">1. </w:t>
      </w:r>
      <w:r w:rsidR="002F34F2" w:rsidRPr="002F34F2">
        <w:rPr>
          <w:rFonts w:ascii="Arial" w:hAnsi="Arial" w:cs="Arial"/>
          <w:noProof/>
          <w:sz w:val="24"/>
          <w:szCs w:val="24"/>
        </w:rPr>
        <w:tab/>
        <w:t xml:space="preserve">Pietrangelo A. Hereditary hemochromatosis: pathogenesis, diagnosis, and treatment. Gastroenterology. Elsevier Inc.; 2010 Aug;139(2):393–408, 408.e1–2.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2. </w:t>
      </w:r>
      <w:r w:rsidRPr="002F34F2">
        <w:rPr>
          <w:rFonts w:ascii="Arial" w:hAnsi="Arial" w:cs="Arial"/>
          <w:noProof/>
          <w:sz w:val="24"/>
          <w:szCs w:val="24"/>
        </w:rPr>
        <w:tab/>
        <w:t xml:space="preserve">Noetzli LJ, Mittelman SD, Watanabe RM, Coates TD, Wood JC. Pancreatic iron and glucose dysregulation in thalassemia major. Am J Hematol. 2012 Feb;87(2):155–60.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3. </w:t>
      </w:r>
      <w:r w:rsidRPr="002F34F2">
        <w:rPr>
          <w:rFonts w:ascii="Arial" w:hAnsi="Arial" w:cs="Arial"/>
          <w:noProof/>
          <w:sz w:val="24"/>
          <w:szCs w:val="24"/>
        </w:rPr>
        <w:tab/>
        <w:t xml:space="preserve">Kunutsor SK, Apekey TA, Walley J, Kain K. Ferritin levels and risk of type 2 diabetes mellitus: an updated systematic review and meta-analysis of prospective evidence. Diabetes Metab Res Rev. 2013 May;29(4):308–18.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4. </w:t>
      </w:r>
      <w:r w:rsidRPr="002F34F2">
        <w:rPr>
          <w:rFonts w:ascii="Arial" w:hAnsi="Arial" w:cs="Arial"/>
          <w:noProof/>
          <w:sz w:val="24"/>
          <w:szCs w:val="24"/>
        </w:rPr>
        <w:tab/>
        <w:t xml:space="preserve">Orban E, Schwab S, Thorand B, Huth C. Association of iron indices and type 2 diabetes: a meta-analysis of observational studies. Diabetes Metab Res Rev. 2014 Jul 10;30(5):372–94.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5. </w:t>
      </w:r>
      <w:r w:rsidRPr="002F34F2">
        <w:rPr>
          <w:rFonts w:ascii="Arial" w:hAnsi="Arial" w:cs="Arial"/>
          <w:noProof/>
          <w:sz w:val="24"/>
          <w:szCs w:val="24"/>
        </w:rPr>
        <w:tab/>
        <w:t xml:space="preserve">Walters GO, Miller FM, Worwood M. Serum ferritin concentration and iron stores in normal subjects. J Clin Pathol. 1973 Oct;26(10):770–2.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6. </w:t>
      </w:r>
      <w:r w:rsidRPr="002F34F2">
        <w:rPr>
          <w:rFonts w:ascii="Arial" w:hAnsi="Arial" w:cs="Arial"/>
          <w:noProof/>
          <w:sz w:val="24"/>
          <w:szCs w:val="24"/>
        </w:rPr>
        <w:tab/>
        <w:t xml:space="preserve">Jacobs A, Miller F, Worwood M, Beamish MR, Wardrop CA. Ferritin in the serum of normal subjects and patients with iron deficiency and iron overload. Br Med J. 1972 Oct 28;4(5834):206–8.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7. </w:t>
      </w:r>
      <w:r w:rsidRPr="002F34F2">
        <w:rPr>
          <w:rFonts w:ascii="Arial" w:hAnsi="Arial" w:cs="Arial"/>
          <w:noProof/>
          <w:sz w:val="24"/>
          <w:szCs w:val="24"/>
        </w:rPr>
        <w:tab/>
        <w:t xml:space="preserve">Beutler E, Felitti V, Ho NJ, Gelbart T. Relationship of body iron stores to levels of serum ferritin, serum iron, unsaturated iron binding capacity and transferrin saturation in patients with iron storage disease. Acta Haematol. 2002 Jan;107(3):145–9.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8. </w:t>
      </w:r>
      <w:r w:rsidRPr="002F34F2">
        <w:rPr>
          <w:rFonts w:ascii="Arial" w:hAnsi="Arial" w:cs="Arial"/>
          <w:noProof/>
          <w:sz w:val="24"/>
          <w:szCs w:val="24"/>
        </w:rPr>
        <w:tab/>
        <w:t xml:space="preserve">Haap M, Fritsche A, Mensing HJ, Häring H-U, Stumvoll M. Association of high serum ferritin concentration with glucose intolerance and insulin resistance in healthy people. Ann Intern Med. American College of Physicians; 2003 Nov 18;139(10):869–71.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9. </w:t>
      </w:r>
      <w:r w:rsidRPr="002F34F2">
        <w:rPr>
          <w:rFonts w:ascii="Arial" w:hAnsi="Arial" w:cs="Arial"/>
          <w:noProof/>
          <w:sz w:val="24"/>
          <w:szCs w:val="24"/>
        </w:rPr>
        <w:tab/>
        <w:t xml:space="preserve">Leggett BA, Brown NN, Bryant SJ, Duplock L, Powell LW, Halliday JW. Factors affecting the concentrations of ferritin in serum in a healthy Australian population. Clin Chem. 1990 Jul;36(7):1350–5.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10. </w:t>
      </w:r>
      <w:r w:rsidRPr="002F34F2">
        <w:rPr>
          <w:rFonts w:ascii="Arial" w:hAnsi="Arial" w:cs="Arial"/>
          <w:noProof/>
          <w:sz w:val="24"/>
          <w:szCs w:val="24"/>
        </w:rPr>
        <w:tab/>
        <w:t xml:space="preserve">Byrne CD. Dorothy Hodgkin Lecture 2012: non-alcoholic fatty liver disease, insulin resistance and ectopic fat: a new problem in diabetes management. Diabet Med. 2012 Sep;29(9):1098–107.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11. </w:t>
      </w:r>
      <w:r w:rsidRPr="002F34F2">
        <w:rPr>
          <w:rFonts w:ascii="Arial" w:hAnsi="Arial" w:cs="Arial"/>
          <w:noProof/>
          <w:sz w:val="24"/>
          <w:szCs w:val="24"/>
        </w:rPr>
        <w:tab/>
        <w:t xml:space="preserve">Lontchi-Yimagou E, Sobngwi E, Matsha TE, Kengne AP. Diabetes mellitus and inflammation. Curr Diab Rep. 2013 Jun;13(3):435–44.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12. </w:t>
      </w:r>
      <w:r w:rsidRPr="002F34F2">
        <w:rPr>
          <w:rFonts w:ascii="Arial" w:hAnsi="Arial" w:cs="Arial"/>
          <w:noProof/>
          <w:sz w:val="24"/>
          <w:szCs w:val="24"/>
        </w:rPr>
        <w:tab/>
        <w:t xml:space="preserve">Worwood M. The laboratory assessment of iron status--an update. Clin Chim Acta. 1997 Mar 18;259(1-2):3–23.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13. </w:t>
      </w:r>
      <w:r w:rsidRPr="002F34F2">
        <w:rPr>
          <w:rFonts w:ascii="Arial" w:hAnsi="Arial" w:cs="Arial"/>
          <w:noProof/>
          <w:sz w:val="24"/>
          <w:szCs w:val="24"/>
        </w:rPr>
        <w:tab/>
        <w:t xml:space="preserve">Fleming RE, Ponka P. Iron overload in human disease. N Engl J Med. 2012 Jan 26;366(4):348–59.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14. </w:t>
      </w:r>
      <w:r w:rsidRPr="002F34F2">
        <w:rPr>
          <w:rFonts w:ascii="Arial" w:hAnsi="Arial" w:cs="Arial"/>
          <w:noProof/>
          <w:sz w:val="24"/>
          <w:szCs w:val="24"/>
        </w:rPr>
        <w:tab/>
        <w:t xml:space="preserve">Brissot P, Ropert M, Le Lan C, Loréal O. Non-transferrin bound iron: a key role in iron overload and iron toxicity. Biochim Biophys Acta. Elsevier B.V.; 2012 Mar;1820(3):403–10.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15. </w:t>
      </w:r>
      <w:r w:rsidRPr="002F34F2">
        <w:rPr>
          <w:rFonts w:ascii="Arial" w:hAnsi="Arial" w:cs="Arial"/>
          <w:noProof/>
          <w:sz w:val="24"/>
          <w:szCs w:val="24"/>
        </w:rPr>
        <w:tab/>
        <w:t xml:space="preserve">Langenberg C, Sharp S, Forouhi NG, Franks PW, Schulze MB, Kerrison N, et </w:t>
      </w:r>
      <w:r w:rsidRPr="002F34F2">
        <w:rPr>
          <w:rFonts w:ascii="Arial" w:hAnsi="Arial" w:cs="Arial"/>
          <w:noProof/>
          <w:sz w:val="24"/>
          <w:szCs w:val="24"/>
        </w:rPr>
        <w:lastRenderedPageBreak/>
        <w:t xml:space="preserve">al. Design and cohort description of the InterAct Project: an examination of the interaction of genetic and lifestyle factors on the incidence of type 2 diabetes in the EPIC Study. Diabetologia. 2011 Sep;54(9):2272–82.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16. </w:t>
      </w:r>
      <w:r w:rsidRPr="002F34F2">
        <w:rPr>
          <w:rFonts w:ascii="Arial" w:hAnsi="Arial" w:cs="Arial"/>
          <w:noProof/>
          <w:sz w:val="24"/>
          <w:szCs w:val="24"/>
        </w:rPr>
        <w:tab/>
        <w:t xml:space="preserve">Peters T, Brage S, Westgate K, Franks PW, Gradmark A, Tormo Diaz MJ, et al. Validity of a short questionnaire to assess physical activity in 10 European countries. Eur J Epidemiol. 2012 Jan;27(1):15–25.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17. </w:t>
      </w:r>
      <w:r w:rsidRPr="002F34F2">
        <w:rPr>
          <w:rFonts w:ascii="Arial" w:hAnsi="Arial" w:cs="Arial"/>
          <w:noProof/>
          <w:sz w:val="24"/>
          <w:szCs w:val="24"/>
        </w:rPr>
        <w:tab/>
        <w:t>Westgard Rules [Internet]. Available from: http://www.westgard.com/mltirule.htm</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18. </w:t>
      </w:r>
      <w:r w:rsidRPr="002F34F2">
        <w:rPr>
          <w:rFonts w:ascii="Arial" w:hAnsi="Arial" w:cs="Arial"/>
          <w:noProof/>
          <w:sz w:val="24"/>
          <w:szCs w:val="24"/>
        </w:rPr>
        <w:tab/>
        <w:t xml:space="preserve">European Association for the Study of the Liver. EASL clinical practice guidelines for HFE hemochromatosis. J Hepatol. 2010 Jul;53(1):3–22.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19. </w:t>
      </w:r>
      <w:r w:rsidRPr="002F34F2">
        <w:rPr>
          <w:rFonts w:ascii="Arial" w:hAnsi="Arial" w:cs="Arial"/>
          <w:noProof/>
          <w:sz w:val="24"/>
          <w:szCs w:val="24"/>
        </w:rPr>
        <w:tab/>
        <w:t xml:space="preserve">Ratziu V, Bellentani S, Cortez-Pinto H, Day C, Marchesini G. A position statement on NAFLD/NASH based on the EASL 2009 special conference. J Hepatol. European Association for the Study of the Liver; 2010 Aug;53(2):372–84.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20. </w:t>
      </w:r>
      <w:r w:rsidRPr="002F34F2">
        <w:rPr>
          <w:rFonts w:ascii="Arial" w:hAnsi="Arial" w:cs="Arial"/>
          <w:noProof/>
          <w:sz w:val="24"/>
          <w:szCs w:val="24"/>
        </w:rPr>
        <w:tab/>
        <w:t xml:space="preserve">Lean ME, Han TS, Morrison CE. Waist circumference as a measure for indicating need for weight management. Br Med J. 1995 Jul 15;311(6998):158–61.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21. </w:t>
      </w:r>
      <w:r w:rsidRPr="002F34F2">
        <w:rPr>
          <w:rFonts w:ascii="Arial" w:hAnsi="Arial" w:cs="Arial"/>
          <w:noProof/>
          <w:sz w:val="24"/>
          <w:szCs w:val="24"/>
        </w:rPr>
        <w:tab/>
        <w:t xml:space="preserve">Jung CH, Lee MJ, Hwang JY, Jang JE, Leem J, Park J-Y, et al. Elevated serum ferritin level is associated with the incident type 2 diabetes in healthy Korean men: a 4 year longitudinal study. PLoS One. 2013 Jan;8(9):e75250.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22. </w:t>
      </w:r>
      <w:r w:rsidRPr="002F34F2">
        <w:rPr>
          <w:rFonts w:ascii="Arial" w:hAnsi="Arial" w:cs="Arial"/>
          <w:noProof/>
          <w:sz w:val="24"/>
          <w:szCs w:val="24"/>
        </w:rPr>
        <w:tab/>
        <w:t xml:space="preserve">Lee B-K, Kim Y, Kim Y-I. Association of serum ferritin with metabolic syndrome and diabetes mellitus in the South Korean general population according to the Korean National Health and Nutrition Examination Survey 2008. Metabolism. Elsevier B.V.; 2011 Oct;60(10):1416–24.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23. </w:t>
      </w:r>
      <w:r w:rsidRPr="002F34F2">
        <w:rPr>
          <w:rFonts w:ascii="Arial" w:hAnsi="Arial" w:cs="Arial"/>
          <w:noProof/>
          <w:sz w:val="24"/>
          <w:szCs w:val="24"/>
        </w:rPr>
        <w:tab/>
        <w:t xml:space="preserve">Fumeron F, Péan F, Driss F, Balkau B, Tichet J, Marre M, et al. Ferritin and transferrin are both predictive of the onset of hyperglycemia in men and women over 3 years: the data from an epidemiological study on the Insulin Resistance Syndrome (DESIR) study. Diabetes Care. 2006 Sep;29(9):2090–4.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24. </w:t>
      </w:r>
      <w:r w:rsidRPr="002F34F2">
        <w:rPr>
          <w:rFonts w:ascii="Arial" w:hAnsi="Arial" w:cs="Arial"/>
          <w:noProof/>
          <w:sz w:val="24"/>
          <w:szCs w:val="24"/>
        </w:rPr>
        <w:tab/>
        <w:t xml:space="preserve">Mainous AG, King DE, Pearson WS, Garr DR. Is an elevated serum transferrin saturation associated with the development of diabetes? J Fam Pract. 2002 Nov;51(11):933–6.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25. </w:t>
      </w:r>
      <w:r w:rsidRPr="002F34F2">
        <w:rPr>
          <w:rFonts w:ascii="Arial" w:hAnsi="Arial" w:cs="Arial"/>
          <w:noProof/>
          <w:sz w:val="24"/>
          <w:szCs w:val="24"/>
        </w:rPr>
        <w:tab/>
        <w:t xml:space="preserve">Ellervik C, Mandrup-Poulsen T, Andersen HU, Tybjærg-Hansen A, Frandsen M, Birgens H, et al. Elevated transferrin saturation and risk of diabetes: three population-based studies. Diabetes Care. 2011 Oct;34(10):2256–8.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26. </w:t>
      </w:r>
      <w:r w:rsidRPr="002F34F2">
        <w:rPr>
          <w:rFonts w:ascii="Arial" w:hAnsi="Arial" w:cs="Arial"/>
          <w:noProof/>
          <w:sz w:val="24"/>
          <w:szCs w:val="24"/>
        </w:rPr>
        <w:tab/>
        <w:t xml:space="preserve">Cheung C-L, Cheung TT, Lam KSLL, Cheung BMYY. High ferritin and low transferrin saturation are associated with pre-diabetes among a national representative sample of U.S. adults. Clin Nutr. Elsevier Ltd; 2013 Dec 28;32(6):1055–60.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27. </w:t>
      </w:r>
      <w:r w:rsidRPr="002F34F2">
        <w:rPr>
          <w:rFonts w:ascii="Arial" w:hAnsi="Arial" w:cs="Arial"/>
          <w:noProof/>
          <w:sz w:val="24"/>
          <w:szCs w:val="24"/>
        </w:rPr>
        <w:tab/>
        <w:t xml:space="preserve">Park RJ, Moon JD. Low transferrin saturation is associated with impaired fasting glucose and insulin resistance in the South Korean adults: the 2010 Korean National Health and Nutrition Examination Survey. Diabet Med. 2014 Nov 29;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28. </w:t>
      </w:r>
      <w:r w:rsidRPr="002F34F2">
        <w:rPr>
          <w:rFonts w:ascii="Arial" w:hAnsi="Arial" w:cs="Arial"/>
          <w:noProof/>
          <w:sz w:val="24"/>
          <w:szCs w:val="24"/>
        </w:rPr>
        <w:tab/>
        <w:t xml:space="preserve">Huth C, Beuerle S, Zierer A, Heier M, Herder C, Kaiser T, et al. Biomarkers of </w:t>
      </w:r>
      <w:r w:rsidRPr="002F34F2">
        <w:rPr>
          <w:rFonts w:ascii="Arial" w:hAnsi="Arial" w:cs="Arial"/>
          <w:noProof/>
          <w:sz w:val="24"/>
          <w:szCs w:val="24"/>
        </w:rPr>
        <w:lastRenderedPageBreak/>
        <w:t xml:space="preserve">iron metabolism are independently associated with impaired glucose metabolism and type 2 diabetes: the KORA F4 study. Eur J Endocrinol. 2015;173(5):643–53.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29. </w:t>
      </w:r>
      <w:r w:rsidRPr="002F34F2">
        <w:rPr>
          <w:rFonts w:ascii="Arial" w:hAnsi="Arial" w:cs="Arial"/>
          <w:noProof/>
          <w:sz w:val="24"/>
          <w:szCs w:val="24"/>
        </w:rPr>
        <w:tab/>
        <w:t xml:space="preserve">Szőke D, Panteghini M. Diagnostic value of transferrin. Clin Chim Acta. Elsevier B.V.; 2012 Aug 16;413(15-16):1184–9.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30. </w:t>
      </w:r>
      <w:r w:rsidRPr="002F34F2">
        <w:rPr>
          <w:rFonts w:ascii="Arial" w:hAnsi="Arial" w:cs="Arial"/>
          <w:noProof/>
          <w:sz w:val="24"/>
          <w:szCs w:val="24"/>
        </w:rPr>
        <w:tab/>
        <w:t xml:space="preserve">Lee D-HD-H, Liu DY, Jacobs DR, Shin H-R, Song K, Lee I-K, et al. Common presence of non-transferrin-bound iron among patients with type 2 diabetes. Diabetes Care. 2006 May 1;29(5):1090–5.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31. </w:t>
      </w:r>
      <w:r w:rsidRPr="002F34F2">
        <w:rPr>
          <w:rFonts w:ascii="Arial" w:hAnsi="Arial" w:cs="Arial"/>
          <w:noProof/>
          <w:sz w:val="24"/>
          <w:szCs w:val="24"/>
        </w:rPr>
        <w:tab/>
        <w:t xml:space="preserve">Moirand R, Mortaji  a M, Loréal O, Paillard F, Brissot P, Deugnier Y. A new syndrome of liver iron overload with normal transferrin saturation. Lancet. 1997 Jan 11;349(9045):95–7.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32. </w:t>
      </w:r>
      <w:r w:rsidRPr="002F34F2">
        <w:rPr>
          <w:rFonts w:ascii="Arial" w:hAnsi="Arial" w:cs="Arial"/>
          <w:noProof/>
          <w:sz w:val="24"/>
          <w:szCs w:val="24"/>
        </w:rPr>
        <w:tab/>
        <w:t xml:space="preserve">Mendler MH, Turlin B, Moirand R, Jouanolle  a M, Sapey T, Guyader D, et al. Insulin resistance-associated hepatic iron overload. Gastroenterology. 1999 Nov;117(5):1155–63.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33. </w:t>
      </w:r>
      <w:r w:rsidRPr="002F34F2">
        <w:rPr>
          <w:rFonts w:ascii="Arial" w:hAnsi="Arial" w:cs="Arial"/>
          <w:noProof/>
          <w:sz w:val="24"/>
          <w:szCs w:val="24"/>
        </w:rPr>
        <w:tab/>
        <w:t xml:space="preserve">Turlin B, Mendler MH, Moirand R, Guyader D, Guillygomarc’h A, Deugnier Y. Histologic features of the liver in insulin resistance-associated iron overload. A study of 139 patients. Am J Clin Pathol. 2001 Aug;116(2):263–70.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34. </w:t>
      </w:r>
      <w:r w:rsidRPr="002F34F2">
        <w:rPr>
          <w:rFonts w:ascii="Arial" w:hAnsi="Arial" w:cs="Arial"/>
          <w:noProof/>
          <w:sz w:val="24"/>
          <w:szCs w:val="24"/>
        </w:rPr>
        <w:tab/>
        <w:t xml:space="preserve">Fernández-Real JM, López-Bermejo A, Ricart W. Cross-talk between iron metabolism and diabetes. Diabetes. 2002 Aug;51(8):2348–54.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35. </w:t>
      </w:r>
      <w:r w:rsidRPr="002F34F2">
        <w:rPr>
          <w:rFonts w:ascii="Arial" w:hAnsi="Arial" w:cs="Arial"/>
          <w:noProof/>
          <w:sz w:val="24"/>
          <w:szCs w:val="24"/>
        </w:rPr>
        <w:tab/>
        <w:t xml:space="preserve">Forouhi NG, Harding AH, Allison M, Sandhu MS, Welch A, Luben R, et al. Elevated serum ferritin levels predict new-onset type 2 diabetes: results from the EPIC-Norfolk prospective study. Diabetologia. 2007 May;50(5):949–56.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36. </w:t>
      </w:r>
      <w:r w:rsidRPr="002F34F2">
        <w:rPr>
          <w:rFonts w:ascii="Arial" w:hAnsi="Arial" w:cs="Arial"/>
          <w:noProof/>
          <w:sz w:val="24"/>
          <w:szCs w:val="24"/>
        </w:rPr>
        <w:tab/>
        <w:t xml:space="preserve">Gabrielsen JS, Gao Y, Simcox JA, Huang J, Thorup D, Jones D, et al. Adipocyte iron regulates adiponectin and insulin sensitivity. J Clin Invest. 2012 Oct 1;122(10):3529–40.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37. </w:t>
      </w:r>
      <w:r w:rsidRPr="002F34F2">
        <w:rPr>
          <w:rFonts w:ascii="Arial" w:hAnsi="Arial" w:cs="Arial"/>
          <w:noProof/>
          <w:sz w:val="24"/>
          <w:szCs w:val="24"/>
        </w:rPr>
        <w:tab/>
        <w:t xml:space="preserve">Wlazlo N, van Greevenbroek MMJ, Ferreira I, Jansen EHJM, Feskens EJM, van der Kallen CJH, et al. Iron metabolism is prospectively associated with insulin resistance and glucose intolerance over a 7-year follow-up period: the CODAM study. Acta Diabetol. 2014 Oct 1;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38. </w:t>
      </w:r>
      <w:r w:rsidRPr="002F34F2">
        <w:rPr>
          <w:rFonts w:ascii="Arial" w:hAnsi="Arial" w:cs="Arial"/>
          <w:noProof/>
          <w:sz w:val="24"/>
          <w:szCs w:val="24"/>
        </w:rPr>
        <w:tab/>
        <w:t xml:space="preserve">O’Riordain MG, Ross J a, Fearon KC, Maingay J, Farouk M, Garden OJ, et al. Insulin and counterregulatory hormones influence acute-phase protein production in human hepatocytes. Am J Physiol. 1995 Aug;269(2 Pt 1):E323–30.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39. </w:t>
      </w:r>
      <w:r w:rsidRPr="002F34F2">
        <w:rPr>
          <w:rFonts w:ascii="Arial" w:hAnsi="Arial" w:cs="Arial"/>
          <w:noProof/>
          <w:sz w:val="24"/>
          <w:szCs w:val="24"/>
        </w:rPr>
        <w:tab/>
        <w:t xml:space="preserve">Tanner LI, Lienhard GE. Insulin elicits a redistribution of transferrin receptors in 3T3-L1 adipocytes through an increase in the rate constant for receptor externalization. J Biol Chem. 1987 Jul 5;262(19):8975–80.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40. </w:t>
      </w:r>
      <w:r w:rsidRPr="002F34F2">
        <w:rPr>
          <w:rFonts w:ascii="Arial" w:hAnsi="Arial" w:cs="Arial"/>
          <w:noProof/>
          <w:sz w:val="24"/>
          <w:szCs w:val="24"/>
        </w:rPr>
        <w:tab/>
        <w:t xml:space="preserve">Vargas L, Kawada ME, Bazaes S, Karp PA, Faerman CH, Karplus PA, et al. Insulin antagonism: a novel role for human serum transferrin. Horm Metab Res. © Georg Thieme Verlag Stuttgart · New York; 1998 Mar 20;30(3):113–7.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41. </w:t>
      </w:r>
      <w:r w:rsidRPr="002F34F2">
        <w:rPr>
          <w:rFonts w:ascii="Arial" w:hAnsi="Arial" w:cs="Arial"/>
          <w:noProof/>
          <w:sz w:val="24"/>
          <w:szCs w:val="24"/>
        </w:rPr>
        <w:tab/>
        <w:t xml:space="preserve">Hanley AJG, Williams K, Festa A, Wagenknecht LE, D’Agostino RB, Kempf J, et al. Elevations in markers of liver injury and risk of type 2 diabetes: the insulin resistance atherosclerosis study. Diabetes. 2004 Oct;53(10):2623–32.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42. </w:t>
      </w:r>
      <w:r w:rsidRPr="002F34F2">
        <w:rPr>
          <w:rFonts w:ascii="Arial" w:hAnsi="Arial" w:cs="Arial"/>
          <w:noProof/>
          <w:sz w:val="24"/>
          <w:szCs w:val="24"/>
        </w:rPr>
        <w:tab/>
        <w:t xml:space="preserve">Nolan CJ, Damm P, Prentki M. Type 2 diabetes across generations: from </w:t>
      </w:r>
      <w:r w:rsidRPr="002F34F2">
        <w:rPr>
          <w:rFonts w:ascii="Arial" w:hAnsi="Arial" w:cs="Arial"/>
          <w:noProof/>
          <w:sz w:val="24"/>
          <w:szCs w:val="24"/>
        </w:rPr>
        <w:lastRenderedPageBreak/>
        <w:t xml:space="preserve">pathophysiology to prevention and management. Lancet. Elsevier Ltd; 2011 Jul 9;378(9786):169–81.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43. </w:t>
      </w:r>
      <w:r w:rsidRPr="002F34F2">
        <w:rPr>
          <w:rFonts w:ascii="Arial" w:hAnsi="Arial" w:cs="Arial"/>
          <w:noProof/>
          <w:sz w:val="24"/>
          <w:szCs w:val="24"/>
        </w:rPr>
        <w:tab/>
        <w:t xml:space="preserve">Adams PC, McLaren CE, Speechley M, McLaren GD, Barton JC, Eckfeldt JH. HFE mutations in Caucasian participants of the Hemochromatosis and Iron Overload Screening study with serum ferritin level &lt;1000 µg/L. Can J Gastroenterol. 2013 Jul;27(7):390–2.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44. </w:t>
      </w:r>
      <w:r w:rsidRPr="002F34F2">
        <w:rPr>
          <w:rFonts w:ascii="Arial" w:hAnsi="Arial" w:cs="Arial"/>
          <w:noProof/>
          <w:sz w:val="24"/>
          <w:szCs w:val="24"/>
        </w:rPr>
        <w:tab/>
        <w:t xml:space="preserve">Adams PC, Reboussin DM, Barton JC, McLaren CE, Eckfeldt JH, McLaren GD, et al. Hemochromatosis and iron-overload screening in a racially diverse population. N Engl J Med. 2005 Apr 28;352(17):1769–78.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45. </w:t>
      </w:r>
      <w:r w:rsidRPr="002F34F2">
        <w:rPr>
          <w:rFonts w:ascii="Arial" w:hAnsi="Arial" w:cs="Arial"/>
          <w:noProof/>
          <w:sz w:val="24"/>
          <w:szCs w:val="24"/>
        </w:rPr>
        <w:tab/>
        <w:t xml:space="preserve">Allen KJ, Gurrin LC, Constantine CC, Osborne NJ, Delatycki MB, Nicoll AJ, et al. Iron-overload-related disease in HFE hereditary hemochromatosis. N Engl J Med. 2008 Jan 17;358(3):221–30.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46. </w:t>
      </w:r>
      <w:r w:rsidRPr="002F34F2">
        <w:rPr>
          <w:rFonts w:ascii="Arial" w:hAnsi="Arial" w:cs="Arial"/>
          <w:noProof/>
          <w:sz w:val="24"/>
          <w:szCs w:val="24"/>
        </w:rPr>
        <w:tab/>
        <w:t xml:space="preserve">Beutler E, Felitti VJ, Koziol J a, Ho NJ, Gelbart T. Penetrance of 845G--&gt; A (C282Y) HFE hereditary haemochromatosis mutation in the USA. Lancet. 2002 Jan 19;359(9302):211–8.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47. </w:t>
      </w:r>
      <w:r w:rsidRPr="002F34F2">
        <w:rPr>
          <w:rFonts w:ascii="Arial" w:hAnsi="Arial" w:cs="Arial"/>
          <w:noProof/>
          <w:sz w:val="24"/>
          <w:szCs w:val="24"/>
        </w:rPr>
        <w:tab/>
        <w:t xml:space="preserve">Rong Y, Bao W, Rong S, Fang M, Wang D, Yao P, et al. Hemochromatosis gene (HFE) polymorphisms and risk of type 2 diabetes mellitus: a meta-analysis. Am J Epidemiol. 2012 Sep 15;176(6):461–72.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szCs w:val="24"/>
        </w:rPr>
      </w:pPr>
      <w:r w:rsidRPr="002F34F2">
        <w:rPr>
          <w:rFonts w:ascii="Arial" w:hAnsi="Arial" w:cs="Arial"/>
          <w:noProof/>
          <w:sz w:val="24"/>
          <w:szCs w:val="24"/>
        </w:rPr>
        <w:t xml:space="preserve">48. </w:t>
      </w:r>
      <w:r w:rsidRPr="002F34F2">
        <w:rPr>
          <w:rFonts w:ascii="Arial" w:hAnsi="Arial" w:cs="Arial"/>
          <w:noProof/>
          <w:sz w:val="24"/>
          <w:szCs w:val="24"/>
        </w:rPr>
        <w:tab/>
        <w:t xml:space="preserve">Zhang D, Jiang X, Wu Y, Jiang W, Pang Z. Re: “hemochromatosis gene (HFE) polymorphisms and risk of type 2 diabetes mellitus: a meta-analysis”. Am J Epidemiol. 2013 Feb 15;177(4):372–3. </w:t>
      </w:r>
    </w:p>
    <w:p w:rsidR="002F34F2" w:rsidRPr="002F34F2" w:rsidRDefault="002F34F2" w:rsidP="002F34F2">
      <w:pPr>
        <w:widowControl w:val="0"/>
        <w:autoSpaceDE w:val="0"/>
        <w:autoSpaceDN w:val="0"/>
        <w:adjustRightInd w:val="0"/>
        <w:spacing w:after="140" w:line="240" w:lineRule="auto"/>
        <w:ind w:left="640" w:hanging="640"/>
        <w:rPr>
          <w:rFonts w:ascii="Arial" w:hAnsi="Arial" w:cs="Arial"/>
          <w:noProof/>
          <w:sz w:val="24"/>
        </w:rPr>
      </w:pPr>
      <w:r w:rsidRPr="002F34F2">
        <w:rPr>
          <w:rFonts w:ascii="Arial" w:hAnsi="Arial" w:cs="Arial"/>
          <w:noProof/>
          <w:sz w:val="24"/>
          <w:szCs w:val="24"/>
        </w:rPr>
        <w:t xml:space="preserve">49. </w:t>
      </w:r>
      <w:r w:rsidRPr="002F34F2">
        <w:rPr>
          <w:rFonts w:ascii="Arial" w:hAnsi="Arial" w:cs="Arial"/>
          <w:noProof/>
          <w:sz w:val="24"/>
          <w:szCs w:val="24"/>
        </w:rPr>
        <w:tab/>
        <w:t xml:space="preserve">Bacon BR, Britton RS. Clinical penetrance of hereditary hemochromatosis. N Engl J Med. 2008 Jan 17;358(3):291–2. </w:t>
      </w:r>
    </w:p>
    <w:p w:rsidR="00D25CB3" w:rsidRPr="0018334E" w:rsidRDefault="009B7FDF" w:rsidP="002F34F2">
      <w:pPr>
        <w:widowControl w:val="0"/>
        <w:autoSpaceDE w:val="0"/>
        <w:autoSpaceDN w:val="0"/>
        <w:adjustRightInd w:val="0"/>
        <w:spacing w:after="140" w:line="288" w:lineRule="auto"/>
        <w:rPr>
          <w:rFonts w:ascii="Arial" w:hAnsi="Arial" w:cs="Arial"/>
          <w:lang w:val="en-US"/>
        </w:rPr>
      </w:pPr>
      <w:r w:rsidRPr="0018334E">
        <w:rPr>
          <w:rFonts w:ascii="Arial" w:hAnsi="Arial" w:cs="Arial"/>
          <w:lang w:val="en-US"/>
        </w:rPr>
        <w:fldChar w:fldCharType="end"/>
      </w:r>
    </w:p>
    <w:p w:rsidR="00D25CB3" w:rsidRPr="0018334E" w:rsidRDefault="00D25CB3">
      <w:pPr>
        <w:rPr>
          <w:rFonts w:ascii="Arial" w:eastAsia="Times New Roman" w:hAnsi="Arial" w:cs="Arial"/>
          <w:sz w:val="24"/>
          <w:szCs w:val="24"/>
          <w:lang w:val="en-US" w:eastAsia="en-GB"/>
        </w:rPr>
      </w:pPr>
      <w:r w:rsidRPr="0018334E">
        <w:rPr>
          <w:rFonts w:ascii="Arial" w:hAnsi="Arial" w:cs="Arial"/>
          <w:sz w:val="24"/>
          <w:szCs w:val="24"/>
          <w:lang w:val="en-US"/>
        </w:rPr>
        <w:br w:type="page"/>
      </w:r>
    </w:p>
    <w:p w:rsidR="00F95DB1" w:rsidRPr="00E1146F" w:rsidRDefault="001B38C1" w:rsidP="00F378A8">
      <w:pPr>
        <w:tabs>
          <w:tab w:val="left" w:pos="1263"/>
        </w:tabs>
        <w:spacing w:after="0" w:line="240" w:lineRule="auto"/>
        <w:jc w:val="both"/>
        <w:rPr>
          <w:rFonts w:ascii="Arial" w:eastAsia="Verdana" w:hAnsi="Arial" w:cs="Arial"/>
          <w:b/>
          <w:sz w:val="24"/>
          <w:szCs w:val="24"/>
          <w:lang w:val="en-US"/>
        </w:rPr>
      </w:pPr>
      <w:proofErr w:type="gramStart"/>
      <w:r w:rsidRPr="00E1146F">
        <w:rPr>
          <w:rFonts w:ascii="Arial" w:eastAsia="Verdana" w:hAnsi="Arial" w:cs="Arial"/>
          <w:b/>
          <w:sz w:val="24"/>
          <w:szCs w:val="24"/>
          <w:lang w:val="en-US"/>
        </w:rPr>
        <w:lastRenderedPageBreak/>
        <w:t>Table 1.</w:t>
      </w:r>
      <w:proofErr w:type="gramEnd"/>
      <w:r w:rsidRPr="00E1146F">
        <w:rPr>
          <w:rFonts w:ascii="Arial" w:eastAsia="Verdana" w:hAnsi="Arial" w:cs="Arial"/>
          <w:b/>
          <w:sz w:val="24"/>
          <w:szCs w:val="24"/>
          <w:lang w:val="en-US"/>
        </w:rPr>
        <w:t xml:space="preserve"> </w:t>
      </w:r>
      <w:r w:rsidR="00A31A9C" w:rsidRPr="00E1146F">
        <w:rPr>
          <w:rFonts w:ascii="Arial" w:eastAsia="Verdana" w:hAnsi="Arial" w:cs="Arial"/>
          <w:sz w:val="24"/>
          <w:szCs w:val="24"/>
          <w:lang w:val="en-US"/>
        </w:rPr>
        <w:t xml:space="preserve">Baseline characteristics by quartiles of ferritin in men in the </w:t>
      </w:r>
      <w:proofErr w:type="spellStart"/>
      <w:r w:rsidR="00A31A9C" w:rsidRPr="00E1146F">
        <w:rPr>
          <w:rFonts w:ascii="Arial" w:eastAsia="Verdana" w:hAnsi="Arial" w:cs="Arial"/>
          <w:sz w:val="24"/>
          <w:szCs w:val="24"/>
          <w:lang w:val="en-US"/>
        </w:rPr>
        <w:t>subcohort</w:t>
      </w:r>
      <w:proofErr w:type="spellEnd"/>
      <w:r w:rsidR="00FA7D87" w:rsidRPr="00E1146F">
        <w:rPr>
          <w:rFonts w:ascii="Arial" w:eastAsia="Verdana" w:hAnsi="Arial" w:cs="Arial"/>
          <w:sz w:val="24"/>
          <w:szCs w:val="24"/>
          <w:lang w:val="en-US"/>
        </w:rPr>
        <w:t xml:space="preserve"> </w:t>
      </w:r>
      <w:r w:rsidR="00FB130B" w:rsidRPr="00E1146F">
        <w:rPr>
          <w:rFonts w:ascii="Arial" w:eastAsia="Verdana" w:hAnsi="Arial" w:cs="Arial"/>
          <w:sz w:val="24"/>
          <w:szCs w:val="24"/>
          <w:lang w:val="en-US"/>
        </w:rPr>
        <w:t>(</w:t>
      </w:r>
      <w:r w:rsidR="00FB130B" w:rsidRPr="00E1146F">
        <w:rPr>
          <w:rFonts w:ascii="Arial" w:eastAsia="Verdana" w:hAnsi="Arial" w:cs="Arial"/>
          <w:i/>
          <w:sz w:val="24"/>
          <w:szCs w:val="24"/>
          <w:lang w:val="en-US"/>
        </w:rPr>
        <w:t>n</w:t>
      </w:r>
      <w:r w:rsidR="00FB130B" w:rsidRPr="00E1146F">
        <w:rPr>
          <w:rFonts w:ascii="Arial" w:eastAsia="Verdana" w:hAnsi="Arial" w:cs="Arial"/>
          <w:sz w:val="24"/>
          <w:szCs w:val="24"/>
          <w:lang w:val="en-US"/>
        </w:rPr>
        <w:t>=5,697)</w:t>
      </w:r>
    </w:p>
    <w:p w:rsidR="001B38C1" w:rsidRPr="00202FA4" w:rsidRDefault="001B38C1" w:rsidP="00F378A8">
      <w:pPr>
        <w:tabs>
          <w:tab w:val="left" w:pos="1263"/>
        </w:tabs>
        <w:spacing w:after="0" w:line="240" w:lineRule="auto"/>
        <w:jc w:val="both"/>
        <w:rPr>
          <w:rFonts w:ascii="Arial" w:eastAsia="Verdana" w:hAnsi="Arial" w:cs="Arial"/>
          <w:b/>
          <w:sz w:val="20"/>
          <w:szCs w:val="24"/>
          <w:lang w:val="en-US"/>
        </w:rPr>
      </w:pPr>
    </w:p>
    <w:tbl>
      <w:tblPr>
        <w:tblStyle w:val="TableGrid"/>
        <w:tblW w:w="11199" w:type="dxa"/>
        <w:tblInd w:w="-10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1708"/>
        <w:gridCol w:w="135"/>
        <w:gridCol w:w="1418"/>
        <w:gridCol w:w="1559"/>
        <w:gridCol w:w="1559"/>
        <w:gridCol w:w="1560"/>
        <w:gridCol w:w="1288"/>
        <w:gridCol w:w="1553"/>
      </w:tblGrid>
      <w:tr w:rsidR="00C63D02" w:rsidRPr="00EF6887" w:rsidTr="001604E7">
        <w:trPr>
          <w:trHeight w:val="663"/>
        </w:trPr>
        <w:tc>
          <w:tcPr>
            <w:tcW w:w="419" w:type="dxa"/>
            <w:tcBorders>
              <w:top w:val="single" w:sz="4" w:space="0" w:color="auto"/>
              <w:left w:val="nil"/>
              <w:bottom w:val="single" w:sz="4" w:space="0" w:color="auto"/>
              <w:right w:val="nil"/>
            </w:tcBorders>
            <w:hideMark/>
          </w:tcPr>
          <w:p w:rsidR="00560D29" w:rsidRPr="00EF6887" w:rsidRDefault="00560D29" w:rsidP="001B38C1">
            <w:pPr>
              <w:rPr>
                <w:rStyle w:val="BookTitle"/>
                <w:rFonts w:ascii="Arial" w:hAnsi="Arial" w:cs="Arial"/>
                <w:sz w:val="20"/>
                <w:szCs w:val="20"/>
              </w:rPr>
            </w:pPr>
          </w:p>
        </w:tc>
        <w:tc>
          <w:tcPr>
            <w:tcW w:w="1708" w:type="dxa"/>
            <w:tcBorders>
              <w:top w:val="single" w:sz="4" w:space="0" w:color="auto"/>
              <w:left w:val="nil"/>
              <w:bottom w:val="single" w:sz="4" w:space="0" w:color="auto"/>
              <w:right w:val="nil"/>
            </w:tcBorders>
            <w:hideMark/>
          </w:tcPr>
          <w:p w:rsidR="00560D29" w:rsidRPr="00EF6887" w:rsidRDefault="00560D29" w:rsidP="001401F0">
            <w:pPr>
              <w:jc w:val="center"/>
              <w:rPr>
                <w:rFonts w:ascii="Arial" w:hAnsi="Arial" w:cs="Arial"/>
                <w:sz w:val="20"/>
                <w:szCs w:val="20"/>
              </w:rPr>
            </w:pPr>
          </w:p>
        </w:tc>
        <w:tc>
          <w:tcPr>
            <w:tcW w:w="6231" w:type="dxa"/>
            <w:gridSpan w:val="5"/>
            <w:tcBorders>
              <w:top w:val="single" w:sz="4" w:space="0" w:color="auto"/>
              <w:left w:val="nil"/>
              <w:bottom w:val="single" w:sz="4" w:space="0" w:color="auto"/>
              <w:right w:val="nil"/>
            </w:tcBorders>
            <w:vAlign w:val="center"/>
            <w:hideMark/>
          </w:tcPr>
          <w:p w:rsidR="00560D29" w:rsidRPr="00EF6887" w:rsidRDefault="00560D29" w:rsidP="004043F0">
            <w:pPr>
              <w:jc w:val="center"/>
              <w:rPr>
                <w:rFonts w:ascii="Arial" w:hAnsi="Arial" w:cs="Arial"/>
                <w:sz w:val="20"/>
                <w:szCs w:val="20"/>
              </w:rPr>
            </w:pPr>
          </w:p>
          <w:p w:rsidR="00560D29" w:rsidRPr="00EF6887" w:rsidRDefault="00560D29" w:rsidP="004043F0">
            <w:pPr>
              <w:jc w:val="center"/>
              <w:rPr>
                <w:rFonts w:ascii="Arial" w:hAnsi="Arial" w:cs="Arial"/>
                <w:b/>
                <w:bCs/>
                <w:sz w:val="20"/>
                <w:szCs w:val="20"/>
              </w:rPr>
            </w:pPr>
            <w:r w:rsidRPr="00EF6887">
              <w:rPr>
                <w:rFonts w:ascii="Arial" w:hAnsi="Arial" w:cs="Arial"/>
                <w:b/>
                <w:bCs/>
                <w:sz w:val="20"/>
                <w:szCs w:val="20"/>
              </w:rPr>
              <w:t xml:space="preserve">Ferritin quartiles (Range of ferritin, </w:t>
            </w:r>
            <w:proofErr w:type="spellStart"/>
            <w:r w:rsidR="004016F8" w:rsidRPr="00EF6887">
              <w:rPr>
                <w:rFonts w:ascii="Arial" w:hAnsi="Arial" w:cs="Arial"/>
                <w:b/>
                <w:bCs/>
                <w:sz w:val="20"/>
                <w:szCs w:val="20"/>
              </w:rPr>
              <w:t>μg</w:t>
            </w:r>
            <w:proofErr w:type="spellEnd"/>
            <w:r w:rsidR="006B7240" w:rsidRPr="00EF6887">
              <w:rPr>
                <w:rFonts w:ascii="Arial" w:hAnsi="Arial" w:cs="Arial"/>
                <w:b/>
                <w:bCs/>
                <w:sz w:val="20"/>
                <w:szCs w:val="20"/>
              </w:rPr>
              <w:t>/L</w:t>
            </w:r>
            <w:r w:rsidRPr="00EF6887">
              <w:rPr>
                <w:rFonts w:ascii="Arial" w:hAnsi="Arial" w:cs="Arial"/>
                <w:b/>
                <w:bCs/>
                <w:sz w:val="20"/>
                <w:szCs w:val="20"/>
              </w:rPr>
              <w:t>)</w:t>
            </w:r>
          </w:p>
        </w:tc>
        <w:tc>
          <w:tcPr>
            <w:tcW w:w="1288" w:type="dxa"/>
            <w:tcBorders>
              <w:top w:val="single" w:sz="4" w:space="0" w:color="auto"/>
              <w:left w:val="nil"/>
              <w:bottom w:val="single" w:sz="4" w:space="0" w:color="auto"/>
              <w:right w:val="nil"/>
            </w:tcBorders>
            <w:vAlign w:val="center"/>
            <w:hideMark/>
          </w:tcPr>
          <w:p w:rsidR="00560D29" w:rsidRPr="00EF6887" w:rsidRDefault="00560D29" w:rsidP="004043F0">
            <w:pPr>
              <w:jc w:val="center"/>
              <w:rPr>
                <w:rFonts w:ascii="Arial" w:hAnsi="Arial" w:cs="Arial"/>
                <w:b/>
                <w:bCs/>
                <w:i/>
                <w:iCs/>
                <w:sz w:val="20"/>
                <w:szCs w:val="20"/>
              </w:rPr>
            </w:pPr>
          </w:p>
          <w:p w:rsidR="00560D29" w:rsidRPr="00EF6887" w:rsidRDefault="00560D29" w:rsidP="004043F0">
            <w:pPr>
              <w:jc w:val="center"/>
              <w:rPr>
                <w:rFonts w:ascii="Arial" w:hAnsi="Arial" w:cs="Arial"/>
                <w:b/>
                <w:bCs/>
                <w:sz w:val="20"/>
                <w:szCs w:val="20"/>
              </w:rPr>
            </w:pPr>
            <w:r w:rsidRPr="00EF6887">
              <w:rPr>
                <w:rFonts w:ascii="Arial" w:hAnsi="Arial" w:cs="Arial"/>
                <w:b/>
                <w:bCs/>
                <w:i/>
                <w:iCs/>
                <w:sz w:val="20"/>
                <w:szCs w:val="20"/>
              </w:rPr>
              <w:t>p</w:t>
            </w:r>
            <w:r w:rsidRPr="00EF6887">
              <w:rPr>
                <w:rFonts w:ascii="Arial" w:hAnsi="Arial" w:cs="Arial"/>
                <w:b/>
                <w:bCs/>
                <w:sz w:val="20"/>
                <w:szCs w:val="20"/>
              </w:rPr>
              <w:t xml:space="preserve"> for </w:t>
            </w:r>
            <w:r w:rsidR="00F419EC">
              <w:rPr>
                <w:rFonts w:ascii="Arial" w:hAnsi="Arial" w:cs="Arial"/>
                <w:b/>
                <w:bCs/>
                <w:sz w:val="20"/>
                <w:szCs w:val="20"/>
              </w:rPr>
              <w:t>difference across quartiles</w:t>
            </w:r>
            <w:r w:rsidRPr="00EF6887">
              <w:rPr>
                <w:rFonts w:ascii="Arial" w:hAnsi="Arial" w:cs="Arial"/>
                <w:b/>
                <w:bCs/>
                <w:sz w:val="20"/>
                <w:szCs w:val="20"/>
              </w:rPr>
              <w:t>*</w:t>
            </w:r>
          </w:p>
        </w:tc>
        <w:tc>
          <w:tcPr>
            <w:tcW w:w="1553" w:type="dxa"/>
            <w:tcBorders>
              <w:top w:val="single" w:sz="4" w:space="0" w:color="auto"/>
              <w:left w:val="nil"/>
              <w:bottom w:val="single" w:sz="4" w:space="0" w:color="auto"/>
              <w:right w:val="nil"/>
            </w:tcBorders>
            <w:vAlign w:val="center"/>
            <w:hideMark/>
          </w:tcPr>
          <w:p w:rsidR="00560D29" w:rsidRPr="00EF6887" w:rsidRDefault="00560D29" w:rsidP="004043F0">
            <w:pPr>
              <w:jc w:val="center"/>
              <w:rPr>
                <w:rFonts w:ascii="Arial" w:hAnsi="Arial" w:cs="Arial"/>
                <w:b/>
                <w:bCs/>
                <w:sz w:val="20"/>
                <w:szCs w:val="20"/>
              </w:rPr>
            </w:pPr>
          </w:p>
          <w:p w:rsidR="00560D29" w:rsidRPr="00EF6887" w:rsidRDefault="00560D29" w:rsidP="004043F0">
            <w:pPr>
              <w:jc w:val="center"/>
              <w:rPr>
                <w:rFonts w:ascii="Arial" w:hAnsi="Arial" w:cs="Arial"/>
                <w:b/>
                <w:bCs/>
                <w:sz w:val="20"/>
                <w:szCs w:val="20"/>
              </w:rPr>
            </w:pPr>
            <w:r w:rsidRPr="00EF6887">
              <w:rPr>
                <w:rFonts w:ascii="Arial" w:hAnsi="Arial" w:cs="Arial"/>
                <w:b/>
                <w:bCs/>
                <w:sz w:val="20"/>
                <w:szCs w:val="20"/>
              </w:rPr>
              <w:t xml:space="preserve">Overall </w:t>
            </w:r>
            <w:proofErr w:type="spellStart"/>
            <w:r w:rsidRPr="00EF6887">
              <w:rPr>
                <w:rFonts w:ascii="Arial" w:hAnsi="Arial" w:cs="Arial"/>
                <w:b/>
                <w:bCs/>
                <w:sz w:val="20"/>
                <w:szCs w:val="20"/>
              </w:rPr>
              <w:t>subcohort</w:t>
            </w:r>
            <w:proofErr w:type="spellEnd"/>
          </w:p>
        </w:tc>
      </w:tr>
      <w:tr w:rsidR="00342C35" w:rsidRPr="00EF6887" w:rsidTr="001604E7">
        <w:trPr>
          <w:trHeight w:val="300"/>
        </w:trPr>
        <w:tc>
          <w:tcPr>
            <w:tcW w:w="419" w:type="dxa"/>
            <w:tcBorders>
              <w:top w:val="single" w:sz="4" w:space="0" w:color="auto"/>
              <w:left w:val="nil"/>
              <w:bottom w:val="single" w:sz="4" w:space="0" w:color="auto"/>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 </w:t>
            </w:r>
          </w:p>
        </w:tc>
        <w:tc>
          <w:tcPr>
            <w:tcW w:w="1708" w:type="dxa"/>
            <w:tcBorders>
              <w:top w:val="single" w:sz="4" w:space="0" w:color="auto"/>
              <w:left w:val="nil"/>
              <w:bottom w:val="single" w:sz="4" w:space="0" w:color="auto"/>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 </w:t>
            </w:r>
          </w:p>
        </w:tc>
        <w:tc>
          <w:tcPr>
            <w:tcW w:w="1553" w:type="dxa"/>
            <w:gridSpan w:val="2"/>
            <w:tcBorders>
              <w:top w:val="single" w:sz="4" w:space="0" w:color="auto"/>
              <w:left w:val="nil"/>
              <w:bottom w:val="single" w:sz="4" w:space="0" w:color="auto"/>
              <w:right w:val="nil"/>
            </w:tcBorders>
            <w:noWrap/>
            <w:vAlign w:val="center"/>
            <w:hideMark/>
          </w:tcPr>
          <w:p w:rsidR="00560D29" w:rsidRPr="00EF6887" w:rsidRDefault="00560D29" w:rsidP="001401F0">
            <w:pPr>
              <w:jc w:val="center"/>
              <w:rPr>
                <w:rFonts w:ascii="Arial" w:hAnsi="Arial" w:cs="Arial"/>
                <w:b/>
                <w:bCs/>
                <w:sz w:val="20"/>
                <w:szCs w:val="20"/>
              </w:rPr>
            </w:pPr>
            <w:r w:rsidRPr="00EF6887">
              <w:rPr>
                <w:rFonts w:ascii="Arial" w:hAnsi="Arial" w:cs="Arial"/>
                <w:b/>
                <w:bCs/>
                <w:sz w:val="20"/>
                <w:szCs w:val="20"/>
              </w:rPr>
              <w:t>Q1 (4-80)</w:t>
            </w:r>
          </w:p>
        </w:tc>
        <w:tc>
          <w:tcPr>
            <w:tcW w:w="1559" w:type="dxa"/>
            <w:tcBorders>
              <w:top w:val="single" w:sz="4" w:space="0" w:color="auto"/>
              <w:left w:val="nil"/>
              <w:bottom w:val="single" w:sz="4" w:space="0" w:color="auto"/>
              <w:right w:val="nil"/>
            </w:tcBorders>
            <w:noWrap/>
            <w:vAlign w:val="center"/>
            <w:hideMark/>
          </w:tcPr>
          <w:p w:rsidR="00560D29" w:rsidRPr="00EF6887" w:rsidRDefault="00560D29" w:rsidP="001401F0">
            <w:pPr>
              <w:jc w:val="center"/>
              <w:rPr>
                <w:rFonts w:ascii="Arial" w:hAnsi="Arial" w:cs="Arial"/>
                <w:b/>
                <w:bCs/>
                <w:sz w:val="20"/>
                <w:szCs w:val="20"/>
              </w:rPr>
            </w:pPr>
            <w:r w:rsidRPr="00EF6887">
              <w:rPr>
                <w:rFonts w:ascii="Arial" w:hAnsi="Arial" w:cs="Arial"/>
                <w:b/>
                <w:bCs/>
                <w:sz w:val="20"/>
                <w:szCs w:val="20"/>
              </w:rPr>
              <w:t>Q2 (81-144)</w:t>
            </w:r>
          </w:p>
        </w:tc>
        <w:tc>
          <w:tcPr>
            <w:tcW w:w="1559" w:type="dxa"/>
            <w:tcBorders>
              <w:top w:val="single" w:sz="4" w:space="0" w:color="auto"/>
              <w:left w:val="nil"/>
              <w:bottom w:val="single" w:sz="4" w:space="0" w:color="auto"/>
              <w:right w:val="nil"/>
            </w:tcBorders>
            <w:noWrap/>
            <w:vAlign w:val="center"/>
            <w:hideMark/>
          </w:tcPr>
          <w:p w:rsidR="00560D29" w:rsidRPr="00EF6887" w:rsidRDefault="00560D29" w:rsidP="001401F0">
            <w:pPr>
              <w:jc w:val="center"/>
              <w:rPr>
                <w:rFonts w:ascii="Arial" w:hAnsi="Arial" w:cs="Arial"/>
                <w:b/>
                <w:bCs/>
                <w:sz w:val="20"/>
                <w:szCs w:val="20"/>
              </w:rPr>
            </w:pPr>
            <w:r w:rsidRPr="00EF6887">
              <w:rPr>
                <w:rFonts w:ascii="Arial" w:hAnsi="Arial" w:cs="Arial"/>
                <w:b/>
                <w:bCs/>
                <w:sz w:val="20"/>
                <w:szCs w:val="20"/>
              </w:rPr>
              <w:t>Q3 (145-241)</w:t>
            </w:r>
          </w:p>
        </w:tc>
        <w:tc>
          <w:tcPr>
            <w:tcW w:w="1560" w:type="dxa"/>
            <w:tcBorders>
              <w:top w:val="single" w:sz="4" w:space="0" w:color="auto"/>
              <w:left w:val="nil"/>
              <w:bottom w:val="single" w:sz="4" w:space="0" w:color="auto"/>
              <w:right w:val="nil"/>
            </w:tcBorders>
            <w:noWrap/>
            <w:vAlign w:val="center"/>
            <w:hideMark/>
          </w:tcPr>
          <w:p w:rsidR="00560D29" w:rsidRPr="00EF6887" w:rsidRDefault="00560D29" w:rsidP="001401F0">
            <w:pPr>
              <w:jc w:val="center"/>
              <w:rPr>
                <w:rFonts w:ascii="Arial" w:hAnsi="Arial" w:cs="Arial"/>
                <w:b/>
                <w:bCs/>
                <w:sz w:val="20"/>
                <w:szCs w:val="20"/>
              </w:rPr>
            </w:pPr>
            <w:r w:rsidRPr="00EF6887">
              <w:rPr>
                <w:rFonts w:ascii="Arial" w:hAnsi="Arial" w:cs="Arial"/>
                <w:b/>
                <w:bCs/>
                <w:sz w:val="20"/>
                <w:szCs w:val="20"/>
              </w:rPr>
              <w:t>Q4 (242-2283)</w:t>
            </w:r>
          </w:p>
        </w:tc>
        <w:tc>
          <w:tcPr>
            <w:tcW w:w="1288" w:type="dxa"/>
            <w:tcBorders>
              <w:top w:val="single" w:sz="4" w:space="0" w:color="auto"/>
              <w:left w:val="nil"/>
              <w:bottom w:val="single" w:sz="4" w:space="0" w:color="auto"/>
              <w:right w:val="nil"/>
            </w:tcBorders>
            <w:noWrap/>
            <w:vAlign w:val="center"/>
            <w:hideMark/>
          </w:tcPr>
          <w:p w:rsidR="00560D29" w:rsidRPr="00EF6887" w:rsidRDefault="00560D29" w:rsidP="001401F0">
            <w:pPr>
              <w:jc w:val="center"/>
              <w:rPr>
                <w:rFonts w:ascii="Arial" w:hAnsi="Arial" w:cs="Arial"/>
                <w:b/>
                <w:bCs/>
                <w:sz w:val="20"/>
                <w:szCs w:val="20"/>
              </w:rPr>
            </w:pPr>
          </w:p>
        </w:tc>
        <w:tc>
          <w:tcPr>
            <w:tcW w:w="1553" w:type="dxa"/>
            <w:tcBorders>
              <w:top w:val="single" w:sz="4" w:space="0" w:color="auto"/>
              <w:left w:val="nil"/>
              <w:bottom w:val="single" w:sz="4" w:space="0" w:color="auto"/>
              <w:right w:val="nil"/>
            </w:tcBorders>
            <w:noWrap/>
            <w:vAlign w:val="center"/>
            <w:hideMark/>
          </w:tcPr>
          <w:p w:rsidR="00560D29" w:rsidRPr="00EF6887" w:rsidRDefault="00560D29" w:rsidP="001401F0">
            <w:pPr>
              <w:jc w:val="center"/>
              <w:rPr>
                <w:rFonts w:ascii="Arial" w:hAnsi="Arial" w:cs="Arial"/>
                <w:b/>
                <w:bCs/>
                <w:sz w:val="20"/>
                <w:szCs w:val="20"/>
              </w:rPr>
            </w:pPr>
          </w:p>
        </w:tc>
      </w:tr>
      <w:tr w:rsidR="00342C35" w:rsidRPr="00EF6887" w:rsidTr="001604E7">
        <w:trPr>
          <w:trHeight w:val="300"/>
        </w:trPr>
        <w:tc>
          <w:tcPr>
            <w:tcW w:w="2127" w:type="dxa"/>
            <w:gridSpan w:val="2"/>
            <w:tcBorders>
              <w:top w:val="single" w:sz="4" w:space="0" w:color="auto"/>
              <w:left w:val="nil"/>
              <w:right w:val="nil"/>
            </w:tcBorders>
            <w:noWrap/>
            <w:hideMark/>
          </w:tcPr>
          <w:p w:rsidR="00560D29" w:rsidRPr="00EF6887" w:rsidRDefault="00560D29" w:rsidP="00ED1284">
            <w:pPr>
              <w:rPr>
                <w:rFonts w:ascii="Arial" w:hAnsi="Arial" w:cs="Arial"/>
                <w:b/>
                <w:bCs/>
                <w:sz w:val="20"/>
                <w:szCs w:val="20"/>
              </w:rPr>
            </w:pPr>
            <w:r w:rsidRPr="00EF6887">
              <w:rPr>
                <w:rFonts w:ascii="Arial" w:hAnsi="Arial" w:cs="Arial"/>
                <w:b/>
                <w:bCs/>
                <w:sz w:val="20"/>
                <w:szCs w:val="20"/>
              </w:rPr>
              <w:t>Age (</w:t>
            </w:r>
            <w:r w:rsidR="00ED1284">
              <w:rPr>
                <w:rFonts w:ascii="Arial" w:hAnsi="Arial" w:cs="Arial"/>
                <w:b/>
                <w:bCs/>
                <w:sz w:val="20"/>
                <w:szCs w:val="20"/>
              </w:rPr>
              <w:t>years</w:t>
            </w:r>
            <w:r w:rsidRPr="00EF6887">
              <w:rPr>
                <w:rFonts w:ascii="Arial" w:hAnsi="Arial" w:cs="Arial"/>
                <w:b/>
                <w:bCs/>
                <w:sz w:val="20"/>
                <w:szCs w:val="20"/>
              </w:rPr>
              <w:t>)</w:t>
            </w:r>
          </w:p>
        </w:tc>
        <w:tc>
          <w:tcPr>
            <w:tcW w:w="1553" w:type="dxa"/>
            <w:gridSpan w:val="2"/>
            <w:tcBorders>
              <w:top w:val="single" w:sz="4" w:space="0" w:color="auto"/>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52.2 (8.9)</w:t>
            </w:r>
          </w:p>
        </w:tc>
        <w:tc>
          <w:tcPr>
            <w:tcW w:w="1559" w:type="dxa"/>
            <w:tcBorders>
              <w:top w:val="single" w:sz="4" w:space="0" w:color="auto"/>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52.1 (9.1)</w:t>
            </w:r>
          </w:p>
        </w:tc>
        <w:tc>
          <w:tcPr>
            <w:tcW w:w="1559" w:type="dxa"/>
            <w:tcBorders>
              <w:top w:val="single" w:sz="4" w:space="0" w:color="auto"/>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52.8 (9.1)</w:t>
            </w:r>
          </w:p>
        </w:tc>
        <w:tc>
          <w:tcPr>
            <w:tcW w:w="1560" w:type="dxa"/>
            <w:tcBorders>
              <w:top w:val="single" w:sz="4" w:space="0" w:color="auto"/>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53.5 (8.3)</w:t>
            </w:r>
          </w:p>
        </w:tc>
        <w:tc>
          <w:tcPr>
            <w:tcW w:w="1288" w:type="dxa"/>
            <w:tcBorders>
              <w:top w:val="single" w:sz="4" w:space="0" w:color="auto"/>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&lt;0.001</w:t>
            </w:r>
          </w:p>
        </w:tc>
        <w:tc>
          <w:tcPr>
            <w:tcW w:w="1553" w:type="dxa"/>
            <w:tcBorders>
              <w:top w:val="single" w:sz="4" w:space="0" w:color="auto"/>
              <w:left w:val="nil"/>
              <w:right w:val="nil"/>
            </w:tcBorders>
            <w:noWrap/>
            <w:vAlign w:val="center"/>
          </w:tcPr>
          <w:p w:rsidR="00560D29" w:rsidRPr="00EF6887" w:rsidRDefault="00560D29" w:rsidP="001401F0">
            <w:pPr>
              <w:jc w:val="center"/>
              <w:rPr>
                <w:rFonts w:ascii="Arial" w:hAnsi="Arial" w:cs="Arial"/>
                <w:sz w:val="20"/>
                <w:szCs w:val="20"/>
              </w:rPr>
            </w:pPr>
            <w:r w:rsidRPr="00EF6887">
              <w:rPr>
                <w:rFonts w:ascii="Arial" w:hAnsi="Arial" w:cs="Arial"/>
                <w:sz w:val="20"/>
                <w:szCs w:val="20"/>
              </w:rPr>
              <w:t>52.9 (8.9)</w:t>
            </w:r>
          </w:p>
        </w:tc>
      </w:tr>
      <w:tr w:rsidR="004043F0" w:rsidRPr="00EF6887" w:rsidTr="001604E7">
        <w:trPr>
          <w:trHeight w:val="300"/>
        </w:trPr>
        <w:tc>
          <w:tcPr>
            <w:tcW w:w="2127" w:type="dxa"/>
            <w:gridSpan w:val="2"/>
            <w:tcBorders>
              <w:left w:val="nil"/>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BMI (kg/m2)</w:t>
            </w:r>
          </w:p>
        </w:tc>
        <w:tc>
          <w:tcPr>
            <w:tcW w:w="1553" w:type="dxa"/>
            <w:gridSpan w:val="2"/>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26.2 (3.5)</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26.4 (3.5)</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26.6 (3.5)</w:t>
            </w:r>
          </w:p>
        </w:tc>
        <w:tc>
          <w:tcPr>
            <w:tcW w:w="1560"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27.4 (3.6)</w:t>
            </w:r>
          </w:p>
        </w:tc>
        <w:tc>
          <w:tcPr>
            <w:tcW w:w="1288" w:type="dxa"/>
            <w:tcBorders>
              <w:left w:val="nil"/>
              <w:right w:val="nil"/>
            </w:tcBorders>
            <w:noWrap/>
            <w:vAlign w:val="center"/>
            <w:hideMark/>
          </w:tcPr>
          <w:p w:rsidR="00560D29" w:rsidRPr="00EF6887" w:rsidRDefault="00A66267" w:rsidP="001401F0">
            <w:pPr>
              <w:jc w:val="center"/>
              <w:rPr>
                <w:rFonts w:ascii="Arial" w:hAnsi="Arial" w:cs="Arial"/>
                <w:sz w:val="20"/>
                <w:szCs w:val="20"/>
              </w:rPr>
            </w:pPr>
            <w:r w:rsidRPr="00EF6887">
              <w:rPr>
                <w:rFonts w:ascii="Arial" w:hAnsi="Arial" w:cs="Arial"/>
                <w:sz w:val="20"/>
                <w:szCs w:val="20"/>
              </w:rPr>
              <w:t>&lt;0.001</w:t>
            </w:r>
          </w:p>
        </w:tc>
        <w:tc>
          <w:tcPr>
            <w:tcW w:w="1553" w:type="dxa"/>
            <w:tcBorders>
              <w:left w:val="nil"/>
              <w:right w:val="nil"/>
            </w:tcBorders>
            <w:noWrap/>
            <w:vAlign w:val="center"/>
          </w:tcPr>
          <w:p w:rsidR="00560D29" w:rsidRPr="00EF6887" w:rsidRDefault="00560D29" w:rsidP="001401F0">
            <w:pPr>
              <w:jc w:val="center"/>
              <w:rPr>
                <w:rFonts w:ascii="Arial" w:hAnsi="Arial" w:cs="Arial"/>
                <w:sz w:val="20"/>
                <w:szCs w:val="20"/>
              </w:rPr>
            </w:pPr>
            <w:r w:rsidRPr="00EF6887">
              <w:rPr>
                <w:rFonts w:ascii="Arial" w:hAnsi="Arial" w:cs="Arial"/>
                <w:sz w:val="20"/>
                <w:szCs w:val="20"/>
              </w:rPr>
              <w:t>26.6 (3.6)</w:t>
            </w:r>
          </w:p>
        </w:tc>
      </w:tr>
      <w:tr w:rsidR="004043F0" w:rsidRPr="00EF6887" w:rsidTr="001604E7">
        <w:trPr>
          <w:trHeight w:val="300"/>
        </w:trPr>
        <w:tc>
          <w:tcPr>
            <w:tcW w:w="2127" w:type="dxa"/>
            <w:gridSpan w:val="2"/>
            <w:tcBorders>
              <w:left w:val="nil"/>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Education (%)</w:t>
            </w:r>
          </w:p>
        </w:tc>
        <w:tc>
          <w:tcPr>
            <w:tcW w:w="1553" w:type="dxa"/>
            <w:gridSpan w:val="2"/>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60"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288"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0.0001</w:t>
            </w:r>
          </w:p>
        </w:tc>
        <w:tc>
          <w:tcPr>
            <w:tcW w:w="1553" w:type="dxa"/>
            <w:tcBorders>
              <w:left w:val="nil"/>
              <w:right w:val="nil"/>
            </w:tcBorders>
            <w:noWrap/>
            <w:vAlign w:val="center"/>
          </w:tcPr>
          <w:p w:rsidR="00560D29" w:rsidRPr="00EF6887" w:rsidRDefault="00560D29" w:rsidP="001401F0">
            <w:pPr>
              <w:jc w:val="center"/>
              <w:rPr>
                <w:rFonts w:ascii="Arial" w:hAnsi="Arial" w:cs="Arial"/>
                <w:sz w:val="20"/>
                <w:szCs w:val="20"/>
              </w:rPr>
            </w:pPr>
          </w:p>
        </w:tc>
      </w:tr>
      <w:tr w:rsidR="00342C35" w:rsidRPr="00EF6887" w:rsidTr="001604E7">
        <w:trPr>
          <w:trHeight w:val="300"/>
        </w:trPr>
        <w:tc>
          <w:tcPr>
            <w:tcW w:w="419" w:type="dxa"/>
            <w:tcBorders>
              <w:left w:val="nil"/>
              <w:right w:val="nil"/>
            </w:tcBorders>
            <w:noWrap/>
            <w:hideMark/>
          </w:tcPr>
          <w:p w:rsidR="00560D29" w:rsidRPr="00EF6887" w:rsidRDefault="00560D29" w:rsidP="001B38C1">
            <w:pPr>
              <w:rPr>
                <w:rFonts w:ascii="Arial" w:hAnsi="Arial" w:cs="Arial"/>
                <w:b/>
                <w:bCs/>
                <w:sz w:val="20"/>
                <w:szCs w:val="20"/>
              </w:rPr>
            </w:pPr>
          </w:p>
        </w:tc>
        <w:tc>
          <w:tcPr>
            <w:tcW w:w="1708" w:type="dxa"/>
            <w:tcBorders>
              <w:left w:val="nil"/>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Low</w:t>
            </w:r>
          </w:p>
        </w:tc>
        <w:tc>
          <w:tcPr>
            <w:tcW w:w="1553" w:type="dxa"/>
            <w:gridSpan w:val="2"/>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7.9</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6.1</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4.9</w:t>
            </w:r>
          </w:p>
        </w:tc>
        <w:tc>
          <w:tcPr>
            <w:tcW w:w="1560"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4.4</w:t>
            </w:r>
          </w:p>
        </w:tc>
        <w:tc>
          <w:tcPr>
            <w:tcW w:w="1288"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53" w:type="dxa"/>
            <w:tcBorders>
              <w:left w:val="nil"/>
              <w:right w:val="nil"/>
            </w:tcBorders>
            <w:noWrap/>
            <w:vAlign w:val="center"/>
          </w:tcPr>
          <w:p w:rsidR="00560D29" w:rsidRPr="00EF6887" w:rsidRDefault="00560D29" w:rsidP="001401F0">
            <w:pPr>
              <w:jc w:val="center"/>
              <w:rPr>
                <w:rFonts w:ascii="Arial" w:hAnsi="Arial" w:cs="Arial"/>
                <w:color w:val="000000"/>
                <w:sz w:val="20"/>
                <w:szCs w:val="20"/>
              </w:rPr>
            </w:pPr>
            <w:r w:rsidRPr="00EF6887">
              <w:rPr>
                <w:rFonts w:ascii="Arial" w:hAnsi="Arial" w:cs="Arial"/>
                <w:color w:val="000000"/>
                <w:sz w:val="20"/>
                <w:szCs w:val="20"/>
              </w:rPr>
              <w:t>5.6</w:t>
            </w:r>
          </w:p>
        </w:tc>
      </w:tr>
      <w:tr w:rsidR="00342C35" w:rsidRPr="00EF6887" w:rsidTr="001604E7">
        <w:trPr>
          <w:trHeight w:val="300"/>
        </w:trPr>
        <w:tc>
          <w:tcPr>
            <w:tcW w:w="419" w:type="dxa"/>
            <w:tcBorders>
              <w:left w:val="nil"/>
              <w:right w:val="nil"/>
            </w:tcBorders>
            <w:noWrap/>
            <w:hideMark/>
          </w:tcPr>
          <w:p w:rsidR="00560D29" w:rsidRPr="00EF6887" w:rsidRDefault="00560D29" w:rsidP="001B38C1">
            <w:pPr>
              <w:rPr>
                <w:rFonts w:ascii="Arial" w:hAnsi="Arial" w:cs="Arial"/>
                <w:b/>
                <w:bCs/>
                <w:sz w:val="20"/>
                <w:szCs w:val="20"/>
              </w:rPr>
            </w:pPr>
          </w:p>
        </w:tc>
        <w:tc>
          <w:tcPr>
            <w:tcW w:w="1708" w:type="dxa"/>
            <w:tcBorders>
              <w:left w:val="nil"/>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Primary</w:t>
            </w:r>
          </w:p>
        </w:tc>
        <w:tc>
          <w:tcPr>
            <w:tcW w:w="1553" w:type="dxa"/>
            <w:gridSpan w:val="2"/>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37.0</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35.0</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31.5</w:t>
            </w:r>
          </w:p>
        </w:tc>
        <w:tc>
          <w:tcPr>
            <w:tcW w:w="1560"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32.0</w:t>
            </w:r>
          </w:p>
        </w:tc>
        <w:tc>
          <w:tcPr>
            <w:tcW w:w="1288"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53" w:type="dxa"/>
            <w:tcBorders>
              <w:left w:val="nil"/>
              <w:right w:val="nil"/>
            </w:tcBorders>
            <w:noWrap/>
            <w:vAlign w:val="center"/>
          </w:tcPr>
          <w:p w:rsidR="00560D29" w:rsidRPr="00EF6887" w:rsidRDefault="00560D29" w:rsidP="001401F0">
            <w:pPr>
              <w:jc w:val="center"/>
              <w:rPr>
                <w:rFonts w:ascii="Arial" w:hAnsi="Arial" w:cs="Arial"/>
                <w:color w:val="000000"/>
                <w:sz w:val="20"/>
                <w:szCs w:val="20"/>
              </w:rPr>
            </w:pPr>
            <w:r w:rsidRPr="00EF6887">
              <w:rPr>
                <w:rFonts w:ascii="Arial" w:hAnsi="Arial" w:cs="Arial"/>
                <w:color w:val="000000"/>
                <w:sz w:val="20"/>
                <w:szCs w:val="20"/>
              </w:rPr>
              <w:t>34.1</w:t>
            </w:r>
          </w:p>
        </w:tc>
      </w:tr>
      <w:tr w:rsidR="00342C35" w:rsidRPr="00EF6887" w:rsidTr="001604E7">
        <w:trPr>
          <w:trHeight w:val="300"/>
        </w:trPr>
        <w:tc>
          <w:tcPr>
            <w:tcW w:w="419" w:type="dxa"/>
            <w:tcBorders>
              <w:left w:val="nil"/>
              <w:right w:val="nil"/>
            </w:tcBorders>
            <w:noWrap/>
            <w:hideMark/>
          </w:tcPr>
          <w:p w:rsidR="00560D29" w:rsidRPr="00EF6887" w:rsidRDefault="00560D29" w:rsidP="001B38C1">
            <w:pPr>
              <w:rPr>
                <w:rFonts w:ascii="Arial" w:hAnsi="Arial" w:cs="Arial"/>
                <w:b/>
                <w:bCs/>
                <w:sz w:val="20"/>
                <w:szCs w:val="20"/>
              </w:rPr>
            </w:pPr>
          </w:p>
        </w:tc>
        <w:tc>
          <w:tcPr>
            <w:tcW w:w="1708" w:type="dxa"/>
            <w:tcBorders>
              <w:left w:val="nil"/>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Vocational</w:t>
            </w:r>
          </w:p>
        </w:tc>
        <w:tc>
          <w:tcPr>
            <w:tcW w:w="1553" w:type="dxa"/>
            <w:gridSpan w:val="2"/>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21.4</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21.4</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22.7</w:t>
            </w:r>
          </w:p>
        </w:tc>
        <w:tc>
          <w:tcPr>
            <w:tcW w:w="1560"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25.3</w:t>
            </w:r>
          </w:p>
        </w:tc>
        <w:tc>
          <w:tcPr>
            <w:tcW w:w="1288"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53" w:type="dxa"/>
            <w:tcBorders>
              <w:left w:val="nil"/>
              <w:right w:val="nil"/>
            </w:tcBorders>
            <w:noWrap/>
            <w:vAlign w:val="center"/>
          </w:tcPr>
          <w:p w:rsidR="00560D29" w:rsidRPr="00EF6887" w:rsidRDefault="00560D29" w:rsidP="001401F0">
            <w:pPr>
              <w:jc w:val="center"/>
              <w:rPr>
                <w:rFonts w:ascii="Arial" w:hAnsi="Arial" w:cs="Arial"/>
                <w:color w:val="000000"/>
                <w:sz w:val="20"/>
                <w:szCs w:val="20"/>
              </w:rPr>
            </w:pPr>
            <w:r w:rsidRPr="00EF6887">
              <w:rPr>
                <w:rFonts w:ascii="Arial" w:hAnsi="Arial" w:cs="Arial"/>
                <w:color w:val="000000"/>
                <w:sz w:val="20"/>
                <w:szCs w:val="20"/>
              </w:rPr>
              <w:t>22.8</w:t>
            </w:r>
          </w:p>
        </w:tc>
      </w:tr>
      <w:tr w:rsidR="00342C35" w:rsidRPr="00EF6887" w:rsidTr="001604E7">
        <w:trPr>
          <w:trHeight w:val="300"/>
        </w:trPr>
        <w:tc>
          <w:tcPr>
            <w:tcW w:w="419" w:type="dxa"/>
            <w:tcBorders>
              <w:left w:val="nil"/>
              <w:right w:val="nil"/>
            </w:tcBorders>
            <w:noWrap/>
            <w:hideMark/>
          </w:tcPr>
          <w:p w:rsidR="00560D29" w:rsidRPr="00EF6887" w:rsidRDefault="00560D29" w:rsidP="001B38C1">
            <w:pPr>
              <w:rPr>
                <w:rFonts w:ascii="Arial" w:hAnsi="Arial" w:cs="Arial"/>
                <w:b/>
                <w:bCs/>
                <w:sz w:val="20"/>
                <w:szCs w:val="20"/>
              </w:rPr>
            </w:pPr>
          </w:p>
        </w:tc>
        <w:tc>
          <w:tcPr>
            <w:tcW w:w="1708" w:type="dxa"/>
            <w:tcBorders>
              <w:left w:val="nil"/>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Secondary</w:t>
            </w:r>
          </w:p>
        </w:tc>
        <w:tc>
          <w:tcPr>
            <w:tcW w:w="1553" w:type="dxa"/>
            <w:gridSpan w:val="2"/>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13.2</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13.3</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13.7</w:t>
            </w:r>
          </w:p>
        </w:tc>
        <w:tc>
          <w:tcPr>
            <w:tcW w:w="1560"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12.3</w:t>
            </w:r>
          </w:p>
        </w:tc>
        <w:tc>
          <w:tcPr>
            <w:tcW w:w="1288"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53" w:type="dxa"/>
            <w:tcBorders>
              <w:left w:val="nil"/>
              <w:right w:val="nil"/>
            </w:tcBorders>
            <w:noWrap/>
            <w:vAlign w:val="center"/>
          </w:tcPr>
          <w:p w:rsidR="00560D29" w:rsidRPr="00EF6887" w:rsidRDefault="00560D29" w:rsidP="001401F0">
            <w:pPr>
              <w:jc w:val="center"/>
              <w:rPr>
                <w:rFonts w:ascii="Arial" w:hAnsi="Arial" w:cs="Arial"/>
                <w:color w:val="000000"/>
                <w:sz w:val="20"/>
                <w:szCs w:val="20"/>
              </w:rPr>
            </w:pPr>
            <w:r w:rsidRPr="00EF6887">
              <w:rPr>
                <w:rFonts w:ascii="Arial" w:hAnsi="Arial" w:cs="Arial"/>
                <w:color w:val="000000"/>
                <w:sz w:val="20"/>
                <w:szCs w:val="20"/>
              </w:rPr>
              <w:t>13.3</w:t>
            </w:r>
          </w:p>
        </w:tc>
      </w:tr>
      <w:tr w:rsidR="00342C35" w:rsidRPr="00EF6887" w:rsidTr="001604E7">
        <w:trPr>
          <w:trHeight w:val="300"/>
        </w:trPr>
        <w:tc>
          <w:tcPr>
            <w:tcW w:w="419" w:type="dxa"/>
            <w:tcBorders>
              <w:left w:val="nil"/>
              <w:right w:val="nil"/>
            </w:tcBorders>
            <w:noWrap/>
            <w:hideMark/>
          </w:tcPr>
          <w:p w:rsidR="00560D29" w:rsidRPr="00EF6887" w:rsidRDefault="00560D29" w:rsidP="001B38C1">
            <w:pPr>
              <w:rPr>
                <w:rFonts w:ascii="Arial" w:hAnsi="Arial" w:cs="Arial"/>
                <w:b/>
                <w:bCs/>
                <w:sz w:val="20"/>
                <w:szCs w:val="20"/>
              </w:rPr>
            </w:pPr>
          </w:p>
        </w:tc>
        <w:tc>
          <w:tcPr>
            <w:tcW w:w="1708" w:type="dxa"/>
            <w:tcBorders>
              <w:left w:val="nil"/>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Higher</w:t>
            </w:r>
          </w:p>
        </w:tc>
        <w:tc>
          <w:tcPr>
            <w:tcW w:w="1553" w:type="dxa"/>
            <w:gridSpan w:val="2"/>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20.5</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24.1</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27.2</w:t>
            </w:r>
          </w:p>
        </w:tc>
        <w:tc>
          <w:tcPr>
            <w:tcW w:w="1560"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26.1</w:t>
            </w:r>
          </w:p>
        </w:tc>
        <w:tc>
          <w:tcPr>
            <w:tcW w:w="1288"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53" w:type="dxa"/>
            <w:tcBorders>
              <w:left w:val="nil"/>
              <w:right w:val="nil"/>
            </w:tcBorders>
            <w:noWrap/>
            <w:vAlign w:val="center"/>
          </w:tcPr>
          <w:p w:rsidR="00560D29" w:rsidRPr="00EF6887" w:rsidRDefault="00560D29" w:rsidP="001401F0">
            <w:pPr>
              <w:jc w:val="center"/>
              <w:rPr>
                <w:rFonts w:ascii="Arial" w:hAnsi="Arial" w:cs="Arial"/>
                <w:color w:val="000000"/>
                <w:sz w:val="20"/>
                <w:szCs w:val="20"/>
              </w:rPr>
            </w:pPr>
            <w:r w:rsidRPr="00EF6887">
              <w:rPr>
                <w:rFonts w:ascii="Arial" w:hAnsi="Arial" w:cs="Arial"/>
                <w:color w:val="000000"/>
                <w:sz w:val="20"/>
                <w:szCs w:val="20"/>
              </w:rPr>
              <w:t>24.2</w:t>
            </w:r>
          </w:p>
        </w:tc>
      </w:tr>
      <w:tr w:rsidR="004043F0" w:rsidRPr="00EF6887" w:rsidTr="001604E7">
        <w:trPr>
          <w:trHeight w:val="300"/>
        </w:trPr>
        <w:tc>
          <w:tcPr>
            <w:tcW w:w="2127" w:type="dxa"/>
            <w:gridSpan w:val="2"/>
            <w:tcBorders>
              <w:left w:val="nil"/>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Physical Activity (%)</w:t>
            </w:r>
          </w:p>
        </w:tc>
        <w:tc>
          <w:tcPr>
            <w:tcW w:w="1553" w:type="dxa"/>
            <w:gridSpan w:val="2"/>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60"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288"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0.006</w:t>
            </w:r>
          </w:p>
        </w:tc>
        <w:tc>
          <w:tcPr>
            <w:tcW w:w="1553" w:type="dxa"/>
            <w:tcBorders>
              <w:left w:val="nil"/>
              <w:right w:val="nil"/>
            </w:tcBorders>
            <w:noWrap/>
            <w:vAlign w:val="center"/>
          </w:tcPr>
          <w:p w:rsidR="00560D29" w:rsidRPr="00EF6887" w:rsidRDefault="00560D29" w:rsidP="001401F0">
            <w:pPr>
              <w:jc w:val="center"/>
              <w:rPr>
                <w:rFonts w:ascii="Arial" w:hAnsi="Arial" w:cs="Arial"/>
                <w:sz w:val="20"/>
                <w:szCs w:val="20"/>
              </w:rPr>
            </w:pPr>
          </w:p>
        </w:tc>
      </w:tr>
      <w:tr w:rsidR="00342C35" w:rsidRPr="00EF6887" w:rsidTr="001604E7">
        <w:trPr>
          <w:trHeight w:val="300"/>
        </w:trPr>
        <w:tc>
          <w:tcPr>
            <w:tcW w:w="419" w:type="dxa"/>
            <w:tcBorders>
              <w:left w:val="nil"/>
              <w:right w:val="nil"/>
            </w:tcBorders>
            <w:noWrap/>
            <w:hideMark/>
          </w:tcPr>
          <w:p w:rsidR="00560D29" w:rsidRPr="00EF6887" w:rsidRDefault="00560D29" w:rsidP="001B38C1">
            <w:pPr>
              <w:rPr>
                <w:rFonts w:ascii="Arial" w:hAnsi="Arial" w:cs="Arial"/>
                <w:b/>
                <w:bCs/>
                <w:sz w:val="20"/>
                <w:szCs w:val="20"/>
              </w:rPr>
            </w:pPr>
          </w:p>
        </w:tc>
        <w:tc>
          <w:tcPr>
            <w:tcW w:w="1708" w:type="dxa"/>
            <w:tcBorders>
              <w:left w:val="nil"/>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Inactive</w:t>
            </w:r>
          </w:p>
        </w:tc>
        <w:tc>
          <w:tcPr>
            <w:tcW w:w="1553" w:type="dxa"/>
            <w:gridSpan w:val="2"/>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17.5</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17.8</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19.7</w:t>
            </w:r>
          </w:p>
        </w:tc>
        <w:tc>
          <w:tcPr>
            <w:tcW w:w="1560"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18.9</w:t>
            </w:r>
          </w:p>
        </w:tc>
        <w:tc>
          <w:tcPr>
            <w:tcW w:w="1288"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53" w:type="dxa"/>
            <w:tcBorders>
              <w:left w:val="nil"/>
              <w:right w:val="nil"/>
            </w:tcBorders>
            <w:noWrap/>
            <w:vAlign w:val="center"/>
          </w:tcPr>
          <w:p w:rsidR="00560D29" w:rsidRPr="00EF6887" w:rsidRDefault="00560D29" w:rsidP="001401F0">
            <w:pPr>
              <w:jc w:val="center"/>
              <w:rPr>
                <w:rFonts w:ascii="Arial" w:hAnsi="Arial" w:cs="Arial"/>
                <w:color w:val="000000"/>
                <w:sz w:val="20"/>
                <w:szCs w:val="20"/>
              </w:rPr>
            </w:pPr>
            <w:r w:rsidRPr="00EF6887">
              <w:rPr>
                <w:rFonts w:ascii="Arial" w:hAnsi="Arial" w:cs="Arial"/>
                <w:color w:val="000000"/>
                <w:sz w:val="20"/>
                <w:szCs w:val="20"/>
              </w:rPr>
              <w:t>18.7</w:t>
            </w:r>
          </w:p>
        </w:tc>
      </w:tr>
      <w:tr w:rsidR="00342C35" w:rsidRPr="00EF6887" w:rsidTr="001604E7">
        <w:trPr>
          <w:trHeight w:val="300"/>
        </w:trPr>
        <w:tc>
          <w:tcPr>
            <w:tcW w:w="419" w:type="dxa"/>
            <w:tcBorders>
              <w:left w:val="nil"/>
              <w:right w:val="nil"/>
            </w:tcBorders>
            <w:noWrap/>
            <w:hideMark/>
          </w:tcPr>
          <w:p w:rsidR="00560D29" w:rsidRPr="00EF6887" w:rsidRDefault="00560D29" w:rsidP="001B38C1">
            <w:pPr>
              <w:rPr>
                <w:rFonts w:ascii="Arial" w:hAnsi="Arial" w:cs="Arial"/>
                <w:b/>
                <w:bCs/>
                <w:sz w:val="20"/>
                <w:szCs w:val="20"/>
              </w:rPr>
            </w:pPr>
          </w:p>
        </w:tc>
        <w:tc>
          <w:tcPr>
            <w:tcW w:w="1708" w:type="dxa"/>
            <w:tcBorders>
              <w:left w:val="nil"/>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Moderately inactive</w:t>
            </w:r>
          </w:p>
        </w:tc>
        <w:tc>
          <w:tcPr>
            <w:tcW w:w="1553" w:type="dxa"/>
            <w:gridSpan w:val="2"/>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28.6</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29.9</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30.7</w:t>
            </w:r>
          </w:p>
        </w:tc>
        <w:tc>
          <w:tcPr>
            <w:tcW w:w="1560"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34.0</w:t>
            </w:r>
          </w:p>
        </w:tc>
        <w:tc>
          <w:tcPr>
            <w:tcW w:w="1288"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53" w:type="dxa"/>
            <w:tcBorders>
              <w:left w:val="nil"/>
              <w:right w:val="nil"/>
            </w:tcBorders>
            <w:noWrap/>
            <w:vAlign w:val="center"/>
          </w:tcPr>
          <w:p w:rsidR="00560D29" w:rsidRPr="00EF6887" w:rsidRDefault="00560D29" w:rsidP="001401F0">
            <w:pPr>
              <w:jc w:val="center"/>
              <w:rPr>
                <w:rFonts w:ascii="Arial" w:hAnsi="Arial" w:cs="Arial"/>
                <w:color w:val="000000"/>
                <w:sz w:val="20"/>
                <w:szCs w:val="20"/>
              </w:rPr>
            </w:pPr>
            <w:r w:rsidRPr="00EF6887">
              <w:rPr>
                <w:rFonts w:ascii="Arial" w:hAnsi="Arial" w:cs="Arial"/>
                <w:color w:val="000000"/>
                <w:sz w:val="20"/>
                <w:szCs w:val="20"/>
              </w:rPr>
              <w:t>30.9</w:t>
            </w:r>
          </w:p>
        </w:tc>
      </w:tr>
      <w:tr w:rsidR="00342C35" w:rsidRPr="00EF6887" w:rsidTr="001604E7">
        <w:trPr>
          <w:trHeight w:val="300"/>
        </w:trPr>
        <w:tc>
          <w:tcPr>
            <w:tcW w:w="419" w:type="dxa"/>
            <w:tcBorders>
              <w:left w:val="nil"/>
              <w:right w:val="nil"/>
            </w:tcBorders>
            <w:noWrap/>
            <w:hideMark/>
          </w:tcPr>
          <w:p w:rsidR="00560D29" w:rsidRPr="00EF6887" w:rsidRDefault="00560D29" w:rsidP="001B38C1">
            <w:pPr>
              <w:rPr>
                <w:rFonts w:ascii="Arial" w:hAnsi="Arial" w:cs="Arial"/>
                <w:b/>
                <w:bCs/>
                <w:sz w:val="20"/>
                <w:szCs w:val="20"/>
              </w:rPr>
            </w:pPr>
          </w:p>
        </w:tc>
        <w:tc>
          <w:tcPr>
            <w:tcW w:w="1708" w:type="dxa"/>
            <w:tcBorders>
              <w:left w:val="nil"/>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Moderately active</w:t>
            </w:r>
          </w:p>
        </w:tc>
        <w:tc>
          <w:tcPr>
            <w:tcW w:w="1553" w:type="dxa"/>
            <w:gridSpan w:val="2"/>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25.9</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27.1</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24.2</w:t>
            </w:r>
          </w:p>
        </w:tc>
        <w:tc>
          <w:tcPr>
            <w:tcW w:w="1560"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24.8</w:t>
            </w:r>
          </w:p>
        </w:tc>
        <w:tc>
          <w:tcPr>
            <w:tcW w:w="1288"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53" w:type="dxa"/>
            <w:tcBorders>
              <w:left w:val="nil"/>
              <w:right w:val="nil"/>
            </w:tcBorders>
            <w:noWrap/>
            <w:vAlign w:val="center"/>
          </w:tcPr>
          <w:p w:rsidR="00560D29" w:rsidRPr="00EF6887" w:rsidRDefault="00560D29" w:rsidP="001401F0">
            <w:pPr>
              <w:jc w:val="center"/>
              <w:rPr>
                <w:rFonts w:ascii="Arial" w:hAnsi="Arial" w:cs="Arial"/>
                <w:color w:val="000000"/>
                <w:sz w:val="20"/>
                <w:szCs w:val="20"/>
              </w:rPr>
            </w:pPr>
            <w:r w:rsidRPr="00EF6887">
              <w:rPr>
                <w:rFonts w:ascii="Arial" w:hAnsi="Arial" w:cs="Arial"/>
                <w:color w:val="000000"/>
                <w:sz w:val="20"/>
                <w:szCs w:val="20"/>
              </w:rPr>
              <w:t>25.5</w:t>
            </w:r>
          </w:p>
        </w:tc>
      </w:tr>
      <w:tr w:rsidR="00342C35" w:rsidRPr="00EF6887" w:rsidTr="001604E7">
        <w:trPr>
          <w:trHeight w:val="300"/>
        </w:trPr>
        <w:tc>
          <w:tcPr>
            <w:tcW w:w="419" w:type="dxa"/>
            <w:tcBorders>
              <w:left w:val="nil"/>
              <w:right w:val="nil"/>
            </w:tcBorders>
            <w:noWrap/>
            <w:hideMark/>
          </w:tcPr>
          <w:p w:rsidR="00560D29" w:rsidRPr="00EF6887" w:rsidRDefault="00560D29" w:rsidP="001B38C1">
            <w:pPr>
              <w:rPr>
                <w:rFonts w:ascii="Arial" w:hAnsi="Arial" w:cs="Arial"/>
                <w:b/>
                <w:bCs/>
                <w:sz w:val="20"/>
                <w:szCs w:val="20"/>
              </w:rPr>
            </w:pPr>
          </w:p>
        </w:tc>
        <w:tc>
          <w:tcPr>
            <w:tcW w:w="1708" w:type="dxa"/>
            <w:tcBorders>
              <w:left w:val="nil"/>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Active</w:t>
            </w:r>
          </w:p>
        </w:tc>
        <w:tc>
          <w:tcPr>
            <w:tcW w:w="1553" w:type="dxa"/>
            <w:gridSpan w:val="2"/>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28.0</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25.1</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25.2</w:t>
            </w:r>
          </w:p>
        </w:tc>
        <w:tc>
          <w:tcPr>
            <w:tcW w:w="1560"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22.3</w:t>
            </w:r>
          </w:p>
        </w:tc>
        <w:tc>
          <w:tcPr>
            <w:tcW w:w="1288"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53" w:type="dxa"/>
            <w:tcBorders>
              <w:left w:val="nil"/>
              <w:right w:val="nil"/>
            </w:tcBorders>
            <w:noWrap/>
            <w:vAlign w:val="center"/>
          </w:tcPr>
          <w:p w:rsidR="00560D29" w:rsidRPr="00EF6887" w:rsidRDefault="00560D29" w:rsidP="001401F0">
            <w:pPr>
              <w:jc w:val="center"/>
              <w:rPr>
                <w:rFonts w:ascii="Arial" w:hAnsi="Arial" w:cs="Arial"/>
                <w:color w:val="000000"/>
                <w:sz w:val="20"/>
                <w:szCs w:val="20"/>
              </w:rPr>
            </w:pPr>
            <w:r w:rsidRPr="00EF6887">
              <w:rPr>
                <w:rFonts w:ascii="Arial" w:hAnsi="Arial" w:cs="Arial"/>
                <w:color w:val="000000"/>
                <w:sz w:val="20"/>
                <w:szCs w:val="20"/>
              </w:rPr>
              <w:t>24.9</w:t>
            </w:r>
          </w:p>
        </w:tc>
      </w:tr>
      <w:tr w:rsidR="004043F0" w:rsidRPr="00EF6887" w:rsidTr="001604E7">
        <w:trPr>
          <w:trHeight w:val="300"/>
        </w:trPr>
        <w:tc>
          <w:tcPr>
            <w:tcW w:w="2127" w:type="dxa"/>
            <w:gridSpan w:val="2"/>
            <w:tcBorders>
              <w:left w:val="nil"/>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Smoking (%)</w:t>
            </w:r>
          </w:p>
        </w:tc>
        <w:tc>
          <w:tcPr>
            <w:tcW w:w="1553" w:type="dxa"/>
            <w:gridSpan w:val="2"/>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60"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288"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0.7</w:t>
            </w:r>
          </w:p>
        </w:tc>
        <w:tc>
          <w:tcPr>
            <w:tcW w:w="1553" w:type="dxa"/>
            <w:tcBorders>
              <w:left w:val="nil"/>
              <w:right w:val="nil"/>
            </w:tcBorders>
            <w:noWrap/>
            <w:vAlign w:val="center"/>
          </w:tcPr>
          <w:p w:rsidR="00560D29" w:rsidRPr="00EF6887" w:rsidRDefault="00560D29" w:rsidP="001401F0">
            <w:pPr>
              <w:jc w:val="center"/>
              <w:rPr>
                <w:rFonts w:ascii="Arial" w:hAnsi="Arial" w:cs="Arial"/>
                <w:sz w:val="20"/>
                <w:szCs w:val="20"/>
              </w:rPr>
            </w:pPr>
          </w:p>
        </w:tc>
      </w:tr>
      <w:tr w:rsidR="00342C35" w:rsidRPr="00EF6887" w:rsidTr="001604E7">
        <w:trPr>
          <w:trHeight w:val="300"/>
        </w:trPr>
        <w:tc>
          <w:tcPr>
            <w:tcW w:w="419" w:type="dxa"/>
            <w:tcBorders>
              <w:left w:val="nil"/>
              <w:right w:val="nil"/>
            </w:tcBorders>
            <w:noWrap/>
            <w:hideMark/>
          </w:tcPr>
          <w:p w:rsidR="00560D29" w:rsidRPr="00EF6887" w:rsidRDefault="00560D29" w:rsidP="001B38C1">
            <w:pPr>
              <w:rPr>
                <w:rFonts w:ascii="Arial" w:hAnsi="Arial" w:cs="Arial"/>
                <w:b/>
                <w:bCs/>
                <w:sz w:val="20"/>
                <w:szCs w:val="20"/>
              </w:rPr>
            </w:pPr>
          </w:p>
        </w:tc>
        <w:tc>
          <w:tcPr>
            <w:tcW w:w="1708" w:type="dxa"/>
            <w:tcBorders>
              <w:left w:val="nil"/>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Never</w:t>
            </w:r>
          </w:p>
        </w:tc>
        <w:tc>
          <w:tcPr>
            <w:tcW w:w="1553" w:type="dxa"/>
            <w:gridSpan w:val="2"/>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34.5</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32.8</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30.6</w:t>
            </w:r>
          </w:p>
        </w:tc>
        <w:tc>
          <w:tcPr>
            <w:tcW w:w="1560"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29.2</w:t>
            </w:r>
          </w:p>
        </w:tc>
        <w:tc>
          <w:tcPr>
            <w:tcW w:w="1288"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53" w:type="dxa"/>
            <w:tcBorders>
              <w:left w:val="nil"/>
              <w:right w:val="nil"/>
            </w:tcBorders>
            <w:noWrap/>
            <w:vAlign w:val="center"/>
          </w:tcPr>
          <w:p w:rsidR="00560D29" w:rsidRPr="00EF6887" w:rsidRDefault="00560D29" w:rsidP="001401F0">
            <w:pPr>
              <w:jc w:val="center"/>
              <w:rPr>
                <w:rFonts w:ascii="Arial" w:hAnsi="Arial" w:cs="Arial"/>
                <w:color w:val="000000"/>
                <w:sz w:val="20"/>
                <w:szCs w:val="20"/>
              </w:rPr>
            </w:pPr>
            <w:r w:rsidRPr="00EF6887">
              <w:rPr>
                <w:rFonts w:ascii="Arial" w:hAnsi="Arial" w:cs="Arial"/>
                <w:color w:val="000000"/>
                <w:sz w:val="20"/>
                <w:szCs w:val="20"/>
              </w:rPr>
              <w:t>31.7</w:t>
            </w:r>
          </w:p>
        </w:tc>
      </w:tr>
      <w:tr w:rsidR="00342C35" w:rsidRPr="00EF6887" w:rsidTr="001604E7">
        <w:trPr>
          <w:trHeight w:val="300"/>
        </w:trPr>
        <w:tc>
          <w:tcPr>
            <w:tcW w:w="419" w:type="dxa"/>
            <w:tcBorders>
              <w:left w:val="nil"/>
              <w:right w:val="nil"/>
            </w:tcBorders>
            <w:noWrap/>
            <w:hideMark/>
          </w:tcPr>
          <w:p w:rsidR="00560D29" w:rsidRPr="00EF6887" w:rsidRDefault="00560D29" w:rsidP="001B38C1">
            <w:pPr>
              <w:rPr>
                <w:rFonts w:ascii="Arial" w:hAnsi="Arial" w:cs="Arial"/>
                <w:b/>
                <w:bCs/>
                <w:sz w:val="20"/>
                <w:szCs w:val="20"/>
              </w:rPr>
            </w:pPr>
          </w:p>
        </w:tc>
        <w:tc>
          <w:tcPr>
            <w:tcW w:w="1708" w:type="dxa"/>
            <w:tcBorders>
              <w:left w:val="nil"/>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Former</w:t>
            </w:r>
          </w:p>
        </w:tc>
        <w:tc>
          <w:tcPr>
            <w:tcW w:w="1553" w:type="dxa"/>
            <w:gridSpan w:val="2"/>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32.5</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32.5</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37.7</w:t>
            </w:r>
          </w:p>
        </w:tc>
        <w:tc>
          <w:tcPr>
            <w:tcW w:w="1560"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42.6</w:t>
            </w:r>
          </w:p>
        </w:tc>
        <w:tc>
          <w:tcPr>
            <w:tcW w:w="1288"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53" w:type="dxa"/>
            <w:tcBorders>
              <w:left w:val="nil"/>
              <w:right w:val="nil"/>
            </w:tcBorders>
            <w:noWrap/>
            <w:vAlign w:val="center"/>
          </w:tcPr>
          <w:p w:rsidR="00560D29" w:rsidRPr="00EF6887" w:rsidRDefault="00560D29" w:rsidP="001401F0">
            <w:pPr>
              <w:jc w:val="center"/>
              <w:rPr>
                <w:rFonts w:ascii="Arial" w:hAnsi="Arial" w:cs="Arial"/>
                <w:color w:val="000000"/>
                <w:sz w:val="20"/>
                <w:szCs w:val="20"/>
              </w:rPr>
            </w:pPr>
            <w:r w:rsidRPr="00EF6887">
              <w:rPr>
                <w:rFonts w:ascii="Arial" w:hAnsi="Arial" w:cs="Arial"/>
                <w:color w:val="000000"/>
                <w:sz w:val="20"/>
                <w:szCs w:val="20"/>
              </w:rPr>
              <w:t>36.7</w:t>
            </w:r>
          </w:p>
        </w:tc>
      </w:tr>
      <w:tr w:rsidR="00342C35" w:rsidRPr="00EF6887" w:rsidTr="001604E7">
        <w:trPr>
          <w:trHeight w:val="300"/>
        </w:trPr>
        <w:tc>
          <w:tcPr>
            <w:tcW w:w="419" w:type="dxa"/>
            <w:tcBorders>
              <w:left w:val="nil"/>
              <w:right w:val="nil"/>
            </w:tcBorders>
            <w:noWrap/>
            <w:hideMark/>
          </w:tcPr>
          <w:p w:rsidR="00560D29" w:rsidRPr="00EF6887" w:rsidRDefault="00560D29" w:rsidP="001B38C1">
            <w:pPr>
              <w:rPr>
                <w:rFonts w:ascii="Arial" w:hAnsi="Arial" w:cs="Arial"/>
                <w:b/>
                <w:bCs/>
                <w:sz w:val="20"/>
                <w:szCs w:val="20"/>
              </w:rPr>
            </w:pPr>
          </w:p>
        </w:tc>
        <w:tc>
          <w:tcPr>
            <w:tcW w:w="1708" w:type="dxa"/>
            <w:tcBorders>
              <w:left w:val="nil"/>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Smoker</w:t>
            </w:r>
          </w:p>
        </w:tc>
        <w:tc>
          <w:tcPr>
            <w:tcW w:w="1553" w:type="dxa"/>
            <w:gridSpan w:val="2"/>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33.0</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34.7</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31.6</w:t>
            </w:r>
          </w:p>
        </w:tc>
        <w:tc>
          <w:tcPr>
            <w:tcW w:w="1560"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28.2</w:t>
            </w:r>
          </w:p>
        </w:tc>
        <w:tc>
          <w:tcPr>
            <w:tcW w:w="1288" w:type="dxa"/>
            <w:tcBorders>
              <w:left w:val="nil"/>
              <w:right w:val="nil"/>
            </w:tcBorders>
            <w:noWrap/>
            <w:vAlign w:val="center"/>
            <w:hideMark/>
          </w:tcPr>
          <w:p w:rsidR="00560D29" w:rsidRPr="00EF6887" w:rsidRDefault="00560D29" w:rsidP="001401F0">
            <w:pPr>
              <w:jc w:val="center"/>
              <w:rPr>
                <w:rFonts w:ascii="Arial" w:hAnsi="Arial" w:cs="Arial"/>
                <w:sz w:val="20"/>
                <w:szCs w:val="20"/>
              </w:rPr>
            </w:pPr>
          </w:p>
        </w:tc>
        <w:tc>
          <w:tcPr>
            <w:tcW w:w="1553" w:type="dxa"/>
            <w:tcBorders>
              <w:left w:val="nil"/>
              <w:right w:val="nil"/>
            </w:tcBorders>
            <w:noWrap/>
            <w:vAlign w:val="center"/>
          </w:tcPr>
          <w:p w:rsidR="00560D29" w:rsidRPr="00EF6887" w:rsidRDefault="00560D29" w:rsidP="001401F0">
            <w:pPr>
              <w:jc w:val="center"/>
              <w:rPr>
                <w:rFonts w:ascii="Arial" w:hAnsi="Arial" w:cs="Arial"/>
                <w:color w:val="000000"/>
                <w:sz w:val="20"/>
                <w:szCs w:val="20"/>
              </w:rPr>
            </w:pPr>
            <w:r w:rsidRPr="00EF6887">
              <w:rPr>
                <w:rFonts w:ascii="Arial" w:hAnsi="Arial" w:cs="Arial"/>
                <w:color w:val="000000"/>
                <w:sz w:val="20"/>
                <w:szCs w:val="20"/>
              </w:rPr>
              <w:t>31.6</w:t>
            </w:r>
          </w:p>
        </w:tc>
      </w:tr>
      <w:tr w:rsidR="004043F0" w:rsidRPr="00EF6887" w:rsidTr="001604E7">
        <w:trPr>
          <w:trHeight w:val="300"/>
        </w:trPr>
        <w:tc>
          <w:tcPr>
            <w:tcW w:w="2127" w:type="dxa"/>
            <w:gridSpan w:val="2"/>
            <w:tcBorders>
              <w:left w:val="nil"/>
              <w:right w:val="nil"/>
            </w:tcBorders>
            <w:noWrap/>
            <w:hideMark/>
          </w:tcPr>
          <w:p w:rsidR="00560D29" w:rsidRPr="00EF6887" w:rsidRDefault="00560D29" w:rsidP="001B38C1">
            <w:pPr>
              <w:rPr>
                <w:rFonts w:ascii="Arial" w:hAnsi="Arial" w:cs="Arial"/>
                <w:b/>
                <w:bCs/>
                <w:sz w:val="20"/>
                <w:szCs w:val="20"/>
              </w:rPr>
            </w:pPr>
            <w:r w:rsidRPr="00EF6887">
              <w:rPr>
                <w:rFonts w:ascii="Arial" w:hAnsi="Arial" w:cs="Arial"/>
                <w:b/>
                <w:bCs/>
                <w:sz w:val="20"/>
                <w:szCs w:val="20"/>
              </w:rPr>
              <w:t>Family history of T2D (%)</w:t>
            </w:r>
          </w:p>
        </w:tc>
        <w:tc>
          <w:tcPr>
            <w:tcW w:w="1553" w:type="dxa"/>
            <w:gridSpan w:val="2"/>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12.1</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16.2</w:t>
            </w:r>
          </w:p>
        </w:tc>
        <w:tc>
          <w:tcPr>
            <w:tcW w:w="1559"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12.8</w:t>
            </w:r>
          </w:p>
        </w:tc>
        <w:tc>
          <w:tcPr>
            <w:tcW w:w="1560" w:type="dxa"/>
            <w:tcBorders>
              <w:left w:val="nil"/>
              <w:right w:val="nil"/>
            </w:tcBorders>
            <w:noWrap/>
            <w:vAlign w:val="center"/>
            <w:hideMark/>
          </w:tcPr>
          <w:p w:rsidR="00560D29" w:rsidRPr="00EF6887" w:rsidRDefault="00560D29" w:rsidP="001401F0">
            <w:pPr>
              <w:jc w:val="center"/>
              <w:rPr>
                <w:rFonts w:ascii="Arial" w:hAnsi="Arial" w:cs="Arial"/>
                <w:sz w:val="20"/>
                <w:szCs w:val="20"/>
              </w:rPr>
            </w:pPr>
            <w:r w:rsidRPr="00EF6887">
              <w:rPr>
                <w:rFonts w:ascii="Arial" w:hAnsi="Arial" w:cs="Arial"/>
                <w:sz w:val="20"/>
                <w:szCs w:val="20"/>
              </w:rPr>
              <w:t>19.3</w:t>
            </w:r>
          </w:p>
        </w:tc>
        <w:tc>
          <w:tcPr>
            <w:tcW w:w="1288" w:type="dxa"/>
            <w:tcBorders>
              <w:left w:val="nil"/>
              <w:right w:val="nil"/>
            </w:tcBorders>
            <w:noWrap/>
            <w:vAlign w:val="center"/>
            <w:hideMark/>
          </w:tcPr>
          <w:p w:rsidR="00560D29" w:rsidRPr="00EF6887" w:rsidRDefault="00A66267" w:rsidP="001401F0">
            <w:pPr>
              <w:jc w:val="center"/>
              <w:rPr>
                <w:rFonts w:ascii="Arial" w:hAnsi="Arial" w:cs="Arial"/>
                <w:sz w:val="20"/>
                <w:szCs w:val="20"/>
              </w:rPr>
            </w:pPr>
            <w:r w:rsidRPr="00EF6887">
              <w:rPr>
                <w:rFonts w:ascii="Arial" w:hAnsi="Arial" w:cs="Arial"/>
                <w:sz w:val="20"/>
                <w:szCs w:val="20"/>
              </w:rPr>
              <w:t>&lt;0.001</w:t>
            </w:r>
          </w:p>
        </w:tc>
        <w:tc>
          <w:tcPr>
            <w:tcW w:w="1553" w:type="dxa"/>
            <w:tcBorders>
              <w:left w:val="nil"/>
              <w:right w:val="nil"/>
            </w:tcBorders>
            <w:noWrap/>
            <w:vAlign w:val="center"/>
          </w:tcPr>
          <w:p w:rsidR="00560D29" w:rsidRPr="00EF6887" w:rsidRDefault="00560D29" w:rsidP="001401F0">
            <w:pPr>
              <w:jc w:val="center"/>
              <w:rPr>
                <w:rFonts w:ascii="Arial" w:hAnsi="Arial" w:cs="Arial"/>
                <w:color w:val="000000"/>
                <w:sz w:val="20"/>
                <w:szCs w:val="20"/>
              </w:rPr>
            </w:pPr>
            <w:r w:rsidRPr="00EF6887">
              <w:rPr>
                <w:rFonts w:ascii="Arial" w:hAnsi="Arial" w:cs="Arial"/>
                <w:color w:val="000000"/>
                <w:sz w:val="20"/>
                <w:szCs w:val="20"/>
              </w:rPr>
              <w:t>15.5</w:t>
            </w:r>
          </w:p>
        </w:tc>
      </w:tr>
      <w:tr w:rsidR="008B50FF" w:rsidRPr="00EF6887" w:rsidTr="001604E7">
        <w:trPr>
          <w:trHeight w:val="300"/>
        </w:trPr>
        <w:tc>
          <w:tcPr>
            <w:tcW w:w="2127" w:type="dxa"/>
            <w:gridSpan w:val="2"/>
            <w:tcBorders>
              <w:left w:val="nil"/>
              <w:right w:val="nil"/>
            </w:tcBorders>
            <w:noWrap/>
            <w:hideMark/>
          </w:tcPr>
          <w:p w:rsidR="00EB292B" w:rsidRPr="00EF6887" w:rsidRDefault="00EB292B" w:rsidP="001B38C1">
            <w:pPr>
              <w:rPr>
                <w:rFonts w:ascii="Arial" w:hAnsi="Arial" w:cs="Arial"/>
                <w:b/>
                <w:bCs/>
                <w:sz w:val="20"/>
                <w:szCs w:val="20"/>
              </w:rPr>
            </w:pPr>
            <w:r w:rsidRPr="00EF6887">
              <w:rPr>
                <w:rFonts w:ascii="Arial" w:eastAsia="Verdana" w:hAnsi="Arial" w:cs="Arial"/>
                <w:b/>
                <w:bCs/>
                <w:sz w:val="20"/>
                <w:szCs w:val="20"/>
              </w:rPr>
              <w:t>Alcohol intake (g/day)</w:t>
            </w:r>
            <w:r w:rsidR="000B4E2C">
              <w:rPr>
                <w:rFonts w:ascii="Arial" w:eastAsia="Verdana" w:hAnsi="Arial" w:cs="Arial"/>
                <w:sz w:val="20"/>
                <w:szCs w:val="24"/>
                <w:lang w:val="en-US"/>
              </w:rPr>
              <w:t xml:space="preserve"> †</w:t>
            </w:r>
          </w:p>
        </w:tc>
        <w:tc>
          <w:tcPr>
            <w:tcW w:w="1553" w:type="dxa"/>
            <w:gridSpan w:val="2"/>
            <w:tcBorders>
              <w:left w:val="nil"/>
              <w:right w:val="nil"/>
            </w:tcBorders>
            <w:noWrap/>
            <w:vAlign w:val="center"/>
          </w:tcPr>
          <w:p w:rsidR="00EB292B" w:rsidRPr="00EF6887" w:rsidRDefault="00A54C0E" w:rsidP="00A54C0E">
            <w:pPr>
              <w:jc w:val="center"/>
              <w:rPr>
                <w:rFonts w:ascii="Arial" w:hAnsi="Arial" w:cs="Arial"/>
                <w:sz w:val="20"/>
                <w:szCs w:val="20"/>
              </w:rPr>
            </w:pPr>
            <w:r>
              <w:rPr>
                <w:rFonts w:ascii="Arial" w:eastAsia="Verdana" w:hAnsi="Arial" w:cs="Arial"/>
                <w:sz w:val="20"/>
                <w:szCs w:val="20"/>
              </w:rPr>
              <w:t>10.5</w:t>
            </w:r>
            <w:r w:rsidR="001401F0">
              <w:rPr>
                <w:rFonts w:ascii="Arial" w:eastAsia="Verdana" w:hAnsi="Arial" w:cs="Arial"/>
                <w:sz w:val="20"/>
                <w:szCs w:val="20"/>
              </w:rPr>
              <w:t xml:space="preserve"> (</w:t>
            </w:r>
            <w:r>
              <w:rPr>
                <w:rFonts w:ascii="Arial" w:eastAsia="Verdana" w:hAnsi="Arial" w:cs="Arial"/>
                <w:sz w:val="20"/>
                <w:szCs w:val="20"/>
              </w:rPr>
              <w:t>2.2;24.6</w:t>
            </w:r>
            <w:r w:rsidR="001401F0">
              <w:rPr>
                <w:rFonts w:ascii="Arial" w:eastAsia="Verdana" w:hAnsi="Arial" w:cs="Arial"/>
                <w:sz w:val="20"/>
                <w:szCs w:val="20"/>
              </w:rPr>
              <w:t>)</w:t>
            </w:r>
          </w:p>
        </w:tc>
        <w:tc>
          <w:tcPr>
            <w:tcW w:w="1559" w:type="dxa"/>
            <w:tcBorders>
              <w:left w:val="nil"/>
              <w:right w:val="nil"/>
            </w:tcBorders>
            <w:noWrap/>
            <w:vAlign w:val="center"/>
          </w:tcPr>
          <w:p w:rsidR="00EB292B" w:rsidRPr="00EF6887" w:rsidRDefault="00A54C0E" w:rsidP="00A54C0E">
            <w:pPr>
              <w:jc w:val="center"/>
              <w:rPr>
                <w:rFonts w:ascii="Arial" w:hAnsi="Arial" w:cs="Arial"/>
                <w:sz w:val="20"/>
                <w:szCs w:val="20"/>
              </w:rPr>
            </w:pPr>
            <w:r>
              <w:rPr>
                <w:rFonts w:ascii="Arial" w:hAnsi="Arial" w:cs="Arial"/>
                <w:sz w:val="20"/>
                <w:szCs w:val="20"/>
              </w:rPr>
              <w:t>12.3</w:t>
            </w:r>
            <w:r w:rsidR="001401F0">
              <w:rPr>
                <w:rFonts w:ascii="Arial" w:hAnsi="Arial" w:cs="Arial"/>
                <w:sz w:val="20"/>
                <w:szCs w:val="20"/>
              </w:rPr>
              <w:t xml:space="preserve"> (</w:t>
            </w:r>
            <w:r>
              <w:rPr>
                <w:rFonts w:ascii="Arial" w:hAnsi="Arial" w:cs="Arial"/>
                <w:sz w:val="20"/>
                <w:szCs w:val="20"/>
              </w:rPr>
              <w:t>3.4;28.3</w:t>
            </w:r>
            <w:r w:rsidR="001401F0">
              <w:rPr>
                <w:rFonts w:ascii="Arial" w:hAnsi="Arial" w:cs="Arial"/>
                <w:sz w:val="20"/>
                <w:szCs w:val="20"/>
              </w:rPr>
              <w:t>)</w:t>
            </w:r>
          </w:p>
        </w:tc>
        <w:tc>
          <w:tcPr>
            <w:tcW w:w="1559" w:type="dxa"/>
            <w:tcBorders>
              <w:left w:val="nil"/>
              <w:right w:val="nil"/>
            </w:tcBorders>
            <w:noWrap/>
            <w:vAlign w:val="center"/>
          </w:tcPr>
          <w:p w:rsidR="00EB292B" w:rsidRPr="00EF6887" w:rsidRDefault="00A54C0E" w:rsidP="00A54C0E">
            <w:pPr>
              <w:jc w:val="center"/>
              <w:rPr>
                <w:rFonts w:ascii="Arial" w:hAnsi="Arial" w:cs="Arial"/>
                <w:sz w:val="20"/>
                <w:szCs w:val="20"/>
              </w:rPr>
            </w:pPr>
            <w:r>
              <w:rPr>
                <w:rFonts w:ascii="Arial" w:hAnsi="Arial" w:cs="Arial"/>
                <w:sz w:val="20"/>
                <w:szCs w:val="20"/>
              </w:rPr>
              <w:t>15.2</w:t>
            </w:r>
            <w:r w:rsidR="001401F0">
              <w:rPr>
                <w:rFonts w:ascii="Arial" w:hAnsi="Arial" w:cs="Arial"/>
                <w:sz w:val="20"/>
                <w:szCs w:val="20"/>
              </w:rPr>
              <w:t xml:space="preserve"> (</w:t>
            </w:r>
            <w:r>
              <w:rPr>
                <w:rFonts w:ascii="Arial" w:hAnsi="Arial" w:cs="Arial"/>
                <w:sz w:val="20"/>
                <w:szCs w:val="20"/>
              </w:rPr>
              <w:t>5.4;36.2</w:t>
            </w:r>
            <w:r w:rsidR="001401F0">
              <w:rPr>
                <w:rFonts w:ascii="Arial" w:hAnsi="Arial" w:cs="Arial"/>
                <w:sz w:val="20"/>
                <w:szCs w:val="20"/>
              </w:rPr>
              <w:t>)</w:t>
            </w:r>
          </w:p>
        </w:tc>
        <w:tc>
          <w:tcPr>
            <w:tcW w:w="1560" w:type="dxa"/>
            <w:tcBorders>
              <w:left w:val="nil"/>
              <w:right w:val="nil"/>
            </w:tcBorders>
            <w:noWrap/>
            <w:vAlign w:val="center"/>
          </w:tcPr>
          <w:p w:rsidR="00EB292B" w:rsidRPr="00EF6887" w:rsidRDefault="00A54C0E" w:rsidP="00A54C0E">
            <w:pPr>
              <w:jc w:val="center"/>
              <w:rPr>
                <w:rFonts w:ascii="Arial" w:hAnsi="Arial" w:cs="Arial"/>
                <w:sz w:val="20"/>
                <w:szCs w:val="20"/>
              </w:rPr>
            </w:pPr>
            <w:r>
              <w:rPr>
                <w:rFonts w:ascii="Arial" w:hAnsi="Arial" w:cs="Arial"/>
                <w:sz w:val="20"/>
                <w:szCs w:val="20"/>
              </w:rPr>
              <w:t>19.3</w:t>
            </w:r>
            <w:r w:rsidR="001401F0">
              <w:rPr>
                <w:rFonts w:ascii="Arial" w:hAnsi="Arial" w:cs="Arial"/>
                <w:sz w:val="20"/>
                <w:szCs w:val="20"/>
              </w:rPr>
              <w:t xml:space="preserve"> (</w:t>
            </w:r>
            <w:r>
              <w:rPr>
                <w:rFonts w:ascii="Arial" w:hAnsi="Arial" w:cs="Arial"/>
                <w:sz w:val="20"/>
                <w:szCs w:val="20"/>
              </w:rPr>
              <w:t>7.1;40.2</w:t>
            </w:r>
            <w:r w:rsidR="001401F0">
              <w:rPr>
                <w:rFonts w:ascii="Arial" w:hAnsi="Arial" w:cs="Arial"/>
                <w:sz w:val="20"/>
                <w:szCs w:val="20"/>
              </w:rPr>
              <w:t>)</w:t>
            </w:r>
          </w:p>
        </w:tc>
        <w:tc>
          <w:tcPr>
            <w:tcW w:w="1288" w:type="dxa"/>
            <w:tcBorders>
              <w:left w:val="nil"/>
              <w:right w:val="nil"/>
            </w:tcBorders>
            <w:noWrap/>
            <w:vAlign w:val="center"/>
          </w:tcPr>
          <w:p w:rsidR="00EB292B" w:rsidRPr="00EF6887" w:rsidRDefault="001401F0" w:rsidP="001401F0">
            <w:pPr>
              <w:jc w:val="center"/>
              <w:rPr>
                <w:rFonts w:ascii="Arial" w:hAnsi="Arial" w:cs="Arial"/>
                <w:sz w:val="20"/>
                <w:szCs w:val="20"/>
              </w:rPr>
            </w:pPr>
            <w:r>
              <w:rPr>
                <w:rFonts w:ascii="Arial" w:hAnsi="Arial" w:cs="Arial"/>
                <w:sz w:val="20"/>
                <w:szCs w:val="20"/>
              </w:rPr>
              <w:t>&lt;0.001</w:t>
            </w:r>
          </w:p>
        </w:tc>
        <w:tc>
          <w:tcPr>
            <w:tcW w:w="1553" w:type="dxa"/>
            <w:tcBorders>
              <w:left w:val="nil"/>
              <w:right w:val="nil"/>
            </w:tcBorders>
            <w:noWrap/>
            <w:vAlign w:val="center"/>
          </w:tcPr>
          <w:p w:rsidR="00EB292B" w:rsidRPr="00EF6887" w:rsidRDefault="00A54C0E" w:rsidP="00A54C0E">
            <w:pPr>
              <w:jc w:val="center"/>
              <w:rPr>
                <w:rFonts w:ascii="Arial" w:hAnsi="Arial" w:cs="Arial"/>
                <w:color w:val="000000"/>
                <w:sz w:val="20"/>
                <w:szCs w:val="20"/>
              </w:rPr>
            </w:pPr>
            <w:r>
              <w:rPr>
                <w:rFonts w:ascii="Arial" w:hAnsi="Arial" w:cs="Arial"/>
                <w:color w:val="000000"/>
                <w:sz w:val="20"/>
                <w:szCs w:val="20"/>
              </w:rPr>
              <w:t>13.5</w:t>
            </w:r>
            <w:r w:rsidR="001401F0">
              <w:rPr>
                <w:rFonts w:ascii="Arial" w:hAnsi="Arial" w:cs="Arial"/>
                <w:color w:val="000000"/>
                <w:sz w:val="20"/>
                <w:szCs w:val="20"/>
              </w:rPr>
              <w:t xml:space="preserve"> (</w:t>
            </w:r>
            <w:r>
              <w:rPr>
                <w:rFonts w:ascii="Arial" w:hAnsi="Arial" w:cs="Arial"/>
                <w:color w:val="000000"/>
                <w:sz w:val="20"/>
                <w:szCs w:val="20"/>
              </w:rPr>
              <w:t>4.0;32.4</w:t>
            </w:r>
            <w:r w:rsidR="001401F0">
              <w:rPr>
                <w:rFonts w:ascii="Arial" w:hAnsi="Arial" w:cs="Arial"/>
                <w:color w:val="000000"/>
                <w:sz w:val="20"/>
                <w:szCs w:val="20"/>
              </w:rPr>
              <w:t>)</w:t>
            </w:r>
          </w:p>
        </w:tc>
      </w:tr>
      <w:tr w:rsidR="004043F0" w:rsidRPr="00EF6887" w:rsidTr="001604E7">
        <w:trPr>
          <w:trHeight w:val="300"/>
        </w:trPr>
        <w:tc>
          <w:tcPr>
            <w:tcW w:w="2127" w:type="dxa"/>
            <w:gridSpan w:val="2"/>
            <w:tcBorders>
              <w:left w:val="nil"/>
              <w:right w:val="nil"/>
            </w:tcBorders>
            <w:noWrap/>
            <w:hideMark/>
          </w:tcPr>
          <w:p w:rsidR="00EB292B" w:rsidRPr="00EF6887" w:rsidRDefault="00EB292B" w:rsidP="001B38C1">
            <w:pPr>
              <w:rPr>
                <w:rFonts w:ascii="Arial" w:hAnsi="Arial" w:cs="Arial"/>
                <w:b/>
                <w:bCs/>
                <w:sz w:val="20"/>
                <w:szCs w:val="20"/>
              </w:rPr>
            </w:pPr>
            <w:r w:rsidRPr="00EF6887">
              <w:rPr>
                <w:rFonts w:ascii="Arial" w:hAnsi="Arial" w:cs="Arial"/>
                <w:b/>
                <w:bCs/>
                <w:sz w:val="20"/>
                <w:szCs w:val="20"/>
              </w:rPr>
              <w:t>Dietary iron intake (mg/day)</w:t>
            </w:r>
          </w:p>
        </w:tc>
        <w:tc>
          <w:tcPr>
            <w:tcW w:w="1553" w:type="dxa"/>
            <w:gridSpan w:val="2"/>
            <w:tcBorders>
              <w:left w:val="nil"/>
              <w:right w:val="nil"/>
            </w:tcBorders>
            <w:noWrap/>
            <w:vAlign w:val="center"/>
            <w:hideMark/>
          </w:tcPr>
          <w:p w:rsidR="00EB292B" w:rsidRPr="00EF6887" w:rsidRDefault="00EB292B" w:rsidP="001401F0">
            <w:pPr>
              <w:jc w:val="center"/>
              <w:rPr>
                <w:rFonts w:ascii="Arial" w:hAnsi="Arial" w:cs="Arial"/>
                <w:sz w:val="20"/>
                <w:szCs w:val="20"/>
              </w:rPr>
            </w:pPr>
            <w:r w:rsidRPr="00EF6887">
              <w:rPr>
                <w:rFonts w:ascii="Arial" w:hAnsi="Arial" w:cs="Arial"/>
                <w:sz w:val="20"/>
                <w:szCs w:val="20"/>
              </w:rPr>
              <w:t>15.3 (4.9)</w:t>
            </w:r>
          </w:p>
        </w:tc>
        <w:tc>
          <w:tcPr>
            <w:tcW w:w="1559" w:type="dxa"/>
            <w:tcBorders>
              <w:left w:val="nil"/>
              <w:right w:val="nil"/>
            </w:tcBorders>
            <w:noWrap/>
            <w:vAlign w:val="center"/>
            <w:hideMark/>
          </w:tcPr>
          <w:p w:rsidR="00EB292B" w:rsidRPr="00EF6887" w:rsidRDefault="00EB292B" w:rsidP="001401F0">
            <w:pPr>
              <w:jc w:val="center"/>
              <w:rPr>
                <w:rFonts w:ascii="Arial" w:hAnsi="Arial" w:cs="Arial"/>
                <w:sz w:val="20"/>
                <w:szCs w:val="20"/>
              </w:rPr>
            </w:pPr>
            <w:r w:rsidRPr="00EF6887">
              <w:rPr>
                <w:rFonts w:ascii="Arial" w:hAnsi="Arial" w:cs="Arial"/>
                <w:sz w:val="20"/>
                <w:szCs w:val="20"/>
              </w:rPr>
              <w:t>15.4 (5.0)</w:t>
            </w:r>
          </w:p>
        </w:tc>
        <w:tc>
          <w:tcPr>
            <w:tcW w:w="1559" w:type="dxa"/>
            <w:tcBorders>
              <w:left w:val="nil"/>
              <w:right w:val="nil"/>
            </w:tcBorders>
            <w:noWrap/>
            <w:vAlign w:val="center"/>
            <w:hideMark/>
          </w:tcPr>
          <w:p w:rsidR="00EB292B" w:rsidRPr="00EF6887" w:rsidRDefault="00EB292B" w:rsidP="001401F0">
            <w:pPr>
              <w:jc w:val="center"/>
              <w:rPr>
                <w:rFonts w:ascii="Arial" w:hAnsi="Arial" w:cs="Arial"/>
                <w:sz w:val="20"/>
                <w:szCs w:val="20"/>
              </w:rPr>
            </w:pPr>
            <w:r w:rsidRPr="00EF6887">
              <w:rPr>
                <w:rFonts w:ascii="Arial" w:hAnsi="Arial" w:cs="Arial"/>
                <w:sz w:val="20"/>
                <w:szCs w:val="20"/>
              </w:rPr>
              <w:t>15.2 (5.0)</w:t>
            </w:r>
          </w:p>
        </w:tc>
        <w:tc>
          <w:tcPr>
            <w:tcW w:w="1560" w:type="dxa"/>
            <w:tcBorders>
              <w:left w:val="nil"/>
              <w:right w:val="nil"/>
            </w:tcBorders>
            <w:noWrap/>
            <w:vAlign w:val="center"/>
            <w:hideMark/>
          </w:tcPr>
          <w:p w:rsidR="00EB292B" w:rsidRPr="00EF6887" w:rsidRDefault="00EB292B" w:rsidP="001401F0">
            <w:pPr>
              <w:jc w:val="center"/>
              <w:rPr>
                <w:rFonts w:ascii="Arial" w:hAnsi="Arial" w:cs="Arial"/>
                <w:sz w:val="20"/>
                <w:szCs w:val="20"/>
              </w:rPr>
            </w:pPr>
            <w:r w:rsidRPr="00EF6887">
              <w:rPr>
                <w:rFonts w:ascii="Arial" w:hAnsi="Arial" w:cs="Arial"/>
                <w:sz w:val="20"/>
                <w:szCs w:val="20"/>
              </w:rPr>
              <w:t>15.3 (5.0)</w:t>
            </w:r>
          </w:p>
        </w:tc>
        <w:tc>
          <w:tcPr>
            <w:tcW w:w="1288" w:type="dxa"/>
            <w:tcBorders>
              <w:left w:val="nil"/>
              <w:right w:val="nil"/>
            </w:tcBorders>
            <w:noWrap/>
            <w:vAlign w:val="center"/>
            <w:hideMark/>
          </w:tcPr>
          <w:p w:rsidR="00EB292B" w:rsidRPr="00EF6887" w:rsidRDefault="00EB292B" w:rsidP="001401F0">
            <w:pPr>
              <w:jc w:val="center"/>
              <w:rPr>
                <w:rFonts w:ascii="Arial" w:hAnsi="Arial" w:cs="Arial"/>
                <w:sz w:val="20"/>
                <w:szCs w:val="20"/>
              </w:rPr>
            </w:pPr>
            <w:r w:rsidRPr="00EF6887">
              <w:rPr>
                <w:rFonts w:ascii="Arial" w:hAnsi="Arial" w:cs="Arial"/>
                <w:sz w:val="20"/>
                <w:szCs w:val="20"/>
              </w:rPr>
              <w:t>0.9</w:t>
            </w:r>
          </w:p>
        </w:tc>
        <w:tc>
          <w:tcPr>
            <w:tcW w:w="1553" w:type="dxa"/>
            <w:tcBorders>
              <w:left w:val="nil"/>
              <w:right w:val="nil"/>
            </w:tcBorders>
            <w:noWrap/>
            <w:vAlign w:val="center"/>
          </w:tcPr>
          <w:p w:rsidR="00EB292B" w:rsidRPr="00EF6887" w:rsidRDefault="00EB292B" w:rsidP="001401F0">
            <w:pPr>
              <w:jc w:val="center"/>
              <w:rPr>
                <w:rFonts w:ascii="Arial" w:hAnsi="Arial" w:cs="Arial"/>
                <w:color w:val="000000"/>
                <w:sz w:val="20"/>
                <w:szCs w:val="20"/>
              </w:rPr>
            </w:pPr>
            <w:r w:rsidRPr="00EF6887">
              <w:rPr>
                <w:rFonts w:ascii="Arial" w:hAnsi="Arial" w:cs="Arial"/>
                <w:color w:val="000000"/>
                <w:sz w:val="20"/>
                <w:szCs w:val="20"/>
              </w:rPr>
              <w:t>15.3 (5.0)</w:t>
            </w:r>
          </w:p>
        </w:tc>
      </w:tr>
      <w:tr w:rsidR="004043F0" w:rsidRPr="00EF6887" w:rsidTr="001604E7">
        <w:trPr>
          <w:trHeight w:val="300"/>
        </w:trPr>
        <w:tc>
          <w:tcPr>
            <w:tcW w:w="11199" w:type="dxa"/>
            <w:gridSpan w:val="9"/>
            <w:tcBorders>
              <w:left w:val="nil"/>
              <w:right w:val="nil"/>
            </w:tcBorders>
            <w:noWrap/>
            <w:vAlign w:val="center"/>
            <w:hideMark/>
          </w:tcPr>
          <w:p w:rsidR="0045610D" w:rsidRPr="00EF6887" w:rsidRDefault="0045610D" w:rsidP="001401F0">
            <w:pPr>
              <w:rPr>
                <w:rFonts w:ascii="Arial" w:hAnsi="Arial" w:cs="Arial"/>
                <w:sz w:val="20"/>
                <w:szCs w:val="20"/>
              </w:rPr>
            </w:pPr>
            <w:r w:rsidRPr="00EF6887">
              <w:rPr>
                <w:rFonts w:ascii="Arial" w:hAnsi="Arial" w:cs="Arial"/>
                <w:b/>
                <w:bCs/>
                <w:sz w:val="20"/>
                <w:szCs w:val="20"/>
              </w:rPr>
              <w:t>Biomarkers (mean, SD)</w:t>
            </w:r>
          </w:p>
        </w:tc>
      </w:tr>
      <w:tr w:rsidR="00342C35" w:rsidRPr="00EF6887" w:rsidTr="001604E7">
        <w:trPr>
          <w:trHeight w:val="300"/>
        </w:trPr>
        <w:tc>
          <w:tcPr>
            <w:tcW w:w="419" w:type="dxa"/>
            <w:tcBorders>
              <w:left w:val="nil"/>
              <w:right w:val="nil"/>
            </w:tcBorders>
            <w:noWrap/>
            <w:hideMark/>
          </w:tcPr>
          <w:p w:rsidR="0045610D" w:rsidRPr="00EF6887" w:rsidRDefault="0045610D" w:rsidP="001B38C1">
            <w:pPr>
              <w:rPr>
                <w:rFonts w:ascii="Arial" w:hAnsi="Arial" w:cs="Arial"/>
                <w:b/>
                <w:bCs/>
                <w:sz w:val="20"/>
                <w:szCs w:val="20"/>
              </w:rPr>
            </w:pPr>
          </w:p>
        </w:tc>
        <w:tc>
          <w:tcPr>
            <w:tcW w:w="1843" w:type="dxa"/>
            <w:gridSpan w:val="2"/>
            <w:tcBorders>
              <w:left w:val="nil"/>
              <w:right w:val="nil"/>
            </w:tcBorders>
            <w:noWrap/>
          </w:tcPr>
          <w:p w:rsidR="0045610D" w:rsidRPr="00EF6887" w:rsidRDefault="0045610D" w:rsidP="001B38C1">
            <w:pPr>
              <w:rPr>
                <w:rFonts w:ascii="Arial" w:hAnsi="Arial" w:cs="Arial"/>
                <w:b/>
                <w:bCs/>
                <w:sz w:val="20"/>
                <w:szCs w:val="20"/>
              </w:rPr>
            </w:pPr>
            <w:r w:rsidRPr="00EF6887">
              <w:rPr>
                <w:rFonts w:ascii="Arial" w:hAnsi="Arial" w:cs="Arial"/>
                <w:b/>
                <w:bCs/>
                <w:sz w:val="20"/>
                <w:szCs w:val="20"/>
              </w:rPr>
              <w:t>TSAT (%)</w:t>
            </w:r>
          </w:p>
        </w:tc>
        <w:tc>
          <w:tcPr>
            <w:tcW w:w="1418" w:type="dxa"/>
            <w:tcBorders>
              <w:left w:val="nil"/>
              <w:right w:val="nil"/>
            </w:tcBorders>
            <w:noWrap/>
            <w:vAlign w:val="center"/>
          </w:tcPr>
          <w:p w:rsidR="0045610D" w:rsidRPr="00EF6887" w:rsidRDefault="0045610D" w:rsidP="001401F0">
            <w:pPr>
              <w:jc w:val="center"/>
              <w:rPr>
                <w:rFonts w:ascii="Arial" w:hAnsi="Arial" w:cs="Arial"/>
                <w:sz w:val="20"/>
                <w:szCs w:val="20"/>
              </w:rPr>
            </w:pPr>
            <w:r w:rsidRPr="00EF6887">
              <w:rPr>
                <w:rFonts w:ascii="Arial" w:hAnsi="Arial" w:cs="Arial"/>
                <w:sz w:val="20"/>
                <w:szCs w:val="20"/>
              </w:rPr>
              <w:t>26.8 (9.9)</w:t>
            </w:r>
          </w:p>
        </w:tc>
        <w:tc>
          <w:tcPr>
            <w:tcW w:w="1559" w:type="dxa"/>
            <w:tcBorders>
              <w:left w:val="nil"/>
              <w:right w:val="nil"/>
            </w:tcBorders>
            <w:noWrap/>
            <w:vAlign w:val="center"/>
          </w:tcPr>
          <w:p w:rsidR="0045610D" w:rsidRPr="00EF6887" w:rsidRDefault="0045610D" w:rsidP="001401F0">
            <w:pPr>
              <w:jc w:val="center"/>
              <w:rPr>
                <w:rFonts w:ascii="Arial" w:hAnsi="Arial" w:cs="Arial"/>
                <w:sz w:val="20"/>
                <w:szCs w:val="20"/>
              </w:rPr>
            </w:pPr>
            <w:r w:rsidRPr="00EF6887">
              <w:rPr>
                <w:rFonts w:ascii="Arial" w:hAnsi="Arial" w:cs="Arial"/>
                <w:sz w:val="20"/>
                <w:szCs w:val="20"/>
              </w:rPr>
              <w:t>29.7 (9.8)</w:t>
            </w:r>
          </w:p>
        </w:tc>
        <w:tc>
          <w:tcPr>
            <w:tcW w:w="1559" w:type="dxa"/>
            <w:tcBorders>
              <w:left w:val="nil"/>
              <w:right w:val="nil"/>
            </w:tcBorders>
            <w:noWrap/>
            <w:vAlign w:val="center"/>
          </w:tcPr>
          <w:p w:rsidR="0045610D" w:rsidRPr="00EF6887" w:rsidRDefault="0045610D" w:rsidP="001401F0">
            <w:pPr>
              <w:jc w:val="center"/>
              <w:rPr>
                <w:rFonts w:ascii="Arial" w:hAnsi="Arial" w:cs="Arial"/>
                <w:sz w:val="20"/>
                <w:szCs w:val="20"/>
              </w:rPr>
            </w:pPr>
            <w:r w:rsidRPr="00EF6887">
              <w:rPr>
                <w:rFonts w:ascii="Arial" w:hAnsi="Arial" w:cs="Arial"/>
                <w:sz w:val="20"/>
                <w:szCs w:val="20"/>
              </w:rPr>
              <w:t>30.8 (9.2)</w:t>
            </w:r>
          </w:p>
        </w:tc>
        <w:tc>
          <w:tcPr>
            <w:tcW w:w="1560" w:type="dxa"/>
            <w:tcBorders>
              <w:left w:val="nil"/>
              <w:right w:val="nil"/>
            </w:tcBorders>
            <w:noWrap/>
            <w:vAlign w:val="center"/>
          </w:tcPr>
          <w:p w:rsidR="0045610D" w:rsidRPr="00EF6887" w:rsidRDefault="0045610D" w:rsidP="001401F0">
            <w:pPr>
              <w:jc w:val="center"/>
              <w:rPr>
                <w:rFonts w:ascii="Arial" w:hAnsi="Arial" w:cs="Arial"/>
                <w:sz w:val="20"/>
                <w:szCs w:val="20"/>
              </w:rPr>
            </w:pPr>
            <w:r w:rsidRPr="00EF6887">
              <w:rPr>
                <w:rFonts w:ascii="Arial" w:hAnsi="Arial" w:cs="Arial"/>
                <w:sz w:val="20"/>
                <w:szCs w:val="20"/>
              </w:rPr>
              <w:t>33.8 (12.5)</w:t>
            </w:r>
          </w:p>
        </w:tc>
        <w:tc>
          <w:tcPr>
            <w:tcW w:w="1288" w:type="dxa"/>
            <w:tcBorders>
              <w:left w:val="nil"/>
              <w:right w:val="nil"/>
            </w:tcBorders>
            <w:noWrap/>
            <w:vAlign w:val="center"/>
          </w:tcPr>
          <w:p w:rsidR="0045610D" w:rsidRPr="00EF6887" w:rsidRDefault="0045610D" w:rsidP="001401F0">
            <w:pPr>
              <w:jc w:val="center"/>
              <w:rPr>
                <w:rFonts w:ascii="Arial" w:hAnsi="Arial" w:cs="Arial"/>
                <w:sz w:val="20"/>
                <w:szCs w:val="20"/>
              </w:rPr>
            </w:pPr>
            <w:r w:rsidRPr="00EF6887">
              <w:rPr>
                <w:rFonts w:ascii="Arial" w:hAnsi="Arial" w:cs="Arial"/>
                <w:sz w:val="20"/>
                <w:szCs w:val="20"/>
              </w:rPr>
              <w:t>&lt;0.001</w:t>
            </w:r>
          </w:p>
        </w:tc>
        <w:tc>
          <w:tcPr>
            <w:tcW w:w="1553" w:type="dxa"/>
            <w:tcBorders>
              <w:left w:val="nil"/>
              <w:right w:val="nil"/>
            </w:tcBorders>
            <w:noWrap/>
            <w:vAlign w:val="center"/>
          </w:tcPr>
          <w:p w:rsidR="0045610D" w:rsidRPr="00EF6887" w:rsidRDefault="0045610D" w:rsidP="001401F0">
            <w:pPr>
              <w:jc w:val="center"/>
              <w:rPr>
                <w:rFonts w:ascii="Arial" w:hAnsi="Arial" w:cs="Arial"/>
                <w:color w:val="000000"/>
                <w:sz w:val="20"/>
                <w:szCs w:val="20"/>
              </w:rPr>
            </w:pPr>
            <w:r w:rsidRPr="00EF6887">
              <w:rPr>
                <w:rFonts w:ascii="Arial" w:hAnsi="Arial" w:cs="Arial"/>
                <w:color w:val="000000"/>
                <w:sz w:val="20"/>
                <w:szCs w:val="20"/>
              </w:rPr>
              <w:t>30.3 (10.7)</w:t>
            </w:r>
          </w:p>
        </w:tc>
      </w:tr>
      <w:tr w:rsidR="00342C35" w:rsidRPr="00EF6887" w:rsidTr="001604E7">
        <w:trPr>
          <w:trHeight w:val="300"/>
        </w:trPr>
        <w:tc>
          <w:tcPr>
            <w:tcW w:w="419" w:type="dxa"/>
            <w:tcBorders>
              <w:left w:val="nil"/>
              <w:right w:val="nil"/>
            </w:tcBorders>
            <w:noWrap/>
            <w:hideMark/>
          </w:tcPr>
          <w:p w:rsidR="0045610D" w:rsidRPr="00EF6887" w:rsidRDefault="0045610D" w:rsidP="001B38C1">
            <w:pPr>
              <w:rPr>
                <w:rFonts w:ascii="Arial" w:hAnsi="Arial" w:cs="Arial"/>
                <w:b/>
                <w:bCs/>
                <w:sz w:val="20"/>
                <w:szCs w:val="20"/>
              </w:rPr>
            </w:pPr>
          </w:p>
        </w:tc>
        <w:tc>
          <w:tcPr>
            <w:tcW w:w="1843" w:type="dxa"/>
            <w:gridSpan w:val="2"/>
            <w:tcBorders>
              <w:left w:val="nil"/>
              <w:right w:val="nil"/>
            </w:tcBorders>
            <w:noWrap/>
            <w:hideMark/>
          </w:tcPr>
          <w:p w:rsidR="0045610D" w:rsidRPr="00EF6887" w:rsidRDefault="0045610D" w:rsidP="001B38C1">
            <w:pPr>
              <w:rPr>
                <w:rFonts w:ascii="Arial" w:hAnsi="Arial" w:cs="Arial"/>
                <w:b/>
                <w:bCs/>
                <w:sz w:val="20"/>
                <w:szCs w:val="20"/>
              </w:rPr>
            </w:pPr>
            <w:r w:rsidRPr="00EF6887">
              <w:rPr>
                <w:rFonts w:ascii="Arial" w:hAnsi="Arial" w:cs="Arial"/>
                <w:b/>
                <w:bCs/>
                <w:sz w:val="20"/>
                <w:szCs w:val="20"/>
              </w:rPr>
              <w:t>Iron (</w:t>
            </w:r>
            <w:proofErr w:type="spellStart"/>
            <w:r w:rsidRPr="00EF6887">
              <w:rPr>
                <w:rFonts w:ascii="Arial" w:hAnsi="Arial" w:cs="Arial"/>
                <w:b/>
                <w:bCs/>
                <w:sz w:val="20"/>
                <w:szCs w:val="20"/>
              </w:rPr>
              <w:t>μmol</w:t>
            </w:r>
            <w:proofErr w:type="spellEnd"/>
            <w:r w:rsidRPr="00EF6887">
              <w:rPr>
                <w:rFonts w:ascii="Arial" w:hAnsi="Arial" w:cs="Arial"/>
                <w:b/>
                <w:bCs/>
                <w:sz w:val="20"/>
                <w:szCs w:val="20"/>
              </w:rPr>
              <w:t>/L)</w:t>
            </w:r>
          </w:p>
        </w:tc>
        <w:tc>
          <w:tcPr>
            <w:tcW w:w="1418"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17.3 (6.0)</w:t>
            </w:r>
          </w:p>
        </w:tc>
        <w:tc>
          <w:tcPr>
            <w:tcW w:w="1559"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17.8 (5.7)</w:t>
            </w:r>
          </w:p>
        </w:tc>
        <w:tc>
          <w:tcPr>
            <w:tcW w:w="1559"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18.2 (5.5)</w:t>
            </w:r>
          </w:p>
        </w:tc>
        <w:tc>
          <w:tcPr>
            <w:tcW w:w="1560"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19.2 (6.6)</w:t>
            </w:r>
          </w:p>
        </w:tc>
        <w:tc>
          <w:tcPr>
            <w:tcW w:w="1288"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&lt;0.001</w:t>
            </w:r>
          </w:p>
        </w:tc>
        <w:tc>
          <w:tcPr>
            <w:tcW w:w="1553" w:type="dxa"/>
            <w:tcBorders>
              <w:left w:val="nil"/>
              <w:right w:val="nil"/>
            </w:tcBorders>
            <w:noWrap/>
            <w:vAlign w:val="center"/>
          </w:tcPr>
          <w:p w:rsidR="0045610D" w:rsidRPr="00EF6887" w:rsidRDefault="0045610D" w:rsidP="001401F0">
            <w:pPr>
              <w:jc w:val="center"/>
              <w:rPr>
                <w:rFonts w:ascii="Arial" w:hAnsi="Arial" w:cs="Arial"/>
                <w:color w:val="000000"/>
                <w:sz w:val="20"/>
                <w:szCs w:val="20"/>
              </w:rPr>
            </w:pPr>
            <w:r w:rsidRPr="00EF6887">
              <w:rPr>
                <w:rFonts w:ascii="Arial" w:hAnsi="Arial" w:cs="Arial"/>
                <w:color w:val="000000"/>
                <w:sz w:val="20"/>
                <w:szCs w:val="20"/>
              </w:rPr>
              <w:t>18.1 (6.0)</w:t>
            </w:r>
          </w:p>
        </w:tc>
      </w:tr>
      <w:tr w:rsidR="00342C35" w:rsidRPr="00EF6887" w:rsidTr="001604E7">
        <w:trPr>
          <w:trHeight w:val="300"/>
        </w:trPr>
        <w:tc>
          <w:tcPr>
            <w:tcW w:w="419" w:type="dxa"/>
            <w:tcBorders>
              <w:left w:val="nil"/>
              <w:right w:val="nil"/>
            </w:tcBorders>
            <w:noWrap/>
            <w:hideMark/>
          </w:tcPr>
          <w:p w:rsidR="0045610D" w:rsidRPr="00EF6887" w:rsidRDefault="0045610D" w:rsidP="001B38C1">
            <w:pPr>
              <w:rPr>
                <w:rFonts w:ascii="Arial" w:hAnsi="Arial" w:cs="Arial"/>
                <w:b/>
                <w:bCs/>
                <w:sz w:val="20"/>
                <w:szCs w:val="20"/>
              </w:rPr>
            </w:pPr>
          </w:p>
        </w:tc>
        <w:tc>
          <w:tcPr>
            <w:tcW w:w="1843" w:type="dxa"/>
            <w:gridSpan w:val="2"/>
            <w:tcBorders>
              <w:left w:val="nil"/>
              <w:right w:val="nil"/>
            </w:tcBorders>
            <w:noWrap/>
            <w:hideMark/>
          </w:tcPr>
          <w:p w:rsidR="0045610D" w:rsidRPr="00EF6887" w:rsidRDefault="0045610D" w:rsidP="001B38C1">
            <w:pPr>
              <w:rPr>
                <w:rFonts w:ascii="Arial" w:hAnsi="Arial" w:cs="Arial"/>
                <w:b/>
                <w:bCs/>
                <w:sz w:val="20"/>
                <w:szCs w:val="20"/>
              </w:rPr>
            </w:pPr>
            <w:r w:rsidRPr="00EF6887">
              <w:rPr>
                <w:rFonts w:ascii="Arial" w:hAnsi="Arial" w:cs="Arial"/>
                <w:b/>
                <w:bCs/>
                <w:sz w:val="20"/>
                <w:szCs w:val="20"/>
              </w:rPr>
              <w:t>Transferrin (g/L)</w:t>
            </w:r>
          </w:p>
        </w:tc>
        <w:tc>
          <w:tcPr>
            <w:tcW w:w="1418"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2.9 (0.4)</w:t>
            </w:r>
          </w:p>
        </w:tc>
        <w:tc>
          <w:tcPr>
            <w:tcW w:w="1559"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2.7 (0.4)</w:t>
            </w:r>
          </w:p>
        </w:tc>
        <w:tc>
          <w:tcPr>
            <w:tcW w:w="1559"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2.6 (0.3)</w:t>
            </w:r>
          </w:p>
        </w:tc>
        <w:tc>
          <w:tcPr>
            <w:tcW w:w="1560"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2.5 (0.4)</w:t>
            </w:r>
          </w:p>
        </w:tc>
        <w:tc>
          <w:tcPr>
            <w:tcW w:w="1288"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&lt;0.001</w:t>
            </w:r>
          </w:p>
        </w:tc>
        <w:tc>
          <w:tcPr>
            <w:tcW w:w="1553" w:type="dxa"/>
            <w:tcBorders>
              <w:left w:val="nil"/>
              <w:right w:val="nil"/>
            </w:tcBorders>
            <w:noWrap/>
            <w:vAlign w:val="center"/>
          </w:tcPr>
          <w:p w:rsidR="0045610D" w:rsidRPr="00EF6887" w:rsidRDefault="0045610D" w:rsidP="001401F0">
            <w:pPr>
              <w:jc w:val="center"/>
              <w:rPr>
                <w:rFonts w:ascii="Arial" w:hAnsi="Arial" w:cs="Arial"/>
                <w:color w:val="000000"/>
                <w:sz w:val="20"/>
                <w:szCs w:val="20"/>
              </w:rPr>
            </w:pPr>
            <w:r w:rsidRPr="00EF6887">
              <w:rPr>
                <w:rFonts w:ascii="Arial" w:hAnsi="Arial" w:cs="Arial"/>
                <w:color w:val="000000"/>
                <w:sz w:val="20"/>
                <w:szCs w:val="20"/>
              </w:rPr>
              <w:t>2.7 (0.4)</w:t>
            </w:r>
          </w:p>
        </w:tc>
      </w:tr>
      <w:tr w:rsidR="00342C35" w:rsidRPr="00EF6887" w:rsidTr="001604E7">
        <w:trPr>
          <w:trHeight w:val="300"/>
        </w:trPr>
        <w:tc>
          <w:tcPr>
            <w:tcW w:w="419" w:type="dxa"/>
            <w:tcBorders>
              <w:left w:val="nil"/>
              <w:right w:val="nil"/>
            </w:tcBorders>
            <w:noWrap/>
            <w:hideMark/>
          </w:tcPr>
          <w:p w:rsidR="0045610D" w:rsidRPr="00EF6887" w:rsidRDefault="0045610D" w:rsidP="001B38C1">
            <w:pPr>
              <w:rPr>
                <w:rFonts w:ascii="Arial" w:hAnsi="Arial" w:cs="Arial"/>
                <w:b/>
                <w:bCs/>
                <w:sz w:val="20"/>
                <w:szCs w:val="20"/>
              </w:rPr>
            </w:pPr>
          </w:p>
        </w:tc>
        <w:tc>
          <w:tcPr>
            <w:tcW w:w="1843" w:type="dxa"/>
            <w:gridSpan w:val="2"/>
            <w:tcBorders>
              <w:left w:val="nil"/>
              <w:right w:val="nil"/>
            </w:tcBorders>
            <w:noWrap/>
            <w:hideMark/>
          </w:tcPr>
          <w:p w:rsidR="0045610D" w:rsidRPr="00EF6887" w:rsidRDefault="0045610D" w:rsidP="001B38C1">
            <w:pPr>
              <w:rPr>
                <w:rFonts w:ascii="Arial" w:hAnsi="Arial" w:cs="Arial"/>
                <w:b/>
                <w:bCs/>
                <w:sz w:val="20"/>
                <w:szCs w:val="20"/>
              </w:rPr>
            </w:pPr>
            <w:r w:rsidRPr="00EF6887">
              <w:rPr>
                <w:rFonts w:ascii="Arial" w:hAnsi="Arial" w:cs="Arial"/>
                <w:b/>
                <w:bCs/>
                <w:sz w:val="20"/>
                <w:szCs w:val="20"/>
              </w:rPr>
              <w:t>Glucose (</w:t>
            </w:r>
            <w:proofErr w:type="spellStart"/>
            <w:r w:rsidRPr="00EF6887">
              <w:rPr>
                <w:rFonts w:ascii="Arial" w:hAnsi="Arial" w:cs="Arial"/>
                <w:b/>
                <w:bCs/>
                <w:sz w:val="20"/>
                <w:szCs w:val="20"/>
              </w:rPr>
              <w:t>mmol</w:t>
            </w:r>
            <w:proofErr w:type="spellEnd"/>
            <w:r w:rsidRPr="00EF6887">
              <w:rPr>
                <w:rFonts w:ascii="Arial" w:hAnsi="Arial" w:cs="Arial"/>
                <w:b/>
                <w:bCs/>
                <w:sz w:val="20"/>
                <w:szCs w:val="20"/>
              </w:rPr>
              <w:t>/L)</w:t>
            </w:r>
          </w:p>
        </w:tc>
        <w:tc>
          <w:tcPr>
            <w:tcW w:w="1418"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5.0 (1.6)</w:t>
            </w:r>
          </w:p>
        </w:tc>
        <w:tc>
          <w:tcPr>
            <w:tcW w:w="1559"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5.1 (1.3)</w:t>
            </w:r>
          </w:p>
        </w:tc>
        <w:tc>
          <w:tcPr>
            <w:tcW w:w="1559"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5.2 (1.5)</w:t>
            </w:r>
          </w:p>
        </w:tc>
        <w:tc>
          <w:tcPr>
            <w:tcW w:w="1560"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5.6 (1.5)</w:t>
            </w:r>
          </w:p>
        </w:tc>
        <w:tc>
          <w:tcPr>
            <w:tcW w:w="1288"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&lt;0.001</w:t>
            </w:r>
          </w:p>
        </w:tc>
        <w:tc>
          <w:tcPr>
            <w:tcW w:w="1553" w:type="dxa"/>
            <w:tcBorders>
              <w:left w:val="nil"/>
              <w:right w:val="nil"/>
            </w:tcBorders>
            <w:noWrap/>
            <w:vAlign w:val="center"/>
          </w:tcPr>
          <w:p w:rsidR="0045610D" w:rsidRPr="00EF6887" w:rsidRDefault="0045610D" w:rsidP="001401F0">
            <w:pPr>
              <w:jc w:val="center"/>
              <w:rPr>
                <w:rFonts w:ascii="Arial" w:hAnsi="Arial" w:cs="Arial"/>
                <w:color w:val="000000"/>
                <w:sz w:val="20"/>
                <w:szCs w:val="20"/>
              </w:rPr>
            </w:pPr>
            <w:r w:rsidRPr="00EF6887">
              <w:rPr>
                <w:rFonts w:ascii="Arial" w:hAnsi="Arial" w:cs="Arial"/>
                <w:color w:val="000000"/>
                <w:sz w:val="20"/>
                <w:szCs w:val="20"/>
              </w:rPr>
              <w:t>5.2 (1.5)</w:t>
            </w:r>
          </w:p>
        </w:tc>
      </w:tr>
      <w:tr w:rsidR="00342C35" w:rsidRPr="00EF6887" w:rsidTr="001604E7">
        <w:trPr>
          <w:trHeight w:val="300"/>
        </w:trPr>
        <w:tc>
          <w:tcPr>
            <w:tcW w:w="419" w:type="dxa"/>
            <w:tcBorders>
              <w:left w:val="nil"/>
              <w:right w:val="nil"/>
            </w:tcBorders>
            <w:noWrap/>
            <w:hideMark/>
          </w:tcPr>
          <w:p w:rsidR="0045610D" w:rsidRPr="00EF6887" w:rsidRDefault="0045610D" w:rsidP="001B38C1">
            <w:pPr>
              <w:rPr>
                <w:rFonts w:ascii="Arial" w:hAnsi="Arial" w:cs="Arial"/>
                <w:b/>
                <w:bCs/>
                <w:sz w:val="20"/>
                <w:szCs w:val="20"/>
              </w:rPr>
            </w:pPr>
          </w:p>
        </w:tc>
        <w:tc>
          <w:tcPr>
            <w:tcW w:w="1843" w:type="dxa"/>
            <w:gridSpan w:val="2"/>
            <w:tcBorders>
              <w:left w:val="nil"/>
              <w:right w:val="nil"/>
            </w:tcBorders>
            <w:noWrap/>
            <w:hideMark/>
          </w:tcPr>
          <w:p w:rsidR="0045610D" w:rsidRPr="00EF6887" w:rsidRDefault="0045610D" w:rsidP="001B38C1">
            <w:pPr>
              <w:rPr>
                <w:rFonts w:ascii="Arial" w:hAnsi="Arial" w:cs="Arial"/>
                <w:b/>
                <w:bCs/>
                <w:sz w:val="20"/>
                <w:szCs w:val="20"/>
              </w:rPr>
            </w:pPr>
            <w:r w:rsidRPr="00EF6887">
              <w:rPr>
                <w:rFonts w:ascii="Arial" w:hAnsi="Arial" w:cs="Arial"/>
                <w:b/>
                <w:bCs/>
                <w:sz w:val="20"/>
                <w:szCs w:val="20"/>
              </w:rPr>
              <w:t>HbA1c (</w:t>
            </w:r>
            <w:proofErr w:type="spellStart"/>
            <w:r w:rsidRPr="00EF6887">
              <w:rPr>
                <w:rFonts w:ascii="Arial" w:hAnsi="Arial" w:cs="Arial"/>
                <w:b/>
                <w:bCs/>
                <w:sz w:val="20"/>
                <w:szCs w:val="20"/>
              </w:rPr>
              <w:t>mmol</w:t>
            </w:r>
            <w:proofErr w:type="spellEnd"/>
            <w:r w:rsidRPr="00EF6887">
              <w:rPr>
                <w:rFonts w:ascii="Arial" w:hAnsi="Arial" w:cs="Arial"/>
                <w:b/>
                <w:bCs/>
                <w:sz w:val="20"/>
                <w:szCs w:val="20"/>
              </w:rPr>
              <w:t>/</w:t>
            </w:r>
            <w:proofErr w:type="spellStart"/>
            <w:r w:rsidRPr="00EF6887">
              <w:rPr>
                <w:rFonts w:ascii="Arial" w:hAnsi="Arial" w:cs="Arial"/>
                <w:b/>
                <w:bCs/>
                <w:sz w:val="20"/>
                <w:szCs w:val="20"/>
              </w:rPr>
              <w:t>mol</w:t>
            </w:r>
            <w:proofErr w:type="spellEnd"/>
            <w:r w:rsidRPr="00EF6887">
              <w:rPr>
                <w:rFonts w:ascii="Arial" w:hAnsi="Arial" w:cs="Arial"/>
                <w:b/>
                <w:bCs/>
                <w:sz w:val="20"/>
                <w:szCs w:val="20"/>
              </w:rPr>
              <w:t>)</w:t>
            </w:r>
          </w:p>
        </w:tc>
        <w:tc>
          <w:tcPr>
            <w:tcW w:w="1418"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36.4 (4.8)</w:t>
            </w:r>
          </w:p>
        </w:tc>
        <w:tc>
          <w:tcPr>
            <w:tcW w:w="1559"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36.3 (4.5)</w:t>
            </w:r>
          </w:p>
        </w:tc>
        <w:tc>
          <w:tcPr>
            <w:tcW w:w="1559"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36.4 (5.4)</w:t>
            </w:r>
          </w:p>
        </w:tc>
        <w:tc>
          <w:tcPr>
            <w:tcW w:w="1560"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sidRPr="00EF6887">
              <w:rPr>
                <w:rFonts w:ascii="Arial" w:hAnsi="Arial" w:cs="Arial"/>
                <w:sz w:val="20"/>
                <w:szCs w:val="20"/>
              </w:rPr>
              <w:t>36.3 (6.4)</w:t>
            </w:r>
          </w:p>
        </w:tc>
        <w:tc>
          <w:tcPr>
            <w:tcW w:w="1288" w:type="dxa"/>
            <w:tcBorders>
              <w:left w:val="nil"/>
              <w:right w:val="nil"/>
            </w:tcBorders>
            <w:noWrap/>
            <w:vAlign w:val="center"/>
            <w:hideMark/>
          </w:tcPr>
          <w:p w:rsidR="0045610D" w:rsidRPr="00EF6887" w:rsidRDefault="0045610D" w:rsidP="001401F0">
            <w:pPr>
              <w:jc w:val="center"/>
              <w:rPr>
                <w:rFonts w:ascii="Arial" w:hAnsi="Arial" w:cs="Arial"/>
                <w:sz w:val="20"/>
                <w:szCs w:val="20"/>
              </w:rPr>
            </w:pPr>
            <w:r>
              <w:rPr>
                <w:rFonts w:ascii="Arial" w:hAnsi="Arial" w:cs="Arial"/>
                <w:sz w:val="20"/>
                <w:szCs w:val="20"/>
              </w:rPr>
              <w:t>0.97</w:t>
            </w:r>
          </w:p>
        </w:tc>
        <w:tc>
          <w:tcPr>
            <w:tcW w:w="1553" w:type="dxa"/>
            <w:tcBorders>
              <w:left w:val="nil"/>
              <w:right w:val="nil"/>
            </w:tcBorders>
            <w:noWrap/>
            <w:vAlign w:val="center"/>
          </w:tcPr>
          <w:p w:rsidR="0045610D" w:rsidRPr="00EF6887" w:rsidRDefault="0045610D" w:rsidP="001401F0">
            <w:pPr>
              <w:jc w:val="center"/>
              <w:rPr>
                <w:rFonts w:ascii="Arial" w:hAnsi="Arial" w:cs="Arial"/>
                <w:color w:val="000000"/>
                <w:sz w:val="20"/>
                <w:szCs w:val="20"/>
              </w:rPr>
            </w:pPr>
            <w:r w:rsidRPr="00EF6887">
              <w:rPr>
                <w:rFonts w:ascii="Arial" w:hAnsi="Arial" w:cs="Arial"/>
                <w:color w:val="000000"/>
                <w:sz w:val="20"/>
                <w:szCs w:val="20"/>
              </w:rPr>
              <w:t>36.4 (5.3)</w:t>
            </w:r>
          </w:p>
        </w:tc>
      </w:tr>
      <w:tr w:rsidR="00342C35" w:rsidRPr="001401F0" w:rsidTr="001604E7">
        <w:trPr>
          <w:trHeight w:val="300"/>
        </w:trPr>
        <w:tc>
          <w:tcPr>
            <w:tcW w:w="419" w:type="dxa"/>
            <w:tcBorders>
              <w:left w:val="nil"/>
              <w:right w:val="nil"/>
            </w:tcBorders>
            <w:noWrap/>
            <w:hideMark/>
          </w:tcPr>
          <w:p w:rsidR="0045610D" w:rsidRPr="00EF6887" w:rsidRDefault="0045610D" w:rsidP="001B38C1">
            <w:pPr>
              <w:rPr>
                <w:rFonts w:ascii="Arial" w:hAnsi="Arial" w:cs="Arial"/>
                <w:b/>
                <w:bCs/>
                <w:sz w:val="20"/>
                <w:szCs w:val="20"/>
              </w:rPr>
            </w:pPr>
          </w:p>
        </w:tc>
        <w:tc>
          <w:tcPr>
            <w:tcW w:w="1843" w:type="dxa"/>
            <w:gridSpan w:val="2"/>
            <w:tcBorders>
              <w:left w:val="nil"/>
              <w:right w:val="nil"/>
            </w:tcBorders>
            <w:noWrap/>
            <w:hideMark/>
          </w:tcPr>
          <w:p w:rsidR="0045610D" w:rsidRPr="00EF6887" w:rsidRDefault="0045610D" w:rsidP="001B38C1">
            <w:pPr>
              <w:rPr>
                <w:rFonts w:ascii="Arial" w:hAnsi="Arial" w:cs="Arial"/>
                <w:b/>
                <w:bCs/>
                <w:sz w:val="20"/>
                <w:szCs w:val="20"/>
              </w:rPr>
            </w:pPr>
            <w:proofErr w:type="spellStart"/>
            <w:r w:rsidRPr="00EF6887">
              <w:rPr>
                <w:rFonts w:ascii="Arial" w:hAnsi="Arial" w:cs="Arial"/>
                <w:b/>
                <w:bCs/>
                <w:sz w:val="20"/>
                <w:szCs w:val="20"/>
              </w:rPr>
              <w:t>hsCRP</w:t>
            </w:r>
            <w:proofErr w:type="spellEnd"/>
            <w:r w:rsidRPr="00EF6887">
              <w:rPr>
                <w:rFonts w:ascii="Arial" w:hAnsi="Arial" w:cs="Arial"/>
                <w:b/>
                <w:bCs/>
                <w:sz w:val="20"/>
                <w:szCs w:val="20"/>
              </w:rPr>
              <w:t xml:space="preserve"> (mg/L)</w:t>
            </w:r>
            <w:r w:rsidR="000B4E2C">
              <w:rPr>
                <w:rFonts w:ascii="Arial" w:eastAsia="Verdana" w:hAnsi="Arial" w:cs="Arial"/>
                <w:sz w:val="20"/>
                <w:szCs w:val="24"/>
                <w:lang w:val="en-US"/>
              </w:rPr>
              <w:t xml:space="preserve"> †</w:t>
            </w:r>
          </w:p>
        </w:tc>
        <w:tc>
          <w:tcPr>
            <w:tcW w:w="1418" w:type="dxa"/>
            <w:tcBorders>
              <w:left w:val="nil"/>
              <w:right w:val="nil"/>
            </w:tcBorders>
            <w:noWrap/>
            <w:vAlign w:val="center"/>
          </w:tcPr>
          <w:p w:rsidR="0045610D" w:rsidRPr="001401F0" w:rsidRDefault="001401F0" w:rsidP="001401F0">
            <w:pPr>
              <w:jc w:val="center"/>
              <w:rPr>
                <w:rFonts w:ascii="Arial" w:hAnsi="Arial" w:cs="Arial"/>
                <w:sz w:val="20"/>
                <w:szCs w:val="20"/>
              </w:rPr>
            </w:pPr>
            <w:r w:rsidRPr="001401F0">
              <w:rPr>
                <w:rFonts w:ascii="Arial" w:hAnsi="Arial" w:cs="Arial"/>
                <w:sz w:val="20"/>
                <w:szCs w:val="20"/>
                <w:lang w:val="fr-FR"/>
              </w:rPr>
              <w:t>0.9</w:t>
            </w:r>
            <w:r>
              <w:rPr>
                <w:rFonts w:ascii="Arial" w:hAnsi="Arial" w:cs="Arial"/>
                <w:sz w:val="20"/>
                <w:szCs w:val="20"/>
                <w:lang w:val="fr-FR"/>
              </w:rPr>
              <w:t xml:space="preserve"> (0.5;1.9)</w:t>
            </w:r>
          </w:p>
        </w:tc>
        <w:tc>
          <w:tcPr>
            <w:tcW w:w="1559" w:type="dxa"/>
            <w:tcBorders>
              <w:left w:val="nil"/>
              <w:right w:val="nil"/>
            </w:tcBorders>
            <w:noWrap/>
            <w:vAlign w:val="center"/>
          </w:tcPr>
          <w:p w:rsidR="0045610D" w:rsidRPr="001401F0" w:rsidRDefault="001401F0" w:rsidP="001401F0">
            <w:pPr>
              <w:jc w:val="center"/>
              <w:rPr>
                <w:rFonts w:ascii="Arial" w:hAnsi="Arial" w:cs="Arial"/>
                <w:sz w:val="20"/>
                <w:szCs w:val="20"/>
              </w:rPr>
            </w:pPr>
            <w:r>
              <w:rPr>
                <w:rFonts w:ascii="Arial" w:hAnsi="Arial" w:cs="Arial"/>
                <w:sz w:val="20"/>
                <w:szCs w:val="20"/>
              </w:rPr>
              <w:t>1.0(0.5;2.1)</w:t>
            </w:r>
          </w:p>
        </w:tc>
        <w:tc>
          <w:tcPr>
            <w:tcW w:w="1559" w:type="dxa"/>
            <w:tcBorders>
              <w:left w:val="nil"/>
              <w:right w:val="nil"/>
            </w:tcBorders>
            <w:noWrap/>
            <w:vAlign w:val="center"/>
          </w:tcPr>
          <w:p w:rsidR="0045610D" w:rsidRPr="001401F0" w:rsidRDefault="001401F0" w:rsidP="001401F0">
            <w:pPr>
              <w:jc w:val="center"/>
              <w:rPr>
                <w:rFonts w:ascii="Arial" w:hAnsi="Arial" w:cs="Arial"/>
                <w:sz w:val="20"/>
                <w:szCs w:val="20"/>
              </w:rPr>
            </w:pPr>
            <w:r>
              <w:rPr>
                <w:rFonts w:ascii="Arial" w:hAnsi="Arial" w:cs="Arial"/>
                <w:sz w:val="20"/>
                <w:szCs w:val="20"/>
              </w:rPr>
              <w:t>1.1</w:t>
            </w:r>
            <w:r w:rsidR="00F35F45">
              <w:rPr>
                <w:rFonts w:ascii="Arial" w:hAnsi="Arial" w:cs="Arial"/>
                <w:sz w:val="20"/>
                <w:szCs w:val="20"/>
              </w:rPr>
              <w:t xml:space="preserve"> </w:t>
            </w:r>
            <w:r>
              <w:rPr>
                <w:rFonts w:ascii="Arial" w:hAnsi="Arial" w:cs="Arial"/>
                <w:sz w:val="20"/>
                <w:szCs w:val="20"/>
              </w:rPr>
              <w:t>(0.6;2.5)</w:t>
            </w:r>
          </w:p>
        </w:tc>
        <w:tc>
          <w:tcPr>
            <w:tcW w:w="1560" w:type="dxa"/>
            <w:tcBorders>
              <w:left w:val="nil"/>
              <w:right w:val="nil"/>
            </w:tcBorders>
            <w:noWrap/>
            <w:vAlign w:val="center"/>
          </w:tcPr>
          <w:p w:rsidR="0045610D" w:rsidRPr="001401F0" w:rsidRDefault="001401F0" w:rsidP="001401F0">
            <w:pPr>
              <w:jc w:val="center"/>
              <w:rPr>
                <w:rFonts w:ascii="Arial" w:hAnsi="Arial" w:cs="Arial"/>
                <w:sz w:val="20"/>
                <w:szCs w:val="20"/>
              </w:rPr>
            </w:pPr>
            <w:r>
              <w:rPr>
                <w:rFonts w:ascii="Arial" w:hAnsi="Arial" w:cs="Arial"/>
                <w:sz w:val="20"/>
                <w:szCs w:val="20"/>
              </w:rPr>
              <w:t>1.4</w:t>
            </w:r>
            <w:r w:rsidR="00F35F45">
              <w:rPr>
                <w:rFonts w:ascii="Arial" w:hAnsi="Arial" w:cs="Arial"/>
                <w:sz w:val="20"/>
                <w:szCs w:val="20"/>
              </w:rPr>
              <w:t xml:space="preserve"> </w:t>
            </w:r>
            <w:r>
              <w:rPr>
                <w:rFonts w:ascii="Arial" w:hAnsi="Arial" w:cs="Arial"/>
                <w:sz w:val="20"/>
                <w:szCs w:val="20"/>
              </w:rPr>
              <w:t>(0.7;2.9)</w:t>
            </w:r>
          </w:p>
        </w:tc>
        <w:tc>
          <w:tcPr>
            <w:tcW w:w="1288" w:type="dxa"/>
            <w:tcBorders>
              <w:left w:val="nil"/>
              <w:right w:val="nil"/>
            </w:tcBorders>
            <w:noWrap/>
            <w:vAlign w:val="center"/>
          </w:tcPr>
          <w:p w:rsidR="0045610D" w:rsidRPr="001401F0" w:rsidRDefault="0045610D" w:rsidP="001401F0">
            <w:pPr>
              <w:jc w:val="center"/>
              <w:rPr>
                <w:rFonts w:ascii="Arial" w:hAnsi="Arial" w:cs="Arial"/>
                <w:sz w:val="20"/>
                <w:szCs w:val="20"/>
              </w:rPr>
            </w:pPr>
            <w:r w:rsidRPr="00977DAB">
              <w:rPr>
                <w:rFonts w:ascii="Arial" w:hAnsi="Arial" w:cs="Arial"/>
                <w:sz w:val="20"/>
                <w:szCs w:val="20"/>
                <w:lang w:val="fr-FR"/>
              </w:rPr>
              <w:t>&lt;0.001</w:t>
            </w:r>
          </w:p>
        </w:tc>
        <w:tc>
          <w:tcPr>
            <w:tcW w:w="1553" w:type="dxa"/>
            <w:tcBorders>
              <w:left w:val="nil"/>
              <w:right w:val="nil"/>
            </w:tcBorders>
            <w:noWrap/>
            <w:vAlign w:val="center"/>
          </w:tcPr>
          <w:p w:rsidR="0045610D" w:rsidRPr="001401F0" w:rsidRDefault="001401F0" w:rsidP="001401F0">
            <w:pPr>
              <w:jc w:val="center"/>
              <w:rPr>
                <w:rFonts w:ascii="Arial" w:hAnsi="Arial" w:cs="Arial"/>
                <w:color w:val="000000"/>
                <w:sz w:val="20"/>
                <w:szCs w:val="20"/>
              </w:rPr>
            </w:pPr>
            <w:r>
              <w:rPr>
                <w:rFonts w:ascii="Arial" w:hAnsi="Arial" w:cs="Arial"/>
                <w:color w:val="000000"/>
                <w:sz w:val="20"/>
                <w:szCs w:val="20"/>
              </w:rPr>
              <w:t>1.1</w:t>
            </w:r>
            <w:r w:rsidR="00F35F45">
              <w:rPr>
                <w:rFonts w:ascii="Arial" w:hAnsi="Arial" w:cs="Arial"/>
                <w:color w:val="000000"/>
                <w:sz w:val="20"/>
                <w:szCs w:val="20"/>
              </w:rPr>
              <w:t xml:space="preserve"> </w:t>
            </w:r>
            <w:r>
              <w:rPr>
                <w:rFonts w:ascii="Arial" w:hAnsi="Arial" w:cs="Arial"/>
                <w:color w:val="000000"/>
                <w:sz w:val="20"/>
                <w:szCs w:val="20"/>
              </w:rPr>
              <w:t>(0.5;2.3)</w:t>
            </w:r>
          </w:p>
        </w:tc>
      </w:tr>
      <w:tr w:rsidR="00342C35" w:rsidRPr="001401F0" w:rsidTr="001604E7">
        <w:trPr>
          <w:trHeight w:val="300"/>
        </w:trPr>
        <w:tc>
          <w:tcPr>
            <w:tcW w:w="419" w:type="dxa"/>
            <w:tcBorders>
              <w:left w:val="nil"/>
              <w:right w:val="nil"/>
            </w:tcBorders>
            <w:noWrap/>
            <w:hideMark/>
          </w:tcPr>
          <w:p w:rsidR="0045610D" w:rsidRPr="001401F0" w:rsidRDefault="0045610D" w:rsidP="001B38C1">
            <w:pPr>
              <w:rPr>
                <w:rFonts w:ascii="Arial" w:hAnsi="Arial" w:cs="Arial"/>
                <w:b/>
                <w:bCs/>
                <w:sz w:val="20"/>
                <w:szCs w:val="20"/>
              </w:rPr>
            </w:pPr>
          </w:p>
        </w:tc>
        <w:tc>
          <w:tcPr>
            <w:tcW w:w="1843" w:type="dxa"/>
            <w:gridSpan w:val="2"/>
            <w:tcBorders>
              <w:left w:val="nil"/>
              <w:right w:val="nil"/>
            </w:tcBorders>
            <w:noWrap/>
            <w:hideMark/>
          </w:tcPr>
          <w:p w:rsidR="0045610D" w:rsidRPr="001401F0" w:rsidRDefault="0045610D" w:rsidP="001B38C1">
            <w:pPr>
              <w:rPr>
                <w:rFonts w:ascii="Arial" w:hAnsi="Arial" w:cs="Arial"/>
                <w:b/>
                <w:bCs/>
                <w:sz w:val="20"/>
                <w:szCs w:val="20"/>
              </w:rPr>
            </w:pPr>
            <w:r w:rsidRPr="00977DAB">
              <w:rPr>
                <w:rFonts w:ascii="Arial" w:hAnsi="Arial" w:cs="Arial"/>
                <w:b/>
                <w:bCs/>
                <w:sz w:val="20"/>
                <w:szCs w:val="20"/>
                <w:lang w:val="fr-FR"/>
              </w:rPr>
              <w:t>ALT (U/L)</w:t>
            </w:r>
          </w:p>
        </w:tc>
        <w:tc>
          <w:tcPr>
            <w:tcW w:w="1418" w:type="dxa"/>
            <w:tcBorders>
              <w:left w:val="nil"/>
              <w:right w:val="nil"/>
            </w:tcBorders>
            <w:noWrap/>
            <w:vAlign w:val="center"/>
            <w:hideMark/>
          </w:tcPr>
          <w:p w:rsidR="0045610D" w:rsidRPr="001401F0" w:rsidRDefault="0045610D" w:rsidP="001401F0">
            <w:pPr>
              <w:jc w:val="center"/>
              <w:rPr>
                <w:rFonts w:ascii="Arial" w:hAnsi="Arial" w:cs="Arial"/>
                <w:sz w:val="20"/>
                <w:szCs w:val="20"/>
              </w:rPr>
            </w:pPr>
            <w:r w:rsidRPr="00977DAB">
              <w:rPr>
                <w:rFonts w:ascii="Arial" w:hAnsi="Arial" w:cs="Arial"/>
                <w:sz w:val="20"/>
                <w:szCs w:val="20"/>
                <w:lang w:val="fr-FR"/>
              </w:rPr>
              <w:t>22.6 (10.4)</w:t>
            </w:r>
          </w:p>
        </w:tc>
        <w:tc>
          <w:tcPr>
            <w:tcW w:w="1559" w:type="dxa"/>
            <w:tcBorders>
              <w:left w:val="nil"/>
              <w:right w:val="nil"/>
            </w:tcBorders>
            <w:noWrap/>
            <w:vAlign w:val="center"/>
            <w:hideMark/>
          </w:tcPr>
          <w:p w:rsidR="0045610D" w:rsidRPr="001401F0" w:rsidRDefault="0045610D" w:rsidP="001401F0">
            <w:pPr>
              <w:jc w:val="center"/>
              <w:rPr>
                <w:rFonts w:ascii="Arial" w:hAnsi="Arial" w:cs="Arial"/>
                <w:sz w:val="20"/>
                <w:szCs w:val="20"/>
              </w:rPr>
            </w:pPr>
            <w:r w:rsidRPr="00977DAB">
              <w:rPr>
                <w:rFonts w:ascii="Arial" w:hAnsi="Arial" w:cs="Arial"/>
                <w:sz w:val="20"/>
                <w:szCs w:val="20"/>
                <w:lang w:val="fr-FR"/>
              </w:rPr>
              <w:t>24.4 (11.8)</w:t>
            </w:r>
          </w:p>
        </w:tc>
        <w:tc>
          <w:tcPr>
            <w:tcW w:w="1559" w:type="dxa"/>
            <w:tcBorders>
              <w:left w:val="nil"/>
              <w:right w:val="nil"/>
            </w:tcBorders>
            <w:noWrap/>
            <w:vAlign w:val="center"/>
            <w:hideMark/>
          </w:tcPr>
          <w:p w:rsidR="0045610D" w:rsidRPr="00977DAB" w:rsidRDefault="0045610D" w:rsidP="001401F0">
            <w:pPr>
              <w:jc w:val="center"/>
              <w:rPr>
                <w:rFonts w:ascii="Arial" w:hAnsi="Arial" w:cs="Arial"/>
                <w:sz w:val="20"/>
                <w:szCs w:val="20"/>
                <w:lang w:val="fr-FR"/>
              </w:rPr>
            </w:pPr>
            <w:r w:rsidRPr="00977DAB">
              <w:rPr>
                <w:rFonts w:ascii="Arial" w:hAnsi="Arial" w:cs="Arial"/>
                <w:sz w:val="20"/>
                <w:szCs w:val="20"/>
                <w:lang w:val="fr-FR"/>
              </w:rPr>
              <w:t>26.6 (13.6)</w:t>
            </w:r>
          </w:p>
        </w:tc>
        <w:tc>
          <w:tcPr>
            <w:tcW w:w="1560" w:type="dxa"/>
            <w:tcBorders>
              <w:left w:val="nil"/>
              <w:right w:val="nil"/>
            </w:tcBorders>
            <w:noWrap/>
            <w:vAlign w:val="center"/>
            <w:hideMark/>
          </w:tcPr>
          <w:p w:rsidR="0045610D" w:rsidRPr="00977DAB" w:rsidRDefault="0045610D" w:rsidP="001401F0">
            <w:pPr>
              <w:jc w:val="center"/>
              <w:rPr>
                <w:rFonts w:ascii="Arial" w:hAnsi="Arial" w:cs="Arial"/>
                <w:sz w:val="20"/>
                <w:szCs w:val="20"/>
                <w:lang w:val="fr-FR"/>
              </w:rPr>
            </w:pPr>
            <w:r w:rsidRPr="00977DAB">
              <w:rPr>
                <w:rFonts w:ascii="Arial" w:hAnsi="Arial" w:cs="Arial"/>
                <w:sz w:val="20"/>
                <w:szCs w:val="20"/>
                <w:lang w:val="fr-FR"/>
              </w:rPr>
              <w:t>32.9 (20.0)</w:t>
            </w:r>
          </w:p>
        </w:tc>
        <w:tc>
          <w:tcPr>
            <w:tcW w:w="1288" w:type="dxa"/>
            <w:tcBorders>
              <w:left w:val="nil"/>
              <w:right w:val="nil"/>
            </w:tcBorders>
            <w:noWrap/>
            <w:vAlign w:val="center"/>
            <w:hideMark/>
          </w:tcPr>
          <w:p w:rsidR="0045610D" w:rsidRPr="00977DAB" w:rsidRDefault="0045610D" w:rsidP="001401F0">
            <w:pPr>
              <w:jc w:val="center"/>
              <w:rPr>
                <w:rFonts w:ascii="Arial" w:hAnsi="Arial" w:cs="Arial"/>
                <w:sz w:val="20"/>
                <w:szCs w:val="20"/>
                <w:lang w:val="fr-FR"/>
              </w:rPr>
            </w:pPr>
            <w:r w:rsidRPr="00977DAB">
              <w:rPr>
                <w:rFonts w:ascii="Arial" w:hAnsi="Arial" w:cs="Arial"/>
                <w:sz w:val="20"/>
                <w:szCs w:val="20"/>
                <w:lang w:val="fr-FR"/>
              </w:rPr>
              <w:t>&lt;0.001</w:t>
            </w:r>
          </w:p>
        </w:tc>
        <w:tc>
          <w:tcPr>
            <w:tcW w:w="1553" w:type="dxa"/>
            <w:tcBorders>
              <w:left w:val="nil"/>
              <w:right w:val="nil"/>
            </w:tcBorders>
            <w:noWrap/>
            <w:vAlign w:val="center"/>
          </w:tcPr>
          <w:p w:rsidR="0045610D" w:rsidRPr="00977DAB" w:rsidRDefault="0045610D" w:rsidP="001401F0">
            <w:pPr>
              <w:jc w:val="center"/>
              <w:rPr>
                <w:rFonts w:ascii="Arial" w:hAnsi="Arial" w:cs="Arial"/>
                <w:color w:val="000000"/>
                <w:sz w:val="20"/>
                <w:szCs w:val="20"/>
                <w:lang w:val="fr-FR"/>
              </w:rPr>
            </w:pPr>
            <w:r w:rsidRPr="00977DAB">
              <w:rPr>
                <w:rFonts w:ascii="Arial" w:hAnsi="Arial" w:cs="Arial"/>
                <w:color w:val="000000"/>
                <w:sz w:val="20"/>
                <w:szCs w:val="20"/>
                <w:lang w:val="fr-FR"/>
              </w:rPr>
              <w:t>26.6 (14.9)</w:t>
            </w:r>
          </w:p>
        </w:tc>
      </w:tr>
      <w:tr w:rsidR="00342C35" w:rsidRPr="00977DAB" w:rsidTr="001604E7">
        <w:trPr>
          <w:trHeight w:val="300"/>
        </w:trPr>
        <w:tc>
          <w:tcPr>
            <w:tcW w:w="419" w:type="dxa"/>
            <w:tcBorders>
              <w:left w:val="nil"/>
              <w:right w:val="nil"/>
            </w:tcBorders>
            <w:noWrap/>
            <w:hideMark/>
          </w:tcPr>
          <w:p w:rsidR="0045610D" w:rsidRPr="00977DAB" w:rsidRDefault="0045610D" w:rsidP="001B38C1">
            <w:pPr>
              <w:rPr>
                <w:rFonts w:ascii="Arial" w:hAnsi="Arial" w:cs="Arial"/>
                <w:b/>
                <w:bCs/>
                <w:sz w:val="20"/>
                <w:szCs w:val="20"/>
                <w:lang w:val="fr-FR"/>
              </w:rPr>
            </w:pPr>
          </w:p>
        </w:tc>
        <w:tc>
          <w:tcPr>
            <w:tcW w:w="1843" w:type="dxa"/>
            <w:gridSpan w:val="2"/>
            <w:tcBorders>
              <w:left w:val="nil"/>
              <w:right w:val="nil"/>
            </w:tcBorders>
            <w:noWrap/>
            <w:hideMark/>
          </w:tcPr>
          <w:p w:rsidR="0045610D" w:rsidRPr="00977DAB" w:rsidRDefault="0045610D" w:rsidP="001B38C1">
            <w:pPr>
              <w:rPr>
                <w:rFonts w:ascii="Arial" w:hAnsi="Arial" w:cs="Arial"/>
                <w:b/>
                <w:bCs/>
                <w:sz w:val="20"/>
                <w:szCs w:val="20"/>
                <w:lang w:val="fr-FR"/>
              </w:rPr>
            </w:pPr>
            <w:r w:rsidRPr="00977DAB">
              <w:rPr>
                <w:rFonts w:ascii="Arial" w:hAnsi="Arial" w:cs="Arial"/>
                <w:b/>
                <w:bCs/>
                <w:sz w:val="20"/>
                <w:szCs w:val="20"/>
                <w:lang w:val="fr-FR"/>
              </w:rPr>
              <w:t>AST (U/L)</w:t>
            </w:r>
          </w:p>
        </w:tc>
        <w:tc>
          <w:tcPr>
            <w:tcW w:w="1418" w:type="dxa"/>
            <w:tcBorders>
              <w:left w:val="nil"/>
              <w:right w:val="nil"/>
            </w:tcBorders>
            <w:noWrap/>
            <w:vAlign w:val="center"/>
            <w:hideMark/>
          </w:tcPr>
          <w:p w:rsidR="0045610D" w:rsidRPr="00977DAB" w:rsidRDefault="0045610D" w:rsidP="001401F0">
            <w:pPr>
              <w:jc w:val="center"/>
              <w:rPr>
                <w:rFonts w:ascii="Arial" w:hAnsi="Arial" w:cs="Arial"/>
                <w:sz w:val="20"/>
                <w:szCs w:val="20"/>
                <w:lang w:val="fr-FR"/>
              </w:rPr>
            </w:pPr>
            <w:r w:rsidRPr="00977DAB">
              <w:rPr>
                <w:rFonts w:ascii="Arial" w:hAnsi="Arial" w:cs="Arial"/>
                <w:sz w:val="20"/>
                <w:szCs w:val="20"/>
                <w:lang w:val="fr-FR"/>
              </w:rPr>
              <w:t>29.3 (7.6)</w:t>
            </w:r>
          </w:p>
        </w:tc>
        <w:tc>
          <w:tcPr>
            <w:tcW w:w="1559" w:type="dxa"/>
            <w:tcBorders>
              <w:left w:val="nil"/>
              <w:right w:val="nil"/>
            </w:tcBorders>
            <w:noWrap/>
            <w:vAlign w:val="center"/>
            <w:hideMark/>
          </w:tcPr>
          <w:p w:rsidR="0045610D" w:rsidRPr="00977DAB" w:rsidRDefault="0045610D" w:rsidP="001401F0">
            <w:pPr>
              <w:jc w:val="center"/>
              <w:rPr>
                <w:rFonts w:ascii="Arial" w:hAnsi="Arial" w:cs="Arial"/>
                <w:sz w:val="20"/>
                <w:szCs w:val="20"/>
                <w:lang w:val="fr-FR"/>
              </w:rPr>
            </w:pPr>
            <w:r w:rsidRPr="00977DAB">
              <w:rPr>
                <w:rFonts w:ascii="Arial" w:hAnsi="Arial" w:cs="Arial"/>
                <w:sz w:val="20"/>
                <w:szCs w:val="20"/>
                <w:lang w:val="fr-FR"/>
              </w:rPr>
              <w:t>30.0 (</w:t>
            </w:r>
            <w:r w:rsidRPr="001401F0">
              <w:rPr>
                <w:rFonts w:ascii="Arial" w:hAnsi="Arial" w:cs="Arial"/>
                <w:sz w:val="20"/>
                <w:szCs w:val="20"/>
              </w:rPr>
              <w:t>8.4)</w:t>
            </w:r>
          </w:p>
        </w:tc>
        <w:tc>
          <w:tcPr>
            <w:tcW w:w="1559" w:type="dxa"/>
            <w:tcBorders>
              <w:left w:val="nil"/>
              <w:right w:val="nil"/>
            </w:tcBorders>
            <w:noWrap/>
            <w:vAlign w:val="center"/>
            <w:hideMark/>
          </w:tcPr>
          <w:p w:rsidR="0045610D" w:rsidRPr="00977DAB" w:rsidRDefault="0045610D" w:rsidP="001401F0">
            <w:pPr>
              <w:jc w:val="center"/>
              <w:rPr>
                <w:rFonts w:ascii="Arial" w:hAnsi="Arial" w:cs="Arial"/>
                <w:sz w:val="20"/>
                <w:szCs w:val="20"/>
                <w:lang w:val="fr-FR"/>
              </w:rPr>
            </w:pPr>
            <w:r w:rsidRPr="001401F0">
              <w:rPr>
                <w:rFonts w:ascii="Arial" w:hAnsi="Arial" w:cs="Arial"/>
                <w:sz w:val="20"/>
                <w:szCs w:val="20"/>
              </w:rPr>
              <w:t>3</w:t>
            </w:r>
            <w:r w:rsidRPr="00EF6887">
              <w:rPr>
                <w:rFonts w:ascii="Arial" w:hAnsi="Arial" w:cs="Arial"/>
                <w:sz w:val="20"/>
                <w:szCs w:val="20"/>
              </w:rPr>
              <w:t>0.9 (9.5)</w:t>
            </w:r>
          </w:p>
        </w:tc>
        <w:tc>
          <w:tcPr>
            <w:tcW w:w="1560" w:type="dxa"/>
            <w:tcBorders>
              <w:left w:val="nil"/>
              <w:right w:val="nil"/>
            </w:tcBorders>
            <w:noWrap/>
            <w:vAlign w:val="center"/>
            <w:hideMark/>
          </w:tcPr>
          <w:p w:rsidR="0045610D" w:rsidRPr="00977DAB" w:rsidRDefault="0045610D" w:rsidP="001401F0">
            <w:pPr>
              <w:jc w:val="center"/>
              <w:rPr>
                <w:rFonts w:ascii="Arial" w:hAnsi="Arial" w:cs="Arial"/>
                <w:sz w:val="20"/>
                <w:szCs w:val="20"/>
                <w:lang w:val="fr-FR"/>
              </w:rPr>
            </w:pPr>
            <w:r w:rsidRPr="00EF6887">
              <w:rPr>
                <w:rFonts w:ascii="Arial" w:hAnsi="Arial" w:cs="Arial"/>
                <w:sz w:val="20"/>
                <w:szCs w:val="20"/>
              </w:rPr>
              <w:t>35.0 (15.3)</w:t>
            </w:r>
          </w:p>
        </w:tc>
        <w:tc>
          <w:tcPr>
            <w:tcW w:w="1288" w:type="dxa"/>
            <w:tcBorders>
              <w:left w:val="nil"/>
              <w:right w:val="nil"/>
            </w:tcBorders>
            <w:noWrap/>
            <w:vAlign w:val="center"/>
            <w:hideMark/>
          </w:tcPr>
          <w:p w:rsidR="0045610D" w:rsidRPr="00977DAB" w:rsidRDefault="0045610D" w:rsidP="001401F0">
            <w:pPr>
              <w:jc w:val="center"/>
              <w:rPr>
                <w:rFonts w:ascii="Arial" w:hAnsi="Arial" w:cs="Arial"/>
                <w:sz w:val="20"/>
                <w:szCs w:val="20"/>
                <w:lang w:val="fr-FR"/>
              </w:rPr>
            </w:pPr>
            <w:r w:rsidRPr="00EF6887">
              <w:rPr>
                <w:rFonts w:ascii="Arial" w:hAnsi="Arial" w:cs="Arial"/>
                <w:sz w:val="20"/>
                <w:szCs w:val="20"/>
              </w:rPr>
              <w:t>&lt;0.001</w:t>
            </w:r>
          </w:p>
        </w:tc>
        <w:tc>
          <w:tcPr>
            <w:tcW w:w="1553" w:type="dxa"/>
            <w:tcBorders>
              <w:left w:val="nil"/>
              <w:right w:val="nil"/>
            </w:tcBorders>
            <w:noWrap/>
            <w:vAlign w:val="center"/>
          </w:tcPr>
          <w:p w:rsidR="0045610D" w:rsidRPr="00977DAB" w:rsidRDefault="0045610D" w:rsidP="001401F0">
            <w:pPr>
              <w:jc w:val="center"/>
              <w:rPr>
                <w:rFonts w:ascii="Arial" w:hAnsi="Arial" w:cs="Arial"/>
                <w:color w:val="000000"/>
                <w:sz w:val="20"/>
                <w:szCs w:val="20"/>
                <w:lang w:val="fr-FR"/>
              </w:rPr>
            </w:pPr>
            <w:r w:rsidRPr="00EF6887">
              <w:rPr>
                <w:rFonts w:ascii="Arial" w:hAnsi="Arial" w:cs="Arial"/>
                <w:color w:val="000000"/>
                <w:sz w:val="20"/>
                <w:szCs w:val="20"/>
              </w:rPr>
              <w:t>31.3 (10.9)</w:t>
            </w:r>
          </w:p>
        </w:tc>
      </w:tr>
      <w:tr w:rsidR="00342C35" w:rsidRPr="00EF6887" w:rsidTr="001604E7">
        <w:trPr>
          <w:trHeight w:val="300"/>
        </w:trPr>
        <w:tc>
          <w:tcPr>
            <w:tcW w:w="419" w:type="dxa"/>
            <w:tcBorders>
              <w:left w:val="nil"/>
              <w:bottom w:val="single" w:sz="4" w:space="0" w:color="auto"/>
              <w:right w:val="nil"/>
            </w:tcBorders>
            <w:noWrap/>
            <w:hideMark/>
          </w:tcPr>
          <w:p w:rsidR="001401F0" w:rsidRPr="00977DAB" w:rsidRDefault="001401F0" w:rsidP="001B38C1">
            <w:pPr>
              <w:rPr>
                <w:rFonts w:ascii="Arial" w:hAnsi="Arial" w:cs="Arial"/>
                <w:b/>
                <w:bCs/>
                <w:sz w:val="20"/>
                <w:szCs w:val="20"/>
                <w:lang w:val="fr-FR"/>
              </w:rPr>
            </w:pPr>
            <w:r w:rsidRPr="00EF6887">
              <w:rPr>
                <w:rFonts w:ascii="Arial" w:hAnsi="Arial" w:cs="Arial"/>
                <w:b/>
                <w:bCs/>
                <w:sz w:val="20"/>
                <w:szCs w:val="20"/>
              </w:rPr>
              <w:t> </w:t>
            </w:r>
          </w:p>
        </w:tc>
        <w:tc>
          <w:tcPr>
            <w:tcW w:w="1843" w:type="dxa"/>
            <w:gridSpan w:val="2"/>
            <w:tcBorders>
              <w:left w:val="nil"/>
              <w:bottom w:val="single" w:sz="4" w:space="0" w:color="auto"/>
              <w:right w:val="nil"/>
            </w:tcBorders>
            <w:noWrap/>
            <w:hideMark/>
          </w:tcPr>
          <w:p w:rsidR="001401F0" w:rsidRPr="00977DAB" w:rsidRDefault="001401F0" w:rsidP="001B38C1">
            <w:pPr>
              <w:rPr>
                <w:rFonts w:ascii="Arial" w:hAnsi="Arial" w:cs="Arial"/>
                <w:b/>
                <w:bCs/>
                <w:sz w:val="20"/>
                <w:szCs w:val="20"/>
                <w:lang w:val="fr-FR"/>
              </w:rPr>
            </w:pPr>
            <w:r w:rsidRPr="00EF6887">
              <w:rPr>
                <w:rFonts w:ascii="Arial" w:hAnsi="Arial" w:cs="Arial"/>
                <w:b/>
                <w:bCs/>
                <w:sz w:val="20"/>
                <w:szCs w:val="20"/>
              </w:rPr>
              <w:t>GGT (U/L)</w:t>
            </w:r>
            <w:r w:rsidR="000B4E2C">
              <w:rPr>
                <w:rFonts w:ascii="Arial" w:eastAsia="Verdana" w:hAnsi="Arial" w:cs="Arial"/>
                <w:sz w:val="20"/>
                <w:szCs w:val="24"/>
                <w:lang w:val="en-US"/>
              </w:rPr>
              <w:t xml:space="preserve"> †</w:t>
            </w:r>
          </w:p>
        </w:tc>
        <w:tc>
          <w:tcPr>
            <w:tcW w:w="1418" w:type="dxa"/>
            <w:tcBorders>
              <w:left w:val="nil"/>
              <w:bottom w:val="single" w:sz="4" w:space="0" w:color="auto"/>
              <w:right w:val="nil"/>
            </w:tcBorders>
            <w:noWrap/>
            <w:vAlign w:val="center"/>
          </w:tcPr>
          <w:p w:rsidR="001401F0" w:rsidRPr="00977DAB" w:rsidRDefault="00A54C0E" w:rsidP="00A54C0E">
            <w:pPr>
              <w:jc w:val="center"/>
              <w:rPr>
                <w:rFonts w:ascii="Arial" w:hAnsi="Arial" w:cs="Arial"/>
                <w:sz w:val="20"/>
                <w:szCs w:val="20"/>
                <w:lang w:val="fr-FR"/>
              </w:rPr>
            </w:pPr>
            <w:r>
              <w:rPr>
                <w:rFonts w:ascii="Arial" w:hAnsi="Arial" w:cs="Arial"/>
                <w:sz w:val="20"/>
                <w:szCs w:val="20"/>
                <w:lang w:val="fr-FR"/>
              </w:rPr>
              <w:t>24</w:t>
            </w:r>
            <w:r w:rsidR="001401F0">
              <w:rPr>
                <w:rFonts w:ascii="Arial" w:hAnsi="Arial" w:cs="Arial"/>
                <w:sz w:val="20"/>
                <w:szCs w:val="20"/>
                <w:lang w:val="fr-FR"/>
              </w:rPr>
              <w:t>.0</w:t>
            </w:r>
            <w:r w:rsidR="000B4E2C">
              <w:rPr>
                <w:rFonts w:ascii="Arial" w:hAnsi="Arial" w:cs="Arial"/>
                <w:sz w:val="20"/>
                <w:szCs w:val="20"/>
                <w:lang w:val="fr-FR"/>
              </w:rPr>
              <w:t xml:space="preserve"> </w:t>
            </w:r>
            <w:r w:rsidR="001401F0">
              <w:rPr>
                <w:rFonts w:ascii="Arial" w:hAnsi="Arial" w:cs="Arial"/>
                <w:sz w:val="20"/>
                <w:szCs w:val="20"/>
                <w:lang w:val="fr-FR"/>
              </w:rPr>
              <w:t>(</w:t>
            </w:r>
            <w:r>
              <w:rPr>
                <w:rFonts w:ascii="Arial" w:hAnsi="Arial" w:cs="Arial"/>
                <w:sz w:val="20"/>
                <w:szCs w:val="20"/>
                <w:lang w:val="fr-FR"/>
              </w:rPr>
              <w:t>18.0;34.0</w:t>
            </w:r>
            <w:r w:rsidR="001401F0">
              <w:rPr>
                <w:rFonts w:ascii="Arial" w:hAnsi="Arial" w:cs="Arial"/>
                <w:sz w:val="20"/>
                <w:szCs w:val="20"/>
                <w:lang w:val="fr-FR"/>
              </w:rPr>
              <w:t>)</w:t>
            </w:r>
          </w:p>
        </w:tc>
        <w:tc>
          <w:tcPr>
            <w:tcW w:w="1559" w:type="dxa"/>
            <w:tcBorders>
              <w:left w:val="nil"/>
              <w:bottom w:val="single" w:sz="4" w:space="0" w:color="auto"/>
              <w:right w:val="nil"/>
            </w:tcBorders>
            <w:noWrap/>
            <w:vAlign w:val="center"/>
          </w:tcPr>
          <w:p w:rsidR="001401F0" w:rsidRPr="00EF6887" w:rsidRDefault="00A54C0E" w:rsidP="001401F0">
            <w:pPr>
              <w:jc w:val="center"/>
              <w:rPr>
                <w:rFonts w:ascii="Arial" w:hAnsi="Arial" w:cs="Arial"/>
                <w:sz w:val="20"/>
                <w:szCs w:val="20"/>
              </w:rPr>
            </w:pPr>
            <w:r>
              <w:rPr>
                <w:rFonts w:ascii="Arial" w:hAnsi="Arial" w:cs="Arial"/>
                <w:sz w:val="20"/>
                <w:szCs w:val="20"/>
              </w:rPr>
              <w:t>26.0</w:t>
            </w:r>
            <w:r w:rsidR="00F35F45">
              <w:rPr>
                <w:rFonts w:ascii="Arial" w:hAnsi="Arial" w:cs="Arial"/>
                <w:sz w:val="20"/>
                <w:szCs w:val="20"/>
              </w:rPr>
              <w:t xml:space="preserve"> </w:t>
            </w:r>
            <w:r>
              <w:rPr>
                <w:rFonts w:ascii="Arial" w:hAnsi="Arial" w:cs="Arial"/>
                <w:sz w:val="20"/>
                <w:szCs w:val="20"/>
              </w:rPr>
              <w:t>(19.0;40</w:t>
            </w:r>
            <w:r w:rsidR="001401F0">
              <w:rPr>
                <w:rFonts w:ascii="Arial" w:hAnsi="Arial" w:cs="Arial"/>
                <w:sz w:val="20"/>
                <w:szCs w:val="20"/>
              </w:rPr>
              <w:t>.0)</w:t>
            </w:r>
          </w:p>
        </w:tc>
        <w:tc>
          <w:tcPr>
            <w:tcW w:w="1559" w:type="dxa"/>
            <w:tcBorders>
              <w:left w:val="nil"/>
              <w:bottom w:val="single" w:sz="4" w:space="0" w:color="auto"/>
              <w:right w:val="nil"/>
            </w:tcBorders>
            <w:noWrap/>
            <w:vAlign w:val="center"/>
          </w:tcPr>
          <w:p w:rsidR="001401F0" w:rsidRPr="00EF6887" w:rsidRDefault="00A54C0E" w:rsidP="00A54C0E">
            <w:pPr>
              <w:jc w:val="center"/>
              <w:rPr>
                <w:rFonts w:ascii="Arial" w:hAnsi="Arial" w:cs="Arial"/>
                <w:sz w:val="20"/>
                <w:szCs w:val="20"/>
              </w:rPr>
            </w:pPr>
            <w:r>
              <w:rPr>
                <w:rFonts w:ascii="Arial" w:hAnsi="Arial" w:cs="Arial"/>
                <w:sz w:val="20"/>
                <w:szCs w:val="20"/>
              </w:rPr>
              <w:t>29.5</w:t>
            </w:r>
            <w:r w:rsidR="00F35F45">
              <w:rPr>
                <w:rFonts w:ascii="Arial" w:hAnsi="Arial" w:cs="Arial"/>
                <w:sz w:val="20"/>
                <w:szCs w:val="20"/>
              </w:rPr>
              <w:t xml:space="preserve"> </w:t>
            </w:r>
            <w:r>
              <w:rPr>
                <w:rFonts w:ascii="Arial" w:hAnsi="Arial" w:cs="Arial"/>
                <w:sz w:val="20"/>
                <w:szCs w:val="20"/>
              </w:rPr>
              <w:t>(21.0;46</w:t>
            </w:r>
            <w:r w:rsidR="001401F0">
              <w:rPr>
                <w:rFonts w:ascii="Arial" w:hAnsi="Arial" w:cs="Arial"/>
                <w:sz w:val="20"/>
                <w:szCs w:val="20"/>
              </w:rPr>
              <w:t>.0)</w:t>
            </w:r>
          </w:p>
        </w:tc>
        <w:tc>
          <w:tcPr>
            <w:tcW w:w="1560" w:type="dxa"/>
            <w:tcBorders>
              <w:left w:val="nil"/>
              <w:bottom w:val="single" w:sz="4" w:space="0" w:color="auto"/>
              <w:right w:val="nil"/>
            </w:tcBorders>
            <w:noWrap/>
            <w:vAlign w:val="center"/>
          </w:tcPr>
          <w:p w:rsidR="001401F0" w:rsidRPr="00EF6887" w:rsidRDefault="00A54C0E" w:rsidP="001401F0">
            <w:pPr>
              <w:jc w:val="center"/>
              <w:rPr>
                <w:rFonts w:ascii="Arial" w:hAnsi="Arial" w:cs="Arial"/>
                <w:sz w:val="20"/>
                <w:szCs w:val="20"/>
              </w:rPr>
            </w:pPr>
            <w:r>
              <w:rPr>
                <w:rFonts w:ascii="Arial" w:hAnsi="Arial" w:cs="Arial"/>
                <w:sz w:val="20"/>
                <w:szCs w:val="20"/>
              </w:rPr>
              <w:t>36.0</w:t>
            </w:r>
            <w:r w:rsidR="00F35F45">
              <w:rPr>
                <w:rFonts w:ascii="Arial" w:hAnsi="Arial" w:cs="Arial"/>
                <w:sz w:val="20"/>
                <w:szCs w:val="20"/>
              </w:rPr>
              <w:t xml:space="preserve"> </w:t>
            </w:r>
            <w:r>
              <w:rPr>
                <w:rFonts w:ascii="Arial" w:hAnsi="Arial" w:cs="Arial"/>
                <w:sz w:val="20"/>
                <w:szCs w:val="20"/>
              </w:rPr>
              <w:t>(25</w:t>
            </w:r>
            <w:r w:rsidR="001401F0">
              <w:rPr>
                <w:rFonts w:ascii="Arial" w:hAnsi="Arial" w:cs="Arial"/>
                <w:sz w:val="20"/>
                <w:szCs w:val="20"/>
              </w:rPr>
              <w:t>.0</w:t>
            </w:r>
            <w:r>
              <w:rPr>
                <w:rFonts w:ascii="Arial" w:hAnsi="Arial" w:cs="Arial"/>
                <w:sz w:val="20"/>
                <w:szCs w:val="20"/>
              </w:rPr>
              <w:t>;60</w:t>
            </w:r>
            <w:r w:rsidR="001401F0">
              <w:rPr>
                <w:rFonts w:ascii="Arial" w:hAnsi="Arial" w:cs="Arial"/>
                <w:sz w:val="20"/>
                <w:szCs w:val="20"/>
              </w:rPr>
              <w:t>.0)</w:t>
            </w:r>
          </w:p>
        </w:tc>
        <w:tc>
          <w:tcPr>
            <w:tcW w:w="1288" w:type="dxa"/>
            <w:tcBorders>
              <w:left w:val="nil"/>
              <w:bottom w:val="single" w:sz="4" w:space="0" w:color="auto"/>
              <w:right w:val="nil"/>
            </w:tcBorders>
            <w:noWrap/>
            <w:vAlign w:val="center"/>
          </w:tcPr>
          <w:p w:rsidR="001401F0" w:rsidRPr="00EF6887" w:rsidRDefault="001401F0" w:rsidP="001401F0">
            <w:pPr>
              <w:jc w:val="center"/>
              <w:rPr>
                <w:rFonts w:ascii="Arial" w:hAnsi="Arial" w:cs="Arial"/>
                <w:sz w:val="20"/>
                <w:szCs w:val="20"/>
              </w:rPr>
            </w:pPr>
            <w:r w:rsidRPr="00EF6887">
              <w:rPr>
                <w:rFonts w:ascii="Arial" w:hAnsi="Arial" w:cs="Arial"/>
                <w:sz w:val="20"/>
                <w:szCs w:val="20"/>
              </w:rPr>
              <w:t>&lt;0.001</w:t>
            </w:r>
          </w:p>
        </w:tc>
        <w:tc>
          <w:tcPr>
            <w:tcW w:w="1553" w:type="dxa"/>
            <w:tcBorders>
              <w:left w:val="nil"/>
              <w:bottom w:val="single" w:sz="4" w:space="0" w:color="auto"/>
              <w:right w:val="nil"/>
            </w:tcBorders>
            <w:noWrap/>
            <w:vAlign w:val="center"/>
          </w:tcPr>
          <w:p w:rsidR="001401F0" w:rsidRPr="00EF6887" w:rsidRDefault="00A54C0E" w:rsidP="001401F0">
            <w:pPr>
              <w:jc w:val="center"/>
              <w:rPr>
                <w:rFonts w:ascii="Arial" w:hAnsi="Arial" w:cs="Arial"/>
                <w:color w:val="000000"/>
                <w:sz w:val="20"/>
                <w:szCs w:val="20"/>
              </w:rPr>
            </w:pPr>
            <w:r>
              <w:rPr>
                <w:rFonts w:ascii="Arial" w:hAnsi="Arial" w:cs="Arial"/>
                <w:color w:val="000000"/>
                <w:sz w:val="20"/>
                <w:szCs w:val="20"/>
              </w:rPr>
              <w:t>28.0</w:t>
            </w:r>
            <w:r w:rsidR="00F35F45">
              <w:rPr>
                <w:rFonts w:ascii="Arial" w:hAnsi="Arial" w:cs="Arial"/>
                <w:color w:val="000000"/>
                <w:sz w:val="20"/>
                <w:szCs w:val="20"/>
              </w:rPr>
              <w:t xml:space="preserve"> </w:t>
            </w:r>
            <w:r>
              <w:rPr>
                <w:rFonts w:ascii="Arial" w:hAnsi="Arial" w:cs="Arial"/>
                <w:color w:val="000000"/>
                <w:sz w:val="20"/>
                <w:szCs w:val="20"/>
              </w:rPr>
              <w:t>(20.0;44</w:t>
            </w:r>
            <w:r w:rsidR="001401F0">
              <w:rPr>
                <w:rFonts w:ascii="Arial" w:hAnsi="Arial" w:cs="Arial"/>
                <w:color w:val="000000"/>
                <w:sz w:val="20"/>
                <w:szCs w:val="20"/>
              </w:rPr>
              <w:t>.0)</w:t>
            </w:r>
          </w:p>
        </w:tc>
      </w:tr>
    </w:tbl>
    <w:p w:rsidR="00F80D8C" w:rsidRDefault="00F80D8C" w:rsidP="001B38C1">
      <w:pPr>
        <w:spacing w:after="0" w:line="240" w:lineRule="auto"/>
        <w:jc w:val="both"/>
        <w:rPr>
          <w:rFonts w:ascii="Arial" w:eastAsia="Verdana" w:hAnsi="Arial" w:cs="Arial"/>
          <w:sz w:val="20"/>
          <w:szCs w:val="24"/>
          <w:lang w:val="en-US"/>
        </w:rPr>
      </w:pPr>
    </w:p>
    <w:p w:rsidR="00ED1284" w:rsidRPr="00202FA4" w:rsidRDefault="00ED1284" w:rsidP="001B38C1">
      <w:pPr>
        <w:spacing w:after="0" w:line="240" w:lineRule="auto"/>
        <w:jc w:val="both"/>
        <w:rPr>
          <w:rFonts w:ascii="Arial" w:eastAsia="Verdana" w:hAnsi="Arial" w:cs="Arial"/>
          <w:sz w:val="20"/>
          <w:szCs w:val="24"/>
          <w:lang w:val="en-US"/>
        </w:rPr>
      </w:pPr>
      <w:r>
        <w:rPr>
          <w:rFonts w:ascii="Arial" w:eastAsia="Verdana" w:hAnsi="Arial" w:cs="Arial"/>
          <w:sz w:val="20"/>
          <w:szCs w:val="24"/>
          <w:lang w:val="en-US"/>
        </w:rPr>
        <w:t xml:space="preserve">Data shown are mean </w:t>
      </w:r>
      <w:r w:rsidR="001604E7">
        <w:rPr>
          <w:rFonts w:ascii="Arial" w:eastAsia="Verdana" w:hAnsi="Arial" w:cs="Arial"/>
          <w:sz w:val="20"/>
          <w:szCs w:val="24"/>
          <w:lang w:val="en-US"/>
        </w:rPr>
        <w:t>(</w:t>
      </w:r>
      <w:r w:rsidR="00235AF9">
        <w:rPr>
          <w:rFonts w:ascii="Arial" w:eastAsia="Verdana" w:hAnsi="Arial" w:cs="Arial"/>
          <w:sz w:val="20"/>
          <w:szCs w:val="24"/>
          <w:lang w:val="en-US"/>
        </w:rPr>
        <w:t>standard deviation</w:t>
      </w:r>
      <w:r w:rsidR="001604E7">
        <w:rPr>
          <w:rFonts w:ascii="Arial" w:eastAsia="Verdana" w:hAnsi="Arial" w:cs="Arial"/>
          <w:sz w:val="20"/>
          <w:szCs w:val="24"/>
          <w:lang w:val="en-US"/>
        </w:rPr>
        <w:t>)</w:t>
      </w:r>
      <w:r>
        <w:rPr>
          <w:rFonts w:ascii="Arial" w:eastAsia="Verdana" w:hAnsi="Arial" w:cs="Arial"/>
          <w:sz w:val="20"/>
          <w:szCs w:val="24"/>
          <w:lang w:val="en-US"/>
        </w:rPr>
        <w:t xml:space="preserve"> or </w:t>
      </w:r>
      <w:r w:rsidR="000B4E2C">
        <w:rPr>
          <w:rFonts w:ascii="Arial" w:eastAsia="Verdana" w:hAnsi="Arial" w:cs="Arial"/>
          <w:sz w:val="20"/>
          <w:szCs w:val="24"/>
          <w:lang w:val="en-US"/>
        </w:rPr>
        <w:t>me</w:t>
      </w:r>
      <w:r w:rsidR="00F35F45">
        <w:rPr>
          <w:rFonts w:ascii="Arial" w:eastAsia="Verdana" w:hAnsi="Arial" w:cs="Arial"/>
          <w:sz w:val="20"/>
          <w:szCs w:val="24"/>
          <w:lang w:val="en-US"/>
        </w:rPr>
        <w:t>dian</w:t>
      </w:r>
      <w:r w:rsidR="000B4E2C">
        <w:rPr>
          <w:rFonts w:ascii="Arial" w:eastAsia="Verdana" w:hAnsi="Arial" w:cs="Arial"/>
          <w:sz w:val="20"/>
          <w:szCs w:val="24"/>
          <w:lang w:val="en-US"/>
        </w:rPr>
        <w:t xml:space="preserve"> </w:t>
      </w:r>
      <w:r w:rsidR="001604E7">
        <w:rPr>
          <w:rFonts w:ascii="Arial" w:eastAsia="Verdana" w:hAnsi="Arial" w:cs="Arial"/>
          <w:sz w:val="20"/>
          <w:szCs w:val="24"/>
          <w:lang w:val="en-US"/>
        </w:rPr>
        <w:t>(</w:t>
      </w:r>
      <w:r w:rsidR="000B4E2C">
        <w:rPr>
          <w:rFonts w:ascii="Arial" w:eastAsia="Verdana" w:hAnsi="Arial" w:cs="Arial"/>
          <w:sz w:val="20"/>
          <w:szCs w:val="24"/>
          <w:lang w:val="en-US"/>
        </w:rPr>
        <w:t>interquartile range</w:t>
      </w:r>
      <w:r w:rsidR="001604E7">
        <w:rPr>
          <w:rFonts w:ascii="Arial" w:eastAsia="Verdana" w:hAnsi="Arial" w:cs="Arial"/>
          <w:sz w:val="20"/>
          <w:szCs w:val="24"/>
          <w:lang w:val="en-US"/>
        </w:rPr>
        <w:t>)</w:t>
      </w:r>
      <w:r w:rsidR="000B4E2C">
        <w:rPr>
          <w:rFonts w:ascii="Arial" w:eastAsia="Verdana" w:hAnsi="Arial" w:cs="Arial"/>
          <w:sz w:val="20"/>
          <w:szCs w:val="24"/>
          <w:lang w:val="en-US"/>
        </w:rPr>
        <w:t xml:space="preserve"> </w:t>
      </w:r>
      <w:r>
        <w:rPr>
          <w:rFonts w:ascii="Arial" w:eastAsia="Verdana" w:hAnsi="Arial" w:cs="Arial"/>
          <w:sz w:val="20"/>
          <w:szCs w:val="24"/>
          <w:lang w:val="en-US"/>
        </w:rPr>
        <w:t xml:space="preserve">for skewed variables marked </w:t>
      </w:r>
      <w:r w:rsidR="000B4E2C">
        <w:rPr>
          <w:rFonts w:ascii="Arial" w:eastAsia="Verdana" w:hAnsi="Arial" w:cs="Arial"/>
          <w:sz w:val="20"/>
          <w:szCs w:val="24"/>
          <w:lang w:val="en-US"/>
        </w:rPr>
        <w:t>†</w:t>
      </w:r>
    </w:p>
    <w:p w:rsidR="001B38C1" w:rsidRPr="00202FA4" w:rsidRDefault="001B38C1" w:rsidP="001B38C1">
      <w:pPr>
        <w:spacing w:after="0" w:line="240" w:lineRule="auto"/>
        <w:jc w:val="both"/>
        <w:rPr>
          <w:rFonts w:ascii="Arial" w:eastAsia="Verdana" w:hAnsi="Arial" w:cs="Arial"/>
          <w:sz w:val="20"/>
          <w:szCs w:val="24"/>
          <w:lang w:val="en-US"/>
        </w:rPr>
      </w:pPr>
      <w:r w:rsidRPr="00202FA4">
        <w:rPr>
          <w:rFonts w:ascii="Arial" w:eastAsia="Verdana" w:hAnsi="Arial" w:cs="Arial"/>
          <w:sz w:val="20"/>
          <w:szCs w:val="24"/>
          <w:lang w:val="en-US"/>
        </w:rPr>
        <w:t xml:space="preserve">* ANOVA for </w:t>
      </w:r>
      <w:r w:rsidR="00A54C0E">
        <w:rPr>
          <w:rFonts w:ascii="Arial" w:eastAsia="Verdana" w:hAnsi="Arial" w:cs="Arial"/>
          <w:sz w:val="20"/>
          <w:szCs w:val="24"/>
          <w:lang w:val="en-US"/>
        </w:rPr>
        <w:t xml:space="preserve">normally distributed </w:t>
      </w:r>
      <w:r w:rsidRPr="00202FA4">
        <w:rPr>
          <w:rFonts w:ascii="Arial" w:eastAsia="Verdana" w:hAnsi="Arial" w:cs="Arial"/>
          <w:sz w:val="20"/>
          <w:szCs w:val="24"/>
          <w:lang w:val="en-US"/>
        </w:rPr>
        <w:t xml:space="preserve">continuous variables, </w:t>
      </w:r>
      <w:proofErr w:type="spellStart"/>
      <w:r w:rsidR="00A54C0E">
        <w:rPr>
          <w:rFonts w:ascii="Arial" w:eastAsia="Verdana" w:hAnsi="Arial" w:cs="Arial"/>
          <w:sz w:val="20"/>
          <w:szCs w:val="24"/>
          <w:lang w:val="en-US"/>
        </w:rPr>
        <w:t>Kruskal</w:t>
      </w:r>
      <w:proofErr w:type="spellEnd"/>
      <w:r w:rsidR="00A54C0E">
        <w:rPr>
          <w:rFonts w:ascii="Arial" w:eastAsia="Verdana" w:hAnsi="Arial" w:cs="Arial"/>
          <w:sz w:val="20"/>
          <w:szCs w:val="24"/>
          <w:lang w:val="en-US"/>
        </w:rPr>
        <w:t xml:space="preserve">-Wallis </w:t>
      </w:r>
      <w:r w:rsidR="00F35F45">
        <w:rPr>
          <w:rFonts w:ascii="Arial" w:eastAsia="Verdana" w:hAnsi="Arial" w:cs="Arial"/>
          <w:sz w:val="20"/>
          <w:szCs w:val="24"/>
          <w:lang w:val="en-US"/>
        </w:rPr>
        <w:t xml:space="preserve">test </w:t>
      </w:r>
      <w:r w:rsidR="00A54C0E">
        <w:rPr>
          <w:rFonts w:ascii="Arial" w:eastAsia="Verdana" w:hAnsi="Arial" w:cs="Arial"/>
          <w:sz w:val="20"/>
          <w:szCs w:val="24"/>
          <w:lang w:val="en-US"/>
        </w:rPr>
        <w:t xml:space="preserve">for continuous variables with skewed distribution (†) and </w:t>
      </w:r>
      <w:r w:rsidRPr="00202FA4">
        <w:rPr>
          <w:rFonts w:ascii="Arial" w:eastAsia="Verdana" w:hAnsi="Arial" w:cs="Arial"/>
          <w:sz w:val="20"/>
          <w:szCs w:val="24"/>
          <w:lang w:val="en-US"/>
        </w:rPr>
        <w:t>Chi</w:t>
      </w:r>
      <w:r w:rsidRPr="00202FA4">
        <w:rPr>
          <w:rFonts w:ascii="Arial" w:eastAsia="Verdana" w:hAnsi="Arial" w:cs="Arial"/>
          <w:sz w:val="20"/>
          <w:szCs w:val="24"/>
          <w:vertAlign w:val="superscript"/>
          <w:lang w:val="en-US"/>
        </w:rPr>
        <w:t>2</w:t>
      </w:r>
      <w:r w:rsidRPr="00202FA4">
        <w:rPr>
          <w:rFonts w:ascii="Arial" w:eastAsia="Verdana" w:hAnsi="Arial" w:cs="Arial"/>
          <w:sz w:val="20"/>
          <w:szCs w:val="24"/>
          <w:lang w:val="en-US"/>
        </w:rPr>
        <w:t xml:space="preserve"> for categorical variables</w:t>
      </w:r>
    </w:p>
    <w:p w:rsidR="00A31A9C" w:rsidRPr="00202FA4" w:rsidRDefault="001B38C1" w:rsidP="0045610D">
      <w:pPr>
        <w:rPr>
          <w:rFonts w:ascii="Arial" w:eastAsia="Verdana" w:hAnsi="Arial" w:cs="Arial"/>
          <w:sz w:val="20"/>
          <w:szCs w:val="24"/>
          <w:lang w:val="en-US"/>
        </w:rPr>
      </w:pPr>
      <w:r w:rsidRPr="00202FA4">
        <w:rPr>
          <w:rFonts w:ascii="Arial" w:hAnsi="Arial" w:cs="Arial"/>
          <w:b/>
          <w:sz w:val="20"/>
          <w:szCs w:val="24"/>
          <w:lang w:val="en-US"/>
        </w:rPr>
        <w:br w:type="page"/>
      </w:r>
      <w:proofErr w:type="gramStart"/>
      <w:r w:rsidR="00A31A9C" w:rsidRPr="00E1146F">
        <w:rPr>
          <w:rFonts w:ascii="Arial" w:eastAsia="Verdana" w:hAnsi="Arial" w:cs="Arial"/>
          <w:b/>
          <w:sz w:val="24"/>
          <w:szCs w:val="24"/>
          <w:lang w:val="en-US"/>
        </w:rPr>
        <w:lastRenderedPageBreak/>
        <w:t>Table 2.</w:t>
      </w:r>
      <w:proofErr w:type="gramEnd"/>
      <w:r w:rsidR="00A31A9C" w:rsidRPr="00E1146F">
        <w:rPr>
          <w:rFonts w:ascii="Arial" w:eastAsia="Verdana" w:hAnsi="Arial" w:cs="Arial"/>
          <w:b/>
          <w:sz w:val="24"/>
          <w:szCs w:val="24"/>
          <w:lang w:val="en-US"/>
        </w:rPr>
        <w:t xml:space="preserve"> </w:t>
      </w:r>
      <w:r w:rsidR="00A31A9C" w:rsidRPr="00E1146F">
        <w:rPr>
          <w:rFonts w:ascii="Arial" w:eastAsia="Verdana" w:hAnsi="Arial" w:cs="Arial"/>
          <w:sz w:val="24"/>
          <w:szCs w:val="24"/>
          <w:lang w:val="en-US"/>
        </w:rPr>
        <w:t xml:space="preserve">Baseline characteristics by quartiles of ferritin in women in the </w:t>
      </w:r>
      <w:proofErr w:type="spellStart"/>
      <w:r w:rsidR="00A31A9C" w:rsidRPr="00E1146F">
        <w:rPr>
          <w:rFonts w:ascii="Arial" w:eastAsia="Verdana" w:hAnsi="Arial" w:cs="Arial"/>
          <w:sz w:val="24"/>
          <w:szCs w:val="24"/>
          <w:lang w:val="en-US"/>
        </w:rPr>
        <w:t>subcohort</w:t>
      </w:r>
      <w:proofErr w:type="spellEnd"/>
      <w:r w:rsidR="00FA7D87" w:rsidRPr="00E1146F">
        <w:rPr>
          <w:rFonts w:ascii="Arial" w:eastAsia="Verdana" w:hAnsi="Arial" w:cs="Arial"/>
          <w:sz w:val="24"/>
          <w:szCs w:val="24"/>
          <w:lang w:val="en-US"/>
        </w:rPr>
        <w:t xml:space="preserve"> </w:t>
      </w:r>
      <w:r w:rsidR="00FB130B" w:rsidRPr="00E1146F">
        <w:rPr>
          <w:rFonts w:ascii="Arial" w:eastAsia="Verdana" w:hAnsi="Arial" w:cs="Arial"/>
          <w:sz w:val="24"/>
          <w:szCs w:val="24"/>
          <w:lang w:val="en-US"/>
        </w:rPr>
        <w:t>(</w:t>
      </w:r>
      <w:r w:rsidR="00FB130B" w:rsidRPr="00E1146F">
        <w:rPr>
          <w:rFonts w:ascii="Arial" w:eastAsia="Verdana" w:hAnsi="Arial" w:cs="Arial"/>
          <w:i/>
          <w:sz w:val="24"/>
          <w:szCs w:val="24"/>
          <w:lang w:val="en-US"/>
        </w:rPr>
        <w:t>n</w:t>
      </w:r>
      <w:r w:rsidR="00FB130B" w:rsidRPr="00E1146F">
        <w:rPr>
          <w:rFonts w:ascii="Arial" w:eastAsia="Verdana" w:hAnsi="Arial" w:cs="Arial"/>
          <w:sz w:val="24"/>
          <w:szCs w:val="24"/>
          <w:lang w:val="en-US"/>
        </w:rPr>
        <w:t>=9,485)</w:t>
      </w:r>
    </w:p>
    <w:tbl>
      <w:tblPr>
        <w:tblStyle w:val="TableGrid"/>
        <w:tblW w:w="11271" w:type="dxa"/>
        <w:tblInd w:w="-109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8"/>
        <w:gridCol w:w="2127"/>
        <w:gridCol w:w="1559"/>
        <w:gridCol w:w="1417"/>
        <w:gridCol w:w="1560"/>
        <w:gridCol w:w="1648"/>
        <w:gridCol w:w="1276"/>
        <w:gridCol w:w="1276"/>
      </w:tblGrid>
      <w:tr w:rsidR="004043F0" w:rsidRPr="00EF6887" w:rsidTr="005A7BF8">
        <w:trPr>
          <w:trHeight w:val="600"/>
        </w:trPr>
        <w:tc>
          <w:tcPr>
            <w:tcW w:w="408" w:type="dxa"/>
            <w:tcBorders>
              <w:top w:val="single" w:sz="4" w:space="0" w:color="auto"/>
              <w:left w:val="nil"/>
              <w:bottom w:val="single" w:sz="4" w:space="0" w:color="auto"/>
              <w:right w:val="nil"/>
            </w:tcBorders>
            <w:hideMark/>
          </w:tcPr>
          <w:p w:rsidR="00A31A9C" w:rsidRPr="00EF6887" w:rsidRDefault="00A31A9C" w:rsidP="00A31A9C">
            <w:pPr>
              <w:tabs>
                <w:tab w:val="left" w:pos="1263"/>
              </w:tabs>
              <w:jc w:val="both"/>
              <w:rPr>
                <w:rFonts w:ascii="Arial" w:eastAsia="Verdana" w:hAnsi="Arial" w:cs="Arial"/>
                <w:b/>
                <w:sz w:val="20"/>
                <w:szCs w:val="20"/>
              </w:rPr>
            </w:pPr>
          </w:p>
        </w:tc>
        <w:tc>
          <w:tcPr>
            <w:tcW w:w="2127" w:type="dxa"/>
            <w:tcBorders>
              <w:top w:val="single" w:sz="4" w:space="0" w:color="auto"/>
              <w:left w:val="nil"/>
              <w:bottom w:val="single" w:sz="4" w:space="0" w:color="auto"/>
              <w:right w:val="nil"/>
            </w:tcBorders>
            <w:hideMark/>
          </w:tcPr>
          <w:p w:rsidR="00A31A9C" w:rsidRPr="00EF6887" w:rsidRDefault="00A31A9C" w:rsidP="00A31A9C">
            <w:pPr>
              <w:tabs>
                <w:tab w:val="left" w:pos="1263"/>
              </w:tabs>
              <w:jc w:val="both"/>
              <w:rPr>
                <w:rFonts w:ascii="Arial" w:eastAsia="Verdana" w:hAnsi="Arial" w:cs="Arial"/>
                <w:b/>
                <w:sz w:val="20"/>
                <w:szCs w:val="20"/>
              </w:rPr>
            </w:pPr>
          </w:p>
        </w:tc>
        <w:tc>
          <w:tcPr>
            <w:tcW w:w="6184" w:type="dxa"/>
            <w:gridSpan w:val="4"/>
            <w:tcBorders>
              <w:top w:val="single" w:sz="4" w:space="0" w:color="auto"/>
              <w:left w:val="nil"/>
              <w:bottom w:val="single" w:sz="4" w:space="0" w:color="auto"/>
              <w:right w:val="nil"/>
            </w:tcBorders>
            <w:vAlign w:val="center"/>
            <w:hideMark/>
          </w:tcPr>
          <w:p w:rsidR="00A31A9C" w:rsidRPr="00EF6887" w:rsidRDefault="00A31A9C" w:rsidP="00F80D8C">
            <w:pPr>
              <w:tabs>
                <w:tab w:val="left" w:pos="1263"/>
              </w:tabs>
              <w:jc w:val="center"/>
              <w:rPr>
                <w:rFonts w:ascii="Arial" w:eastAsia="Verdana" w:hAnsi="Arial" w:cs="Arial"/>
                <w:b/>
                <w:sz w:val="20"/>
                <w:szCs w:val="20"/>
              </w:rPr>
            </w:pPr>
          </w:p>
          <w:p w:rsidR="00A31A9C" w:rsidRPr="00EF6887" w:rsidRDefault="00A31A9C" w:rsidP="00F80D8C">
            <w:pPr>
              <w:tabs>
                <w:tab w:val="left" w:pos="1263"/>
              </w:tabs>
              <w:jc w:val="center"/>
              <w:rPr>
                <w:rFonts w:ascii="Arial" w:eastAsia="Verdana" w:hAnsi="Arial" w:cs="Arial"/>
                <w:b/>
                <w:bCs/>
                <w:sz w:val="20"/>
                <w:szCs w:val="20"/>
              </w:rPr>
            </w:pPr>
            <w:r w:rsidRPr="00EF6887">
              <w:rPr>
                <w:rFonts w:ascii="Arial" w:eastAsia="Verdana" w:hAnsi="Arial" w:cs="Arial"/>
                <w:b/>
                <w:bCs/>
                <w:sz w:val="20"/>
                <w:szCs w:val="20"/>
              </w:rPr>
              <w:t xml:space="preserve">Ferritin quartiles (Range of ferritin, </w:t>
            </w:r>
            <w:proofErr w:type="spellStart"/>
            <w:r w:rsidR="004016F8" w:rsidRPr="00EF6887">
              <w:rPr>
                <w:rFonts w:ascii="Arial" w:eastAsia="Verdana" w:hAnsi="Arial" w:cs="Arial"/>
                <w:b/>
                <w:bCs/>
                <w:sz w:val="20"/>
                <w:szCs w:val="20"/>
              </w:rPr>
              <w:t>μg</w:t>
            </w:r>
            <w:proofErr w:type="spellEnd"/>
            <w:r w:rsidR="006B7240" w:rsidRPr="00EF6887">
              <w:rPr>
                <w:rFonts w:ascii="Arial" w:eastAsia="Verdana" w:hAnsi="Arial" w:cs="Arial"/>
                <w:b/>
                <w:bCs/>
                <w:sz w:val="20"/>
                <w:szCs w:val="20"/>
              </w:rPr>
              <w:t>/L</w:t>
            </w:r>
            <w:r w:rsidRPr="00EF6887">
              <w:rPr>
                <w:rFonts w:ascii="Arial" w:eastAsia="Verdana" w:hAnsi="Arial" w:cs="Arial"/>
                <w:b/>
                <w:bCs/>
                <w:sz w:val="20"/>
                <w:szCs w:val="20"/>
              </w:rPr>
              <w:t>)</w:t>
            </w:r>
          </w:p>
          <w:p w:rsidR="00A31A9C" w:rsidRPr="00EF6887" w:rsidRDefault="00A31A9C" w:rsidP="00F80D8C">
            <w:pPr>
              <w:tabs>
                <w:tab w:val="left" w:pos="1263"/>
              </w:tabs>
              <w:jc w:val="center"/>
              <w:rPr>
                <w:rFonts w:ascii="Arial" w:eastAsia="Verdana" w:hAnsi="Arial" w:cs="Arial"/>
                <w:b/>
                <w:bCs/>
                <w:sz w:val="20"/>
                <w:szCs w:val="20"/>
              </w:rPr>
            </w:pPr>
          </w:p>
        </w:tc>
        <w:tc>
          <w:tcPr>
            <w:tcW w:w="1276" w:type="dxa"/>
            <w:tcBorders>
              <w:top w:val="single" w:sz="4" w:space="0" w:color="auto"/>
              <w:left w:val="nil"/>
              <w:bottom w:val="single" w:sz="4" w:space="0" w:color="auto"/>
              <w:right w:val="nil"/>
            </w:tcBorders>
            <w:vAlign w:val="center"/>
            <w:hideMark/>
          </w:tcPr>
          <w:p w:rsidR="00A31A9C" w:rsidRPr="00EF6887" w:rsidRDefault="00A31A9C" w:rsidP="00F419EC">
            <w:pPr>
              <w:tabs>
                <w:tab w:val="left" w:pos="1263"/>
              </w:tabs>
              <w:jc w:val="center"/>
              <w:rPr>
                <w:rFonts w:ascii="Arial" w:eastAsia="Verdana" w:hAnsi="Arial" w:cs="Arial"/>
                <w:b/>
                <w:bCs/>
                <w:sz w:val="20"/>
                <w:szCs w:val="20"/>
              </w:rPr>
            </w:pPr>
            <w:r w:rsidRPr="00EF6887">
              <w:rPr>
                <w:rFonts w:ascii="Arial" w:eastAsia="Verdana" w:hAnsi="Arial" w:cs="Arial"/>
                <w:b/>
                <w:bCs/>
                <w:i/>
                <w:iCs/>
                <w:sz w:val="20"/>
                <w:szCs w:val="20"/>
              </w:rPr>
              <w:t>p</w:t>
            </w:r>
            <w:r w:rsidRPr="00EF6887">
              <w:rPr>
                <w:rFonts w:ascii="Arial" w:eastAsia="Verdana" w:hAnsi="Arial" w:cs="Arial"/>
                <w:b/>
                <w:bCs/>
                <w:sz w:val="20"/>
                <w:szCs w:val="20"/>
              </w:rPr>
              <w:t xml:space="preserve"> for </w:t>
            </w:r>
            <w:r w:rsidR="00F419EC">
              <w:rPr>
                <w:rFonts w:ascii="Arial" w:eastAsia="Verdana" w:hAnsi="Arial" w:cs="Arial"/>
                <w:b/>
                <w:bCs/>
                <w:sz w:val="20"/>
                <w:szCs w:val="20"/>
              </w:rPr>
              <w:t>difference across quartiles</w:t>
            </w:r>
            <w:r w:rsidRPr="00EF6887">
              <w:rPr>
                <w:rFonts w:ascii="Arial" w:eastAsia="Verdana" w:hAnsi="Arial" w:cs="Arial"/>
                <w:b/>
                <w:bCs/>
                <w:sz w:val="20"/>
                <w:szCs w:val="20"/>
              </w:rPr>
              <w:t>*</w:t>
            </w:r>
          </w:p>
        </w:tc>
        <w:tc>
          <w:tcPr>
            <w:tcW w:w="1276" w:type="dxa"/>
            <w:tcBorders>
              <w:top w:val="single" w:sz="4" w:space="0" w:color="auto"/>
              <w:left w:val="nil"/>
              <w:bottom w:val="single" w:sz="4" w:space="0" w:color="auto"/>
              <w:right w:val="nil"/>
            </w:tcBorders>
            <w:vAlign w:val="center"/>
            <w:hideMark/>
          </w:tcPr>
          <w:p w:rsidR="00A31A9C" w:rsidRPr="00EF6887" w:rsidRDefault="00A31A9C" w:rsidP="00F80D8C">
            <w:pPr>
              <w:tabs>
                <w:tab w:val="left" w:pos="1263"/>
              </w:tabs>
              <w:jc w:val="center"/>
              <w:rPr>
                <w:rFonts w:ascii="Arial" w:eastAsia="Verdana" w:hAnsi="Arial" w:cs="Arial"/>
                <w:b/>
                <w:bCs/>
                <w:sz w:val="20"/>
                <w:szCs w:val="20"/>
              </w:rPr>
            </w:pPr>
            <w:r w:rsidRPr="00EF6887">
              <w:rPr>
                <w:rFonts w:ascii="Arial" w:eastAsia="Verdana" w:hAnsi="Arial" w:cs="Arial"/>
                <w:b/>
                <w:bCs/>
                <w:sz w:val="20"/>
                <w:szCs w:val="20"/>
              </w:rPr>
              <w:t xml:space="preserve">Overall </w:t>
            </w:r>
            <w:proofErr w:type="spellStart"/>
            <w:r w:rsidRPr="00EF6887">
              <w:rPr>
                <w:rFonts w:ascii="Arial" w:eastAsia="Verdana" w:hAnsi="Arial" w:cs="Arial"/>
                <w:b/>
                <w:bCs/>
                <w:sz w:val="20"/>
                <w:szCs w:val="20"/>
              </w:rPr>
              <w:t>subcohort</w:t>
            </w:r>
            <w:proofErr w:type="spellEnd"/>
          </w:p>
        </w:tc>
      </w:tr>
      <w:tr w:rsidR="004043F0" w:rsidRPr="00EF6887" w:rsidTr="005A7BF8">
        <w:trPr>
          <w:trHeight w:val="248"/>
        </w:trPr>
        <w:tc>
          <w:tcPr>
            <w:tcW w:w="408" w:type="dxa"/>
            <w:tcBorders>
              <w:top w:val="single" w:sz="4" w:space="0" w:color="auto"/>
              <w:left w:val="nil"/>
              <w:bottom w:val="single" w:sz="4" w:space="0" w:color="auto"/>
              <w:right w:val="nil"/>
            </w:tcBorders>
            <w:noWrap/>
            <w:hideMark/>
          </w:tcPr>
          <w:p w:rsidR="00F80D8C" w:rsidRPr="00EF6887" w:rsidRDefault="00F80D8C"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 </w:t>
            </w:r>
          </w:p>
        </w:tc>
        <w:tc>
          <w:tcPr>
            <w:tcW w:w="2127" w:type="dxa"/>
            <w:tcBorders>
              <w:top w:val="single" w:sz="4" w:space="0" w:color="auto"/>
              <w:left w:val="nil"/>
              <w:bottom w:val="single" w:sz="4" w:space="0" w:color="auto"/>
              <w:right w:val="nil"/>
            </w:tcBorders>
            <w:noWrap/>
            <w:hideMark/>
          </w:tcPr>
          <w:p w:rsidR="00F80D8C" w:rsidRPr="00EF6887" w:rsidRDefault="00F80D8C" w:rsidP="00A31A9C">
            <w:pPr>
              <w:tabs>
                <w:tab w:val="left" w:pos="1263"/>
              </w:tabs>
              <w:jc w:val="both"/>
              <w:rPr>
                <w:rFonts w:ascii="Arial" w:eastAsia="Verdana" w:hAnsi="Arial" w:cs="Arial"/>
                <w:b/>
                <w:bCs/>
                <w:sz w:val="20"/>
                <w:szCs w:val="20"/>
              </w:rPr>
            </w:pPr>
          </w:p>
        </w:tc>
        <w:tc>
          <w:tcPr>
            <w:tcW w:w="1559" w:type="dxa"/>
            <w:tcBorders>
              <w:top w:val="single" w:sz="4" w:space="0" w:color="auto"/>
              <w:left w:val="nil"/>
              <w:bottom w:val="single" w:sz="4" w:space="0" w:color="auto"/>
              <w:right w:val="nil"/>
            </w:tcBorders>
            <w:noWrap/>
            <w:vAlign w:val="center"/>
            <w:hideMark/>
          </w:tcPr>
          <w:p w:rsidR="00F80D8C" w:rsidRPr="00EF6887" w:rsidRDefault="00F80D8C" w:rsidP="00A54C0E">
            <w:pPr>
              <w:tabs>
                <w:tab w:val="left" w:pos="1263"/>
              </w:tabs>
              <w:jc w:val="center"/>
              <w:rPr>
                <w:rFonts w:ascii="Arial" w:eastAsia="Verdana" w:hAnsi="Arial" w:cs="Arial"/>
                <w:b/>
                <w:bCs/>
                <w:sz w:val="20"/>
                <w:szCs w:val="20"/>
              </w:rPr>
            </w:pPr>
            <w:r w:rsidRPr="00EF6887">
              <w:rPr>
                <w:rFonts w:ascii="Arial" w:eastAsia="Verdana" w:hAnsi="Arial" w:cs="Arial"/>
                <w:b/>
                <w:bCs/>
                <w:sz w:val="20"/>
                <w:szCs w:val="20"/>
              </w:rPr>
              <w:t>Q1 (1-29)</w:t>
            </w:r>
          </w:p>
        </w:tc>
        <w:tc>
          <w:tcPr>
            <w:tcW w:w="1417" w:type="dxa"/>
            <w:tcBorders>
              <w:top w:val="single" w:sz="4" w:space="0" w:color="auto"/>
              <w:left w:val="nil"/>
              <w:bottom w:val="single" w:sz="4" w:space="0" w:color="auto"/>
              <w:right w:val="nil"/>
            </w:tcBorders>
            <w:noWrap/>
            <w:vAlign w:val="center"/>
            <w:hideMark/>
          </w:tcPr>
          <w:p w:rsidR="00F80D8C" w:rsidRPr="00EF6887" w:rsidRDefault="00F80D8C" w:rsidP="00A54C0E">
            <w:pPr>
              <w:tabs>
                <w:tab w:val="left" w:pos="1263"/>
              </w:tabs>
              <w:jc w:val="center"/>
              <w:rPr>
                <w:rFonts w:ascii="Arial" w:eastAsia="Verdana" w:hAnsi="Arial" w:cs="Arial"/>
                <w:b/>
                <w:bCs/>
                <w:sz w:val="20"/>
                <w:szCs w:val="20"/>
              </w:rPr>
            </w:pPr>
            <w:r w:rsidRPr="00EF6887">
              <w:rPr>
                <w:rFonts w:ascii="Arial" w:eastAsia="Verdana" w:hAnsi="Arial" w:cs="Arial"/>
                <w:b/>
                <w:bCs/>
                <w:sz w:val="20"/>
                <w:szCs w:val="20"/>
              </w:rPr>
              <w:t>Q2 (30-58)</w:t>
            </w:r>
          </w:p>
        </w:tc>
        <w:tc>
          <w:tcPr>
            <w:tcW w:w="1560" w:type="dxa"/>
            <w:tcBorders>
              <w:top w:val="single" w:sz="4" w:space="0" w:color="auto"/>
              <w:left w:val="nil"/>
              <w:bottom w:val="single" w:sz="4" w:space="0" w:color="auto"/>
              <w:right w:val="nil"/>
            </w:tcBorders>
            <w:noWrap/>
            <w:vAlign w:val="center"/>
            <w:hideMark/>
          </w:tcPr>
          <w:p w:rsidR="00F80D8C" w:rsidRPr="00EF6887" w:rsidRDefault="00F80D8C" w:rsidP="00A54C0E">
            <w:pPr>
              <w:tabs>
                <w:tab w:val="left" w:pos="1263"/>
              </w:tabs>
              <w:jc w:val="center"/>
              <w:rPr>
                <w:rFonts w:ascii="Arial" w:eastAsia="Verdana" w:hAnsi="Arial" w:cs="Arial"/>
                <w:b/>
                <w:bCs/>
                <w:sz w:val="20"/>
                <w:szCs w:val="20"/>
              </w:rPr>
            </w:pPr>
            <w:r w:rsidRPr="00EF6887">
              <w:rPr>
                <w:rFonts w:ascii="Arial" w:eastAsia="Verdana" w:hAnsi="Arial" w:cs="Arial"/>
                <w:b/>
                <w:bCs/>
                <w:sz w:val="20"/>
                <w:szCs w:val="20"/>
              </w:rPr>
              <w:t>Q3 (59-107)</w:t>
            </w:r>
          </w:p>
        </w:tc>
        <w:tc>
          <w:tcPr>
            <w:tcW w:w="1648" w:type="dxa"/>
            <w:tcBorders>
              <w:top w:val="single" w:sz="4" w:space="0" w:color="auto"/>
              <w:left w:val="nil"/>
              <w:bottom w:val="single" w:sz="4" w:space="0" w:color="auto"/>
              <w:right w:val="nil"/>
            </w:tcBorders>
            <w:noWrap/>
            <w:vAlign w:val="center"/>
            <w:hideMark/>
          </w:tcPr>
          <w:p w:rsidR="00F80D8C" w:rsidRPr="00EF6887" w:rsidRDefault="00F80D8C" w:rsidP="00A54C0E">
            <w:pPr>
              <w:tabs>
                <w:tab w:val="left" w:pos="1263"/>
              </w:tabs>
              <w:jc w:val="center"/>
              <w:rPr>
                <w:rFonts w:ascii="Arial" w:eastAsia="Verdana" w:hAnsi="Arial" w:cs="Arial"/>
                <w:b/>
                <w:bCs/>
                <w:sz w:val="20"/>
                <w:szCs w:val="20"/>
              </w:rPr>
            </w:pPr>
            <w:r w:rsidRPr="00EF6887">
              <w:rPr>
                <w:rFonts w:ascii="Arial" w:eastAsia="Verdana" w:hAnsi="Arial" w:cs="Arial"/>
                <w:b/>
                <w:bCs/>
                <w:sz w:val="20"/>
                <w:szCs w:val="20"/>
              </w:rPr>
              <w:t>Q4 (108-3017)</w:t>
            </w:r>
          </w:p>
        </w:tc>
        <w:tc>
          <w:tcPr>
            <w:tcW w:w="1276" w:type="dxa"/>
            <w:tcBorders>
              <w:top w:val="single" w:sz="4" w:space="0" w:color="auto"/>
              <w:left w:val="nil"/>
              <w:bottom w:val="single" w:sz="4" w:space="0" w:color="auto"/>
              <w:right w:val="nil"/>
            </w:tcBorders>
            <w:noWrap/>
            <w:vAlign w:val="center"/>
            <w:hideMark/>
          </w:tcPr>
          <w:p w:rsidR="00F80D8C" w:rsidRPr="00EF6887" w:rsidRDefault="00F80D8C" w:rsidP="00A54C0E">
            <w:pPr>
              <w:tabs>
                <w:tab w:val="left" w:pos="1263"/>
              </w:tabs>
              <w:jc w:val="center"/>
              <w:rPr>
                <w:rFonts w:ascii="Arial" w:eastAsia="Verdana" w:hAnsi="Arial" w:cs="Arial"/>
                <w:b/>
                <w:bCs/>
                <w:sz w:val="20"/>
                <w:szCs w:val="20"/>
              </w:rPr>
            </w:pPr>
          </w:p>
        </w:tc>
        <w:tc>
          <w:tcPr>
            <w:tcW w:w="1276" w:type="dxa"/>
            <w:tcBorders>
              <w:top w:val="single" w:sz="4" w:space="0" w:color="auto"/>
              <w:left w:val="nil"/>
              <w:bottom w:val="single" w:sz="4" w:space="0" w:color="auto"/>
              <w:right w:val="nil"/>
            </w:tcBorders>
            <w:noWrap/>
            <w:vAlign w:val="center"/>
            <w:hideMark/>
          </w:tcPr>
          <w:p w:rsidR="00F80D8C" w:rsidRPr="00EF6887" w:rsidRDefault="00F80D8C" w:rsidP="00A54C0E">
            <w:pPr>
              <w:tabs>
                <w:tab w:val="left" w:pos="1263"/>
              </w:tabs>
              <w:jc w:val="center"/>
              <w:rPr>
                <w:rFonts w:ascii="Arial" w:eastAsia="Verdana" w:hAnsi="Arial" w:cs="Arial"/>
                <w:b/>
                <w:bCs/>
                <w:sz w:val="20"/>
                <w:szCs w:val="20"/>
              </w:rPr>
            </w:pPr>
          </w:p>
        </w:tc>
      </w:tr>
      <w:tr w:rsidR="004043F0" w:rsidRPr="00EF6887" w:rsidTr="005A7BF8">
        <w:trPr>
          <w:trHeight w:val="300"/>
        </w:trPr>
        <w:tc>
          <w:tcPr>
            <w:tcW w:w="2535" w:type="dxa"/>
            <w:gridSpan w:val="2"/>
            <w:tcBorders>
              <w:top w:val="single" w:sz="4" w:space="0" w:color="auto"/>
              <w:left w:val="nil"/>
              <w:right w:val="nil"/>
            </w:tcBorders>
            <w:noWrap/>
            <w:hideMark/>
          </w:tcPr>
          <w:p w:rsidR="007C1D53" w:rsidRPr="00EF6887" w:rsidRDefault="007C1D53" w:rsidP="00ED1284">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Age (</w:t>
            </w:r>
            <w:r w:rsidR="00ED1284">
              <w:rPr>
                <w:rFonts w:ascii="Arial" w:eastAsia="Verdana" w:hAnsi="Arial" w:cs="Arial"/>
                <w:b/>
                <w:bCs/>
                <w:sz w:val="20"/>
                <w:szCs w:val="20"/>
              </w:rPr>
              <w:t>years</w:t>
            </w:r>
            <w:r w:rsidRPr="00EF6887">
              <w:rPr>
                <w:rFonts w:ascii="Arial" w:eastAsia="Verdana" w:hAnsi="Arial" w:cs="Arial"/>
                <w:b/>
                <w:bCs/>
                <w:sz w:val="20"/>
                <w:szCs w:val="20"/>
              </w:rPr>
              <w:t>)</w:t>
            </w:r>
          </w:p>
        </w:tc>
        <w:tc>
          <w:tcPr>
            <w:tcW w:w="1559" w:type="dxa"/>
            <w:tcBorders>
              <w:top w:val="single" w:sz="4" w:space="0" w:color="auto"/>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47.2 (8.0)</w:t>
            </w:r>
          </w:p>
        </w:tc>
        <w:tc>
          <w:tcPr>
            <w:tcW w:w="1417" w:type="dxa"/>
            <w:tcBorders>
              <w:top w:val="single" w:sz="4" w:space="0" w:color="auto"/>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50.0 (9.4)</w:t>
            </w:r>
          </w:p>
        </w:tc>
        <w:tc>
          <w:tcPr>
            <w:tcW w:w="1560" w:type="dxa"/>
            <w:tcBorders>
              <w:top w:val="single" w:sz="4" w:space="0" w:color="auto"/>
              <w:left w:val="nil"/>
              <w:right w:val="nil"/>
            </w:tcBorders>
            <w:noWrap/>
            <w:vAlign w:val="center"/>
            <w:hideMark/>
          </w:tcPr>
          <w:p w:rsidR="007C1D53" w:rsidRPr="00EF6887" w:rsidRDefault="007C1D53"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54.1 (8.7)</w:t>
            </w:r>
          </w:p>
        </w:tc>
        <w:tc>
          <w:tcPr>
            <w:tcW w:w="1648" w:type="dxa"/>
            <w:tcBorders>
              <w:top w:val="single" w:sz="4" w:space="0" w:color="auto"/>
              <w:left w:val="nil"/>
              <w:right w:val="nil"/>
            </w:tcBorders>
            <w:noWrap/>
            <w:vAlign w:val="center"/>
            <w:hideMark/>
          </w:tcPr>
          <w:p w:rsidR="007C1D53" w:rsidRPr="00EF6887" w:rsidRDefault="007C1D53"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57.0 (7.8)</w:t>
            </w:r>
          </w:p>
        </w:tc>
        <w:tc>
          <w:tcPr>
            <w:tcW w:w="1276" w:type="dxa"/>
            <w:tcBorders>
              <w:top w:val="single" w:sz="4" w:space="0" w:color="auto"/>
              <w:left w:val="nil"/>
              <w:right w:val="nil"/>
            </w:tcBorders>
            <w:noWrap/>
            <w:vAlign w:val="center"/>
            <w:hideMark/>
          </w:tcPr>
          <w:p w:rsidR="007C1D53" w:rsidRPr="00EF6887" w:rsidRDefault="007C1D53" w:rsidP="00C63D02">
            <w:pPr>
              <w:jc w:val="center"/>
              <w:rPr>
                <w:rFonts w:ascii="Arial" w:hAnsi="Arial" w:cs="Arial"/>
                <w:color w:val="000000"/>
                <w:sz w:val="20"/>
                <w:szCs w:val="20"/>
              </w:rPr>
            </w:pPr>
            <w:r w:rsidRPr="00EF6887">
              <w:rPr>
                <w:rFonts w:ascii="Arial" w:hAnsi="Arial" w:cs="Arial"/>
                <w:color w:val="000000"/>
                <w:sz w:val="20"/>
                <w:szCs w:val="20"/>
              </w:rPr>
              <w:t>&lt;0.001</w:t>
            </w:r>
          </w:p>
        </w:tc>
        <w:tc>
          <w:tcPr>
            <w:tcW w:w="1276" w:type="dxa"/>
            <w:tcBorders>
              <w:top w:val="single" w:sz="4" w:space="0" w:color="auto"/>
              <w:left w:val="nil"/>
              <w:right w:val="nil"/>
            </w:tcBorders>
            <w:noWrap/>
            <w:vAlign w:val="center"/>
          </w:tcPr>
          <w:p w:rsidR="007C1D53" w:rsidRPr="00EF6887" w:rsidRDefault="007C1D53" w:rsidP="00C63D02">
            <w:pPr>
              <w:jc w:val="center"/>
              <w:rPr>
                <w:rFonts w:ascii="Arial" w:hAnsi="Arial" w:cs="Arial"/>
                <w:color w:val="000000"/>
                <w:sz w:val="20"/>
                <w:szCs w:val="20"/>
              </w:rPr>
            </w:pPr>
            <w:r w:rsidRPr="00EF6887">
              <w:rPr>
                <w:rFonts w:ascii="Arial" w:hAnsi="Arial" w:cs="Arial"/>
                <w:color w:val="000000"/>
                <w:sz w:val="20"/>
                <w:szCs w:val="20"/>
              </w:rPr>
              <w:t>52.1 (9.3)</w:t>
            </w:r>
          </w:p>
        </w:tc>
      </w:tr>
      <w:tr w:rsidR="004043F0" w:rsidRPr="00EF6887" w:rsidTr="005A7BF8">
        <w:trPr>
          <w:trHeight w:val="300"/>
        </w:trPr>
        <w:tc>
          <w:tcPr>
            <w:tcW w:w="2535" w:type="dxa"/>
            <w:gridSpan w:val="2"/>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BMI (kg/m2)</w:t>
            </w:r>
          </w:p>
        </w:tc>
        <w:tc>
          <w:tcPr>
            <w:tcW w:w="1559"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25.5 (4.4)</w:t>
            </w:r>
          </w:p>
        </w:tc>
        <w:tc>
          <w:tcPr>
            <w:tcW w:w="1417"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25.4 (4.6)</w:t>
            </w:r>
          </w:p>
        </w:tc>
        <w:tc>
          <w:tcPr>
            <w:tcW w:w="1560" w:type="dxa"/>
            <w:tcBorders>
              <w:left w:val="nil"/>
              <w:right w:val="nil"/>
            </w:tcBorders>
            <w:noWrap/>
            <w:vAlign w:val="center"/>
            <w:hideMark/>
          </w:tcPr>
          <w:p w:rsidR="007C1D53" w:rsidRPr="00EF6887" w:rsidRDefault="007C1D53"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25.4 (4.4)</w:t>
            </w:r>
          </w:p>
        </w:tc>
        <w:tc>
          <w:tcPr>
            <w:tcW w:w="1648" w:type="dxa"/>
            <w:tcBorders>
              <w:left w:val="nil"/>
              <w:right w:val="nil"/>
            </w:tcBorders>
            <w:noWrap/>
            <w:vAlign w:val="center"/>
            <w:hideMark/>
          </w:tcPr>
          <w:p w:rsidR="007C1D53" w:rsidRPr="00EF6887" w:rsidRDefault="007C1D53"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26.4 (4.6)</w:t>
            </w:r>
          </w:p>
        </w:tc>
        <w:tc>
          <w:tcPr>
            <w:tcW w:w="1276" w:type="dxa"/>
            <w:tcBorders>
              <w:left w:val="nil"/>
              <w:right w:val="nil"/>
            </w:tcBorders>
            <w:noWrap/>
            <w:vAlign w:val="center"/>
            <w:hideMark/>
          </w:tcPr>
          <w:p w:rsidR="007C1D53" w:rsidRPr="00EF6887" w:rsidRDefault="00A66267" w:rsidP="00C63D02">
            <w:pPr>
              <w:jc w:val="center"/>
              <w:rPr>
                <w:rFonts w:ascii="Arial" w:hAnsi="Arial" w:cs="Arial"/>
                <w:color w:val="000000"/>
                <w:sz w:val="20"/>
                <w:szCs w:val="20"/>
              </w:rPr>
            </w:pPr>
            <w:r w:rsidRPr="00EF6887">
              <w:rPr>
                <w:rFonts w:ascii="Arial" w:hAnsi="Arial" w:cs="Arial"/>
                <w:color w:val="000000"/>
                <w:sz w:val="20"/>
                <w:szCs w:val="20"/>
              </w:rPr>
              <w:t>&lt;0.001</w:t>
            </w:r>
          </w:p>
        </w:tc>
        <w:tc>
          <w:tcPr>
            <w:tcW w:w="1276" w:type="dxa"/>
            <w:tcBorders>
              <w:left w:val="nil"/>
              <w:right w:val="nil"/>
            </w:tcBorders>
            <w:noWrap/>
            <w:vAlign w:val="center"/>
          </w:tcPr>
          <w:p w:rsidR="007C1D53" w:rsidRPr="00EF6887" w:rsidRDefault="007C1D53" w:rsidP="00F35F45">
            <w:pPr>
              <w:jc w:val="center"/>
              <w:rPr>
                <w:rFonts w:ascii="Arial" w:hAnsi="Arial" w:cs="Arial"/>
                <w:color w:val="000000"/>
                <w:sz w:val="20"/>
                <w:szCs w:val="20"/>
              </w:rPr>
            </w:pPr>
            <w:r w:rsidRPr="00EF6887">
              <w:rPr>
                <w:rFonts w:ascii="Arial" w:hAnsi="Arial" w:cs="Arial"/>
                <w:color w:val="000000"/>
                <w:sz w:val="20"/>
                <w:szCs w:val="20"/>
              </w:rPr>
              <w:t>25.7 (4.5)</w:t>
            </w:r>
          </w:p>
        </w:tc>
      </w:tr>
      <w:tr w:rsidR="004043F0" w:rsidRPr="00EF6887" w:rsidTr="005A7BF8">
        <w:trPr>
          <w:trHeight w:val="300"/>
        </w:trPr>
        <w:tc>
          <w:tcPr>
            <w:tcW w:w="2535" w:type="dxa"/>
            <w:gridSpan w:val="2"/>
            <w:tcBorders>
              <w:left w:val="nil"/>
              <w:right w:val="nil"/>
            </w:tcBorders>
            <w:noWrap/>
            <w:hideMark/>
          </w:tcPr>
          <w:p w:rsidR="00F80D8C" w:rsidRPr="00EF6887" w:rsidRDefault="00F80D8C"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Education (%)</w:t>
            </w:r>
          </w:p>
        </w:tc>
        <w:tc>
          <w:tcPr>
            <w:tcW w:w="1559" w:type="dxa"/>
            <w:tcBorders>
              <w:left w:val="nil"/>
              <w:right w:val="nil"/>
            </w:tcBorders>
            <w:noWrap/>
            <w:vAlign w:val="center"/>
            <w:hideMark/>
          </w:tcPr>
          <w:p w:rsidR="00F80D8C" w:rsidRPr="00EF6887" w:rsidRDefault="00F80D8C" w:rsidP="00A54C0E">
            <w:pPr>
              <w:tabs>
                <w:tab w:val="left" w:pos="1263"/>
              </w:tabs>
              <w:jc w:val="center"/>
              <w:rPr>
                <w:rFonts w:ascii="Arial" w:eastAsia="Verdana" w:hAnsi="Arial" w:cs="Arial"/>
                <w:sz w:val="20"/>
                <w:szCs w:val="20"/>
              </w:rPr>
            </w:pPr>
          </w:p>
        </w:tc>
        <w:tc>
          <w:tcPr>
            <w:tcW w:w="1417" w:type="dxa"/>
            <w:tcBorders>
              <w:left w:val="nil"/>
              <w:right w:val="nil"/>
            </w:tcBorders>
            <w:noWrap/>
            <w:vAlign w:val="center"/>
            <w:hideMark/>
          </w:tcPr>
          <w:p w:rsidR="00F80D8C" w:rsidRPr="00EF6887" w:rsidRDefault="00F80D8C" w:rsidP="00A54C0E">
            <w:pPr>
              <w:tabs>
                <w:tab w:val="left" w:pos="1263"/>
              </w:tabs>
              <w:jc w:val="center"/>
              <w:rPr>
                <w:rFonts w:ascii="Arial" w:eastAsia="Verdana" w:hAnsi="Arial" w:cs="Arial"/>
                <w:sz w:val="20"/>
                <w:szCs w:val="20"/>
              </w:rPr>
            </w:pPr>
          </w:p>
        </w:tc>
        <w:tc>
          <w:tcPr>
            <w:tcW w:w="1560" w:type="dxa"/>
            <w:tcBorders>
              <w:left w:val="nil"/>
              <w:right w:val="nil"/>
            </w:tcBorders>
            <w:noWrap/>
            <w:vAlign w:val="center"/>
            <w:hideMark/>
          </w:tcPr>
          <w:p w:rsidR="00F80D8C" w:rsidRPr="00EF6887" w:rsidRDefault="00F80D8C" w:rsidP="00C63D02">
            <w:pPr>
              <w:tabs>
                <w:tab w:val="left" w:pos="1263"/>
              </w:tabs>
              <w:jc w:val="center"/>
              <w:rPr>
                <w:rFonts w:ascii="Arial" w:eastAsia="Verdana" w:hAnsi="Arial" w:cs="Arial"/>
                <w:sz w:val="20"/>
                <w:szCs w:val="20"/>
              </w:rPr>
            </w:pPr>
          </w:p>
        </w:tc>
        <w:tc>
          <w:tcPr>
            <w:tcW w:w="1648" w:type="dxa"/>
            <w:tcBorders>
              <w:left w:val="nil"/>
              <w:right w:val="nil"/>
            </w:tcBorders>
            <w:noWrap/>
            <w:vAlign w:val="center"/>
            <w:hideMark/>
          </w:tcPr>
          <w:p w:rsidR="00F80D8C" w:rsidRPr="00EF6887" w:rsidRDefault="00F80D8C" w:rsidP="00C63D02">
            <w:pPr>
              <w:tabs>
                <w:tab w:val="left" w:pos="1263"/>
              </w:tabs>
              <w:jc w:val="center"/>
              <w:rPr>
                <w:rFonts w:ascii="Arial" w:eastAsia="Verdana" w:hAnsi="Arial" w:cs="Arial"/>
                <w:sz w:val="20"/>
                <w:szCs w:val="20"/>
              </w:rPr>
            </w:pPr>
          </w:p>
        </w:tc>
        <w:tc>
          <w:tcPr>
            <w:tcW w:w="1276" w:type="dxa"/>
            <w:tcBorders>
              <w:left w:val="nil"/>
              <w:right w:val="nil"/>
            </w:tcBorders>
            <w:noWrap/>
            <w:vAlign w:val="center"/>
            <w:hideMark/>
          </w:tcPr>
          <w:p w:rsidR="00F80D8C" w:rsidRPr="00EF6887" w:rsidRDefault="00F80D8C" w:rsidP="00F35F45">
            <w:pPr>
              <w:jc w:val="center"/>
              <w:rPr>
                <w:rFonts w:ascii="Arial" w:hAnsi="Arial" w:cs="Arial"/>
                <w:color w:val="000000"/>
                <w:sz w:val="20"/>
                <w:szCs w:val="20"/>
              </w:rPr>
            </w:pPr>
            <w:r w:rsidRPr="00EF6887">
              <w:rPr>
                <w:rFonts w:ascii="Arial" w:hAnsi="Arial" w:cs="Arial"/>
                <w:color w:val="000000"/>
                <w:sz w:val="20"/>
                <w:szCs w:val="20"/>
              </w:rPr>
              <w:t>0.002</w:t>
            </w:r>
          </w:p>
        </w:tc>
        <w:tc>
          <w:tcPr>
            <w:tcW w:w="1276" w:type="dxa"/>
            <w:tcBorders>
              <w:left w:val="nil"/>
              <w:right w:val="nil"/>
            </w:tcBorders>
            <w:noWrap/>
            <w:vAlign w:val="center"/>
          </w:tcPr>
          <w:p w:rsidR="00F80D8C" w:rsidRPr="00EF6887" w:rsidRDefault="00F80D8C" w:rsidP="0008154A">
            <w:pPr>
              <w:tabs>
                <w:tab w:val="left" w:pos="1263"/>
              </w:tabs>
              <w:jc w:val="center"/>
              <w:rPr>
                <w:rFonts w:ascii="Arial" w:eastAsia="Verdana" w:hAnsi="Arial" w:cs="Arial"/>
                <w:sz w:val="20"/>
                <w:szCs w:val="20"/>
              </w:rPr>
            </w:pPr>
          </w:p>
        </w:tc>
      </w:tr>
      <w:tr w:rsidR="004043F0" w:rsidRPr="00EF6887" w:rsidTr="005A7BF8">
        <w:trPr>
          <w:trHeight w:val="300"/>
        </w:trPr>
        <w:tc>
          <w:tcPr>
            <w:tcW w:w="408"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p>
        </w:tc>
        <w:tc>
          <w:tcPr>
            <w:tcW w:w="2127"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Low</w:t>
            </w:r>
          </w:p>
        </w:tc>
        <w:tc>
          <w:tcPr>
            <w:tcW w:w="1559"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12.4</w:t>
            </w:r>
          </w:p>
        </w:tc>
        <w:tc>
          <w:tcPr>
            <w:tcW w:w="1417"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10.2</w:t>
            </w:r>
          </w:p>
        </w:tc>
        <w:tc>
          <w:tcPr>
            <w:tcW w:w="1560" w:type="dxa"/>
            <w:tcBorders>
              <w:left w:val="nil"/>
              <w:right w:val="nil"/>
            </w:tcBorders>
            <w:noWrap/>
            <w:vAlign w:val="center"/>
            <w:hideMark/>
          </w:tcPr>
          <w:p w:rsidR="007C1D53" w:rsidRPr="00EF6887" w:rsidRDefault="007C1D53"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7.3</w:t>
            </w:r>
          </w:p>
        </w:tc>
        <w:tc>
          <w:tcPr>
            <w:tcW w:w="1648" w:type="dxa"/>
            <w:tcBorders>
              <w:left w:val="nil"/>
              <w:right w:val="nil"/>
            </w:tcBorders>
            <w:noWrap/>
            <w:vAlign w:val="center"/>
            <w:hideMark/>
          </w:tcPr>
          <w:p w:rsidR="007C1D53" w:rsidRPr="00EF6887" w:rsidRDefault="007C1D53" w:rsidP="00F35F45">
            <w:pPr>
              <w:jc w:val="center"/>
              <w:rPr>
                <w:rFonts w:ascii="Arial" w:hAnsi="Arial" w:cs="Arial"/>
                <w:color w:val="000000"/>
                <w:sz w:val="20"/>
                <w:szCs w:val="20"/>
              </w:rPr>
            </w:pPr>
            <w:r w:rsidRPr="00EF6887">
              <w:rPr>
                <w:rFonts w:ascii="Arial" w:eastAsia="Verdana" w:hAnsi="Arial" w:cs="Arial"/>
                <w:sz w:val="20"/>
                <w:szCs w:val="20"/>
              </w:rPr>
              <w:t>6.3</w:t>
            </w:r>
          </w:p>
        </w:tc>
        <w:tc>
          <w:tcPr>
            <w:tcW w:w="1276" w:type="dxa"/>
            <w:tcBorders>
              <w:left w:val="nil"/>
              <w:right w:val="nil"/>
            </w:tcBorders>
            <w:noWrap/>
            <w:vAlign w:val="center"/>
            <w:hideMark/>
          </w:tcPr>
          <w:p w:rsidR="007C1D53" w:rsidRPr="00EF6887" w:rsidRDefault="007C1D53" w:rsidP="0008154A">
            <w:pPr>
              <w:tabs>
                <w:tab w:val="left" w:pos="1263"/>
              </w:tabs>
              <w:jc w:val="center"/>
              <w:rPr>
                <w:rFonts w:ascii="Arial" w:eastAsia="Verdana" w:hAnsi="Arial" w:cs="Arial"/>
                <w:sz w:val="20"/>
                <w:szCs w:val="20"/>
              </w:rPr>
            </w:pPr>
          </w:p>
        </w:tc>
        <w:tc>
          <w:tcPr>
            <w:tcW w:w="1276" w:type="dxa"/>
            <w:tcBorders>
              <w:left w:val="nil"/>
              <w:right w:val="nil"/>
            </w:tcBorders>
            <w:noWrap/>
            <w:vAlign w:val="center"/>
          </w:tcPr>
          <w:p w:rsidR="007C1D53" w:rsidRPr="00EF6887" w:rsidRDefault="007C1D53" w:rsidP="0008154A">
            <w:pPr>
              <w:jc w:val="center"/>
              <w:rPr>
                <w:rFonts w:ascii="Arial" w:hAnsi="Arial" w:cs="Arial"/>
                <w:color w:val="000000"/>
                <w:sz w:val="20"/>
                <w:szCs w:val="20"/>
              </w:rPr>
            </w:pPr>
            <w:r w:rsidRPr="00EF6887">
              <w:rPr>
                <w:rFonts w:ascii="Arial" w:hAnsi="Arial" w:cs="Arial"/>
                <w:color w:val="000000"/>
                <w:sz w:val="20"/>
                <w:szCs w:val="20"/>
              </w:rPr>
              <w:t>8.9</w:t>
            </w:r>
          </w:p>
        </w:tc>
      </w:tr>
      <w:tr w:rsidR="004043F0" w:rsidRPr="00EF6887" w:rsidTr="005A7BF8">
        <w:trPr>
          <w:trHeight w:val="300"/>
        </w:trPr>
        <w:tc>
          <w:tcPr>
            <w:tcW w:w="408"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p>
        </w:tc>
        <w:tc>
          <w:tcPr>
            <w:tcW w:w="2127"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Primary</w:t>
            </w:r>
          </w:p>
        </w:tc>
        <w:tc>
          <w:tcPr>
            <w:tcW w:w="1559"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33.1</w:t>
            </w:r>
          </w:p>
        </w:tc>
        <w:tc>
          <w:tcPr>
            <w:tcW w:w="1417"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30.5</w:t>
            </w:r>
          </w:p>
        </w:tc>
        <w:tc>
          <w:tcPr>
            <w:tcW w:w="1560" w:type="dxa"/>
            <w:tcBorders>
              <w:left w:val="nil"/>
              <w:right w:val="nil"/>
            </w:tcBorders>
            <w:noWrap/>
            <w:vAlign w:val="center"/>
            <w:hideMark/>
          </w:tcPr>
          <w:p w:rsidR="007C1D53" w:rsidRPr="00EF6887" w:rsidRDefault="007C1D53"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32.6</w:t>
            </w:r>
          </w:p>
        </w:tc>
        <w:tc>
          <w:tcPr>
            <w:tcW w:w="1648" w:type="dxa"/>
            <w:tcBorders>
              <w:left w:val="nil"/>
              <w:right w:val="nil"/>
            </w:tcBorders>
            <w:noWrap/>
            <w:vAlign w:val="center"/>
            <w:hideMark/>
          </w:tcPr>
          <w:p w:rsidR="007C1D53" w:rsidRPr="00EF6887" w:rsidRDefault="007C1D53" w:rsidP="00F35F45">
            <w:pPr>
              <w:jc w:val="center"/>
              <w:rPr>
                <w:rFonts w:ascii="Arial" w:hAnsi="Arial" w:cs="Arial"/>
                <w:color w:val="000000"/>
                <w:sz w:val="20"/>
                <w:szCs w:val="20"/>
              </w:rPr>
            </w:pPr>
            <w:r w:rsidRPr="00EF6887">
              <w:rPr>
                <w:rFonts w:ascii="Arial" w:eastAsia="Verdana" w:hAnsi="Arial" w:cs="Arial"/>
                <w:sz w:val="20"/>
                <w:szCs w:val="20"/>
              </w:rPr>
              <w:t>34.2</w:t>
            </w:r>
          </w:p>
        </w:tc>
        <w:tc>
          <w:tcPr>
            <w:tcW w:w="1276" w:type="dxa"/>
            <w:tcBorders>
              <w:left w:val="nil"/>
              <w:right w:val="nil"/>
            </w:tcBorders>
            <w:noWrap/>
            <w:vAlign w:val="center"/>
            <w:hideMark/>
          </w:tcPr>
          <w:p w:rsidR="007C1D53" w:rsidRPr="00EF6887" w:rsidRDefault="007C1D53" w:rsidP="0008154A">
            <w:pPr>
              <w:tabs>
                <w:tab w:val="left" w:pos="1263"/>
              </w:tabs>
              <w:jc w:val="center"/>
              <w:rPr>
                <w:rFonts w:ascii="Arial" w:eastAsia="Verdana" w:hAnsi="Arial" w:cs="Arial"/>
                <w:sz w:val="20"/>
                <w:szCs w:val="20"/>
              </w:rPr>
            </w:pPr>
          </w:p>
        </w:tc>
        <w:tc>
          <w:tcPr>
            <w:tcW w:w="1276" w:type="dxa"/>
            <w:tcBorders>
              <w:left w:val="nil"/>
              <w:right w:val="nil"/>
            </w:tcBorders>
            <w:noWrap/>
            <w:vAlign w:val="center"/>
          </w:tcPr>
          <w:p w:rsidR="007C1D53" w:rsidRPr="00EF6887" w:rsidRDefault="007C1D53" w:rsidP="0008154A">
            <w:pPr>
              <w:jc w:val="center"/>
              <w:rPr>
                <w:rFonts w:ascii="Arial" w:hAnsi="Arial" w:cs="Arial"/>
                <w:color w:val="000000"/>
                <w:sz w:val="20"/>
                <w:szCs w:val="20"/>
              </w:rPr>
            </w:pPr>
            <w:r w:rsidRPr="00EF6887">
              <w:rPr>
                <w:rFonts w:ascii="Arial" w:hAnsi="Arial" w:cs="Arial"/>
                <w:color w:val="000000"/>
                <w:sz w:val="20"/>
                <w:szCs w:val="20"/>
              </w:rPr>
              <w:t>32.8</w:t>
            </w:r>
          </w:p>
        </w:tc>
      </w:tr>
      <w:tr w:rsidR="004043F0" w:rsidRPr="00EF6887" w:rsidTr="005A7BF8">
        <w:trPr>
          <w:trHeight w:val="300"/>
        </w:trPr>
        <w:tc>
          <w:tcPr>
            <w:tcW w:w="408"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p>
        </w:tc>
        <w:tc>
          <w:tcPr>
            <w:tcW w:w="2127"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Vocational</w:t>
            </w:r>
          </w:p>
        </w:tc>
        <w:tc>
          <w:tcPr>
            <w:tcW w:w="1559"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20.3</w:t>
            </w:r>
          </w:p>
        </w:tc>
        <w:tc>
          <w:tcPr>
            <w:tcW w:w="1417"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22.0</w:t>
            </w:r>
          </w:p>
        </w:tc>
        <w:tc>
          <w:tcPr>
            <w:tcW w:w="1560" w:type="dxa"/>
            <w:tcBorders>
              <w:left w:val="nil"/>
              <w:right w:val="nil"/>
            </w:tcBorders>
            <w:noWrap/>
            <w:vAlign w:val="center"/>
            <w:hideMark/>
          </w:tcPr>
          <w:p w:rsidR="007C1D53" w:rsidRPr="00EF6887" w:rsidRDefault="007C1D53"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24.4</w:t>
            </w:r>
          </w:p>
        </w:tc>
        <w:tc>
          <w:tcPr>
            <w:tcW w:w="1648" w:type="dxa"/>
            <w:tcBorders>
              <w:left w:val="nil"/>
              <w:right w:val="nil"/>
            </w:tcBorders>
            <w:noWrap/>
            <w:vAlign w:val="center"/>
            <w:hideMark/>
          </w:tcPr>
          <w:p w:rsidR="007C1D53" w:rsidRPr="00EF6887" w:rsidRDefault="007C1D53" w:rsidP="00F35F45">
            <w:pPr>
              <w:jc w:val="center"/>
              <w:rPr>
                <w:rFonts w:ascii="Arial" w:hAnsi="Arial" w:cs="Arial"/>
                <w:color w:val="000000"/>
                <w:sz w:val="20"/>
                <w:szCs w:val="20"/>
              </w:rPr>
            </w:pPr>
            <w:r w:rsidRPr="00EF6887">
              <w:rPr>
                <w:rFonts w:ascii="Arial" w:eastAsia="Verdana" w:hAnsi="Arial" w:cs="Arial"/>
                <w:sz w:val="20"/>
                <w:szCs w:val="20"/>
              </w:rPr>
              <w:t>26.6</w:t>
            </w:r>
          </w:p>
        </w:tc>
        <w:tc>
          <w:tcPr>
            <w:tcW w:w="1276" w:type="dxa"/>
            <w:tcBorders>
              <w:left w:val="nil"/>
              <w:right w:val="nil"/>
            </w:tcBorders>
            <w:noWrap/>
            <w:vAlign w:val="center"/>
            <w:hideMark/>
          </w:tcPr>
          <w:p w:rsidR="007C1D53" w:rsidRPr="00EF6887" w:rsidRDefault="007C1D53" w:rsidP="0008154A">
            <w:pPr>
              <w:tabs>
                <w:tab w:val="left" w:pos="1263"/>
              </w:tabs>
              <w:jc w:val="center"/>
              <w:rPr>
                <w:rFonts w:ascii="Arial" w:eastAsia="Verdana" w:hAnsi="Arial" w:cs="Arial"/>
                <w:sz w:val="20"/>
                <w:szCs w:val="20"/>
              </w:rPr>
            </w:pPr>
          </w:p>
        </w:tc>
        <w:tc>
          <w:tcPr>
            <w:tcW w:w="1276" w:type="dxa"/>
            <w:tcBorders>
              <w:left w:val="nil"/>
              <w:right w:val="nil"/>
            </w:tcBorders>
            <w:noWrap/>
            <w:vAlign w:val="center"/>
          </w:tcPr>
          <w:p w:rsidR="007C1D53" w:rsidRPr="00EF6887" w:rsidRDefault="007C1D53" w:rsidP="0008154A">
            <w:pPr>
              <w:jc w:val="center"/>
              <w:rPr>
                <w:rFonts w:ascii="Arial" w:hAnsi="Arial" w:cs="Arial"/>
                <w:color w:val="000000"/>
                <w:sz w:val="20"/>
                <w:szCs w:val="20"/>
              </w:rPr>
            </w:pPr>
            <w:r w:rsidRPr="00EF6887">
              <w:rPr>
                <w:rFonts w:ascii="Arial" w:hAnsi="Arial" w:cs="Arial"/>
                <w:color w:val="000000"/>
                <w:sz w:val="20"/>
                <w:szCs w:val="20"/>
              </w:rPr>
              <w:t>23.4</w:t>
            </w:r>
          </w:p>
        </w:tc>
      </w:tr>
      <w:tr w:rsidR="004043F0" w:rsidRPr="00EF6887" w:rsidTr="005A7BF8">
        <w:trPr>
          <w:trHeight w:val="300"/>
        </w:trPr>
        <w:tc>
          <w:tcPr>
            <w:tcW w:w="408"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p>
        </w:tc>
        <w:tc>
          <w:tcPr>
            <w:tcW w:w="2127"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Secondary</w:t>
            </w:r>
          </w:p>
        </w:tc>
        <w:tc>
          <w:tcPr>
            <w:tcW w:w="1559"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15.6</w:t>
            </w:r>
          </w:p>
        </w:tc>
        <w:tc>
          <w:tcPr>
            <w:tcW w:w="1417"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16.6</w:t>
            </w:r>
          </w:p>
        </w:tc>
        <w:tc>
          <w:tcPr>
            <w:tcW w:w="1560" w:type="dxa"/>
            <w:tcBorders>
              <w:left w:val="nil"/>
              <w:right w:val="nil"/>
            </w:tcBorders>
            <w:noWrap/>
            <w:vAlign w:val="center"/>
            <w:hideMark/>
          </w:tcPr>
          <w:p w:rsidR="007C1D53" w:rsidRPr="00EF6887" w:rsidRDefault="007C1D53"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18.0</w:t>
            </w:r>
          </w:p>
        </w:tc>
        <w:tc>
          <w:tcPr>
            <w:tcW w:w="1648" w:type="dxa"/>
            <w:tcBorders>
              <w:left w:val="nil"/>
              <w:right w:val="nil"/>
            </w:tcBorders>
            <w:noWrap/>
            <w:vAlign w:val="center"/>
            <w:hideMark/>
          </w:tcPr>
          <w:p w:rsidR="007C1D53" w:rsidRPr="00EF6887" w:rsidRDefault="007C1D53" w:rsidP="00F35F45">
            <w:pPr>
              <w:jc w:val="center"/>
              <w:rPr>
                <w:rFonts w:ascii="Arial" w:hAnsi="Arial" w:cs="Arial"/>
                <w:color w:val="000000"/>
                <w:sz w:val="20"/>
                <w:szCs w:val="20"/>
              </w:rPr>
            </w:pPr>
            <w:r w:rsidRPr="00EF6887">
              <w:rPr>
                <w:rFonts w:ascii="Arial" w:eastAsia="Verdana" w:hAnsi="Arial" w:cs="Arial"/>
                <w:sz w:val="20"/>
                <w:szCs w:val="20"/>
              </w:rPr>
              <w:t>17.0</w:t>
            </w:r>
          </w:p>
        </w:tc>
        <w:tc>
          <w:tcPr>
            <w:tcW w:w="1276" w:type="dxa"/>
            <w:tcBorders>
              <w:left w:val="nil"/>
              <w:right w:val="nil"/>
            </w:tcBorders>
            <w:noWrap/>
            <w:vAlign w:val="center"/>
            <w:hideMark/>
          </w:tcPr>
          <w:p w:rsidR="007C1D53" w:rsidRPr="00EF6887" w:rsidRDefault="007C1D53" w:rsidP="0008154A">
            <w:pPr>
              <w:tabs>
                <w:tab w:val="left" w:pos="1263"/>
              </w:tabs>
              <w:jc w:val="center"/>
              <w:rPr>
                <w:rFonts w:ascii="Arial" w:eastAsia="Verdana" w:hAnsi="Arial" w:cs="Arial"/>
                <w:sz w:val="20"/>
                <w:szCs w:val="20"/>
              </w:rPr>
            </w:pPr>
          </w:p>
        </w:tc>
        <w:tc>
          <w:tcPr>
            <w:tcW w:w="1276" w:type="dxa"/>
            <w:tcBorders>
              <w:left w:val="nil"/>
              <w:right w:val="nil"/>
            </w:tcBorders>
            <w:noWrap/>
            <w:vAlign w:val="center"/>
          </w:tcPr>
          <w:p w:rsidR="007C1D53" w:rsidRPr="00EF6887" w:rsidRDefault="007C1D53" w:rsidP="0008154A">
            <w:pPr>
              <w:jc w:val="center"/>
              <w:rPr>
                <w:rFonts w:ascii="Arial" w:hAnsi="Arial" w:cs="Arial"/>
                <w:color w:val="000000"/>
                <w:sz w:val="20"/>
                <w:szCs w:val="20"/>
              </w:rPr>
            </w:pPr>
            <w:r w:rsidRPr="00EF6887">
              <w:rPr>
                <w:rFonts w:ascii="Arial" w:hAnsi="Arial" w:cs="Arial"/>
                <w:color w:val="000000"/>
                <w:sz w:val="20"/>
                <w:szCs w:val="20"/>
              </w:rPr>
              <w:t>16.6</w:t>
            </w:r>
          </w:p>
        </w:tc>
      </w:tr>
      <w:tr w:rsidR="004043F0" w:rsidRPr="00EF6887" w:rsidTr="005A7BF8">
        <w:trPr>
          <w:trHeight w:val="300"/>
        </w:trPr>
        <w:tc>
          <w:tcPr>
            <w:tcW w:w="408"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p>
        </w:tc>
        <w:tc>
          <w:tcPr>
            <w:tcW w:w="2127"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Higher</w:t>
            </w:r>
          </w:p>
        </w:tc>
        <w:tc>
          <w:tcPr>
            <w:tcW w:w="1559"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18.6</w:t>
            </w:r>
          </w:p>
        </w:tc>
        <w:tc>
          <w:tcPr>
            <w:tcW w:w="1417"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20.7</w:t>
            </w:r>
          </w:p>
        </w:tc>
        <w:tc>
          <w:tcPr>
            <w:tcW w:w="1560" w:type="dxa"/>
            <w:tcBorders>
              <w:left w:val="nil"/>
              <w:right w:val="nil"/>
            </w:tcBorders>
            <w:noWrap/>
            <w:vAlign w:val="center"/>
            <w:hideMark/>
          </w:tcPr>
          <w:p w:rsidR="007C1D53" w:rsidRPr="00EF6887" w:rsidRDefault="007C1D53"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17.8</w:t>
            </w:r>
          </w:p>
        </w:tc>
        <w:tc>
          <w:tcPr>
            <w:tcW w:w="1648" w:type="dxa"/>
            <w:tcBorders>
              <w:left w:val="nil"/>
              <w:right w:val="nil"/>
            </w:tcBorders>
            <w:noWrap/>
            <w:vAlign w:val="center"/>
            <w:hideMark/>
          </w:tcPr>
          <w:p w:rsidR="007C1D53" w:rsidRPr="00EF6887" w:rsidRDefault="007C1D53" w:rsidP="00F35F45">
            <w:pPr>
              <w:jc w:val="center"/>
              <w:rPr>
                <w:rFonts w:ascii="Arial" w:hAnsi="Arial" w:cs="Arial"/>
                <w:color w:val="000000"/>
                <w:sz w:val="20"/>
                <w:szCs w:val="20"/>
              </w:rPr>
            </w:pPr>
            <w:r w:rsidRPr="00EF6887">
              <w:rPr>
                <w:rFonts w:ascii="Arial" w:eastAsia="Verdana" w:hAnsi="Arial" w:cs="Arial"/>
                <w:sz w:val="20"/>
                <w:szCs w:val="20"/>
              </w:rPr>
              <w:t>15.9</w:t>
            </w:r>
          </w:p>
        </w:tc>
        <w:tc>
          <w:tcPr>
            <w:tcW w:w="1276" w:type="dxa"/>
            <w:tcBorders>
              <w:left w:val="nil"/>
              <w:right w:val="nil"/>
            </w:tcBorders>
            <w:noWrap/>
            <w:vAlign w:val="center"/>
            <w:hideMark/>
          </w:tcPr>
          <w:p w:rsidR="007C1D53" w:rsidRPr="00EF6887" w:rsidRDefault="007C1D53" w:rsidP="0008154A">
            <w:pPr>
              <w:tabs>
                <w:tab w:val="left" w:pos="1263"/>
              </w:tabs>
              <w:jc w:val="center"/>
              <w:rPr>
                <w:rFonts w:ascii="Arial" w:eastAsia="Verdana" w:hAnsi="Arial" w:cs="Arial"/>
                <w:sz w:val="20"/>
                <w:szCs w:val="20"/>
              </w:rPr>
            </w:pPr>
          </w:p>
        </w:tc>
        <w:tc>
          <w:tcPr>
            <w:tcW w:w="1276" w:type="dxa"/>
            <w:tcBorders>
              <w:left w:val="nil"/>
              <w:right w:val="nil"/>
            </w:tcBorders>
            <w:noWrap/>
            <w:vAlign w:val="center"/>
          </w:tcPr>
          <w:p w:rsidR="007C1D53" w:rsidRPr="00EF6887" w:rsidRDefault="007C1D53" w:rsidP="0008154A">
            <w:pPr>
              <w:jc w:val="center"/>
              <w:rPr>
                <w:rFonts w:ascii="Arial" w:hAnsi="Arial" w:cs="Arial"/>
                <w:color w:val="000000"/>
                <w:sz w:val="20"/>
                <w:szCs w:val="20"/>
              </w:rPr>
            </w:pPr>
            <w:r w:rsidRPr="00EF6887">
              <w:rPr>
                <w:rFonts w:ascii="Arial" w:hAnsi="Arial" w:cs="Arial"/>
                <w:color w:val="000000"/>
                <w:sz w:val="20"/>
                <w:szCs w:val="20"/>
              </w:rPr>
              <w:t>18.3</w:t>
            </w:r>
          </w:p>
        </w:tc>
      </w:tr>
      <w:tr w:rsidR="004043F0" w:rsidRPr="00EF6887" w:rsidTr="005A7BF8">
        <w:trPr>
          <w:trHeight w:val="300"/>
        </w:trPr>
        <w:tc>
          <w:tcPr>
            <w:tcW w:w="2535" w:type="dxa"/>
            <w:gridSpan w:val="2"/>
            <w:tcBorders>
              <w:left w:val="nil"/>
              <w:right w:val="nil"/>
            </w:tcBorders>
            <w:noWrap/>
            <w:hideMark/>
          </w:tcPr>
          <w:p w:rsidR="00F80D8C" w:rsidRPr="00EF6887" w:rsidRDefault="00F80D8C"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Physical Activity (%)</w:t>
            </w:r>
          </w:p>
        </w:tc>
        <w:tc>
          <w:tcPr>
            <w:tcW w:w="1559" w:type="dxa"/>
            <w:tcBorders>
              <w:left w:val="nil"/>
              <w:right w:val="nil"/>
            </w:tcBorders>
            <w:noWrap/>
            <w:vAlign w:val="center"/>
            <w:hideMark/>
          </w:tcPr>
          <w:p w:rsidR="00F80D8C" w:rsidRPr="00EF6887" w:rsidRDefault="00F80D8C" w:rsidP="00A54C0E">
            <w:pPr>
              <w:tabs>
                <w:tab w:val="left" w:pos="1263"/>
              </w:tabs>
              <w:jc w:val="center"/>
              <w:rPr>
                <w:rFonts w:ascii="Arial" w:eastAsia="Verdana" w:hAnsi="Arial" w:cs="Arial"/>
                <w:sz w:val="20"/>
                <w:szCs w:val="20"/>
              </w:rPr>
            </w:pPr>
          </w:p>
        </w:tc>
        <w:tc>
          <w:tcPr>
            <w:tcW w:w="1417" w:type="dxa"/>
            <w:tcBorders>
              <w:left w:val="nil"/>
              <w:right w:val="nil"/>
            </w:tcBorders>
            <w:noWrap/>
            <w:vAlign w:val="center"/>
            <w:hideMark/>
          </w:tcPr>
          <w:p w:rsidR="00F80D8C" w:rsidRPr="00EF6887" w:rsidRDefault="00F80D8C" w:rsidP="00A54C0E">
            <w:pPr>
              <w:tabs>
                <w:tab w:val="left" w:pos="1263"/>
              </w:tabs>
              <w:jc w:val="center"/>
              <w:rPr>
                <w:rFonts w:ascii="Arial" w:eastAsia="Verdana" w:hAnsi="Arial" w:cs="Arial"/>
                <w:sz w:val="20"/>
                <w:szCs w:val="20"/>
              </w:rPr>
            </w:pPr>
          </w:p>
        </w:tc>
        <w:tc>
          <w:tcPr>
            <w:tcW w:w="1560" w:type="dxa"/>
            <w:tcBorders>
              <w:left w:val="nil"/>
              <w:right w:val="nil"/>
            </w:tcBorders>
            <w:noWrap/>
            <w:vAlign w:val="center"/>
            <w:hideMark/>
          </w:tcPr>
          <w:p w:rsidR="00F80D8C" w:rsidRPr="00EF6887" w:rsidRDefault="00F80D8C" w:rsidP="00C63D02">
            <w:pPr>
              <w:tabs>
                <w:tab w:val="left" w:pos="1263"/>
              </w:tabs>
              <w:jc w:val="center"/>
              <w:rPr>
                <w:rFonts w:ascii="Arial" w:eastAsia="Verdana" w:hAnsi="Arial" w:cs="Arial"/>
                <w:sz w:val="20"/>
                <w:szCs w:val="20"/>
              </w:rPr>
            </w:pPr>
          </w:p>
        </w:tc>
        <w:tc>
          <w:tcPr>
            <w:tcW w:w="1648" w:type="dxa"/>
            <w:tcBorders>
              <w:left w:val="nil"/>
              <w:right w:val="nil"/>
            </w:tcBorders>
            <w:noWrap/>
            <w:vAlign w:val="center"/>
            <w:hideMark/>
          </w:tcPr>
          <w:p w:rsidR="00F80D8C" w:rsidRPr="00EF6887" w:rsidRDefault="00F80D8C" w:rsidP="00C63D02">
            <w:pPr>
              <w:tabs>
                <w:tab w:val="left" w:pos="1263"/>
              </w:tabs>
              <w:jc w:val="center"/>
              <w:rPr>
                <w:rFonts w:ascii="Arial" w:eastAsia="Verdana" w:hAnsi="Arial" w:cs="Arial"/>
                <w:sz w:val="20"/>
                <w:szCs w:val="20"/>
              </w:rPr>
            </w:pPr>
          </w:p>
        </w:tc>
        <w:tc>
          <w:tcPr>
            <w:tcW w:w="1276" w:type="dxa"/>
            <w:tcBorders>
              <w:left w:val="nil"/>
              <w:right w:val="nil"/>
            </w:tcBorders>
            <w:noWrap/>
            <w:vAlign w:val="center"/>
            <w:hideMark/>
          </w:tcPr>
          <w:p w:rsidR="00F80D8C" w:rsidRPr="00EF6887" w:rsidRDefault="00F80D8C" w:rsidP="00C63D02">
            <w:pPr>
              <w:jc w:val="center"/>
              <w:rPr>
                <w:rFonts w:ascii="Arial" w:hAnsi="Arial" w:cs="Arial"/>
                <w:color w:val="000000"/>
                <w:sz w:val="20"/>
                <w:szCs w:val="20"/>
              </w:rPr>
            </w:pPr>
            <w:r w:rsidRPr="00EF6887">
              <w:rPr>
                <w:rFonts w:ascii="Arial" w:hAnsi="Arial" w:cs="Arial"/>
                <w:color w:val="000000"/>
                <w:sz w:val="20"/>
                <w:szCs w:val="20"/>
              </w:rPr>
              <w:t>0.0008</w:t>
            </w:r>
          </w:p>
        </w:tc>
        <w:tc>
          <w:tcPr>
            <w:tcW w:w="1276" w:type="dxa"/>
            <w:tcBorders>
              <w:left w:val="nil"/>
              <w:right w:val="nil"/>
            </w:tcBorders>
            <w:noWrap/>
            <w:vAlign w:val="center"/>
          </w:tcPr>
          <w:p w:rsidR="00F80D8C" w:rsidRPr="00EF6887" w:rsidRDefault="00F80D8C" w:rsidP="00C63D02">
            <w:pPr>
              <w:tabs>
                <w:tab w:val="left" w:pos="1263"/>
              </w:tabs>
              <w:jc w:val="center"/>
              <w:rPr>
                <w:rFonts w:ascii="Arial" w:eastAsia="Verdana" w:hAnsi="Arial" w:cs="Arial"/>
                <w:sz w:val="20"/>
                <w:szCs w:val="20"/>
              </w:rPr>
            </w:pPr>
          </w:p>
        </w:tc>
      </w:tr>
      <w:tr w:rsidR="004043F0" w:rsidRPr="00EF6887" w:rsidTr="005A7BF8">
        <w:trPr>
          <w:trHeight w:val="300"/>
        </w:trPr>
        <w:tc>
          <w:tcPr>
            <w:tcW w:w="408"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p>
        </w:tc>
        <w:tc>
          <w:tcPr>
            <w:tcW w:w="2127"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Inactive</w:t>
            </w:r>
          </w:p>
        </w:tc>
        <w:tc>
          <w:tcPr>
            <w:tcW w:w="1559"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30.1</w:t>
            </w:r>
          </w:p>
        </w:tc>
        <w:tc>
          <w:tcPr>
            <w:tcW w:w="1417"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26.4</w:t>
            </w:r>
          </w:p>
        </w:tc>
        <w:tc>
          <w:tcPr>
            <w:tcW w:w="1560" w:type="dxa"/>
            <w:tcBorders>
              <w:left w:val="nil"/>
              <w:right w:val="nil"/>
            </w:tcBorders>
            <w:noWrap/>
            <w:vAlign w:val="center"/>
            <w:hideMark/>
          </w:tcPr>
          <w:p w:rsidR="007C1D53" w:rsidRPr="00EF6887" w:rsidRDefault="007C1D53"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26.8</w:t>
            </w:r>
          </w:p>
        </w:tc>
        <w:tc>
          <w:tcPr>
            <w:tcW w:w="1648" w:type="dxa"/>
            <w:tcBorders>
              <w:left w:val="nil"/>
              <w:right w:val="nil"/>
            </w:tcBorders>
            <w:noWrap/>
            <w:vAlign w:val="center"/>
            <w:hideMark/>
          </w:tcPr>
          <w:p w:rsidR="007C1D53" w:rsidRPr="00EF6887" w:rsidRDefault="007C1D53" w:rsidP="00F35F45">
            <w:pPr>
              <w:jc w:val="center"/>
              <w:rPr>
                <w:rFonts w:ascii="Arial" w:hAnsi="Arial" w:cs="Arial"/>
                <w:color w:val="000000"/>
                <w:sz w:val="20"/>
                <w:szCs w:val="20"/>
              </w:rPr>
            </w:pPr>
            <w:r w:rsidRPr="00EF6887">
              <w:rPr>
                <w:rFonts w:ascii="Arial" w:eastAsia="Verdana" w:hAnsi="Arial" w:cs="Arial"/>
                <w:sz w:val="20"/>
                <w:szCs w:val="20"/>
              </w:rPr>
              <w:t>24.5</w:t>
            </w:r>
          </w:p>
        </w:tc>
        <w:tc>
          <w:tcPr>
            <w:tcW w:w="1276" w:type="dxa"/>
            <w:tcBorders>
              <w:left w:val="nil"/>
              <w:right w:val="nil"/>
            </w:tcBorders>
            <w:noWrap/>
            <w:vAlign w:val="center"/>
            <w:hideMark/>
          </w:tcPr>
          <w:p w:rsidR="007C1D53" w:rsidRPr="00EF6887" w:rsidRDefault="007C1D53" w:rsidP="0008154A">
            <w:pPr>
              <w:tabs>
                <w:tab w:val="left" w:pos="1263"/>
              </w:tabs>
              <w:jc w:val="center"/>
              <w:rPr>
                <w:rFonts w:ascii="Arial" w:eastAsia="Verdana" w:hAnsi="Arial" w:cs="Arial"/>
                <w:sz w:val="20"/>
                <w:szCs w:val="20"/>
              </w:rPr>
            </w:pPr>
          </w:p>
        </w:tc>
        <w:tc>
          <w:tcPr>
            <w:tcW w:w="1276" w:type="dxa"/>
            <w:tcBorders>
              <w:left w:val="nil"/>
              <w:right w:val="nil"/>
            </w:tcBorders>
            <w:noWrap/>
            <w:vAlign w:val="center"/>
          </w:tcPr>
          <w:p w:rsidR="007C1D53" w:rsidRPr="00EF6887" w:rsidRDefault="007C1D53" w:rsidP="0008154A">
            <w:pPr>
              <w:jc w:val="center"/>
              <w:rPr>
                <w:rFonts w:ascii="Arial" w:hAnsi="Arial" w:cs="Arial"/>
                <w:color w:val="000000"/>
                <w:sz w:val="20"/>
                <w:szCs w:val="20"/>
              </w:rPr>
            </w:pPr>
            <w:r w:rsidRPr="00EF6887">
              <w:rPr>
                <w:rFonts w:ascii="Arial" w:hAnsi="Arial" w:cs="Arial"/>
                <w:color w:val="000000"/>
                <w:sz w:val="20"/>
                <w:szCs w:val="20"/>
              </w:rPr>
              <w:t>27.0</w:t>
            </w:r>
          </w:p>
        </w:tc>
      </w:tr>
      <w:tr w:rsidR="004043F0" w:rsidRPr="00EF6887" w:rsidTr="005A7BF8">
        <w:trPr>
          <w:trHeight w:val="300"/>
        </w:trPr>
        <w:tc>
          <w:tcPr>
            <w:tcW w:w="408"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p>
        </w:tc>
        <w:tc>
          <w:tcPr>
            <w:tcW w:w="2127"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Moderately inactive</w:t>
            </w:r>
          </w:p>
        </w:tc>
        <w:tc>
          <w:tcPr>
            <w:tcW w:w="1559"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34.2</w:t>
            </w:r>
          </w:p>
        </w:tc>
        <w:tc>
          <w:tcPr>
            <w:tcW w:w="1417"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35.4</w:t>
            </w:r>
          </w:p>
        </w:tc>
        <w:tc>
          <w:tcPr>
            <w:tcW w:w="1560" w:type="dxa"/>
            <w:tcBorders>
              <w:left w:val="nil"/>
              <w:right w:val="nil"/>
            </w:tcBorders>
            <w:noWrap/>
            <w:vAlign w:val="center"/>
            <w:hideMark/>
          </w:tcPr>
          <w:p w:rsidR="007C1D53" w:rsidRPr="00EF6887" w:rsidRDefault="007C1D53"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34.8</w:t>
            </w:r>
          </w:p>
        </w:tc>
        <w:tc>
          <w:tcPr>
            <w:tcW w:w="1648" w:type="dxa"/>
            <w:tcBorders>
              <w:left w:val="nil"/>
              <w:right w:val="nil"/>
            </w:tcBorders>
            <w:noWrap/>
            <w:vAlign w:val="center"/>
            <w:hideMark/>
          </w:tcPr>
          <w:p w:rsidR="007C1D53" w:rsidRPr="00EF6887" w:rsidRDefault="007C1D53" w:rsidP="00F35F45">
            <w:pPr>
              <w:jc w:val="center"/>
              <w:rPr>
                <w:rFonts w:ascii="Arial" w:hAnsi="Arial" w:cs="Arial"/>
                <w:color w:val="000000"/>
                <w:sz w:val="20"/>
                <w:szCs w:val="20"/>
              </w:rPr>
            </w:pPr>
            <w:r w:rsidRPr="00EF6887">
              <w:rPr>
                <w:rFonts w:ascii="Arial" w:eastAsia="Verdana" w:hAnsi="Arial" w:cs="Arial"/>
                <w:sz w:val="20"/>
                <w:szCs w:val="20"/>
              </w:rPr>
              <w:t>36.2</w:t>
            </w:r>
          </w:p>
        </w:tc>
        <w:tc>
          <w:tcPr>
            <w:tcW w:w="1276" w:type="dxa"/>
            <w:tcBorders>
              <w:left w:val="nil"/>
              <w:right w:val="nil"/>
            </w:tcBorders>
            <w:noWrap/>
            <w:vAlign w:val="center"/>
            <w:hideMark/>
          </w:tcPr>
          <w:p w:rsidR="007C1D53" w:rsidRPr="00EF6887" w:rsidRDefault="007C1D53" w:rsidP="0008154A">
            <w:pPr>
              <w:tabs>
                <w:tab w:val="left" w:pos="1263"/>
              </w:tabs>
              <w:jc w:val="center"/>
              <w:rPr>
                <w:rFonts w:ascii="Arial" w:eastAsia="Verdana" w:hAnsi="Arial" w:cs="Arial"/>
                <w:sz w:val="20"/>
                <w:szCs w:val="20"/>
              </w:rPr>
            </w:pPr>
          </w:p>
        </w:tc>
        <w:tc>
          <w:tcPr>
            <w:tcW w:w="1276" w:type="dxa"/>
            <w:tcBorders>
              <w:left w:val="nil"/>
              <w:right w:val="nil"/>
            </w:tcBorders>
            <w:noWrap/>
            <w:vAlign w:val="center"/>
          </w:tcPr>
          <w:p w:rsidR="007C1D53" w:rsidRPr="00EF6887" w:rsidRDefault="007C1D53" w:rsidP="0008154A">
            <w:pPr>
              <w:jc w:val="center"/>
              <w:rPr>
                <w:rFonts w:ascii="Arial" w:hAnsi="Arial" w:cs="Arial"/>
                <w:color w:val="000000"/>
                <w:sz w:val="20"/>
                <w:szCs w:val="20"/>
              </w:rPr>
            </w:pPr>
            <w:r w:rsidRPr="00EF6887">
              <w:rPr>
                <w:rFonts w:ascii="Arial" w:hAnsi="Arial" w:cs="Arial"/>
                <w:color w:val="000000"/>
                <w:sz w:val="20"/>
                <w:szCs w:val="20"/>
              </w:rPr>
              <w:t>35.1</w:t>
            </w:r>
          </w:p>
        </w:tc>
      </w:tr>
      <w:tr w:rsidR="004043F0" w:rsidRPr="00EF6887" w:rsidTr="005A7BF8">
        <w:trPr>
          <w:trHeight w:val="300"/>
        </w:trPr>
        <w:tc>
          <w:tcPr>
            <w:tcW w:w="408"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p>
        </w:tc>
        <w:tc>
          <w:tcPr>
            <w:tcW w:w="2127"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Moderately active</w:t>
            </w:r>
          </w:p>
        </w:tc>
        <w:tc>
          <w:tcPr>
            <w:tcW w:w="1559"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20.3</w:t>
            </w:r>
          </w:p>
        </w:tc>
        <w:tc>
          <w:tcPr>
            <w:tcW w:w="1417"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20.9</w:t>
            </w:r>
          </w:p>
        </w:tc>
        <w:tc>
          <w:tcPr>
            <w:tcW w:w="1560" w:type="dxa"/>
            <w:tcBorders>
              <w:left w:val="nil"/>
              <w:right w:val="nil"/>
            </w:tcBorders>
            <w:noWrap/>
            <w:vAlign w:val="center"/>
            <w:hideMark/>
          </w:tcPr>
          <w:p w:rsidR="007C1D53" w:rsidRPr="00EF6887" w:rsidRDefault="007C1D53"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20.4</w:t>
            </w:r>
          </w:p>
        </w:tc>
        <w:tc>
          <w:tcPr>
            <w:tcW w:w="1648" w:type="dxa"/>
            <w:tcBorders>
              <w:left w:val="nil"/>
              <w:right w:val="nil"/>
            </w:tcBorders>
            <w:noWrap/>
            <w:vAlign w:val="center"/>
            <w:hideMark/>
          </w:tcPr>
          <w:p w:rsidR="007C1D53" w:rsidRPr="00EF6887" w:rsidRDefault="007C1D53" w:rsidP="00F35F45">
            <w:pPr>
              <w:jc w:val="center"/>
              <w:rPr>
                <w:rFonts w:ascii="Arial" w:hAnsi="Arial" w:cs="Arial"/>
                <w:color w:val="000000"/>
                <w:sz w:val="20"/>
                <w:szCs w:val="20"/>
              </w:rPr>
            </w:pPr>
            <w:r w:rsidRPr="00EF6887">
              <w:rPr>
                <w:rFonts w:ascii="Arial" w:eastAsia="Verdana" w:hAnsi="Arial" w:cs="Arial"/>
                <w:sz w:val="20"/>
                <w:szCs w:val="20"/>
              </w:rPr>
              <w:t>21.1</w:t>
            </w:r>
          </w:p>
        </w:tc>
        <w:tc>
          <w:tcPr>
            <w:tcW w:w="1276" w:type="dxa"/>
            <w:tcBorders>
              <w:left w:val="nil"/>
              <w:right w:val="nil"/>
            </w:tcBorders>
            <w:noWrap/>
            <w:vAlign w:val="center"/>
            <w:hideMark/>
          </w:tcPr>
          <w:p w:rsidR="007C1D53" w:rsidRPr="00EF6887" w:rsidRDefault="007C1D53" w:rsidP="0008154A">
            <w:pPr>
              <w:tabs>
                <w:tab w:val="left" w:pos="1263"/>
              </w:tabs>
              <w:jc w:val="center"/>
              <w:rPr>
                <w:rFonts w:ascii="Arial" w:eastAsia="Verdana" w:hAnsi="Arial" w:cs="Arial"/>
                <w:sz w:val="20"/>
                <w:szCs w:val="20"/>
              </w:rPr>
            </w:pPr>
          </w:p>
        </w:tc>
        <w:tc>
          <w:tcPr>
            <w:tcW w:w="1276" w:type="dxa"/>
            <w:tcBorders>
              <w:left w:val="nil"/>
              <w:right w:val="nil"/>
            </w:tcBorders>
            <w:noWrap/>
            <w:vAlign w:val="center"/>
          </w:tcPr>
          <w:p w:rsidR="007C1D53" w:rsidRPr="00EF6887" w:rsidRDefault="007C1D53" w:rsidP="0008154A">
            <w:pPr>
              <w:jc w:val="center"/>
              <w:rPr>
                <w:rFonts w:ascii="Arial" w:hAnsi="Arial" w:cs="Arial"/>
                <w:color w:val="000000"/>
                <w:sz w:val="20"/>
                <w:szCs w:val="20"/>
              </w:rPr>
            </w:pPr>
            <w:r w:rsidRPr="00EF6887">
              <w:rPr>
                <w:rFonts w:ascii="Arial" w:hAnsi="Arial" w:cs="Arial"/>
                <w:color w:val="000000"/>
                <w:sz w:val="20"/>
                <w:szCs w:val="20"/>
              </w:rPr>
              <w:t>20.9</w:t>
            </w:r>
          </w:p>
        </w:tc>
      </w:tr>
      <w:tr w:rsidR="004043F0" w:rsidRPr="00EF6887" w:rsidTr="005A7BF8">
        <w:trPr>
          <w:trHeight w:val="300"/>
        </w:trPr>
        <w:tc>
          <w:tcPr>
            <w:tcW w:w="408"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p>
        </w:tc>
        <w:tc>
          <w:tcPr>
            <w:tcW w:w="2127"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Active</w:t>
            </w:r>
          </w:p>
        </w:tc>
        <w:tc>
          <w:tcPr>
            <w:tcW w:w="1559"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15.4</w:t>
            </w:r>
          </w:p>
        </w:tc>
        <w:tc>
          <w:tcPr>
            <w:tcW w:w="1417"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17.3</w:t>
            </w:r>
          </w:p>
        </w:tc>
        <w:tc>
          <w:tcPr>
            <w:tcW w:w="1560" w:type="dxa"/>
            <w:tcBorders>
              <w:left w:val="nil"/>
              <w:right w:val="nil"/>
            </w:tcBorders>
            <w:noWrap/>
            <w:vAlign w:val="center"/>
            <w:hideMark/>
          </w:tcPr>
          <w:p w:rsidR="007C1D53" w:rsidRPr="00EF6887" w:rsidRDefault="007C1D53"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18.0</w:t>
            </w:r>
          </w:p>
        </w:tc>
        <w:tc>
          <w:tcPr>
            <w:tcW w:w="1648" w:type="dxa"/>
            <w:tcBorders>
              <w:left w:val="nil"/>
              <w:right w:val="nil"/>
            </w:tcBorders>
            <w:noWrap/>
            <w:vAlign w:val="center"/>
            <w:hideMark/>
          </w:tcPr>
          <w:p w:rsidR="007C1D53" w:rsidRPr="00EF6887" w:rsidRDefault="007C1D53" w:rsidP="00F35F45">
            <w:pPr>
              <w:jc w:val="center"/>
              <w:rPr>
                <w:rFonts w:ascii="Arial" w:hAnsi="Arial" w:cs="Arial"/>
                <w:color w:val="000000"/>
                <w:sz w:val="20"/>
                <w:szCs w:val="20"/>
              </w:rPr>
            </w:pPr>
            <w:r w:rsidRPr="00EF6887">
              <w:rPr>
                <w:rFonts w:ascii="Arial" w:eastAsia="Verdana" w:hAnsi="Arial" w:cs="Arial"/>
                <w:sz w:val="20"/>
                <w:szCs w:val="20"/>
              </w:rPr>
              <w:t>18.2</w:t>
            </w:r>
          </w:p>
        </w:tc>
        <w:tc>
          <w:tcPr>
            <w:tcW w:w="1276" w:type="dxa"/>
            <w:tcBorders>
              <w:left w:val="nil"/>
              <w:right w:val="nil"/>
            </w:tcBorders>
            <w:noWrap/>
            <w:vAlign w:val="center"/>
            <w:hideMark/>
          </w:tcPr>
          <w:p w:rsidR="007C1D53" w:rsidRPr="00EF6887" w:rsidRDefault="007C1D53" w:rsidP="0008154A">
            <w:pPr>
              <w:tabs>
                <w:tab w:val="left" w:pos="1263"/>
              </w:tabs>
              <w:jc w:val="center"/>
              <w:rPr>
                <w:rFonts w:ascii="Arial" w:eastAsia="Verdana" w:hAnsi="Arial" w:cs="Arial"/>
                <w:sz w:val="20"/>
                <w:szCs w:val="20"/>
              </w:rPr>
            </w:pPr>
          </w:p>
        </w:tc>
        <w:tc>
          <w:tcPr>
            <w:tcW w:w="1276" w:type="dxa"/>
            <w:tcBorders>
              <w:left w:val="nil"/>
              <w:right w:val="nil"/>
            </w:tcBorders>
            <w:noWrap/>
            <w:vAlign w:val="center"/>
          </w:tcPr>
          <w:p w:rsidR="007C1D53" w:rsidRPr="00EF6887" w:rsidRDefault="007C1D53" w:rsidP="0008154A">
            <w:pPr>
              <w:jc w:val="center"/>
              <w:rPr>
                <w:rFonts w:ascii="Arial" w:hAnsi="Arial" w:cs="Arial"/>
                <w:color w:val="000000"/>
                <w:sz w:val="20"/>
                <w:szCs w:val="20"/>
              </w:rPr>
            </w:pPr>
            <w:r w:rsidRPr="00EF6887">
              <w:rPr>
                <w:rFonts w:ascii="Arial" w:hAnsi="Arial" w:cs="Arial"/>
                <w:color w:val="000000"/>
                <w:sz w:val="20"/>
                <w:szCs w:val="20"/>
              </w:rPr>
              <w:t>17.1</w:t>
            </w:r>
          </w:p>
        </w:tc>
      </w:tr>
      <w:tr w:rsidR="004043F0" w:rsidRPr="00EF6887" w:rsidTr="005A7BF8">
        <w:trPr>
          <w:trHeight w:val="300"/>
        </w:trPr>
        <w:tc>
          <w:tcPr>
            <w:tcW w:w="2535" w:type="dxa"/>
            <w:gridSpan w:val="2"/>
            <w:tcBorders>
              <w:left w:val="nil"/>
              <w:right w:val="nil"/>
            </w:tcBorders>
            <w:noWrap/>
            <w:hideMark/>
          </w:tcPr>
          <w:p w:rsidR="00F80D8C" w:rsidRPr="00EF6887" w:rsidRDefault="00F80D8C"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Smoking (%)</w:t>
            </w:r>
          </w:p>
        </w:tc>
        <w:tc>
          <w:tcPr>
            <w:tcW w:w="1559" w:type="dxa"/>
            <w:tcBorders>
              <w:left w:val="nil"/>
              <w:right w:val="nil"/>
            </w:tcBorders>
            <w:noWrap/>
            <w:vAlign w:val="center"/>
            <w:hideMark/>
          </w:tcPr>
          <w:p w:rsidR="00F80D8C" w:rsidRPr="00EF6887" w:rsidRDefault="00F80D8C" w:rsidP="00A54C0E">
            <w:pPr>
              <w:tabs>
                <w:tab w:val="left" w:pos="1263"/>
              </w:tabs>
              <w:jc w:val="center"/>
              <w:rPr>
                <w:rFonts w:ascii="Arial" w:eastAsia="Verdana" w:hAnsi="Arial" w:cs="Arial"/>
                <w:sz w:val="20"/>
                <w:szCs w:val="20"/>
              </w:rPr>
            </w:pPr>
          </w:p>
        </w:tc>
        <w:tc>
          <w:tcPr>
            <w:tcW w:w="1417" w:type="dxa"/>
            <w:tcBorders>
              <w:left w:val="nil"/>
              <w:right w:val="nil"/>
            </w:tcBorders>
            <w:noWrap/>
            <w:vAlign w:val="center"/>
            <w:hideMark/>
          </w:tcPr>
          <w:p w:rsidR="00F80D8C" w:rsidRPr="00EF6887" w:rsidRDefault="00F80D8C" w:rsidP="00A54C0E">
            <w:pPr>
              <w:tabs>
                <w:tab w:val="left" w:pos="1263"/>
              </w:tabs>
              <w:jc w:val="center"/>
              <w:rPr>
                <w:rFonts w:ascii="Arial" w:eastAsia="Verdana" w:hAnsi="Arial" w:cs="Arial"/>
                <w:sz w:val="20"/>
                <w:szCs w:val="20"/>
              </w:rPr>
            </w:pPr>
          </w:p>
        </w:tc>
        <w:tc>
          <w:tcPr>
            <w:tcW w:w="1560" w:type="dxa"/>
            <w:tcBorders>
              <w:left w:val="nil"/>
              <w:right w:val="nil"/>
            </w:tcBorders>
            <w:noWrap/>
            <w:vAlign w:val="center"/>
            <w:hideMark/>
          </w:tcPr>
          <w:p w:rsidR="00F80D8C" w:rsidRPr="00EF6887" w:rsidRDefault="00F80D8C" w:rsidP="00C63D02">
            <w:pPr>
              <w:tabs>
                <w:tab w:val="left" w:pos="1263"/>
              </w:tabs>
              <w:jc w:val="center"/>
              <w:rPr>
                <w:rFonts w:ascii="Arial" w:eastAsia="Verdana" w:hAnsi="Arial" w:cs="Arial"/>
                <w:sz w:val="20"/>
                <w:szCs w:val="20"/>
              </w:rPr>
            </w:pPr>
          </w:p>
        </w:tc>
        <w:tc>
          <w:tcPr>
            <w:tcW w:w="1648" w:type="dxa"/>
            <w:tcBorders>
              <w:left w:val="nil"/>
              <w:right w:val="nil"/>
            </w:tcBorders>
            <w:noWrap/>
            <w:vAlign w:val="center"/>
            <w:hideMark/>
          </w:tcPr>
          <w:p w:rsidR="00F80D8C" w:rsidRPr="00EF6887" w:rsidRDefault="00F80D8C" w:rsidP="00C63D02">
            <w:pPr>
              <w:tabs>
                <w:tab w:val="left" w:pos="1263"/>
              </w:tabs>
              <w:jc w:val="center"/>
              <w:rPr>
                <w:rFonts w:ascii="Arial" w:eastAsia="Verdana" w:hAnsi="Arial" w:cs="Arial"/>
                <w:sz w:val="20"/>
                <w:szCs w:val="20"/>
              </w:rPr>
            </w:pPr>
          </w:p>
        </w:tc>
        <w:tc>
          <w:tcPr>
            <w:tcW w:w="1276" w:type="dxa"/>
            <w:tcBorders>
              <w:left w:val="nil"/>
              <w:right w:val="nil"/>
            </w:tcBorders>
            <w:noWrap/>
            <w:vAlign w:val="center"/>
            <w:hideMark/>
          </w:tcPr>
          <w:p w:rsidR="00F80D8C" w:rsidRPr="00EF6887" w:rsidRDefault="00F80D8C" w:rsidP="00C63D02">
            <w:pPr>
              <w:jc w:val="center"/>
              <w:rPr>
                <w:rFonts w:ascii="Arial" w:hAnsi="Arial" w:cs="Arial"/>
                <w:color w:val="000000"/>
                <w:sz w:val="20"/>
                <w:szCs w:val="20"/>
              </w:rPr>
            </w:pPr>
            <w:r w:rsidRPr="00EF6887">
              <w:rPr>
                <w:rFonts w:ascii="Arial" w:hAnsi="Arial" w:cs="Arial"/>
                <w:color w:val="000000"/>
                <w:sz w:val="20"/>
                <w:szCs w:val="20"/>
              </w:rPr>
              <w:t>0.0006</w:t>
            </w:r>
          </w:p>
        </w:tc>
        <w:tc>
          <w:tcPr>
            <w:tcW w:w="1276" w:type="dxa"/>
            <w:tcBorders>
              <w:left w:val="nil"/>
              <w:right w:val="nil"/>
            </w:tcBorders>
            <w:noWrap/>
            <w:vAlign w:val="center"/>
          </w:tcPr>
          <w:p w:rsidR="00F80D8C" w:rsidRPr="00EF6887" w:rsidRDefault="00F80D8C" w:rsidP="00C63D02">
            <w:pPr>
              <w:tabs>
                <w:tab w:val="left" w:pos="1263"/>
              </w:tabs>
              <w:jc w:val="center"/>
              <w:rPr>
                <w:rFonts w:ascii="Arial" w:eastAsia="Verdana" w:hAnsi="Arial" w:cs="Arial"/>
                <w:sz w:val="20"/>
                <w:szCs w:val="20"/>
              </w:rPr>
            </w:pPr>
          </w:p>
        </w:tc>
      </w:tr>
      <w:tr w:rsidR="004043F0" w:rsidRPr="00EF6887" w:rsidTr="005A7BF8">
        <w:trPr>
          <w:trHeight w:val="300"/>
        </w:trPr>
        <w:tc>
          <w:tcPr>
            <w:tcW w:w="408"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p>
        </w:tc>
        <w:tc>
          <w:tcPr>
            <w:tcW w:w="2127"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Never</w:t>
            </w:r>
          </w:p>
        </w:tc>
        <w:tc>
          <w:tcPr>
            <w:tcW w:w="1559"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59.7</w:t>
            </w:r>
          </w:p>
        </w:tc>
        <w:tc>
          <w:tcPr>
            <w:tcW w:w="1417"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54.6</w:t>
            </w:r>
          </w:p>
        </w:tc>
        <w:tc>
          <w:tcPr>
            <w:tcW w:w="1560" w:type="dxa"/>
            <w:tcBorders>
              <w:left w:val="nil"/>
              <w:right w:val="nil"/>
            </w:tcBorders>
            <w:noWrap/>
            <w:vAlign w:val="center"/>
            <w:hideMark/>
          </w:tcPr>
          <w:p w:rsidR="007C1D53" w:rsidRPr="00EF6887" w:rsidRDefault="007C1D53"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54.1</w:t>
            </w:r>
          </w:p>
        </w:tc>
        <w:tc>
          <w:tcPr>
            <w:tcW w:w="1648" w:type="dxa"/>
            <w:tcBorders>
              <w:left w:val="nil"/>
              <w:right w:val="nil"/>
            </w:tcBorders>
            <w:noWrap/>
            <w:vAlign w:val="center"/>
            <w:hideMark/>
          </w:tcPr>
          <w:p w:rsidR="007C1D53" w:rsidRPr="00EF6887" w:rsidRDefault="007C1D53" w:rsidP="00F35F45">
            <w:pPr>
              <w:jc w:val="center"/>
              <w:rPr>
                <w:rFonts w:ascii="Arial" w:hAnsi="Arial" w:cs="Arial"/>
                <w:color w:val="000000"/>
                <w:sz w:val="20"/>
                <w:szCs w:val="20"/>
              </w:rPr>
            </w:pPr>
            <w:r w:rsidRPr="00EF6887">
              <w:rPr>
                <w:rFonts w:ascii="Arial" w:eastAsia="Verdana" w:hAnsi="Arial" w:cs="Arial"/>
                <w:sz w:val="20"/>
                <w:szCs w:val="20"/>
              </w:rPr>
              <w:t>56.2</w:t>
            </w:r>
          </w:p>
        </w:tc>
        <w:tc>
          <w:tcPr>
            <w:tcW w:w="1276" w:type="dxa"/>
            <w:tcBorders>
              <w:left w:val="nil"/>
              <w:right w:val="nil"/>
            </w:tcBorders>
            <w:noWrap/>
            <w:vAlign w:val="center"/>
            <w:hideMark/>
          </w:tcPr>
          <w:p w:rsidR="007C1D53" w:rsidRPr="00EF6887" w:rsidRDefault="007C1D53" w:rsidP="0008154A">
            <w:pPr>
              <w:tabs>
                <w:tab w:val="left" w:pos="1263"/>
              </w:tabs>
              <w:jc w:val="center"/>
              <w:rPr>
                <w:rFonts w:ascii="Arial" w:eastAsia="Verdana" w:hAnsi="Arial" w:cs="Arial"/>
                <w:sz w:val="20"/>
                <w:szCs w:val="20"/>
              </w:rPr>
            </w:pPr>
          </w:p>
        </w:tc>
        <w:tc>
          <w:tcPr>
            <w:tcW w:w="1276" w:type="dxa"/>
            <w:tcBorders>
              <w:left w:val="nil"/>
              <w:right w:val="nil"/>
            </w:tcBorders>
            <w:noWrap/>
            <w:vAlign w:val="center"/>
          </w:tcPr>
          <w:p w:rsidR="007C1D53" w:rsidRPr="00EF6887" w:rsidRDefault="007C1D53" w:rsidP="0008154A">
            <w:pPr>
              <w:jc w:val="center"/>
              <w:rPr>
                <w:rFonts w:ascii="Arial" w:hAnsi="Arial" w:cs="Arial"/>
                <w:color w:val="000000"/>
                <w:sz w:val="20"/>
                <w:szCs w:val="20"/>
              </w:rPr>
            </w:pPr>
            <w:r w:rsidRPr="00EF6887">
              <w:rPr>
                <w:rFonts w:ascii="Arial" w:hAnsi="Arial" w:cs="Arial"/>
                <w:color w:val="000000"/>
                <w:sz w:val="20"/>
                <w:szCs w:val="20"/>
              </w:rPr>
              <w:t>56.0</w:t>
            </w:r>
          </w:p>
        </w:tc>
      </w:tr>
      <w:tr w:rsidR="004043F0" w:rsidRPr="00EF6887" w:rsidTr="005A7BF8">
        <w:trPr>
          <w:trHeight w:val="300"/>
        </w:trPr>
        <w:tc>
          <w:tcPr>
            <w:tcW w:w="408"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p>
        </w:tc>
        <w:tc>
          <w:tcPr>
            <w:tcW w:w="2127"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Former</w:t>
            </w:r>
          </w:p>
        </w:tc>
        <w:tc>
          <w:tcPr>
            <w:tcW w:w="1559"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20.2</w:t>
            </w:r>
          </w:p>
        </w:tc>
        <w:tc>
          <w:tcPr>
            <w:tcW w:w="1417"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21.3</w:t>
            </w:r>
          </w:p>
        </w:tc>
        <w:tc>
          <w:tcPr>
            <w:tcW w:w="1560" w:type="dxa"/>
            <w:tcBorders>
              <w:left w:val="nil"/>
              <w:right w:val="nil"/>
            </w:tcBorders>
            <w:noWrap/>
            <w:vAlign w:val="center"/>
            <w:hideMark/>
          </w:tcPr>
          <w:p w:rsidR="007C1D53" w:rsidRPr="00EF6887" w:rsidRDefault="007C1D53"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21.7</w:t>
            </w:r>
          </w:p>
        </w:tc>
        <w:tc>
          <w:tcPr>
            <w:tcW w:w="1648" w:type="dxa"/>
            <w:tcBorders>
              <w:left w:val="nil"/>
              <w:right w:val="nil"/>
            </w:tcBorders>
            <w:noWrap/>
            <w:vAlign w:val="center"/>
            <w:hideMark/>
          </w:tcPr>
          <w:p w:rsidR="007C1D53" w:rsidRPr="00EF6887" w:rsidRDefault="007C1D53" w:rsidP="00F35F45">
            <w:pPr>
              <w:jc w:val="center"/>
              <w:rPr>
                <w:rFonts w:ascii="Arial" w:hAnsi="Arial" w:cs="Arial"/>
                <w:color w:val="000000"/>
                <w:sz w:val="20"/>
                <w:szCs w:val="20"/>
              </w:rPr>
            </w:pPr>
            <w:r w:rsidRPr="00EF6887">
              <w:rPr>
                <w:rFonts w:ascii="Arial" w:eastAsia="Verdana" w:hAnsi="Arial" w:cs="Arial"/>
                <w:sz w:val="20"/>
                <w:szCs w:val="20"/>
              </w:rPr>
              <w:t>22.4</w:t>
            </w:r>
          </w:p>
        </w:tc>
        <w:tc>
          <w:tcPr>
            <w:tcW w:w="1276" w:type="dxa"/>
            <w:tcBorders>
              <w:left w:val="nil"/>
              <w:right w:val="nil"/>
            </w:tcBorders>
            <w:noWrap/>
            <w:vAlign w:val="center"/>
            <w:hideMark/>
          </w:tcPr>
          <w:p w:rsidR="007C1D53" w:rsidRPr="00EF6887" w:rsidRDefault="007C1D53" w:rsidP="0008154A">
            <w:pPr>
              <w:tabs>
                <w:tab w:val="left" w:pos="1263"/>
              </w:tabs>
              <w:jc w:val="center"/>
              <w:rPr>
                <w:rFonts w:ascii="Arial" w:eastAsia="Verdana" w:hAnsi="Arial" w:cs="Arial"/>
                <w:sz w:val="20"/>
                <w:szCs w:val="20"/>
              </w:rPr>
            </w:pPr>
          </w:p>
        </w:tc>
        <w:tc>
          <w:tcPr>
            <w:tcW w:w="1276" w:type="dxa"/>
            <w:tcBorders>
              <w:left w:val="nil"/>
              <w:right w:val="nil"/>
            </w:tcBorders>
            <w:noWrap/>
            <w:vAlign w:val="center"/>
          </w:tcPr>
          <w:p w:rsidR="007C1D53" w:rsidRPr="00EF6887" w:rsidRDefault="007C1D53" w:rsidP="0008154A">
            <w:pPr>
              <w:jc w:val="center"/>
              <w:rPr>
                <w:rFonts w:ascii="Arial" w:hAnsi="Arial" w:cs="Arial"/>
                <w:color w:val="000000"/>
                <w:sz w:val="20"/>
                <w:szCs w:val="20"/>
              </w:rPr>
            </w:pPr>
            <w:r w:rsidRPr="00EF6887">
              <w:rPr>
                <w:rFonts w:ascii="Arial" w:hAnsi="Arial" w:cs="Arial"/>
                <w:color w:val="000000"/>
                <w:sz w:val="20"/>
                <w:szCs w:val="20"/>
              </w:rPr>
              <w:t>21.4</w:t>
            </w:r>
          </w:p>
        </w:tc>
      </w:tr>
      <w:tr w:rsidR="004043F0" w:rsidRPr="00EF6887" w:rsidTr="005A7BF8">
        <w:trPr>
          <w:trHeight w:val="300"/>
        </w:trPr>
        <w:tc>
          <w:tcPr>
            <w:tcW w:w="408"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p>
        </w:tc>
        <w:tc>
          <w:tcPr>
            <w:tcW w:w="2127" w:type="dxa"/>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Smoker</w:t>
            </w:r>
          </w:p>
        </w:tc>
        <w:tc>
          <w:tcPr>
            <w:tcW w:w="1559"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20.1</w:t>
            </w:r>
          </w:p>
        </w:tc>
        <w:tc>
          <w:tcPr>
            <w:tcW w:w="1417"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24.1</w:t>
            </w:r>
          </w:p>
        </w:tc>
        <w:tc>
          <w:tcPr>
            <w:tcW w:w="1560" w:type="dxa"/>
            <w:tcBorders>
              <w:left w:val="nil"/>
              <w:right w:val="nil"/>
            </w:tcBorders>
            <w:noWrap/>
            <w:vAlign w:val="center"/>
            <w:hideMark/>
          </w:tcPr>
          <w:p w:rsidR="007C1D53" w:rsidRPr="00EF6887" w:rsidRDefault="007C1D53"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24.3</w:t>
            </w:r>
          </w:p>
        </w:tc>
        <w:tc>
          <w:tcPr>
            <w:tcW w:w="1648" w:type="dxa"/>
            <w:tcBorders>
              <w:left w:val="nil"/>
              <w:right w:val="nil"/>
            </w:tcBorders>
            <w:noWrap/>
            <w:vAlign w:val="center"/>
            <w:hideMark/>
          </w:tcPr>
          <w:p w:rsidR="007C1D53" w:rsidRPr="00EF6887" w:rsidRDefault="007C1D53" w:rsidP="00F35F45">
            <w:pPr>
              <w:jc w:val="center"/>
              <w:rPr>
                <w:rFonts w:ascii="Arial" w:hAnsi="Arial" w:cs="Arial"/>
                <w:color w:val="000000"/>
                <w:sz w:val="20"/>
                <w:szCs w:val="20"/>
              </w:rPr>
            </w:pPr>
            <w:r w:rsidRPr="00EF6887">
              <w:rPr>
                <w:rFonts w:ascii="Arial" w:eastAsia="Verdana" w:hAnsi="Arial" w:cs="Arial"/>
                <w:sz w:val="20"/>
                <w:szCs w:val="20"/>
              </w:rPr>
              <w:t>21.4</w:t>
            </w:r>
          </w:p>
        </w:tc>
        <w:tc>
          <w:tcPr>
            <w:tcW w:w="1276" w:type="dxa"/>
            <w:tcBorders>
              <w:left w:val="nil"/>
              <w:right w:val="nil"/>
            </w:tcBorders>
            <w:noWrap/>
            <w:vAlign w:val="center"/>
            <w:hideMark/>
          </w:tcPr>
          <w:p w:rsidR="007C1D53" w:rsidRPr="00EF6887" w:rsidRDefault="007C1D53" w:rsidP="0008154A">
            <w:pPr>
              <w:tabs>
                <w:tab w:val="left" w:pos="1263"/>
              </w:tabs>
              <w:jc w:val="center"/>
              <w:rPr>
                <w:rFonts w:ascii="Arial" w:eastAsia="Verdana" w:hAnsi="Arial" w:cs="Arial"/>
                <w:sz w:val="20"/>
                <w:szCs w:val="20"/>
              </w:rPr>
            </w:pPr>
          </w:p>
        </w:tc>
        <w:tc>
          <w:tcPr>
            <w:tcW w:w="1276" w:type="dxa"/>
            <w:tcBorders>
              <w:left w:val="nil"/>
              <w:right w:val="nil"/>
            </w:tcBorders>
            <w:noWrap/>
            <w:vAlign w:val="center"/>
          </w:tcPr>
          <w:p w:rsidR="007C1D53" w:rsidRPr="00EF6887" w:rsidRDefault="007C1D53" w:rsidP="0008154A">
            <w:pPr>
              <w:jc w:val="center"/>
              <w:rPr>
                <w:rFonts w:ascii="Arial" w:hAnsi="Arial" w:cs="Arial"/>
                <w:color w:val="000000"/>
                <w:sz w:val="20"/>
                <w:szCs w:val="20"/>
              </w:rPr>
            </w:pPr>
            <w:r w:rsidRPr="00EF6887">
              <w:rPr>
                <w:rFonts w:ascii="Arial" w:hAnsi="Arial" w:cs="Arial"/>
                <w:color w:val="000000"/>
                <w:sz w:val="20"/>
                <w:szCs w:val="20"/>
              </w:rPr>
              <w:t>22.6</w:t>
            </w:r>
          </w:p>
        </w:tc>
      </w:tr>
      <w:tr w:rsidR="004043F0" w:rsidRPr="00EF6887" w:rsidTr="005A7BF8">
        <w:trPr>
          <w:trHeight w:val="300"/>
        </w:trPr>
        <w:tc>
          <w:tcPr>
            <w:tcW w:w="2535" w:type="dxa"/>
            <w:gridSpan w:val="2"/>
            <w:tcBorders>
              <w:left w:val="nil"/>
              <w:right w:val="nil"/>
            </w:tcBorders>
            <w:noWrap/>
            <w:hideMark/>
          </w:tcPr>
          <w:p w:rsidR="007C1D53" w:rsidRPr="00EF6887" w:rsidRDefault="007C1D53"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Family history of T2D (%)</w:t>
            </w:r>
          </w:p>
        </w:tc>
        <w:tc>
          <w:tcPr>
            <w:tcW w:w="1559"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19.7</w:t>
            </w:r>
          </w:p>
        </w:tc>
        <w:tc>
          <w:tcPr>
            <w:tcW w:w="1417" w:type="dxa"/>
            <w:tcBorders>
              <w:left w:val="nil"/>
              <w:right w:val="nil"/>
            </w:tcBorders>
            <w:noWrap/>
            <w:vAlign w:val="center"/>
            <w:hideMark/>
          </w:tcPr>
          <w:p w:rsidR="007C1D53" w:rsidRPr="00EF6887" w:rsidRDefault="007C1D53"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18.7</w:t>
            </w:r>
          </w:p>
        </w:tc>
        <w:tc>
          <w:tcPr>
            <w:tcW w:w="1560" w:type="dxa"/>
            <w:tcBorders>
              <w:left w:val="nil"/>
              <w:right w:val="nil"/>
            </w:tcBorders>
            <w:noWrap/>
            <w:vAlign w:val="center"/>
            <w:hideMark/>
          </w:tcPr>
          <w:p w:rsidR="007C1D53" w:rsidRPr="00EF6887" w:rsidRDefault="007C1D53"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19.5</w:t>
            </w:r>
          </w:p>
        </w:tc>
        <w:tc>
          <w:tcPr>
            <w:tcW w:w="1648" w:type="dxa"/>
            <w:tcBorders>
              <w:left w:val="nil"/>
              <w:right w:val="nil"/>
            </w:tcBorders>
            <w:noWrap/>
            <w:vAlign w:val="center"/>
            <w:hideMark/>
          </w:tcPr>
          <w:p w:rsidR="007C1D53" w:rsidRPr="00EF6887" w:rsidRDefault="007C1D53"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23.5</w:t>
            </w:r>
          </w:p>
        </w:tc>
        <w:tc>
          <w:tcPr>
            <w:tcW w:w="1276" w:type="dxa"/>
            <w:tcBorders>
              <w:left w:val="nil"/>
              <w:right w:val="nil"/>
            </w:tcBorders>
            <w:noWrap/>
            <w:vAlign w:val="center"/>
            <w:hideMark/>
          </w:tcPr>
          <w:p w:rsidR="007C1D53" w:rsidRPr="00EF6887" w:rsidRDefault="007C1D53" w:rsidP="00C63D02">
            <w:pPr>
              <w:jc w:val="center"/>
              <w:rPr>
                <w:rFonts w:ascii="Arial" w:hAnsi="Arial" w:cs="Arial"/>
                <w:color w:val="000000"/>
                <w:sz w:val="20"/>
                <w:szCs w:val="20"/>
              </w:rPr>
            </w:pPr>
            <w:r w:rsidRPr="00EF6887">
              <w:rPr>
                <w:rFonts w:ascii="Arial" w:hAnsi="Arial" w:cs="Arial"/>
                <w:color w:val="000000"/>
                <w:sz w:val="20"/>
                <w:szCs w:val="20"/>
              </w:rPr>
              <w:t>0.1</w:t>
            </w:r>
          </w:p>
        </w:tc>
        <w:tc>
          <w:tcPr>
            <w:tcW w:w="1276" w:type="dxa"/>
            <w:tcBorders>
              <w:left w:val="nil"/>
              <w:right w:val="nil"/>
            </w:tcBorders>
            <w:noWrap/>
            <w:vAlign w:val="center"/>
          </w:tcPr>
          <w:p w:rsidR="007C1D53" w:rsidRPr="00EF6887" w:rsidRDefault="007C1D53" w:rsidP="00C63D02">
            <w:pPr>
              <w:jc w:val="center"/>
              <w:rPr>
                <w:rFonts w:ascii="Arial" w:hAnsi="Arial" w:cs="Arial"/>
                <w:color w:val="000000"/>
                <w:sz w:val="20"/>
                <w:szCs w:val="20"/>
              </w:rPr>
            </w:pPr>
            <w:r w:rsidRPr="00EF6887">
              <w:rPr>
                <w:rFonts w:ascii="Arial" w:hAnsi="Arial" w:cs="Arial"/>
                <w:color w:val="000000"/>
                <w:sz w:val="20"/>
                <w:szCs w:val="20"/>
              </w:rPr>
              <w:t>20.5</w:t>
            </w:r>
          </w:p>
        </w:tc>
      </w:tr>
      <w:tr w:rsidR="004043F0" w:rsidRPr="00EF6887" w:rsidTr="005A7BF8">
        <w:trPr>
          <w:trHeight w:val="300"/>
        </w:trPr>
        <w:tc>
          <w:tcPr>
            <w:tcW w:w="2535" w:type="dxa"/>
            <w:gridSpan w:val="2"/>
            <w:tcBorders>
              <w:left w:val="nil"/>
              <w:right w:val="nil"/>
            </w:tcBorders>
            <w:noWrap/>
            <w:hideMark/>
          </w:tcPr>
          <w:p w:rsidR="00782090" w:rsidRPr="00EF6887" w:rsidRDefault="00782090"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Alcohol intake (g/day)</w:t>
            </w:r>
            <w:r w:rsidR="000B4E2C">
              <w:rPr>
                <w:rFonts w:ascii="Arial" w:eastAsia="Verdana" w:hAnsi="Arial" w:cs="Arial"/>
                <w:sz w:val="20"/>
                <w:szCs w:val="24"/>
                <w:lang w:val="en-US"/>
              </w:rPr>
              <w:t xml:space="preserve"> †</w:t>
            </w:r>
          </w:p>
        </w:tc>
        <w:tc>
          <w:tcPr>
            <w:tcW w:w="1559" w:type="dxa"/>
            <w:tcBorders>
              <w:left w:val="nil"/>
              <w:right w:val="nil"/>
            </w:tcBorders>
            <w:noWrap/>
            <w:vAlign w:val="center"/>
          </w:tcPr>
          <w:p w:rsidR="00782090" w:rsidRPr="00EF6887" w:rsidRDefault="00A54C0E" w:rsidP="00A54C0E">
            <w:pPr>
              <w:tabs>
                <w:tab w:val="left" w:pos="1263"/>
              </w:tabs>
              <w:jc w:val="center"/>
              <w:rPr>
                <w:rFonts w:ascii="Arial" w:eastAsia="Verdana" w:hAnsi="Arial" w:cs="Arial"/>
                <w:sz w:val="20"/>
                <w:szCs w:val="20"/>
              </w:rPr>
            </w:pPr>
            <w:r>
              <w:rPr>
                <w:rFonts w:ascii="Arial" w:eastAsia="Verdana" w:hAnsi="Arial" w:cs="Arial"/>
                <w:sz w:val="20"/>
                <w:szCs w:val="20"/>
              </w:rPr>
              <w:t>1.7 (0;7.2)</w:t>
            </w:r>
          </w:p>
        </w:tc>
        <w:tc>
          <w:tcPr>
            <w:tcW w:w="1417" w:type="dxa"/>
            <w:tcBorders>
              <w:left w:val="nil"/>
              <w:right w:val="nil"/>
            </w:tcBorders>
            <w:noWrap/>
            <w:vAlign w:val="center"/>
          </w:tcPr>
          <w:p w:rsidR="00782090" w:rsidRPr="00EF6887" w:rsidRDefault="00A54C0E" w:rsidP="00A54C0E">
            <w:pPr>
              <w:tabs>
                <w:tab w:val="left" w:pos="1263"/>
              </w:tabs>
              <w:jc w:val="center"/>
              <w:rPr>
                <w:rFonts w:ascii="Arial" w:eastAsia="Verdana" w:hAnsi="Arial" w:cs="Arial"/>
                <w:sz w:val="20"/>
                <w:szCs w:val="20"/>
              </w:rPr>
            </w:pPr>
            <w:r>
              <w:rPr>
                <w:rFonts w:ascii="Arial" w:eastAsia="Verdana" w:hAnsi="Arial" w:cs="Arial"/>
                <w:sz w:val="20"/>
                <w:szCs w:val="20"/>
              </w:rPr>
              <w:t>2.7 (0.2;10.6)</w:t>
            </w:r>
          </w:p>
        </w:tc>
        <w:tc>
          <w:tcPr>
            <w:tcW w:w="1560" w:type="dxa"/>
            <w:tcBorders>
              <w:left w:val="nil"/>
              <w:right w:val="nil"/>
            </w:tcBorders>
            <w:noWrap/>
            <w:vAlign w:val="center"/>
          </w:tcPr>
          <w:p w:rsidR="00782090" w:rsidRPr="00EF6887" w:rsidRDefault="00A54C0E" w:rsidP="00C63D02">
            <w:pPr>
              <w:tabs>
                <w:tab w:val="left" w:pos="1263"/>
              </w:tabs>
              <w:jc w:val="center"/>
              <w:rPr>
                <w:rFonts w:ascii="Arial" w:eastAsia="Verdana" w:hAnsi="Arial" w:cs="Arial"/>
                <w:sz w:val="20"/>
                <w:szCs w:val="20"/>
              </w:rPr>
            </w:pPr>
            <w:r>
              <w:rPr>
                <w:rFonts w:ascii="Arial" w:eastAsia="Verdana" w:hAnsi="Arial" w:cs="Arial"/>
                <w:sz w:val="20"/>
                <w:szCs w:val="20"/>
              </w:rPr>
              <w:t>3.6 (0.4;12.0)</w:t>
            </w:r>
          </w:p>
        </w:tc>
        <w:tc>
          <w:tcPr>
            <w:tcW w:w="1648" w:type="dxa"/>
            <w:tcBorders>
              <w:left w:val="nil"/>
              <w:right w:val="nil"/>
            </w:tcBorders>
            <w:noWrap/>
            <w:vAlign w:val="center"/>
          </w:tcPr>
          <w:p w:rsidR="00782090" w:rsidRPr="00EF6887" w:rsidRDefault="00A54C0E" w:rsidP="00C63D02">
            <w:pPr>
              <w:tabs>
                <w:tab w:val="left" w:pos="1263"/>
              </w:tabs>
              <w:jc w:val="center"/>
              <w:rPr>
                <w:rFonts w:ascii="Arial" w:eastAsia="Verdana" w:hAnsi="Arial" w:cs="Arial"/>
                <w:sz w:val="20"/>
                <w:szCs w:val="20"/>
              </w:rPr>
            </w:pPr>
            <w:r>
              <w:rPr>
                <w:rFonts w:ascii="Arial" w:eastAsia="Verdana" w:hAnsi="Arial" w:cs="Arial"/>
                <w:sz w:val="20"/>
                <w:szCs w:val="20"/>
              </w:rPr>
              <w:t>5.1 (0.6;13.5)</w:t>
            </w:r>
          </w:p>
        </w:tc>
        <w:tc>
          <w:tcPr>
            <w:tcW w:w="1276" w:type="dxa"/>
            <w:tcBorders>
              <w:left w:val="nil"/>
              <w:right w:val="nil"/>
            </w:tcBorders>
            <w:noWrap/>
            <w:vAlign w:val="center"/>
          </w:tcPr>
          <w:p w:rsidR="00782090" w:rsidRPr="00EF6887" w:rsidRDefault="00A54C0E" w:rsidP="00F35F45">
            <w:pPr>
              <w:jc w:val="center"/>
              <w:rPr>
                <w:rFonts w:ascii="Arial" w:hAnsi="Arial" w:cs="Arial"/>
                <w:color w:val="000000"/>
                <w:sz w:val="20"/>
                <w:szCs w:val="20"/>
              </w:rPr>
            </w:pPr>
            <w:r>
              <w:rPr>
                <w:rFonts w:ascii="Arial" w:hAnsi="Arial" w:cs="Arial"/>
                <w:color w:val="000000"/>
                <w:sz w:val="20"/>
                <w:szCs w:val="20"/>
              </w:rPr>
              <w:t>&lt;0.001</w:t>
            </w:r>
          </w:p>
        </w:tc>
        <w:tc>
          <w:tcPr>
            <w:tcW w:w="1276" w:type="dxa"/>
            <w:tcBorders>
              <w:left w:val="nil"/>
              <w:right w:val="nil"/>
            </w:tcBorders>
            <w:noWrap/>
            <w:vAlign w:val="center"/>
          </w:tcPr>
          <w:p w:rsidR="00782090" w:rsidRPr="00EF6887" w:rsidRDefault="00A54C0E" w:rsidP="0008154A">
            <w:pPr>
              <w:jc w:val="center"/>
              <w:rPr>
                <w:rFonts w:ascii="Arial" w:hAnsi="Arial" w:cs="Arial"/>
                <w:color w:val="000000"/>
                <w:sz w:val="20"/>
                <w:szCs w:val="20"/>
              </w:rPr>
            </w:pPr>
            <w:r>
              <w:rPr>
                <w:rFonts w:ascii="Arial" w:hAnsi="Arial" w:cs="Arial"/>
                <w:color w:val="000000"/>
                <w:sz w:val="20"/>
                <w:szCs w:val="20"/>
              </w:rPr>
              <w:t>3.0 (0.2;11.1)</w:t>
            </w:r>
          </w:p>
        </w:tc>
      </w:tr>
      <w:tr w:rsidR="004043F0" w:rsidRPr="00EF6887" w:rsidTr="005A7BF8">
        <w:trPr>
          <w:trHeight w:val="300"/>
        </w:trPr>
        <w:tc>
          <w:tcPr>
            <w:tcW w:w="2535" w:type="dxa"/>
            <w:gridSpan w:val="2"/>
            <w:tcBorders>
              <w:left w:val="nil"/>
              <w:right w:val="nil"/>
            </w:tcBorders>
            <w:noWrap/>
            <w:hideMark/>
          </w:tcPr>
          <w:p w:rsidR="00782090" w:rsidRPr="00EF6887" w:rsidRDefault="00782090" w:rsidP="00351F76">
            <w:pPr>
              <w:tabs>
                <w:tab w:val="left" w:pos="1263"/>
              </w:tabs>
              <w:jc w:val="both"/>
              <w:rPr>
                <w:rFonts w:ascii="Arial" w:eastAsia="Verdana" w:hAnsi="Arial" w:cs="Arial"/>
                <w:b/>
                <w:bCs/>
                <w:sz w:val="20"/>
                <w:szCs w:val="20"/>
              </w:rPr>
            </w:pPr>
            <w:r>
              <w:rPr>
                <w:rFonts w:ascii="Arial" w:eastAsia="Verdana" w:hAnsi="Arial" w:cs="Arial"/>
                <w:b/>
                <w:bCs/>
                <w:sz w:val="20"/>
                <w:szCs w:val="20"/>
              </w:rPr>
              <w:t>Estimated d</w:t>
            </w:r>
            <w:r w:rsidRPr="00EF6887">
              <w:rPr>
                <w:rFonts w:ascii="Arial" w:eastAsia="Verdana" w:hAnsi="Arial" w:cs="Arial"/>
                <w:b/>
                <w:bCs/>
                <w:sz w:val="20"/>
                <w:szCs w:val="20"/>
              </w:rPr>
              <w:t>ietary iron intake (mg/day)</w:t>
            </w:r>
          </w:p>
        </w:tc>
        <w:tc>
          <w:tcPr>
            <w:tcW w:w="1559" w:type="dxa"/>
            <w:tcBorders>
              <w:left w:val="nil"/>
              <w:right w:val="nil"/>
            </w:tcBorders>
            <w:noWrap/>
            <w:vAlign w:val="center"/>
            <w:hideMark/>
          </w:tcPr>
          <w:p w:rsidR="00782090" w:rsidRPr="00EF6887" w:rsidRDefault="00782090"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12.3 (3.6)</w:t>
            </w:r>
          </w:p>
        </w:tc>
        <w:tc>
          <w:tcPr>
            <w:tcW w:w="1417" w:type="dxa"/>
            <w:tcBorders>
              <w:left w:val="nil"/>
              <w:right w:val="nil"/>
            </w:tcBorders>
            <w:noWrap/>
            <w:vAlign w:val="center"/>
            <w:hideMark/>
          </w:tcPr>
          <w:p w:rsidR="00782090" w:rsidRPr="00EF6887" w:rsidRDefault="00782090"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12.4 (3.7)</w:t>
            </w:r>
          </w:p>
        </w:tc>
        <w:tc>
          <w:tcPr>
            <w:tcW w:w="1560" w:type="dxa"/>
            <w:tcBorders>
              <w:left w:val="nil"/>
              <w:right w:val="nil"/>
            </w:tcBorders>
            <w:noWrap/>
            <w:vAlign w:val="center"/>
            <w:hideMark/>
          </w:tcPr>
          <w:p w:rsidR="00782090" w:rsidRPr="00EF6887" w:rsidRDefault="00782090"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12.3 (3.6)</w:t>
            </w:r>
          </w:p>
        </w:tc>
        <w:tc>
          <w:tcPr>
            <w:tcW w:w="1648" w:type="dxa"/>
            <w:tcBorders>
              <w:left w:val="nil"/>
              <w:right w:val="nil"/>
            </w:tcBorders>
            <w:noWrap/>
            <w:vAlign w:val="center"/>
            <w:hideMark/>
          </w:tcPr>
          <w:p w:rsidR="00782090" w:rsidRPr="00EF6887" w:rsidRDefault="00782090"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12.0 (3.4)</w:t>
            </w:r>
          </w:p>
        </w:tc>
        <w:tc>
          <w:tcPr>
            <w:tcW w:w="1276" w:type="dxa"/>
            <w:tcBorders>
              <w:left w:val="nil"/>
              <w:right w:val="nil"/>
            </w:tcBorders>
            <w:noWrap/>
            <w:vAlign w:val="center"/>
            <w:hideMark/>
          </w:tcPr>
          <w:p w:rsidR="00782090" w:rsidRPr="00EF6887" w:rsidRDefault="004E47F8" w:rsidP="00F35F45">
            <w:pPr>
              <w:jc w:val="center"/>
              <w:rPr>
                <w:rFonts w:ascii="Arial" w:hAnsi="Arial" w:cs="Arial"/>
                <w:color w:val="000000"/>
                <w:sz w:val="20"/>
                <w:szCs w:val="20"/>
              </w:rPr>
            </w:pPr>
            <w:r>
              <w:rPr>
                <w:rFonts w:ascii="Arial" w:hAnsi="Arial" w:cs="Arial"/>
                <w:color w:val="000000"/>
                <w:sz w:val="20"/>
                <w:szCs w:val="20"/>
              </w:rPr>
              <w:t>0.009</w:t>
            </w:r>
          </w:p>
        </w:tc>
        <w:tc>
          <w:tcPr>
            <w:tcW w:w="1276" w:type="dxa"/>
            <w:tcBorders>
              <w:left w:val="nil"/>
              <w:right w:val="nil"/>
            </w:tcBorders>
            <w:noWrap/>
            <w:vAlign w:val="center"/>
          </w:tcPr>
          <w:p w:rsidR="00782090" w:rsidRPr="00EF6887" w:rsidRDefault="00782090" w:rsidP="0008154A">
            <w:pPr>
              <w:jc w:val="center"/>
              <w:rPr>
                <w:rFonts w:ascii="Arial" w:hAnsi="Arial" w:cs="Arial"/>
                <w:color w:val="000000"/>
                <w:sz w:val="20"/>
                <w:szCs w:val="20"/>
              </w:rPr>
            </w:pPr>
            <w:r w:rsidRPr="00EF6887">
              <w:rPr>
                <w:rFonts w:ascii="Arial" w:hAnsi="Arial" w:cs="Arial"/>
                <w:color w:val="000000"/>
                <w:sz w:val="20"/>
                <w:szCs w:val="20"/>
              </w:rPr>
              <w:t>12.2 (3.6)</w:t>
            </w:r>
          </w:p>
        </w:tc>
      </w:tr>
      <w:tr w:rsidR="0045610D" w:rsidRPr="00EF6887" w:rsidTr="001604E7">
        <w:trPr>
          <w:trHeight w:val="300"/>
        </w:trPr>
        <w:tc>
          <w:tcPr>
            <w:tcW w:w="11271" w:type="dxa"/>
            <w:gridSpan w:val="8"/>
            <w:tcBorders>
              <w:left w:val="nil"/>
              <w:right w:val="nil"/>
            </w:tcBorders>
            <w:noWrap/>
            <w:vAlign w:val="center"/>
            <w:hideMark/>
          </w:tcPr>
          <w:p w:rsidR="0045610D" w:rsidRPr="00EF6887" w:rsidRDefault="0045610D" w:rsidP="00A54C0E">
            <w:pPr>
              <w:tabs>
                <w:tab w:val="left" w:pos="1263"/>
              </w:tabs>
              <w:rPr>
                <w:rFonts w:ascii="Arial" w:eastAsia="Verdana" w:hAnsi="Arial" w:cs="Arial"/>
                <w:sz w:val="20"/>
                <w:szCs w:val="20"/>
              </w:rPr>
            </w:pPr>
            <w:r w:rsidRPr="00EF6887">
              <w:rPr>
                <w:rFonts w:ascii="Arial" w:eastAsia="Verdana" w:hAnsi="Arial" w:cs="Arial"/>
                <w:b/>
                <w:bCs/>
                <w:sz w:val="20"/>
                <w:szCs w:val="20"/>
              </w:rPr>
              <w:t>Biomarkers (mean, SD)</w:t>
            </w:r>
          </w:p>
        </w:tc>
      </w:tr>
      <w:tr w:rsidR="004043F0" w:rsidRPr="00EF6887" w:rsidTr="005A7BF8">
        <w:trPr>
          <w:trHeight w:val="300"/>
        </w:trPr>
        <w:tc>
          <w:tcPr>
            <w:tcW w:w="408" w:type="dxa"/>
            <w:tcBorders>
              <w:left w:val="nil"/>
              <w:right w:val="nil"/>
            </w:tcBorders>
            <w:noWrap/>
            <w:hideMark/>
          </w:tcPr>
          <w:p w:rsidR="00782090" w:rsidRPr="00EF6887" w:rsidRDefault="00782090" w:rsidP="00A31A9C">
            <w:pPr>
              <w:tabs>
                <w:tab w:val="left" w:pos="1263"/>
              </w:tabs>
              <w:jc w:val="both"/>
              <w:rPr>
                <w:rFonts w:ascii="Arial" w:eastAsia="Verdana" w:hAnsi="Arial" w:cs="Arial"/>
                <w:b/>
                <w:bCs/>
                <w:sz w:val="20"/>
                <w:szCs w:val="20"/>
              </w:rPr>
            </w:pPr>
          </w:p>
        </w:tc>
        <w:tc>
          <w:tcPr>
            <w:tcW w:w="2127" w:type="dxa"/>
            <w:tcBorders>
              <w:left w:val="nil"/>
              <w:right w:val="nil"/>
            </w:tcBorders>
            <w:noWrap/>
            <w:hideMark/>
          </w:tcPr>
          <w:p w:rsidR="00782090" w:rsidRPr="00EF6887" w:rsidRDefault="00782090"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TSAT (%)</w:t>
            </w:r>
          </w:p>
        </w:tc>
        <w:tc>
          <w:tcPr>
            <w:tcW w:w="1559" w:type="dxa"/>
            <w:tcBorders>
              <w:left w:val="nil"/>
              <w:right w:val="nil"/>
            </w:tcBorders>
            <w:noWrap/>
            <w:vAlign w:val="center"/>
            <w:hideMark/>
          </w:tcPr>
          <w:p w:rsidR="00782090" w:rsidRPr="00EF6887" w:rsidRDefault="00782090"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20.8 (10.5)</w:t>
            </w:r>
          </w:p>
        </w:tc>
        <w:tc>
          <w:tcPr>
            <w:tcW w:w="1417" w:type="dxa"/>
            <w:tcBorders>
              <w:left w:val="nil"/>
              <w:right w:val="nil"/>
            </w:tcBorders>
            <w:noWrap/>
            <w:vAlign w:val="center"/>
            <w:hideMark/>
          </w:tcPr>
          <w:p w:rsidR="00782090" w:rsidRPr="00EF6887" w:rsidRDefault="00782090"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27.2 (9.7)</w:t>
            </w:r>
          </w:p>
        </w:tc>
        <w:tc>
          <w:tcPr>
            <w:tcW w:w="1560" w:type="dxa"/>
            <w:tcBorders>
              <w:left w:val="nil"/>
              <w:right w:val="nil"/>
            </w:tcBorders>
            <w:noWrap/>
            <w:vAlign w:val="center"/>
            <w:hideMark/>
          </w:tcPr>
          <w:p w:rsidR="00782090" w:rsidRPr="00EF6887" w:rsidRDefault="00782090"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28.5 (9.0)</w:t>
            </w:r>
          </w:p>
        </w:tc>
        <w:tc>
          <w:tcPr>
            <w:tcW w:w="1648" w:type="dxa"/>
            <w:tcBorders>
              <w:left w:val="nil"/>
              <w:right w:val="nil"/>
            </w:tcBorders>
            <w:noWrap/>
            <w:vAlign w:val="center"/>
            <w:hideMark/>
          </w:tcPr>
          <w:p w:rsidR="00782090" w:rsidRPr="00EF6887" w:rsidRDefault="00782090" w:rsidP="00F35F45">
            <w:pPr>
              <w:tabs>
                <w:tab w:val="left" w:pos="1263"/>
              </w:tabs>
              <w:jc w:val="center"/>
              <w:rPr>
                <w:rFonts w:ascii="Arial" w:hAnsi="Arial" w:cs="Arial"/>
                <w:color w:val="000000"/>
                <w:sz w:val="20"/>
                <w:szCs w:val="20"/>
              </w:rPr>
            </w:pPr>
            <w:r w:rsidRPr="00EF6887">
              <w:rPr>
                <w:rFonts w:ascii="Arial" w:eastAsia="Verdana" w:hAnsi="Arial" w:cs="Arial"/>
                <w:sz w:val="20"/>
                <w:szCs w:val="20"/>
              </w:rPr>
              <w:t xml:space="preserve">30.5 </w:t>
            </w:r>
            <w:r w:rsidRPr="00EF6887">
              <w:rPr>
                <w:rFonts w:ascii="Arial" w:hAnsi="Arial" w:cs="Arial"/>
                <w:color w:val="000000"/>
                <w:sz w:val="20"/>
                <w:szCs w:val="20"/>
              </w:rPr>
              <w:t>(10.3)</w:t>
            </w:r>
          </w:p>
        </w:tc>
        <w:tc>
          <w:tcPr>
            <w:tcW w:w="1276" w:type="dxa"/>
            <w:tcBorders>
              <w:left w:val="nil"/>
              <w:right w:val="nil"/>
            </w:tcBorders>
            <w:noWrap/>
            <w:vAlign w:val="center"/>
            <w:hideMark/>
          </w:tcPr>
          <w:p w:rsidR="00782090" w:rsidRPr="00EF6887" w:rsidRDefault="00782090" w:rsidP="0008154A">
            <w:pPr>
              <w:tabs>
                <w:tab w:val="left" w:pos="1263"/>
              </w:tabs>
              <w:jc w:val="center"/>
              <w:rPr>
                <w:rFonts w:ascii="Arial" w:eastAsia="Verdana" w:hAnsi="Arial" w:cs="Arial"/>
                <w:sz w:val="20"/>
                <w:szCs w:val="20"/>
              </w:rPr>
            </w:pPr>
            <w:r w:rsidRPr="00EF6887">
              <w:rPr>
                <w:rFonts w:ascii="Arial" w:eastAsia="Verdana" w:hAnsi="Arial" w:cs="Arial"/>
                <w:sz w:val="20"/>
                <w:szCs w:val="20"/>
              </w:rPr>
              <w:t>&lt;0.001</w:t>
            </w:r>
          </w:p>
        </w:tc>
        <w:tc>
          <w:tcPr>
            <w:tcW w:w="1276" w:type="dxa"/>
            <w:tcBorders>
              <w:left w:val="nil"/>
              <w:right w:val="nil"/>
            </w:tcBorders>
            <w:noWrap/>
            <w:vAlign w:val="center"/>
          </w:tcPr>
          <w:p w:rsidR="00782090" w:rsidRPr="00EF6887" w:rsidRDefault="00782090" w:rsidP="0008154A">
            <w:pPr>
              <w:jc w:val="center"/>
              <w:rPr>
                <w:rFonts w:ascii="Arial" w:hAnsi="Arial" w:cs="Arial"/>
                <w:color w:val="000000"/>
                <w:sz w:val="20"/>
                <w:szCs w:val="20"/>
              </w:rPr>
            </w:pPr>
            <w:r w:rsidRPr="00EF6887">
              <w:rPr>
                <w:rFonts w:ascii="Arial" w:hAnsi="Arial" w:cs="Arial"/>
                <w:color w:val="000000"/>
                <w:sz w:val="20"/>
                <w:szCs w:val="20"/>
              </w:rPr>
              <w:t>26.7 (10.5)</w:t>
            </w:r>
          </w:p>
        </w:tc>
      </w:tr>
      <w:tr w:rsidR="004043F0" w:rsidRPr="00EF6887" w:rsidTr="005A7BF8">
        <w:trPr>
          <w:trHeight w:val="300"/>
        </w:trPr>
        <w:tc>
          <w:tcPr>
            <w:tcW w:w="408" w:type="dxa"/>
            <w:tcBorders>
              <w:left w:val="nil"/>
              <w:right w:val="nil"/>
            </w:tcBorders>
            <w:noWrap/>
            <w:hideMark/>
          </w:tcPr>
          <w:p w:rsidR="00782090" w:rsidRPr="00EF6887" w:rsidRDefault="00782090" w:rsidP="00A31A9C">
            <w:pPr>
              <w:tabs>
                <w:tab w:val="left" w:pos="1263"/>
              </w:tabs>
              <w:jc w:val="both"/>
              <w:rPr>
                <w:rFonts w:ascii="Arial" w:eastAsia="Verdana" w:hAnsi="Arial" w:cs="Arial"/>
                <w:b/>
                <w:bCs/>
                <w:sz w:val="20"/>
                <w:szCs w:val="20"/>
              </w:rPr>
            </w:pPr>
          </w:p>
        </w:tc>
        <w:tc>
          <w:tcPr>
            <w:tcW w:w="2127" w:type="dxa"/>
            <w:tcBorders>
              <w:left w:val="nil"/>
              <w:right w:val="nil"/>
            </w:tcBorders>
            <w:noWrap/>
            <w:hideMark/>
          </w:tcPr>
          <w:p w:rsidR="00782090" w:rsidRPr="00EF6887" w:rsidRDefault="00782090"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Iron (</w:t>
            </w:r>
            <w:proofErr w:type="spellStart"/>
            <w:r w:rsidRPr="00EF6887">
              <w:rPr>
                <w:rFonts w:ascii="Arial" w:eastAsia="Verdana" w:hAnsi="Arial" w:cs="Arial"/>
                <w:b/>
                <w:bCs/>
                <w:sz w:val="20"/>
                <w:szCs w:val="20"/>
              </w:rPr>
              <w:t>μmol</w:t>
            </w:r>
            <w:proofErr w:type="spellEnd"/>
            <w:r w:rsidRPr="00EF6887">
              <w:rPr>
                <w:rFonts w:ascii="Arial" w:eastAsia="Verdana" w:hAnsi="Arial" w:cs="Arial"/>
                <w:b/>
                <w:bCs/>
                <w:sz w:val="20"/>
                <w:szCs w:val="20"/>
              </w:rPr>
              <w:t>/L)</w:t>
            </w:r>
          </w:p>
        </w:tc>
        <w:tc>
          <w:tcPr>
            <w:tcW w:w="1559" w:type="dxa"/>
            <w:tcBorders>
              <w:left w:val="nil"/>
              <w:right w:val="nil"/>
            </w:tcBorders>
            <w:noWrap/>
            <w:vAlign w:val="center"/>
            <w:hideMark/>
          </w:tcPr>
          <w:p w:rsidR="00782090" w:rsidRPr="00EF6887" w:rsidRDefault="00782090"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14.3 (6.7)</w:t>
            </w:r>
          </w:p>
        </w:tc>
        <w:tc>
          <w:tcPr>
            <w:tcW w:w="1417" w:type="dxa"/>
            <w:tcBorders>
              <w:left w:val="nil"/>
              <w:right w:val="nil"/>
            </w:tcBorders>
            <w:noWrap/>
            <w:vAlign w:val="center"/>
            <w:hideMark/>
          </w:tcPr>
          <w:p w:rsidR="00782090" w:rsidRPr="00EF6887" w:rsidRDefault="00782090"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17.1 (6.0)</w:t>
            </w:r>
          </w:p>
        </w:tc>
        <w:tc>
          <w:tcPr>
            <w:tcW w:w="1560" w:type="dxa"/>
            <w:tcBorders>
              <w:left w:val="nil"/>
              <w:right w:val="nil"/>
            </w:tcBorders>
            <w:noWrap/>
            <w:vAlign w:val="center"/>
            <w:hideMark/>
          </w:tcPr>
          <w:p w:rsidR="00782090" w:rsidRPr="00EF6887" w:rsidRDefault="00782090"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17.3 (5.4)</w:t>
            </w:r>
          </w:p>
        </w:tc>
        <w:tc>
          <w:tcPr>
            <w:tcW w:w="1648" w:type="dxa"/>
            <w:tcBorders>
              <w:left w:val="nil"/>
              <w:right w:val="nil"/>
            </w:tcBorders>
            <w:noWrap/>
            <w:vAlign w:val="center"/>
            <w:hideMark/>
          </w:tcPr>
          <w:p w:rsidR="00782090" w:rsidRPr="00EF6887" w:rsidRDefault="00782090" w:rsidP="00F35F45">
            <w:pPr>
              <w:tabs>
                <w:tab w:val="left" w:pos="1263"/>
              </w:tabs>
              <w:jc w:val="center"/>
              <w:rPr>
                <w:rFonts w:ascii="Arial" w:hAnsi="Arial" w:cs="Arial"/>
                <w:color w:val="000000"/>
                <w:sz w:val="20"/>
                <w:szCs w:val="20"/>
              </w:rPr>
            </w:pPr>
            <w:r w:rsidRPr="00EF6887">
              <w:rPr>
                <w:rFonts w:ascii="Arial" w:eastAsia="Verdana" w:hAnsi="Arial" w:cs="Arial"/>
                <w:sz w:val="20"/>
                <w:szCs w:val="20"/>
              </w:rPr>
              <w:t xml:space="preserve">17.8 </w:t>
            </w:r>
            <w:r w:rsidRPr="00EF6887">
              <w:rPr>
                <w:rFonts w:ascii="Arial" w:hAnsi="Arial" w:cs="Arial"/>
                <w:color w:val="000000"/>
                <w:sz w:val="20"/>
                <w:szCs w:val="20"/>
              </w:rPr>
              <w:t>(5.8)</w:t>
            </w:r>
          </w:p>
        </w:tc>
        <w:tc>
          <w:tcPr>
            <w:tcW w:w="1276" w:type="dxa"/>
            <w:tcBorders>
              <w:left w:val="nil"/>
              <w:right w:val="nil"/>
            </w:tcBorders>
            <w:noWrap/>
            <w:vAlign w:val="center"/>
            <w:hideMark/>
          </w:tcPr>
          <w:p w:rsidR="00782090" w:rsidRPr="00EF6887" w:rsidRDefault="00782090" w:rsidP="0008154A">
            <w:pPr>
              <w:tabs>
                <w:tab w:val="left" w:pos="1263"/>
              </w:tabs>
              <w:jc w:val="center"/>
              <w:rPr>
                <w:rFonts w:ascii="Arial" w:eastAsia="Verdana" w:hAnsi="Arial" w:cs="Arial"/>
                <w:sz w:val="20"/>
                <w:szCs w:val="20"/>
              </w:rPr>
            </w:pPr>
            <w:r w:rsidRPr="00EF6887">
              <w:rPr>
                <w:rFonts w:ascii="Arial" w:eastAsia="Verdana" w:hAnsi="Arial" w:cs="Arial"/>
                <w:sz w:val="20"/>
                <w:szCs w:val="20"/>
              </w:rPr>
              <w:t>&lt;0.001</w:t>
            </w:r>
          </w:p>
        </w:tc>
        <w:tc>
          <w:tcPr>
            <w:tcW w:w="1276" w:type="dxa"/>
            <w:tcBorders>
              <w:left w:val="nil"/>
              <w:right w:val="nil"/>
            </w:tcBorders>
            <w:noWrap/>
            <w:vAlign w:val="center"/>
          </w:tcPr>
          <w:p w:rsidR="00782090" w:rsidRPr="00EF6887" w:rsidRDefault="00782090" w:rsidP="0008154A">
            <w:pPr>
              <w:jc w:val="center"/>
              <w:rPr>
                <w:rFonts w:ascii="Arial" w:hAnsi="Arial" w:cs="Arial"/>
                <w:color w:val="000000"/>
                <w:sz w:val="20"/>
                <w:szCs w:val="20"/>
              </w:rPr>
            </w:pPr>
            <w:r w:rsidRPr="00EF6887">
              <w:rPr>
                <w:rFonts w:ascii="Arial" w:hAnsi="Arial" w:cs="Arial"/>
                <w:color w:val="000000"/>
                <w:sz w:val="20"/>
                <w:szCs w:val="20"/>
              </w:rPr>
              <w:t>16.6 (6.2)</w:t>
            </w:r>
          </w:p>
        </w:tc>
      </w:tr>
      <w:tr w:rsidR="004043F0" w:rsidRPr="00EF6887" w:rsidTr="005A7BF8">
        <w:trPr>
          <w:trHeight w:val="300"/>
        </w:trPr>
        <w:tc>
          <w:tcPr>
            <w:tcW w:w="408" w:type="dxa"/>
            <w:tcBorders>
              <w:left w:val="nil"/>
              <w:right w:val="nil"/>
            </w:tcBorders>
            <w:noWrap/>
            <w:hideMark/>
          </w:tcPr>
          <w:p w:rsidR="00782090" w:rsidRPr="00EF6887" w:rsidRDefault="00782090" w:rsidP="00A31A9C">
            <w:pPr>
              <w:tabs>
                <w:tab w:val="left" w:pos="1263"/>
              </w:tabs>
              <w:jc w:val="both"/>
              <w:rPr>
                <w:rFonts w:ascii="Arial" w:eastAsia="Verdana" w:hAnsi="Arial" w:cs="Arial"/>
                <w:b/>
                <w:bCs/>
                <w:sz w:val="20"/>
                <w:szCs w:val="20"/>
              </w:rPr>
            </w:pPr>
          </w:p>
        </w:tc>
        <w:tc>
          <w:tcPr>
            <w:tcW w:w="2127" w:type="dxa"/>
            <w:tcBorders>
              <w:left w:val="nil"/>
              <w:right w:val="nil"/>
            </w:tcBorders>
            <w:noWrap/>
            <w:hideMark/>
          </w:tcPr>
          <w:p w:rsidR="00782090" w:rsidRPr="00EF6887" w:rsidRDefault="00782090"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Transferrin (g/L)</w:t>
            </w:r>
          </w:p>
        </w:tc>
        <w:tc>
          <w:tcPr>
            <w:tcW w:w="1559" w:type="dxa"/>
            <w:tcBorders>
              <w:left w:val="nil"/>
              <w:right w:val="nil"/>
            </w:tcBorders>
            <w:noWrap/>
            <w:vAlign w:val="center"/>
            <w:hideMark/>
          </w:tcPr>
          <w:p w:rsidR="00782090" w:rsidRPr="00EF6887" w:rsidRDefault="00782090"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3.1 (0.5)</w:t>
            </w:r>
          </w:p>
        </w:tc>
        <w:tc>
          <w:tcPr>
            <w:tcW w:w="1417" w:type="dxa"/>
            <w:tcBorders>
              <w:left w:val="nil"/>
              <w:right w:val="nil"/>
            </w:tcBorders>
            <w:noWrap/>
            <w:vAlign w:val="center"/>
            <w:hideMark/>
          </w:tcPr>
          <w:p w:rsidR="00782090" w:rsidRPr="00EF6887" w:rsidRDefault="00782090"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2.8 (0.4)</w:t>
            </w:r>
          </w:p>
        </w:tc>
        <w:tc>
          <w:tcPr>
            <w:tcW w:w="1560" w:type="dxa"/>
            <w:tcBorders>
              <w:left w:val="nil"/>
              <w:right w:val="nil"/>
            </w:tcBorders>
            <w:noWrap/>
            <w:vAlign w:val="center"/>
            <w:hideMark/>
          </w:tcPr>
          <w:p w:rsidR="00782090" w:rsidRPr="00EF6887" w:rsidRDefault="00782090"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2.7 (0.4)</w:t>
            </w:r>
          </w:p>
        </w:tc>
        <w:tc>
          <w:tcPr>
            <w:tcW w:w="1648" w:type="dxa"/>
            <w:tcBorders>
              <w:left w:val="nil"/>
              <w:right w:val="nil"/>
            </w:tcBorders>
            <w:noWrap/>
            <w:vAlign w:val="center"/>
            <w:hideMark/>
          </w:tcPr>
          <w:p w:rsidR="00782090" w:rsidRPr="00EF6887" w:rsidRDefault="00782090" w:rsidP="00F35F45">
            <w:pPr>
              <w:tabs>
                <w:tab w:val="left" w:pos="1263"/>
              </w:tabs>
              <w:jc w:val="center"/>
              <w:rPr>
                <w:rFonts w:ascii="Arial" w:hAnsi="Arial" w:cs="Arial"/>
                <w:color w:val="000000"/>
                <w:sz w:val="20"/>
                <w:szCs w:val="20"/>
              </w:rPr>
            </w:pPr>
            <w:r w:rsidRPr="00EF6887">
              <w:rPr>
                <w:rFonts w:ascii="Arial" w:eastAsia="Verdana" w:hAnsi="Arial" w:cs="Arial"/>
                <w:sz w:val="20"/>
                <w:szCs w:val="20"/>
              </w:rPr>
              <w:t xml:space="preserve">2.6 </w:t>
            </w:r>
            <w:r w:rsidRPr="00EF6887">
              <w:rPr>
                <w:rFonts w:ascii="Arial" w:hAnsi="Arial" w:cs="Arial"/>
                <w:color w:val="000000"/>
                <w:sz w:val="20"/>
                <w:szCs w:val="20"/>
              </w:rPr>
              <w:t>(0.4)</w:t>
            </w:r>
          </w:p>
        </w:tc>
        <w:tc>
          <w:tcPr>
            <w:tcW w:w="1276" w:type="dxa"/>
            <w:tcBorders>
              <w:left w:val="nil"/>
              <w:right w:val="nil"/>
            </w:tcBorders>
            <w:noWrap/>
            <w:vAlign w:val="center"/>
            <w:hideMark/>
          </w:tcPr>
          <w:p w:rsidR="00782090" w:rsidRPr="00EF6887" w:rsidRDefault="00782090" w:rsidP="0008154A">
            <w:pPr>
              <w:tabs>
                <w:tab w:val="left" w:pos="1263"/>
              </w:tabs>
              <w:jc w:val="center"/>
              <w:rPr>
                <w:rFonts w:ascii="Arial" w:eastAsia="Verdana" w:hAnsi="Arial" w:cs="Arial"/>
                <w:sz w:val="20"/>
                <w:szCs w:val="20"/>
              </w:rPr>
            </w:pPr>
            <w:r w:rsidRPr="00EF6887">
              <w:rPr>
                <w:rFonts w:ascii="Arial" w:eastAsia="Verdana" w:hAnsi="Arial" w:cs="Arial"/>
                <w:sz w:val="20"/>
                <w:szCs w:val="20"/>
              </w:rPr>
              <w:t>&lt;0.001</w:t>
            </w:r>
          </w:p>
        </w:tc>
        <w:tc>
          <w:tcPr>
            <w:tcW w:w="1276" w:type="dxa"/>
            <w:tcBorders>
              <w:left w:val="nil"/>
              <w:right w:val="nil"/>
            </w:tcBorders>
            <w:noWrap/>
            <w:vAlign w:val="center"/>
          </w:tcPr>
          <w:p w:rsidR="00782090" w:rsidRPr="00EF6887" w:rsidRDefault="00782090" w:rsidP="0008154A">
            <w:pPr>
              <w:jc w:val="center"/>
              <w:rPr>
                <w:rFonts w:ascii="Arial" w:hAnsi="Arial" w:cs="Arial"/>
                <w:color w:val="000000"/>
                <w:sz w:val="20"/>
                <w:szCs w:val="20"/>
              </w:rPr>
            </w:pPr>
            <w:r w:rsidRPr="00EF6887">
              <w:rPr>
                <w:rFonts w:ascii="Arial" w:hAnsi="Arial" w:cs="Arial"/>
                <w:color w:val="000000"/>
                <w:sz w:val="20"/>
                <w:szCs w:val="20"/>
              </w:rPr>
              <w:t>2.8 (0.4)</w:t>
            </w:r>
          </w:p>
        </w:tc>
      </w:tr>
      <w:tr w:rsidR="004043F0" w:rsidRPr="00EF6887" w:rsidTr="005A7BF8">
        <w:trPr>
          <w:trHeight w:val="300"/>
        </w:trPr>
        <w:tc>
          <w:tcPr>
            <w:tcW w:w="408" w:type="dxa"/>
            <w:tcBorders>
              <w:left w:val="nil"/>
              <w:right w:val="nil"/>
            </w:tcBorders>
            <w:noWrap/>
            <w:hideMark/>
          </w:tcPr>
          <w:p w:rsidR="00782090" w:rsidRPr="00EF6887" w:rsidRDefault="00782090" w:rsidP="00A31A9C">
            <w:pPr>
              <w:tabs>
                <w:tab w:val="left" w:pos="1263"/>
              </w:tabs>
              <w:jc w:val="both"/>
              <w:rPr>
                <w:rFonts w:ascii="Arial" w:eastAsia="Verdana" w:hAnsi="Arial" w:cs="Arial"/>
                <w:b/>
                <w:bCs/>
                <w:sz w:val="20"/>
                <w:szCs w:val="20"/>
              </w:rPr>
            </w:pPr>
          </w:p>
        </w:tc>
        <w:tc>
          <w:tcPr>
            <w:tcW w:w="2127" w:type="dxa"/>
            <w:tcBorders>
              <w:left w:val="nil"/>
              <w:right w:val="nil"/>
            </w:tcBorders>
            <w:noWrap/>
            <w:hideMark/>
          </w:tcPr>
          <w:p w:rsidR="00782090" w:rsidRPr="00EF6887" w:rsidRDefault="00782090"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Glucose (</w:t>
            </w:r>
            <w:proofErr w:type="spellStart"/>
            <w:r w:rsidRPr="00EF6887">
              <w:rPr>
                <w:rFonts w:ascii="Arial" w:eastAsia="Verdana" w:hAnsi="Arial" w:cs="Arial"/>
                <w:b/>
                <w:bCs/>
                <w:sz w:val="20"/>
                <w:szCs w:val="20"/>
              </w:rPr>
              <w:t>mmol</w:t>
            </w:r>
            <w:proofErr w:type="spellEnd"/>
            <w:r w:rsidRPr="00EF6887">
              <w:rPr>
                <w:rFonts w:ascii="Arial" w:eastAsia="Verdana" w:hAnsi="Arial" w:cs="Arial"/>
                <w:b/>
                <w:bCs/>
                <w:sz w:val="20"/>
                <w:szCs w:val="20"/>
              </w:rPr>
              <w:t>/L)</w:t>
            </w:r>
          </w:p>
        </w:tc>
        <w:tc>
          <w:tcPr>
            <w:tcW w:w="1559" w:type="dxa"/>
            <w:tcBorders>
              <w:left w:val="nil"/>
              <w:right w:val="nil"/>
            </w:tcBorders>
            <w:noWrap/>
            <w:vAlign w:val="center"/>
            <w:hideMark/>
          </w:tcPr>
          <w:p w:rsidR="00782090" w:rsidRPr="00EF6887" w:rsidRDefault="00782090"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4.7 (1.3)</w:t>
            </w:r>
          </w:p>
        </w:tc>
        <w:tc>
          <w:tcPr>
            <w:tcW w:w="1417" w:type="dxa"/>
            <w:tcBorders>
              <w:left w:val="nil"/>
              <w:right w:val="nil"/>
            </w:tcBorders>
            <w:noWrap/>
            <w:vAlign w:val="center"/>
            <w:hideMark/>
          </w:tcPr>
          <w:p w:rsidR="00782090" w:rsidRPr="00EF6887" w:rsidRDefault="00782090"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4.7 (1.0)</w:t>
            </w:r>
          </w:p>
        </w:tc>
        <w:tc>
          <w:tcPr>
            <w:tcW w:w="1560" w:type="dxa"/>
            <w:tcBorders>
              <w:left w:val="nil"/>
              <w:right w:val="nil"/>
            </w:tcBorders>
            <w:noWrap/>
            <w:vAlign w:val="center"/>
            <w:hideMark/>
          </w:tcPr>
          <w:p w:rsidR="00782090" w:rsidRPr="00EF6887" w:rsidRDefault="00782090"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4.8 (1.2)</w:t>
            </w:r>
          </w:p>
        </w:tc>
        <w:tc>
          <w:tcPr>
            <w:tcW w:w="1648" w:type="dxa"/>
            <w:tcBorders>
              <w:left w:val="nil"/>
              <w:right w:val="nil"/>
            </w:tcBorders>
            <w:noWrap/>
            <w:vAlign w:val="center"/>
            <w:hideMark/>
          </w:tcPr>
          <w:p w:rsidR="00782090" w:rsidRPr="00EF6887" w:rsidRDefault="00782090" w:rsidP="00F35F45">
            <w:pPr>
              <w:tabs>
                <w:tab w:val="left" w:pos="1263"/>
              </w:tabs>
              <w:jc w:val="center"/>
              <w:rPr>
                <w:rFonts w:ascii="Arial" w:hAnsi="Arial" w:cs="Arial"/>
                <w:color w:val="000000"/>
                <w:sz w:val="20"/>
                <w:szCs w:val="20"/>
              </w:rPr>
            </w:pPr>
            <w:r w:rsidRPr="00EF6887">
              <w:rPr>
                <w:rFonts w:ascii="Arial" w:eastAsia="Verdana" w:hAnsi="Arial" w:cs="Arial"/>
                <w:sz w:val="20"/>
                <w:szCs w:val="20"/>
              </w:rPr>
              <w:t xml:space="preserve">5.0 </w:t>
            </w:r>
            <w:r w:rsidRPr="00EF6887">
              <w:rPr>
                <w:rFonts w:ascii="Arial" w:hAnsi="Arial" w:cs="Arial"/>
                <w:color w:val="000000"/>
                <w:sz w:val="20"/>
                <w:szCs w:val="20"/>
              </w:rPr>
              <w:t>(1.3)</w:t>
            </w:r>
          </w:p>
        </w:tc>
        <w:tc>
          <w:tcPr>
            <w:tcW w:w="1276" w:type="dxa"/>
            <w:tcBorders>
              <w:left w:val="nil"/>
              <w:right w:val="nil"/>
            </w:tcBorders>
            <w:noWrap/>
            <w:vAlign w:val="center"/>
            <w:hideMark/>
          </w:tcPr>
          <w:p w:rsidR="00782090" w:rsidRPr="00EF6887" w:rsidRDefault="00782090" w:rsidP="0008154A">
            <w:pPr>
              <w:tabs>
                <w:tab w:val="left" w:pos="1263"/>
              </w:tabs>
              <w:jc w:val="center"/>
              <w:rPr>
                <w:rFonts w:ascii="Arial" w:eastAsia="Verdana" w:hAnsi="Arial" w:cs="Arial"/>
                <w:sz w:val="20"/>
                <w:szCs w:val="20"/>
              </w:rPr>
            </w:pPr>
            <w:r w:rsidRPr="00EF6887">
              <w:rPr>
                <w:rFonts w:ascii="Arial" w:eastAsia="Verdana" w:hAnsi="Arial" w:cs="Arial"/>
                <w:sz w:val="20"/>
                <w:szCs w:val="20"/>
              </w:rPr>
              <w:t>&lt;0.001</w:t>
            </w:r>
          </w:p>
        </w:tc>
        <w:tc>
          <w:tcPr>
            <w:tcW w:w="1276" w:type="dxa"/>
            <w:tcBorders>
              <w:left w:val="nil"/>
              <w:right w:val="nil"/>
            </w:tcBorders>
            <w:noWrap/>
            <w:vAlign w:val="center"/>
          </w:tcPr>
          <w:p w:rsidR="00782090" w:rsidRPr="00EF6887" w:rsidRDefault="00782090" w:rsidP="0008154A">
            <w:pPr>
              <w:jc w:val="center"/>
              <w:rPr>
                <w:rFonts w:ascii="Arial" w:hAnsi="Arial" w:cs="Arial"/>
                <w:color w:val="000000"/>
                <w:sz w:val="20"/>
                <w:szCs w:val="20"/>
              </w:rPr>
            </w:pPr>
            <w:r w:rsidRPr="00EF6887">
              <w:rPr>
                <w:rFonts w:ascii="Arial" w:hAnsi="Arial" w:cs="Arial"/>
                <w:color w:val="000000"/>
                <w:sz w:val="20"/>
                <w:szCs w:val="20"/>
              </w:rPr>
              <w:t>4.8 (1.2)</w:t>
            </w:r>
          </w:p>
        </w:tc>
      </w:tr>
      <w:tr w:rsidR="004043F0" w:rsidRPr="00EF6887" w:rsidTr="005A7BF8">
        <w:trPr>
          <w:trHeight w:val="300"/>
        </w:trPr>
        <w:tc>
          <w:tcPr>
            <w:tcW w:w="408" w:type="dxa"/>
            <w:tcBorders>
              <w:left w:val="nil"/>
              <w:right w:val="nil"/>
            </w:tcBorders>
            <w:noWrap/>
            <w:hideMark/>
          </w:tcPr>
          <w:p w:rsidR="00782090" w:rsidRPr="00EF6887" w:rsidRDefault="00782090" w:rsidP="00A31A9C">
            <w:pPr>
              <w:tabs>
                <w:tab w:val="left" w:pos="1263"/>
              </w:tabs>
              <w:jc w:val="both"/>
              <w:rPr>
                <w:rFonts w:ascii="Arial" w:eastAsia="Verdana" w:hAnsi="Arial" w:cs="Arial"/>
                <w:b/>
                <w:bCs/>
                <w:sz w:val="20"/>
                <w:szCs w:val="20"/>
              </w:rPr>
            </w:pPr>
          </w:p>
        </w:tc>
        <w:tc>
          <w:tcPr>
            <w:tcW w:w="2127" w:type="dxa"/>
            <w:tcBorders>
              <w:left w:val="nil"/>
              <w:right w:val="nil"/>
            </w:tcBorders>
            <w:noWrap/>
            <w:hideMark/>
          </w:tcPr>
          <w:p w:rsidR="00782090" w:rsidRPr="00EF6887" w:rsidRDefault="00782090"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HbA1c (</w:t>
            </w:r>
            <w:proofErr w:type="spellStart"/>
            <w:r w:rsidRPr="00EF6887">
              <w:rPr>
                <w:rFonts w:ascii="Arial" w:eastAsia="Verdana" w:hAnsi="Arial" w:cs="Arial"/>
                <w:b/>
                <w:bCs/>
                <w:sz w:val="20"/>
                <w:szCs w:val="20"/>
              </w:rPr>
              <w:t>mmol</w:t>
            </w:r>
            <w:proofErr w:type="spellEnd"/>
            <w:r w:rsidRPr="00EF6887">
              <w:rPr>
                <w:rFonts w:ascii="Arial" w:eastAsia="Verdana" w:hAnsi="Arial" w:cs="Arial"/>
                <w:b/>
                <w:bCs/>
                <w:sz w:val="20"/>
                <w:szCs w:val="20"/>
              </w:rPr>
              <w:t>/</w:t>
            </w:r>
            <w:proofErr w:type="spellStart"/>
            <w:r w:rsidRPr="00EF6887">
              <w:rPr>
                <w:rFonts w:ascii="Arial" w:eastAsia="Verdana" w:hAnsi="Arial" w:cs="Arial"/>
                <w:b/>
                <w:bCs/>
                <w:sz w:val="20"/>
                <w:szCs w:val="20"/>
              </w:rPr>
              <w:t>mol</w:t>
            </w:r>
            <w:proofErr w:type="spellEnd"/>
            <w:r w:rsidRPr="00EF6887">
              <w:rPr>
                <w:rFonts w:ascii="Arial" w:eastAsia="Verdana" w:hAnsi="Arial" w:cs="Arial"/>
                <w:b/>
                <w:bCs/>
                <w:sz w:val="20"/>
                <w:szCs w:val="20"/>
              </w:rPr>
              <w:t>)</w:t>
            </w:r>
          </w:p>
        </w:tc>
        <w:tc>
          <w:tcPr>
            <w:tcW w:w="1559" w:type="dxa"/>
            <w:tcBorders>
              <w:left w:val="nil"/>
              <w:right w:val="nil"/>
            </w:tcBorders>
            <w:noWrap/>
            <w:vAlign w:val="center"/>
            <w:hideMark/>
          </w:tcPr>
          <w:p w:rsidR="00782090" w:rsidRPr="00EF6887" w:rsidRDefault="00782090"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35.6 (4.6)</w:t>
            </w:r>
          </w:p>
        </w:tc>
        <w:tc>
          <w:tcPr>
            <w:tcW w:w="1417" w:type="dxa"/>
            <w:tcBorders>
              <w:left w:val="nil"/>
              <w:right w:val="nil"/>
            </w:tcBorders>
            <w:noWrap/>
            <w:vAlign w:val="center"/>
            <w:hideMark/>
          </w:tcPr>
          <w:p w:rsidR="00782090" w:rsidRPr="00EF6887" w:rsidRDefault="00782090" w:rsidP="00A54C0E">
            <w:pPr>
              <w:tabs>
                <w:tab w:val="left" w:pos="1263"/>
              </w:tabs>
              <w:jc w:val="center"/>
              <w:rPr>
                <w:rFonts w:ascii="Arial" w:eastAsia="Verdana" w:hAnsi="Arial" w:cs="Arial"/>
                <w:sz w:val="20"/>
                <w:szCs w:val="20"/>
              </w:rPr>
            </w:pPr>
            <w:r w:rsidRPr="00EF6887">
              <w:rPr>
                <w:rFonts w:ascii="Arial" w:eastAsia="Verdana" w:hAnsi="Arial" w:cs="Arial"/>
                <w:sz w:val="20"/>
                <w:szCs w:val="20"/>
              </w:rPr>
              <w:t>35.5 (4.3)</w:t>
            </w:r>
          </w:p>
        </w:tc>
        <w:tc>
          <w:tcPr>
            <w:tcW w:w="1560" w:type="dxa"/>
            <w:tcBorders>
              <w:left w:val="nil"/>
              <w:right w:val="nil"/>
            </w:tcBorders>
            <w:noWrap/>
            <w:vAlign w:val="center"/>
            <w:hideMark/>
          </w:tcPr>
          <w:p w:rsidR="00782090" w:rsidRPr="00EF6887" w:rsidRDefault="00782090" w:rsidP="00C63D02">
            <w:pPr>
              <w:tabs>
                <w:tab w:val="left" w:pos="1263"/>
              </w:tabs>
              <w:jc w:val="center"/>
              <w:rPr>
                <w:rFonts w:ascii="Arial" w:eastAsia="Verdana" w:hAnsi="Arial" w:cs="Arial"/>
                <w:sz w:val="20"/>
                <w:szCs w:val="20"/>
              </w:rPr>
            </w:pPr>
            <w:r w:rsidRPr="00EF6887">
              <w:rPr>
                <w:rFonts w:ascii="Arial" w:eastAsia="Verdana" w:hAnsi="Arial" w:cs="Arial"/>
                <w:sz w:val="20"/>
                <w:szCs w:val="20"/>
              </w:rPr>
              <w:t>36.4 (4.7)</w:t>
            </w:r>
          </w:p>
        </w:tc>
        <w:tc>
          <w:tcPr>
            <w:tcW w:w="1648" w:type="dxa"/>
            <w:tcBorders>
              <w:left w:val="nil"/>
              <w:right w:val="nil"/>
            </w:tcBorders>
            <w:noWrap/>
            <w:vAlign w:val="center"/>
            <w:hideMark/>
          </w:tcPr>
          <w:p w:rsidR="00782090" w:rsidRPr="00EF6887" w:rsidRDefault="00782090" w:rsidP="00F35F45">
            <w:pPr>
              <w:tabs>
                <w:tab w:val="left" w:pos="1263"/>
              </w:tabs>
              <w:jc w:val="center"/>
              <w:rPr>
                <w:rFonts w:ascii="Arial" w:hAnsi="Arial" w:cs="Arial"/>
                <w:color w:val="000000"/>
                <w:sz w:val="20"/>
                <w:szCs w:val="20"/>
              </w:rPr>
            </w:pPr>
            <w:r w:rsidRPr="00EF6887">
              <w:rPr>
                <w:rFonts w:ascii="Arial" w:eastAsia="Verdana" w:hAnsi="Arial" w:cs="Arial"/>
                <w:sz w:val="20"/>
                <w:szCs w:val="20"/>
              </w:rPr>
              <w:t xml:space="preserve">36.9 </w:t>
            </w:r>
            <w:r w:rsidRPr="00EF6887">
              <w:rPr>
                <w:rFonts w:ascii="Arial" w:hAnsi="Arial" w:cs="Arial"/>
                <w:color w:val="000000"/>
                <w:sz w:val="20"/>
                <w:szCs w:val="20"/>
              </w:rPr>
              <w:t>(5.8)</w:t>
            </w:r>
          </w:p>
        </w:tc>
        <w:tc>
          <w:tcPr>
            <w:tcW w:w="1276" w:type="dxa"/>
            <w:tcBorders>
              <w:left w:val="nil"/>
              <w:right w:val="nil"/>
            </w:tcBorders>
            <w:noWrap/>
            <w:vAlign w:val="center"/>
            <w:hideMark/>
          </w:tcPr>
          <w:p w:rsidR="00782090" w:rsidRPr="00EF6887" w:rsidRDefault="00782090" w:rsidP="0008154A">
            <w:pPr>
              <w:tabs>
                <w:tab w:val="left" w:pos="1263"/>
              </w:tabs>
              <w:jc w:val="center"/>
              <w:rPr>
                <w:rFonts w:ascii="Arial" w:eastAsia="Verdana" w:hAnsi="Arial" w:cs="Arial"/>
                <w:sz w:val="20"/>
                <w:szCs w:val="20"/>
              </w:rPr>
            </w:pPr>
            <w:r w:rsidRPr="00EF6887">
              <w:rPr>
                <w:rFonts w:ascii="Arial" w:eastAsia="Verdana" w:hAnsi="Arial" w:cs="Arial"/>
                <w:sz w:val="20"/>
                <w:szCs w:val="20"/>
              </w:rPr>
              <w:t>&lt;0.001</w:t>
            </w:r>
          </w:p>
        </w:tc>
        <w:tc>
          <w:tcPr>
            <w:tcW w:w="1276" w:type="dxa"/>
            <w:tcBorders>
              <w:left w:val="nil"/>
              <w:right w:val="nil"/>
            </w:tcBorders>
            <w:noWrap/>
            <w:vAlign w:val="center"/>
          </w:tcPr>
          <w:p w:rsidR="00782090" w:rsidRPr="00EF6887" w:rsidRDefault="00782090" w:rsidP="0008154A">
            <w:pPr>
              <w:jc w:val="center"/>
              <w:rPr>
                <w:rFonts w:ascii="Arial" w:hAnsi="Arial" w:cs="Arial"/>
                <w:color w:val="000000"/>
                <w:sz w:val="20"/>
                <w:szCs w:val="20"/>
              </w:rPr>
            </w:pPr>
            <w:r w:rsidRPr="00EF6887">
              <w:rPr>
                <w:rFonts w:ascii="Arial" w:hAnsi="Arial" w:cs="Arial"/>
                <w:color w:val="000000"/>
                <w:sz w:val="20"/>
                <w:szCs w:val="20"/>
              </w:rPr>
              <w:t>36.1 (4.9)</w:t>
            </w:r>
          </w:p>
        </w:tc>
      </w:tr>
      <w:tr w:rsidR="004043F0" w:rsidRPr="00A54C0E" w:rsidTr="005A7BF8">
        <w:trPr>
          <w:trHeight w:val="300"/>
        </w:trPr>
        <w:tc>
          <w:tcPr>
            <w:tcW w:w="408" w:type="dxa"/>
            <w:tcBorders>
              <w:left w:val="nil"/>
              <w:right w:val="nil"/>
            </w:tcBorders>
            <w:noWrap/>
            <w:hideMark/>
          </w:tcPr>
          <w:p w:rsidR="00782090" w:rsidRPr="00EF6887" w:rsidRDefault="00782090" w:rsidP="00A31A9C">
            <w:pPr>
              <w:tabs>
                <w:tab w:val="left" w:pos="1263"/>
              </w:tabs>
              <w:jc w:val="both"/>
              <w:rPr>
                <w:rFonts w:ascii="Arial" w:eastAsia="Verdana" w:hAnsi="Arial" w:cs="Arial"/>
                <w:b/>
                <w:bCs/>
                <w:sz w:val="20"/>
                <w:szCs w:val="20"/>
              </w:rPr>
            </w:pPr>
          </w:p>
        </w:tc>
        <w:tc>
          <w:tcPr>
            <w:tcW w:w="2127" w:type="dxa"/>
            <w:tcBorders>
              <w:left w:val="nil"/>
              <w:right w:val="nil"/>
            </w:tcBorders>
            <w:noWrap/>
            <w:hideMark/>
          </w:tcPr>
          <w:p w:rsidR="00782090" w:rsidRPr="00EF6887" w:rsidRDefault="00782090" w:rsidP="00782090">
            <w:pPr>
              <w:tabs>
                <w:tab w:val="left" w:pos="1263"/>
              </w:tabs>
              <w:jc w:val="both"/>
              <w:rPr>
                <w:rFonts w:ascii="Arial" w:eastAsia="Verdana" w:hAnsi="Arial" w:cs="Arial"/>
                <w:b/>
                <w:bCs/>
                <w:sz w:val="20"/>
                <w:szCs w:val="20"/>
              </w:rPr>
            </w:pPr>
            <w:proofErr w:type="spellStart"/>
            <w:r w:rsidRPr="00EF6887">
              <w:rPr>
                <w:rFonts w:ascii="Arial" w:eastAsia="Verdana" w:hAnsi="Arial" w:cs="Arial"/>
                <w:b/>
                <w:bCs/>
                <w:sz w:val="20"/>
                <w:szCs w:val="20"/>
              </w:rPr>
              <w:t>hsCRP</w:t>
            </w:r>
            <w:proofErr w:type="spellEnd"/>
            <w:r w:rsidRPr="00EF6887">
              <w:rPr>
                <w:rFonts w:ascii="Arial" w:eastAsia="Verdana" w:hAnsi="Arial" w:cs="Arial"/>
                <w:b/>
                <w:bCs/>
                <w:sz w:val="20"/>
                <w:szCs w:val="20"/>
              </w:rPr>
              <w:t xml:space="preserve"> (mg/L)</w:t>
            </w:r>
            <w:r w:rsidR="000B4E2C">
              <w:rPr>
                <w:rFonts w:ascii="Arial" w:eastAsia="Verdana" w:hAnsi="Arial" w:cs="Arial"/>
                <w:sz w:val="20"/>
                <w:szCs w:val="24"/>
                <w:lang w:val="en-US"/>
              </w:rPr>
              <w:t xml:space="preserve"> †</w:t>
            </w:r>
          </w:p>
        </w:tc>
        <w:tc>
          <w:tcPr>
            <w:tcW w:w="1559" w:type="dxa"/>
            <w:tcBorders>
              <w:left w:val="nil"/>
              <w:right w:val="nil"/>
            </w:tcBorders>
            <w:noWrap/>
            <w:vAlign w:val="center"/>
          </w:tcPr>
          <w:p w:rsidR="00782090" w:rsidRPr="00A54C0E" w:rsidRDefault="00A54C0E" w:rsidP="00A54C0E">
            <w:pPr>
              <w:tabs>
                <w:tab w:val="left" w:pos="1263"/>
              </w:tabs>
              <w:jc w:val="center"/>
              <w:rPr>
                <w:rFonts w:ascii="Arial" w:eastAsia="Verdana" w:hAnsi="Arial" w:cs="Arial"/>
                <w:sz w:val="20"/>
                <w:szCs w:val="20"/>
                <w:lang w:val="fr-FR"/>
              </w:rPr>
            </w:pPr>
            <w:r w:rsidRPr="00A54C0E">
              <w:rPr>
                <w:rFonts w:ascii="Arial" w:eastAsia="Verdana" w:hAnsi="Arial" w:cs="Arial"/>
                <w:sz w:val="20"/>
                <w:szCs w:val="20"/>
                <w:lang w:val="fr-FR"/>
              </w:rPr>
              <w:t>0.</w:t>
            </w:r>
            <w:r>
              <w:rPr>
                <w:rFonts w:ascii="Arial" w:eastAsia="Verdana" w:hAnsi="Arial" w:cs="Arial"/>
                <w:sz w:val="20"/>
                <w:szCs w:val="20"/>
                <w:lang w:val="fr-FR"/>
              </w:rPr>
              <w:t>9 (0.4;1.9)</w:t>
            </w:r>
          </w:p>
        </w:tc>
        <w:tc>
          <w:tcPr>
            <w:tcW w:w="1417" w:type="dxa"/>
            <w:tcBorders>
              <w:left w:val="nil"/>
              <w:right w:val="nil"/>
            </w:tcBorders>
            <w:noWrap/>
            <w:vAlign w:val="center"/>
          </w:tcPr>
          <w:p w:rsidR="00782090" w:rsidRPr="00A54C0E" w:rsidRDefault="00A54C0E" w:rsidP="00A54C0E">
            <w:pPr>
              <w:tabs>
                <w:tab w:val="left" w:pos="1263"/>
              </w:tabs>
              <w:jc w:val="center"/>
              <w:rPr>
                <w:rFonts w:ascii="Arial" w:eastAsia="Verdana" w:hAnsi="Arial" w:cs="Arial"/>
                <w:sz w:val="20"/>
                <w:szCs w:val="20"/>
                <w:lang w:val="fr-FR"/>
              </w:rPr>
            </w:pPr>
            <w:r>
              <w:rPr>
                <w:rFonts w:ascii="Arial" w:eastAsia="Verdana" w:hAnsi="Arial" w:cs="Arial"/>
                <w:sz w:val="20"/>
                <w:szCs w:val="20"/>
                <w:lang w:val="fr-FR"/>
              </w:rPr>
              <w:t>1.0 (0.5;2.2)</w:t>
            </w:r>
          </w:p>
        </w:tc>
        <w:tc>
          <w:tcPr>
            <w:tcW w:w="1560" w:type="dxa"/>
            <w:tcBorders>
              <w:left w:val="nil"/>
              <w:right w:val="nil"/>
            </w:tcBorders>
            <w:noWrap/>
            <w:vAlign w:val="center"/>
          </w:tcPr>
          <w:p w:rsidR="00782090" w:rsidRPr="00977DAB" w:rsidRDefault="00A54C0E" w:rsidP="00A54C0E">
            <w:pPr>
              <w:tabs>
                <w:tab w:val="left" w:pos="1263"/>
              </w:tabs>
              <w:jc w:val="center"/>
              <w:rPr>
                <w:rFonts w:ascii="Arial" w:eastAsia="Verdana" w:hAnsi="Arial" w:cs="Arial"/>
                <w:sz w:val="20"/>
                <w:szCs w:val="20"/>
                <w:lang w:val="fr-FR"/>
              </w:rPr>
            </w:pPr>
            <w:r>
              <w:rPr>
                <w:rFonts w:ascii="Arial" w:eastAsia="Verdana" w:hAnsi="Arial" w:cs="Arial"/>
                <w:sz w:val="20"/>
                <w:szCs w:val="20"/>
                <w:lang w:val="fr-FR"/>
              </w:rPr>
              <w:t>1.1 (0.6;2.5)</w:t>
            </w:r>
          </w:p>
        </w:tc>
        <w:tc>
          <w:tcPr>
            <w:tcW w:w="1648" w:type="dxa"/>
            <w:tcBorders>
              <w:left w:val="nil"/>
              <w:right w:val="nil"/>
            </w:tcBorders>
            <w:noWrap/>
            <w:vAlign w:val="center"/>
          </w:tcPr>
          <w:p w:rsidR="00782090" w:rsidRPr="00EF6887" w:rsidRDefault="00A54C0E" w:rsidP="00A54C0E">
            <w:pPr>
              <w:tabs>
                <w:tab w:val="left" w:pos="1263"/>
              </w:tabs>
              <w:jc w:val="center"/>
              <w:rPr>
                <w:rFonts w:ascii="Arial" w:hAnsi="Arial" w:cs="Arial"/>
                <w:color w:val="000000"/>
                <w:sz w:val="20"/>
                <w:szCs w:val="20"/>
                <w:lang w:val="fr-FR"/>
              </w:rPr>
            </w:pPr>
            <w:r>
              <w:rPr>
                <w:rFonts w:ascii="Arial" w:hAnsi="Arial" w:cs="Arial"/>
                <w:color w:val="000000"/>
                <w:sz w:val="20"/>
                <w:szCs w:val="20"/>
                <w:lang w:val="fr-FR"/>
              </w:rPr>
              <w:t>1.4 (0.7;3.1)</w:t>
            </w:r>
          </w:p>
        </w:tc>
        <w:tc>
          <w:tcPr>
            <w:tcW w:w="1276" w:type="dxa"/>
            <w:tcBorders>
              <w:left w:val="nil"/>
              <w:right w:val="nil"/>
            </w:tcBorders>
            <w:noWrap/>
            <w:vAlign w:val="center"/>
          </w:tcPr>
          <w:p w:rsidR="00782090" w:rsidRPr="00EF6887" w:rsidRDefault="00A54C0E" w:rsidP="00A54C0E">
            <w:pPr>
              <w:tabs>
                <w:tab w:val="left" w:pos="1263"/>
              </w:tabs>
              <w:jc w:val="center"/>
              <w:rPr>
                <w:rFonts w:ascii="Arial" w:eastAsia="Verdana" w:hAnsi="Arial" w:cs="Arial"/>
                <w:sz w:val="20"/>
                <w:szCs w:val="20"/>
                <w:lang w:val="fr-FR"/>
              </w:rPr>
            </w:pPr>
            <w:r>
              <w:rPr>
                <w:rFonts w:ascii="Arial" w:eastAsia="Verdana" w:hAnsi="Arial" w:cs="Arial"/>
                <w:sz w:val="20"/>
                <w:szCs w:val="20"/>
                <w:lang w:val="fr-FR"/>
              </w:rPr>
              <w:t>&lt;0.001</w:t>
            </w:r>
          </w:p>
        </w:tc>
        <w:tc>
          <w:tcPr>
            <w:tcW w:w="1276" w:type="dxa"/>
            <w:tcBorders>
              <w:left w:val="nil"/>
              <w:right w:val="nil"/>
            </w:tcBorders>
            <w:noWrap/>
            <w:vAlign w:val="center"/>
          </w:tcPr>
          <w:p w:rsidR="00782090" w:rsidRPr="00977DAB" w:rsidRDefault="00A54C0E" w:rsidP="00A54C0E">
            <w:pPr>
              <w:jc w:val="center"/>
              <w:rPr>
                <w:rFonts w:ascii="Arial" w:hAnsi="Arial" w:cs="Arial"/>
                <w:color w:val="000000"/>
                <w:sz w:val="20"/>
                <w:szCs w:val="20"/>
                <w:lang w:val="fr-FR"/>
              </w:rPr>
            </w:pPr>
            <w:r>
              <w:rPr>
                <w:rFonts w:ascii="Arial" w:hAnsi="Arial" w:cs="Arial"/>
                <w:color w:val="000000"/>
                <w:sz w:val="20"/>
                <w:szCs w:val="20"/>
                <w:lang w:val="fr-FR"/>
              </w:rPr>
              <w:t>1.1 (0.5;2.4)</w:t>
            </w:r>
          </w:p>
        </w:tc>
      </w:tr>
      <w:tr w:rsidR="004043F0" w:rsidRPr="00A54C0E" w:rsidTr="005A7BF8">
        <w:trPr>
          <w:trHeight w:val="300"/>
        </w:trPr>
        <w:tc>
          <w:tcPr>
            <w:tcW w:w="408" w:type="dxa"/>
            <w:tcBorders>
              <w:left w:val="nil"/>
              <w:right w:val="nil"/>
            </w:tcBorders>
            <w:noWrap/>
            <w:hideMark/>
          </w:tcPr>
          <w:p w:rsidR="00782090" w:rsidRPr="00EF6887" w:rsidRDefault="00782090" w:rsidP="00A31A9C">
            <w:pPr>
              <w:tabs>
                <w:tab w:val="left" w:pos="1263"/>
              </w:tabs>
              <w:jc w:val="both"/>
              <w:rPr>
                <w:rFonts w:ascii="Arial" w:eastAsia="Verdana" w:hAnsi="Arial" w:cs="Arial"/>
                <w:b/>
                <w:bCs/>
                <w:sz w:val="20"/>
                <w:szCs w:val="20"/>
                <w:lang w:val="fr-FR"/>
              </w:rPr>
            </w:pPr>
          </w:p>
        </w:tc>
        <w:tc>
          <w:tcPr>
            <w:tcW w:w="2127" w:type="dxa"/>
            <w:tcBorders>
              <w:left w:val="nil"/>
              <w:right w:val="nil"/>
            </w:tcBorders>
            <w:noWrap/>
            <w:hideMark/>
          </w:tcPr>
          <w:p w:rsidR="00782090" w:rsidRPr="00EF6887" w:rsidRDefault="00782090" w:rsidP="00A31A9C">
            <w:pPr>
              <w:tabs>
                <w:tab w:val="left" w:pos="1263"/>
              </w:tabs>
              <w:jc w:val="both"/>
              <w:rPr>
                <w:rFonts w:ascii="Arial" w:eastAsia="Verdana" w:hAnsi="Arial" w:cs="Arial"/>
                <w:b/>
                <w:bCs/>
                <w:sz w:val="20"/>
                <w:szCs w:val="20"/>
                <w:lang w:val="fr-FR"/>
              </w:rPr>
            </w:pPr>
            <w:r w:rsidRPr="00EF6887">
              <w:rPr>
                <w:rFonts w:ascii="Arial" w:eastAsia="Verdana" w:hAnsi="Arial" w:cs="Arial"/>
                <w:b/>
                <w:bCs/>
                <w:sz w:val="20"/>
                <w:szCs w:val="20"/>
                <w:lang w:val="fr-FR"/>
              </w:rPr>
              <w:t>ALT (U/L)</w:t>
            </w:r>
          </w:p>
        </w:tc>
        <w:tc>
          <w:tcPr>
            <w:tcW w:w="1559" w:type="dxa"/>
            <w:tcBorders>
              <w:left w:val="nil"/>
              <w:right w:val="nil"/>
            </w:tcBorders>
            <w:noWrap/>
            <w:vAlign w:val="center"/>
            <w:hideMark/>
          </w:tcPr>
          <w:p w:rsidR="00782090" w:rsidRPr="00EF6887" w:rsidRDefault="00782090" w:rsidP="00A54C0E">
            <w:pPr>
              <w:tabs>
                <w:tab w:val="left" w:pos="1263"/>
              </w:tabs>
              <w:jc w:val="center"/>
              <w:rPr>
                <w:rFonts w:ascii="Arial" w:eastAsia="Verdana" w:hAnsi="Arial" w:cs="Arial"/>
                <w:sz w:val="20"/>
                <w:szCs w:val="20"/>
                <w:lang w:val="fr-FR"/>
              </w:rPr>
            </w:pPr>
            <w:r w:rsidRPr="00EF6887">
              <w:rPr>
                <w:rFonts w:ascii="Arial" w:eastAsia="Verdana" w:hAnsi="Arial" w:cs="Arial"/>
                <w:sz w:val="20"/>
                <w:szCs w:val="20"/>
                <w:lang w:val="fr-FR"/>
              </w:rPr>
              <w:t>17.0 (8.7)</w:t>
            </w:r>
          </w:p>
        </w:tc>
        <w:tc>
          <w:tcPr>
            <w:tcW w:w="1417" w:type="dxa"/>
            <w:tcBorders>
              <w:left w:val="nil"/>
              <w:right w:val="nil"/>
            </w:tcBorders>
            <w:noWrap/>
            <w:vAlign w:val="center"/>
            <w:hideMark/>
          </w:tcPr>
          <w:p w:rsidR="00782090" w:rsidRPr="00EF6887" w:rsidRDefault="00782090" w:rsidP="00A54C0E">
            <w:pPr>
              <w:tabs>
                <w:tab w:val="left" w:pos="1263"/>
              </w:tabs>
              <w:jc w:val="center"/>
              <w:rPr>
                <w:rFonts w:ascii="Arial" w:eastAsia="Verdana" w:hAnsi="Arial" w:cs="Arial"/>
                <w:sz w:val="20"/>
                <w:szCs w:val="20"/>
                <w:lang w:val="fr-FR"/>
              </w:rPr>
            </w:pPr>
            <w:r w:rsidRPr="00EF6887">
              <w:rPr>
                <w:rFonts w:ascii="Arial" w:eastAsia="Verdana" w:hAnsi="Arial" w:cs="Arial"/>
                <w:sz w:val="20"/>
                <w:szCs w:val="20"/>
                <w:lang w:val="fr-FR"/>
              </w:rPr>
              <w:t>17.7 (9.0)</w:t>
            </w:r>
          </w:p>
        </w:tc>
        <w:tc>
          <w:tcPr>
            <w:tcW w:w="1560" w:type="dxa"/>
            <w:tcBorders>
              <w:left w:val="nil"/>
              <w:right w:val="nil"/>
            </w:tcBorders>
            <w:noWrap/>
            <w:vAlign w:val="center"/>
            <w:hideMark/>
          </w:tcPr>
          <w:p w:rsidR="00782090" w:rsidRPr="00EF6887" w:rsidRDefault="00782090" w:rsidP="00C63D02">
            <w:pPr>
              <w:tabs>
                <w:tab w:val="left" w:pos="1263"/>
              </w:tabs>
              <w:jc w:val="center"/>
              <w:rPr>
                <w:rFonts w:ascii="Arial" w:eastAsia="Verdana" w:hAnsi="Arial" w:cs="Arial"/>
                <w:sz w:val="20"/>
                <w:szCs w:val="20"/>
                <w:lang w:val="fr-FR"/>
              </w:rPr>
            </w:pPr>
            <w:r w:rsidRPr="00EF6887">
              <w:rPr>
                <w:rFonts w:ascii="Arial" w:eastAsia="Verdana" w:hAnsi="Arial" w:cs="Arial"/>
                <w:sz w:val="20"/>
                <w:szCs w:val="20"/>
                <w:lang w:val="fr-FR"/>
              </w:rPr>
              <w:t>19.5 (12.4)</w:t>
            </w:r>
          </w:p>
        </w:tc>
        <w:tc>
          <w:tcPr>
            <w:tcW w:w="1648" w:type="dxa"/>
            <w:tcBorders>
              <w:left w:val="nil"/>
              <w:right w:val="nil"/>
            </w:tcBorders>
            <w:noWrap/>
            <w:vAlign w:val="center"/>
            <w:hideMark/>
          </w:tcPr>
          <w:p w:rsidR="00782090" w:rsidRPr="00EF6887" w:rsidRDefault="00782090" w:rsidP="00F35F45">
            <w:pPr>
              <w:tabs>
                <w:tab w:val="left" w:pos="1263"/>
              </w:tabs>
              <w:jc w:val="center"/>
              <w:rPr>
                <w:rFonts w:ascii="Arial" w:hAnsi="Arial" w:cs="Arial"/>
                <w:color w:val="000000"/>
                <w:sz w:val="20"/>
                <w:szCs w:val="20"/>
                <w:lang w:val="fr-FR"/>
              </w:rPr>
            </w:pPr>
            <w:r w:rsidRPr="00EF6887">
              <w:rPr>
                <w:rFonts w:ascii="Arial" w:eastAsia="Verdana" w:hAnsi="Arial" w:cs="Arial"/>
                <w:sz w:val="20"/>
                <w:szCs w:val="20"/>
                <w:lang w:val="fr-FR"/>
              </w:rPr>
              <w:t xml:space="preserve">21.9 </w:t>
            </w:r>
            <w:r w:rsidRPr="00EF6887">
              <w:rPr>
                <w:rFonts w:ascii="Arial" w:hAnsi="Arial" w:cs="Arial"/>
                <w:color w:val="000000"/>
                <w:sz w:val="20"/>
                <w:szCs w:val="20"/>
                <w:lang w:val="fr-FR"/>
              </w:rPr>
              <w:t>(15.1)</w:t>
            </w:r>
          </w:p>
        </w:tc>
        <w:tc>
          <w:tcPr>
            <w:tcW w:w="1276" w:type="dxa"/>
            <w:tcBorders>
              <w:left w:val="nil"/>
              <w:right w:val="nil"/>
            </w:tcBorders>
            <w:noWrap/>
            <w:vAlign w:val="center"/>
            <w:hideMark/>
          </w:tcPr>
          <w:p w:rsidR="00782090" w:rsidRPr="00EF6887" w:rsidRDefault="00782090" w:rsidP="0008154A">
            <w:pPr>
              <w:tabs>
                <w:tab w:val="left" w:pos="1263"/>
              </w:tabs>
              <w:jc w:val="center"/>
              <w:rPr>
                <w:rFonts w:ascii="Arial" w:eastAsia="Verdana" w:hAnsi="Arial" w:cs="Arial"/>
                <w:sz w:val="20"/>
                <w:szCs w:val="20"/>
                <w:lang w:val="fr-FR"/>
              </w:rPr>
            </w:pPr>
            <w:r w:rsidRPr="00EF6887">
              <w:rPr>
                <w:rFonts w:ascii="Arial" w:eastAsia="Verdana" w:hAnsi="Arial" w:cs="Arial"/>
                <w:sz w:val="20"/>
                <w:szCs w:val="20"/>
                <w:lang w:val="fr-FR"/>
              </w:rPr>
              <w:t>&lt;0.001</w:t>
            </w:r>
          </w:p>
        </w:tc>
        <w:tc>
          <w:tcPr>
            <w:tcW w:w="1276" w:type="dxa"/>
            <w:tcBorders>
              <w:left w:val="nil"/>
              <w:right w:val="nil"/>
            </w:tcBorders>
            <w:noWrap/>
            <w:vAlign w:val="center"/>
          </w:tcPr>
          <w:p w:rsidR="00782090" w:rsidRPr="00977DAB" w:rsidRDefault="00782090" w:rsidP="0008154A">
            <w:pPr>
              <w:jc w:val="center"/>
              <w:rPr>
                <w:rFonts w:ascii="Arial" w:hAnsi="Arial" w:cs="Arial"/>
                <w:color w:val="000000"/>
                <w:sz w:val="20"/>
                <w:szCs w:val="20"/>
                <w:lang w:val="fr-FR"/>
              </w:rPr>
            </w:pPr>
            <w:r w:rsidRPr="00977DAB">
              <w:rPr>
                <w:rFonts w:ascii="Arial" w:hAnsi="Arial" w:cs="Arial"/>
                <w:color w:val="000000"/>
                <w:sz w:val="20"/>
                <w:szCs w:val="20"/>
                <w:lang w:val="fr-FR"/>
              </w:rPr>
              <w:t>19.0 (11.7)</w:t>
            </w:r>
          </w:p>
        </w:tc>
      </w:tr>
      <w:tr w:rsidR="004043F0" w:rsidRPr="00EF6887" w:rsidTr="005A7BF8">
        <w:trPr>
          <w:trHeight w:val="300"/>
        </w:trPr>
        <w:tc>
          <w:tcPr>
            <w:tcW w:w="408" w:type="dxa"/>
            <w:tcBorders>
              <w:left w:val="nil"/>
              <w:right w:val="nil"/>
            </w:tcBorders>
            <w:noWrap/>
            <w:hideMark/>
          </w:tcPr>
          <w:p w:rsidR="00782090" w:rsidRPr="00EF6887" w:rsidRDefault="00782090" w:rsidP="00A31A9C">
            <w:pPr>
              <w:tabs>
                <w:tab w:val="left" w:pos="1263"/>
              </w:tabs>
              <w:jc w:val="both"/>
              <w:rPr>
                <w:rFonts w:ascii="Arial" w:eastAsia="Verdana" w:hAnsi="Arial" w:cs="Arial"/>
                <w:b/>
                <w:bCs/>
                <w:sz w:val="20"/>
                <w:szCs w:val="20"/>
                <w:lang w:val="fr-FR"/>
              </w:rPr>
            </w:pPr>
          </w:p>
        </w:tc>
        <w:tc>
          <w:tcPr>
            <w:tcW w:w="2127" w:type="dxa"/>
            <w:tcBorders>
              <w:left w:val="nil"/>
              <w:right w:val="nil"/>
            </w:tcBorders>
            <w:noWrap/>
            <w:hideMark/>
          </w:tcPr>
          <w:p w:rsidR="00782090" w:rsidRPr="00EF6887" w:rsidRDefault="00782090" w:rsidP="00A31A9C">
            <w:pPr>
              <w:tabs>
                <w:tab w:val="left" w:pos="1263"/>
              </w:tabs>
              <w:jc w:val="both"/>
              <w:rPr>
                <w:rFonts w:ascii="Arial" w:eastAsia="Verdana" w:hAnsi="Arial" w:cs="Arial"/>
                <w:b/>
                <w:bCs/>
                <w:sz w:val="20"/>
                <w:szCs w:val="20"/>
                <w:lang w:val="fr-FR"/>
              </w:rPr>
            </w:pPr>
            <w:r w:rsidRPr="00EF6887">
              <w:rPr>
                <w:rFonts w:ascii="Arial" w:eastAsia="Verdana" w:hAnsi="Arial" w:cs="Arial"/>
                <w:b/>
                <w:bCs/>
                <w:sz w:val="20"/>
                <w:szCs w:val="20"/>
                <w:lang w:val="fr-FR"/>
              </w:rPr>
              <w:t>AST (U/L)</w:t>
            </w:r>
          </w:p>
        </w:tc>
        <w:tc>
          <w:tcPr>
            <w:tcW w:w="1559" w:type="dxa"/>
            <w:tcBorders>
              <w:left w:val="nil"/>
              <w:right w:val="nil"/>
            </w:tcBorders>
            <w:noWrap/>
            <w:vAlign w:val="center"/>
            <w:hideMark/>
          </w:tcPr>
          <w:p w:rsidR="00782090" w:rsidRPr="00EF6887" w:rsidRDefault="00782090" w:rsidP="00A54C0E">
            <w:pPr>
              <w:tabs>
                <w:tab w:val="left" w:pos="1263"/>
              </w:tabs>
              <w:jc w:val="center"/>
              <w:rPr>
                <w:rFonts w:ascii="Arial" w:eastAsia="Verdana" w:hAnsi="Arial" w:cs="Arial"/>
                <w:sz w:val="20"/>
                <w:szCs w:val="20"/>
                <w:lang w:val="fr-FR"/>
              </w:rPr>
            </w:pPr>
            <w:r w:rsidRPr="00EF6887">
              <w:rPr>
                <w:rFonts w:ascii="Arial" w:eastAsia="Verdana" w:hAnsi="Arial" w:cs="Arial"/>
                <w:sz w:val="20"/>
                <w:szCs w:val="20"/>
                <w:lang w:val="fr-FR"/>
              </w:rPr>
              <w:t>25.7 (9.9)</w:t>
            </w:r>
          </w:p>
        </w:tc>
        <w:tc>
          <w:tcPr>
            <w:tcW w:w="1417" w:type="dxa"/>
            <w:tcBorders>
              <w:left w:val="nil"/>
              <w:right w:val="nil"/>
            </w:tcBorders>
            <w:noWrap/>
            <w:vAlign w:val="center"/>
            <w:hideMark/>
          </w:tcPr>
          <w:p w:rsidR="00782090" w:rsidRPr="00EF6887" w:rsidRDefault="00782090" w:rsidP="00A54C0E">
            <w:pPr>
              <w:tabs>
                <w:tab w:val="left" w:pos="1263"/>
              </w:tabs>
              <w:jc w:val="center"/>
              <w:rPr>
                <w:rFonts w:ascii="Arial" w:eastAsia="Verdana" w:hAnsi="Arial" w:cs="Arial"/>
                <w:sz w:val="20"/>
                <w:szCs w:val="20"/>
                <w:lang w:val="fr-FR"/>
              </w:rPr>
            </w:pPr>
            <w:r w:rsidRPr="00EF6887">
              <w:rPr>
                <w:rFonts w:ascii="Arial" w:eastAsia="Verdana" w:hAnsi="Arial" w:cs="Arial"/>
                <w:sz w:val="20"/>
                <w:szCs w:val="20"/>
                <w:lang w:val="fr-FR"/>
              </w:rPr>
              <w:t>26.1 (10.1)</w:t>
            </w:r>
          </w:p>
        </w:tc>
        <w:tc>
          <w:tcPr>
            <w:tcW w:w="1560" w:type="dxa"/>
            <w:tcBorders>
              <w:left w:val="nil"/>
              <w:right w:val="nil"/>
            </w:tcBorders>
            <w:noWrap/>
            <w:vAlign w:val="center"/>
            <w:hideMark/>
          </w:tcPr>
          <w:p w:rsidR="00782090" w:rsidRPr="00EF6887" w:rsidRDefault="00782090" w:rsidP="00A54C0E">
            <w:pPr>
              <w:tabs>
                <w:tab w:val="left" w:pos="1263"/>
              </w:tabs>
              <w:jc w:val="center"/>
              <w:rPr>
                <w:rFonts w:ascii="Arial" w:eastAsia="Verdana" w:hAnsi="Arial" w:cs="Arial"/>
                <w:sz w:val="20"/>
                <w:szCs w:val="20"/>
              </w:rPr>
            </w:pPr>
            <w:r w:rsidRPr="00C63D02">
              <w:rPr>
                <w:rFonts w:ascii="Arial" w:eastAsia="Verdana" w:hAnsi="Arial" w:cs="Arial"/>
                <w:sz w:val="20"/>
                <w:szCs w:val="20"/>
                <w:lang w:val="fr-FR"/>
              </w:rPr>
              <w:t>27.3 (7.</w:t>
            </w:r>
            <w:r w:rsidRPr="00EF6887">
              <w:rPr>
                <w:rFonts w:ascii="Arial" w:eastAsia="Verdana" w:hAnsi="Arial" w:cs="Arial"/>
                <w:sz w:val="20"/>
                <w:szCs w:val="20"/>
              </w:rPr>
              <w:t>9)</w:t>
            </w:r>
          </w:p>
        </w:tc>
        <w:tc>
          <w:tcPr>
            <w:tcW w:w="1648" w:type="dxa"/>
            <w:tcBorders>
              <w:left w:val="nil"/>
              <w:right w:val="nil"/>
            </w:tcBorders>
            <w:noWrap/>
            <w:vAlign w:val="center"/>
            <w:hideMark/>
          </w:tcPr>
          <w:p w:rsidR="00782090" w:rsidRPr="00EF6887" w:rsidRDefault="00782090" w:rsidP="00C63D02">
            <w:pPr>
              <w:tabs>
                <w:tab w:val="left" w:pos="1263"/>
              </w:tabs>
              <w:jc w:val="center"/>
              <w:rPr>
                <w:rFonts w:ascii="Arial" w:hAnsi="Arial" w:cs="Arial"/>
                <w:color w:val="000000"/>
                <w:sz w:val="20"/>
                <w:szCs w:val="20"/>
              </w:rPr>
            </w:pPr>
            <w:r w:rsidRPr="00EF6887">
              <w:rPr>
                <w:rFonts w:ascii="Arial" w:eastAsia="Verdana" w:hAnsi="Arial" w:cs="Arial"/>
                <w:sz w:val="20"/>
                <w:szCs w:val="20"/>
              </w:rPr>
              <w:t xml:space="preserve">29.1 </w:t>
            </w:r>
            <w:r w:rsidRPr="00EF6887">
              <w:rPr>
                <w:rFonts w:ascii="Arial" w:hAnsi="Arial" w:cs="Arial"/>
                <w:color w:val="000000"/>
                <w:sz w:val="20"/>
                <w:szCs w:val="20"/>
              </w:rPr>
              <w:t>(13.7)</w:t>
            </w:r>
          </w:p>
        </w:tc>
        <w:tc>
          <w:tcPr>
            <w:tcW w:w="1276" w:type="dxa"/>
            <w:tcBorders>
              <w:left w:val="nil"/>
              <w:right w:val="nil"/>
            </w:tcBorders>
            <w:noWrap/>
            <w:vAlign w:val="center"/>
            <w:hideMark/>
          </w:tcPr>
          <w:p w:rsidR="00782090" w:rsidRPr="00EF6887" w:rsidRDefault="00782090" w:rsidP="00F35F45">
            <w:pPr>
              <w:tabs>
                <w:tab w:val="left" w:pos="1263"/>
              </w:tabs>
              <w:jc w:val="center"/>
              <w:rPr>
                <w:rFonts w:ascii="Arial" w:eastAsia="Verdana" w:hAnsi="Arial" w:cs="Arial"/>
                <w:sz w:val="20"/>
                <w:szCs w:val="20"/>
              </w:rPr>
            </w:pPr>
            <w:r w:rsidRPr="00EF6887">
              <w:rPr>
                <w:rFonts w:ascii="Arial" w:eastAsia="Verdana" w:hAnsi="Arial" w:cs="Arial"/>
                <w:sz w:val="20"/>
                <w:szCs w:val="20"/>
              </w:rPr>
              <w:t>&lt;0.001</w:t>
            </w:r>
          </w:p>
        </w:tc>
        <w:tc>
          <w:tcPr>
            <w:tcW w:w="1276" w:type="dxa"/>
            <w:tcBorders>
              <w:left w:val="nil"/>
              <w:right w:val="nil"/>
            </w:tcBorders>
            <w:noWrap/>
            <w:vAlign w:val="center"/>
          </w:tcPr>
          <w:p w:rsidR="00782090" w:rsidRPr="00EF6887" w:rsidRDefault="00782090" w:rsidP="0008154A">
            <w:pPr>
              <w:jc w:val="center"/>
              <w:rPr>
                <w:rFonts w:ascii="Arial" w:hAnsi="Arial" w:cs="Arial"/>
                <w:color w:val="000000"/>
                <w:sz w:val="20"/>
                <w:szCs w:val="20"/>
              </w:rPr>
            </w:pPr>
            <w:r w:rsidRPr="00EF6887">
              <w:rPr>
                <w:rFonts w:ascii="Arial" w:hAnsi="Arial" w:cs="Arial"/>
                <w:color w:val="000000"/>
                <w:sz w:val="20"/>
                <w:szCs w:val="20"/>
              </w:rPr>
              <w:t>27.1 (10.7)</w:t>
            </w:r>
          </w:p>
        </w:tc>
      </w:tr>
      <w:tr w:rsidR="004043F0" w:rsidRPr="00EF6887" w:rsidTr="005A7BF8">
        <w:trPr>
          <w:trHeight w:val="300"/>
        </w:trPr>
        <w:tc>
          <w:tcPr>
            <w:tcW w:w="408" w:type="dxa"/>
            <w:tcBorders>
              <w:left w:val="nil"/>
              <w:bottom w:val="single" w:sz="4" w:space="0" w:color="auto"/>
              <w:right w:val="nil"/>
            </w:tcBorders>
            <w:noWrap/>
            <w:hideMark/>
          </w:tcPr>
          <w:p w:rsidR="00782090" w:rsidRPr="00EF6887" w:rsidRDefault="00782090"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 </w:t>
            </w:r>
          </w:p>
        </w:tc>
        <w:tc>
          <w:tcPr>
            <w:tcW w:w="2127" w:type="dxa"/>
            <w:tcBorders>
              <w:left w:val="nil"/>
              <w:bottom w:val="single" w:sz="4" w:space="0" w:color="auto"/>
              <w:right w:val="nil"/>
            </w:tcBorders>
            <w:noWrap/>
            <w:hideMark/>
          </w:tcPr>
          <w:p w:rsidR="00782090" w:rsidRPr="00EF6887" w:rsidRDefault="00782090" w:rsidP="00A31A9C">
            <w:pPr>
              <w:tabs>
                <w:tab w:val="left" w:pos="1263"/>
              </w:tabs>
              <w:jc w:val="both"/>
              <w:rPr>
                <w:rFonts w:ascii="Arial" w:eastAsia="Verdana" w:hAnsi="Arial" w:cs="Arial"/>
                <w:b/>
                <w:bCs/>
                <w:sz w:val="20"/>
                <w:szCs w:val="20"/>
              </w:rPr>
            </w:pPr>
            <w:r w:rsidRPr="00EF6887">
              <w:rPr>
                <w:rFonts w:ascii="Arial" w:eastAsia="Verdana" w:hAnsi="Arial" w:cs="Arial"/>
                <w:b/>
                <w:bCs/>
                <w:sz w:val="20"/>
                <w:szCs w:val="20"/>
              </w:rPr>
              <w:t>GGT (U/L)</w:t>
            </w:r>
            <w:r w:rsidR="000B4E2C">
              <w:rPr>
                <w:rFonts w:ascii="Arial" w:eastAsia="Verdana" w:hAnsi="Arial" w:cs="Arial"/>
                <w:sz w:val="20"/>
                <w:szCs w:val="24"/>
                <w:lang w:val="en-US"/>
              </w:rPr>
              <w:t xml:space="preserve"> †</w:t>
            </w:r>
          </w:p>
        </w:tc>
        <w:tc>
          <w:tcPr>
            <w:tcW w:w="1559" w:type="dxa"/>
            <w:tcBorders>
              <w:left w:val="nil"/>
              <w:bottom w:val="single" w:sz="4" w:space="0" w:color="auto"/>
              <w:right w:val="nil"/>
            </w:tcBorders>
            <w:noWrap/>
            <w:vAlign w:val="center"/>
          </w:tcPr>
          <w:p w:rsidR="00782090" w:rsidRPr="00EF6887" w:rsidRDefault="00A54C0E" w:rsidP="00A54C0E">
            <w:pPr>
              <w:tabs>
                <w:tab w:val="left" w:pos="1263"/>
              </w:tabs>
              <w:jc w:val="center"/>
              <w:rPr>
                <w:rFonts w:ascii="Arial" w:eastAsia="Verdana" w:hAnsi="Arial" w:cs="Arial"/>
                <w:sz w:val="20"/>
                <w:szCs w:val="20"/>
              </w:rPr>
            </w:pPr>
            <w:r>
              <w:rPr>
                <w:rFonts w:ascii="Arial" w:eastAsia="Verdana" w:hAnsi="Arial" w:cs="Arial"/>
                <w:sz w:val="20"/>
                <w:szCs w:val="20"/>
              </w:rPr>
              <w:t>14.0 (11.0;18.0)</w:t>
            </w:r>
          </w:p>
        </w:tc>
        <w:tc>
          <w:tcPr>
            <w:tcW w:w="1417" w:type="dxa"/>
            <w:tcBorders>
              <w:left w:val="nil"/>
              <w:bottom w:val="single" w:sz="4" w:space="0" w:color="auto"/>
              <w:right w:val="nil"/>
            </w:tcBorders>
            <w:noWrap/>
            <w:vAlign w:val="center"/>
          </w:tcPr>
          <w:p w:rsidR="00F328BE" w:rsidRDefault="00A54C0E" w:rsidP="00A54C0E">
            <w:pPr>
              <w:tabs>
                <w:tab w:val="left" w:pos="1263"/>
              </w:tabs>
              <w:jc w:val="center"/>
              <w:rPr>
                <w:rFonts w:ascii="Arial" w:eastAsia="Verdana" w:hAnsi="Arial" w:cs="Arial"/>
                <w:sz w:val="20"/>
                <w:szCs w:val="20"/>
              </w:rPr>
            </w:pPr>
            <w:r>
              <w:rPr>
                <w:rFonts w:ascii="Arial" w:eastAsia="Verdana" w:hAnsi="Arial" w:cs="Arial"/>
                <w:sz w:val="20"/>
                <w:szCs w:val="20"/>
              </w:rPr>
              <w:t xml:space="preserve">16.0 </w:t>
            </w:r>
          </w:p>
          <w:p w:rsidR="00782090" w:rsidRPr="00EF6887" w:rsidRDefault="00A54C0E" w:rsidP="00A54C0E">
            <w:pPr>
              <w:tabs>
                <w:tab w:val="left" w:pos="1263"/>
              </w:tabs>
              <w:jc w:val="center"/>
              <w:rPr>
                <w:rFonts w:ascii="Arial" w:eastAsia="Verdana" w:hAnsi="Arial" w:cs="Arial"/>
                <w:sz w:val="20"/>
                <w:szCs w:val="20"/>
              </w:rPr>
            </w:pPr>
            <w:r>
              <w:rPr>
                <w:rFonts w:ascii="Arial" w:eastAsia="Verdana" w:hAnsi="Arial" w:cs="Arial"/>
                <w:sz w:val="20"/>
                <w:szCs w:val="20"/>
              </w:rPr>
              <w:t>(12.0; 22.0)</w:t>
            </w:r>
          </w:p>
        </w:tc>
        <w:tc>
          <w:tcPr>
            <w:tcW w:w="1560" w:type="dxa"/>
            <w:tcBorders>
              <w:left w:val="nil"/>
              <w:bottom w:val="single" w:sz="4" w:space="0" w:color="auto"/>
              <w:right w:val="nil"/>
            </w:tcBorders>
            <w:noWrap/>
            <w:vAlign w:val="center"/>
          </w:tcPr>
          <w:p w:rsidR="00782090" w:rsidRPr="00EF6887" w:rsidRDefault="00A54C0E" w:rsidP="00F328BE">
            <w:pPr>
              <w:tabs>
                <w:tab w:val="left" w:pos="1263"/>
              </w:tabs>
              <w:jc w:val="center"/>
              <w:rPr>
                <w:rFonts w:ascii="Arial" w:eastAsia="Verdana" w:hAnsi="Arial" w:cs="Arial"/>
                <w:sz w:val="20"/>
                <w:szCs w:val="20"/>
              </w:rPr>
            </w:pPr>
            <w:r>
              <w:rPr>
                <w:rFonts w:ascii="Arial" w:eastAsia="Verdana" w:hAnsi="Arial" w:cs="Arial"/>
                <w:sz w:val="20"/>
                <w:szCs w:val="20"/>
              </w:rPr>
              <w:t>18.0</w:t>
            </w:r>
            <w:r w:rsidR="00F328BE">
              <w:rPr>
                <w:rFonts w:ascii="Arial" w:eastAsia="Verdana" w:hAnsi="Arial" w:cs="Arial"/>
                <w:sz w:val="20"/>
                <w:szCs w:val="20"/>
              </w:rPr>
              <w:t xml:space="preserve"> </w:t>
            </w:r>
            <w:r>
              <w:rPr>
                <w:rFonts w:ascii="Arial" w:eastAsia="Verdana" w:hAnsi="Arial" w:cs="Arial"/>
                <w:sz w:val="20"/>
                <w:szCs w:val="20"/>
              </w:rPr>
              <w:t>(14.0;26.0)</w:t>
            </w:r>
          </w:p>
        </w:tc>
        <w:tc>
          <w:tcPr>
            <w:tcW w:w="1648" w:type="dxa"/>
            <w:tcBorders>
              <w:left w:val="nil"/>
              <w:bottom w:val="single" w:sz="4" w:space="0" w:color="auto"/>
              <w:right w:val="nil"/>
            </w:tcBorders>
            <w:noWrap/>
            <w:vAlign w:val="center"/>
          </w:tcPr>
          <w:p w:rsidR="00F328BE" w:rsidRDefault="00A54C0E" w:rsidP="00A54C0E">
            <w:pPr>
              <w:tabs>
                <w:tab w:val="left" w:pos="1263"/>
              </w:tabs>
              <w:jc w:val="center"/>
              <w:rPr>
                <w:rFonts w:ascii="Arial" w:hAnsi="Arial" w:cs="Arial"/>
                <w:color w:val="000000"/>
                <w:sz w:val="20"/>
                <w:szCs w:val="20"/>
              </w:rPr>
            </w:pPr>
            <w:r>
              <w:rPr>
                <w:rFonts w:ascii="Arial" w:hAnsi="Arial" w:cs="Arial"/>
                <w:color w:val="000000"/>
                <w:sz w:val="20"/>
                <w:szCs w:val="20"/>
              </w:rPr>
              <w:t xml:space="preserve">20.0 </w:t>
            </w:r>
          </w:p>
          <w:p w:rsidR="00782090" w:rsidRPr="00EF6887" w:rsidRDefault="00A54C0E" w:rsidP="00A54C0E">
            <w:pPr>
              <w:tabs>
                <w:tab w:val="left" w:pos="1263"/>
              </w:tabs>
              <w:jc w:val="center"/>
              <w:rPr>
                <w:rFonts w:ascii="Arial" w:hAnsi="Arial" w:cs="Arial"/>
                <w:color w:val="000000"/>
                <w:sz w:val="20"/>
                <w:szCs w:val="20"/>
              </w:rPr>
            </w:pPr>
            <w:r>
              <w:rPr>
                <w:rFonts w:ascii="Arial" w:hAnsi="Arial" w:cs="Arial"/>
                <w:color w:val="000000"/>
                <w:sz w:val="20"/>
                <w:szCs w:val="20"/>
              </w:rPr>
              <w:t>(15.0;31.0)</w:t>
            </w:r>
          </w:p>
        </w:tc>
        <w:tc>
          <w:tcPr>
            <w:tcW w:w="1276" w:type="dxa"/>
            <w:tcBorders>
              <w:left w:val="nil"/>
              <w:bottom w:val="single" w:sz="4" w:space="0" w:color="auto"/>
              <w:right w:val="nil"/>
            </w:tcBorders>
            <w:noWrap/>
            <w:vAlign w:val="center"/>
          </w:tcPr>
          <w:p w:rsidR="00782090" w:rsidRPr="00EF6887" w:rsidRDefault="00A54C0E" w:rsidP="00A54C0E">
            <w:pPr>
              <w:tabs>
                <w:tab w:val="left" w:pos="1263"/>
              </w:tabs>
              <w:jc w:val="center"/>
              <w:rPr>
                <w:rFonts w:ascii="Arial" w:eastAsia="Verdana" w:hAnsi="Arial" w:cs="Arial"/>
                <w:sz w:val="20"/>
                <w:szCs w:val="20"/>
              </w:rPr>
            </w:pPr>
            <w:r>
              <w:rPr>
                <w:rFonts w:ascii="Arial" w:eastAsia="Verdana" w:hAnsi="Arial" w:cs="Arial"/>
                <w:sz w:val="20"/>
                <w:szCs w:val="20"/>
              </w:rPr>
              <w:t>&lt;0.001</w:t>
            </w:r>
          </w:p>
        </w:tc>
        <w:tc>
          <w:tcPr>
            <w:tcW w:w="1276" w:type="dxa"/>
            <w:tcBorders>
              <w:left w:val="nil"/>
              <w:bottom w:val="single" w:sz="4" w:space="0" w:color="auto"/>
              <w:right w:val="nil"/>
            </w:tcBorders>
            <w:noWrap/>
            <w:vAlign w:val="center"/>
          </w:tcPr>
          <w:p w:rsidR="00782090" w:rsidRPr="00EF6887" w:rsidRDefault="00A54C0E" w:rsidP="00A54C0E">
            <w:pPr>
              <w:jc w:val="center"/>
              <w:rPr>
                <w:rFonts w:ascii="Arial" w:hAnsi="Arial" w:cs="Arial"/>
                <w:color w:val="000000"/>
                <w:sz w:val="20"/>
                <w:szCs w:val="20"/>
              </w:rPr>
            </w:pPr>
            <w:r>
              <w:rPr>
                <w:rFonts w:ascii="Arial" w:hAnsi="Arial" w:cs="Arial"/>
                <w:color w:val="000000"/>
                <w:sz w:val="20"/>
                <w:szCs w:val="20"/>
              </w:rPr>
              <w:t>17.0 (13.0;24.0)</w:t>
            </w:r>
          </w:p>
        </w:tc>
      </w:tr>
    </w:tbl>
    <w:p w:rsidR="00ED1284" w:rsidRDefault="00ED1284" w:rsidP="00ED1284">
      <w:pPr>
        <w:spacing w:after="0" w:line="240" w:lineRule="auto"/>
        <w:jc w:val="both"/>
        <w:rPr>
          <w:rFonts w:ascii="Arial" w:eastAsia="Verdana" w:hAnsi="Arial" w:cs="Arial"/>
          <w:sz w:val="20"/>
          <w:szCs w:val="24"/>
          <w:lang w:val="en-US"/>
        </w:rPr>
      </w:pPr>
    </w:p>
    <w:p w:rsidR="001604E7" w:rsidRPr="00202FA4" w:rsidRDefault="001604E7" w:rsidP="001604E7">
      <w:pPr>
        <w:spacing w:after="0" w:line="240" w:lineRule="auto"/>
        <w:jc w:val="both"/>
        <w:rPr>
          <w:rFonts w:ascii="Arial" w:eastAsia="Verdana" w:hAnsi="Arial" w:cs="Arial"/>
          <w:sz w:val="20"/>
          <w:szCs w:val="24"/>
          <w:lang w:val="en-US"/>
        </w:rPr>
      </w:pPr>
      <w:r>
        <w:rPr>
          <w:rFonts w:ascii="Arial" w:eastAsia="Verdana" w:hAnsi="Arial" w:cs="Arial"/>
          <w:sz w:val="20"/>
          <w:szCs w:val="24"/>
          <w:lang w:val="en-US"/>
        </w:rPr>
        <w:t>Data shown are mean (standard deviation) or median (interquartile range) for skewed variables marked †</w:t>
      </w:r>
    </w:p>
    <w:p w:rsidR="001604E7" w:rsidRPr="00202FA4" w:rsidRDefault="001604E7" w:rsidP="001604E7">
      <w:pPr>
        <w:spacing w:after="0" w:line="240" w:lineRule="auto"/>
        <w:jc w:val="both"/>
        <w:rPr>
          <w:rFonts w:ascii="Arial" w:eastAsia="Verdana" w:hAnsi="Arial" w:cs="Arial"/>
          <w:sz w:val="20"/>
          <w:szCs w:val="24"/>
          <w:lang w:val="en-US"/>
        </w:rPr>
      </w:pPr>
      <w:r w:rsidRPr="00202FA4">
        <w:rPr>
          <w:rFonts w:ascii="Arial" w:eastAsia="Verdana" w:hAnsi="Arial" w:cs="Arial"/>
          <w:sz w:val="20"/>
          <w:szCs w:val="24"/>
          <w:lang w:val="en-US"/>
        </w:rPr>
        <w:t xml:space="preserve">* ANOVA for </w:t>
      </w:r>
      <w:r>
        <w:rPr>
          <w:rFonts w:ascii="Arial" w:eastAsia="Verdana" w:hAnsi="Arial" w:cs="Arial"/>
          <w:sz w:val="20"/>
          <w:szCs w:val="24"/>
          <w:lang w:val="en-US"/>
        </w:rPr>
        <w:t xml:space="preserve">normally distributed </w:t>
      </w:r>
      <w:r w:rsidRPr="00202FA4">
        <w:rPr>
          <w:rFonts w:ascii="Arial" w:eastAsia="Verdana" w:hAnsi="Arial" w:cs="Arial"/>
          <w:sz w:val="20"/>
          <w:szCs w:val="24"/>
          <w:lang w:val="en-US"/>
        </w:rPr>
        <w:t xml:space="preserve">continuous variables, </w:t>
      </w:r>
      <w:proofErr w:type="spellStart"/>
      <w:r>
        <w:rPr>
          <w:rFonts w:ascii="Arial" w:eastAsia="Verdana" w:hAnsi="Arial" w:cs="Arial"/>
          <w:sz w:val="20"/>
          <w:szCs w:val="24"/>
          <w:lang w:val="en-US"/>
        </w:rPr>
        <w:t>Kruskal</w:t>
      </w:r>
      <w:proofErr w:type="spellEnd"/>
      <w:r>
        <w:rPr>
          <w:rFonts w:ascii="Arial" w:eastAsia="Verdana" w:hAnsi="Arial" w:cs="Arial"/>
          <w:sz w:val="20"/>
          <w:szCs w:val="24"/>
          <w:lang w:val="en-US"/>
        </w:rPr>
        <w:t xml:space="preserve">-Wallis test for continuous variables with skewed distribution (†) and </w:t>
      </w:r>
      <w:r w:rsidRPr="00202FA4">
        <w:rPr>
          <w:rFonts w:ascii="Arial" w:eastAsia="Verdana" w:hAnsi="Arial" w:cs="Arial"/>
          <w:sz w:val="20"/>
          <w:szCs w:val="24"/>
          <w:lang w:val="en-US"/>
        </w:rPr>
        <w:t>Chi</w:t>
      </w:r>
      <w:r w:rsidRPr="00202FA4">
        <w:rPr>
          <w:rFonts w:ascii="Arial" w:eastAsia="Verdana" w:hAnsi="Arial" w:cs="Arial"/>
          <w:sz w:val="20"/>
          <w:szCs w:val="24"/>
          <w:vertAlign w:val="superscript"/>
          <w:lang w:val="en-US"/>
        </w:rPr>
        <w:t>2</w:t>
      </w:r>
      <w:r w:rsidRPr="00202FA4">
        <w:rPr>
          <w:rFonts w:ascii="Arial" w:eastAsia="Verdana" w:hAnsi="Arial" w:cs="Arial"/>
          <w:sz w:val="20"/>
          <w:szCs w:val="24"/>
          <w:lang w:val="en-US"/>
        </w:rPr>
        <w:t xml:space="preserve"> for categorical variables</w:t>
      </w:r>
    </w:p>
    <w:p w:rsidR="00A31A9C" w:rsidRPr="00202FA4" w:rsidRDefault="00A31A9C">
      <w:pPr>
        <w:rPr>
          <w:rFonts w:ascii="Arial" w:hAnsi="Arial" w:cs="Arial"/>
          <w:b/>
          <w:sz w:val="20"/>
          <w:szCs w:val="24"/>
          <w:lang w:val="en-US"/>
        </w:rPr>
      </w:pPr>
      <w:r w:rsidRPr="00202FA4">
        <w:rPr>
          <w:rFonts w:ascii="Arial" w:hAnsi="Arial" w:cs="Arial"/>
          <w:b/>
          <w:sz w:val="20"/>
          <w:szCs w:val="24"/>
          <w:lang w:val="en-US"/>
        </w:rPr>
        <w:br w:type="page"/>
      </w:r>
    </w:p>
    <w:p w:rsidR="00032C8D" w:rsidRPr="00E1146F" w:rsidRDefault="00C356C0" w:rsidP="00032C8D">
      <w:pPr>
        <w:jc w:val="both"/>
        <w:rPr>
          <w:rFonts w:ascii="Arial" w:hAnsi="Arial" w:cs="Arial"/>
          <w:sz w:val="24"/>
          <w:szCs w:val="24"/>
          <w:lang w:val="en-US"/>
        </w:rPr>
      </w:pPr>
      <w:proofErr w:type="gramStart"/>
      <w:r w:rsidRPr="00E1146F">
        <w:rPr>
          <w:rFonts w:ascii="Arial" w:hAnsi="Arial" w:cs="Arial"/>
          <w:b/>
          <w:sz w:val="24"/>
          <w:szCs w:val="24"/>
          <w:lang w:val="en-US"/>
        </w:rPr>
        <w:lastRenderedPageBreak/>
        <w:t xml:space="preserve">Table </w:t>
      </w:r>
      <w:r w:rsidR="004563FF" w:rsidRPr="00E1146F">
        <w:rPr>
          <w:rFonts w:ascii="Arial" w:hAnsi="Arial" w:cs="Arial"/>
          <w:b/>
          <w:sz w:val="24"/>
          <w:szCs w:val="24"/>
          <w:lang w:val="en-US"/>
        </w:rPr>
        <w:t>3</w:t>
      </w:r>
      <w:r w:rsidR="00243F09" w:rsidRPr="00E1146F">
        <w:rPr>
          <w:rFonts w:ascii="Arial" w:hAnsi="Arial" w:cs="Arial"/>
          <w:b/>
          <w:sz w:val="24"/>
          <w:szCs w:val="24"/>
          <w:lang w:val="en-US"/>
        </w:rPr>
        <w:t>.</w:t>
      </w:r>
      <w:proofErr w:type="gramEnd"/>
      <w:r w:rsidR="00243F09" w:rsidRPr="00E1146F">
        <w:rPr>
          <w:rFonts w:ascii="Arial" w:hAnsi="Arial" w:cs="Arial"/>
          <w:sz w:val="24"/>
          <w:szCs w:val="24"/>
          <w:lang w:val="en-US"/>
        </w:rPr>
        <w:t xml:space="preserve"> </w:t>
      </w:r>
      <w:proofErr w:type="gramStart"/>
      <w:r w:rsidR="00243F09" w:rsidRPr="00E1146F">
        <w:rPr>
          <w:rFonts w:ascii="Arial" w:hAnsi="Arial" w:cs="Arial"/>
          <w:sz w:val="24"/>
          <w:szCs w:val="24"/>
          <w:lang w:val="en-US"/>
        </w:rPr>
        <w:t xml:space="preserve">Hazard ratio (95% confidence intervals) of </w:t>
      </w:r>
      <w:r w:rsidR="00A44AF1" w:rsidRPr="00E1146F">
        <w:rPr>
          <w:rFonts w:ascii="Arial" w:hAnsi="Arial" w:cs="Arial"/>
          <w:sz w:val="24"/>
          <w:szCs w:val="24"/>
          <w:lang w:val="en-US"/>
        </w:rPr>
        <w:t xml:space="preserve">Type 2 Diabetes </w:t>
      </w:r>
      <w:r w:rsidR="00243F09" w:rsidRPr="00E1146F">
        <w:rPr>
          <w:rFonts w:ascii="Arial" w:hAnsi="Arial" w:cs="Arial"/>
          <w:sz w:val="24"/>
          <w:szCs w:val="24"/>
          <w:lang w:val="en-US"/>
        </w:rPr>
        <w:t xml:space="preserve">for </w:t>
      </w:r>
      <w:r w:rsidR="00A51D20" w:rsidRPr="00E1146F">
        <w:rPr>
          <w:rFonts w:ascii="Arial" w:hAnsi="Arial" w:cs="Arial"/>
          <w:sz w:val="24"/>
          <w:szCs w:val="24"/>
          <w:lang w:val="en-US"/>
        </w:rPr>
        <w:t xml:space="preserve">the </w:t>
      </w:r>
      <w:r w:rsidR="00E9296A" w:rsidRPr="00E1146F">
        <w:rPr>
          <w:rFonts w:ascii="Arial" w:hAnsi="Arial" w:cs="Arial"/>
          <w:sz w:val="24"/>
          <w:szCs w:val="24"/>
          <w:lang w:val="en-US"/>
        </w:rPr>
        <w:t>higher</w:t>
      </w:r>
      <w:r w:rsidR="00243F09" w:rsidRPr="00E1146F">
        <w:rPr>
          <w:rFonts w:ascii="Arial" w:hAnsi="Arial" w:cs="Arial"/>
          <w:sz w:val="24"/>
          <w:szCs w:val="24"/>
          <w:lang w:val="en-US"/>
        </w:rPr>
        <w:t xml:space="preserve"> biomarker </w:t>
      </w:r>
      <w:r w:rsidR="00E9296A" w:rsidRPr="00E1146F">
        <w:rPr>
          <w:rFonts w:ascii="Arial" w:hAnsi="Arial" w:cs="Arial"/>
          <w:sz w:val="24"/>
          <w:szCs w:val="24"/>
          <w:lang w:val="en-US"/>
        </w:rPr>
        <w:t xml:space="preserve">level as stated, </w:t>
      </w:r>
      <w:r w:rsidR="00243F09" w:rsidRPr="00E1146F">
        <w:rPr>
          <w:rFonts w:ascii="Arial" w:hAnsi="Arial" w:cs="Arial"/>
          <w:sz w:val="24"/>
          <w:szCs w:val="24"/>
          <w:lang w:val="en-US"/>
        </w:rPr>
        <w:t>by sex</w:t>
      </w:r>
      <w:r w:rsidR="00FA7D87" w:rsidRPr="00E1146F">
        <w:rPr>
          <w:rFonts w:ascii="Arial" w:hAnsi="Arial" w:cs="Arial"/>
          <w:sz w:val="24"/>
          <w:szCs w:val="24"/>
          <w:lang w:val="en-US"/>
        </w:rPr>
        <w:t xml:space="preserve"> </w:t>
      </w:r>
      <w:r w:rsidR="00C75EAC" w:rsidRPr="00E1146F">
        <w:rPr>
          <w:rFonts w:ascii="Arial" w:hAnsi="Arial" w:cs="Arial"/>
          <w:sz w:val="24"/>
          <w:szCs w:val="24"/>
          <w:lang w:val="en-US"/>
        </w:rPr>
        <w:t xml:space="preserve">and </w:t>
      </w:r>
      <w:r w:rsidR="00FA7D87" w:rsidRPr="00E1146F">
        <w:rPr>
          <w:rFonts w:ascii="Arial" w:hAnsi="Arial" w:cs="Arial"/>
          <w:sz w:val="24"/>
          <w:szCs w:val="24"/>
          <w:lang w:val="en-US"/>
        </w:rPr>
        <w:t>meta-analyzed across countries</w:t>
      </w:r>
      <w:r w:rsidR="00032C8D" w:rsidRPr="00E1146F">
        <w:rPr>
          <w:rFonts w:ascii="Arial" w:hAnsi="Arial" w:cs="Arial"/>
          <w:sz w:val="24"/>
          <w:szCs w:val="24"/>
          <w:lang w:val="en-US"/>
        </w:rPr>
        <w:t>.</w:t>
      </w:r>
      <w:proofErr w:type="gramEnd"/>
    </w:p>
    <w:tbl>
      <w:tblPr>
        <w:tblStyle w:val="TableGrid"/>
        <w:tblW w:w="9322" w:type="dxa"/>
        <w:tblLayout w:type="fixed"/>
        <w:tblLook w:val="04A0" w:firstRow="1" w:lastRow="0" w:firstColumn="1" w:lastColumn="0" w:noHBand="0" w:noVBand="1"/>
      </w:tblPr>
      <w:tblGrid>
        <w:gridCol w:w="957"/>
        <w:gridCol w:w="2542"/>
        <w:gridCol w:w="990"/>
        <w:gridCol w:w="1695"/>
        <w:gridCol w:w="989"/>
        <w:gridCol w:w="1724"/>
        <w:gridCol w:w="425"/>
      </w:tblGrid>
      <w:tr w:rsidR="00576566" w:rsidRPr="00EF6887" w:rsidTr="00DC75BA">
        <w:trPr>
          <w:trHeight w:val="300"/>
        </w:trPr>
        <w:tc>
          <w:tcPr>
            <w:tcW w:w="957" w:type="dxa"/>
            <w:tcBorders>
              <w:top w:val="single" w:sz="4" w:space="0" w:color="auto"/>
              <w:left w:val="nil"/>
              <w:bottom w:val="single" w:sz="4" w:space="0" w:color="auto"/>
              <w:right w:val="nil"/>
            </w:tcBorders>
            <w:noWrap/>
            <w:vAlign w:val="center"/>
            <w:hideMark/>
          </w:tcPr>
          <w:p w:rsidR="00576566" w:rsidRPr="00EF6887" w:rsidRDefault="00576566" w:rsidP="00D30C4C">
            <w:pPr>
              <w:rPr>
                <w:rFonts w:ascii="Arial" w:hAnsi="Arial" w:cs="Arial"/>
                <w:b/>
                <w:bCs/>
                <w:sz w:val="20"/>
                <w:szCs w:val="20"/>
                <w:lang w:val="en-US"/>
              </w:rPr>
            </w:pPr>
            <w:r w:rsidRPr="00EF6887">
              <w:rPr>
                <w:rFonts w:ascii="Arial" w:hAnsi="Arial" w:cs="Arial"/>
                <w:b/>
                <w:bCs/>
                <w:sz w:val="20"/>
                <w:szCs w:val="20"/>
                <w:lang w:val="en-US"/>
              </w:rPr>
              <w:t>Sex</w:t>
            </w:r>
          </w:p>
        </w:tc>
        <w:tc>
          <w:tcPr>
            <w:tcW w:w="2542" w:type="dxa"/>
            <w:tcBorders>
              <w:top w:val="single" w:sz="4" w:space="0" w:color="auto"/>
              <w:left w:val="nil"/>
              <w:bottom w:val="single" w:sz="4" w:space="0" w:color="auto"/>
              <w:right w:val="nil"/>
            </w:tcBorders>
            <w:noWrap/>
            <w:vAlign w:val="center"/>
            <w:hideMark/>
          </w:tcPr>
          <w:p w:rsidR="00576566" w:rsidRPr="00EF6887" w:rsidRDefault="00576566" w:rsidP="00D30C4C">
            <w:pPr>
              <w:rPr>
                <w:rFonts w:ascii="Arial" w:hAnsi="Arial" w:cs="Arial"/>
                <w:b/>
                <w:bCs/>
                <w:sz w:val="20"/>
                <w:szCs w:val="20"/>
                <w:lang w:val="en-US"/>
              </w:rPr>
            </w:pPr>
            <w:r w:rsidRPr="00EF6887">
              <w:rPr>
                <w:rFonts w:ascii="Arial" w:hAnsi="Arial" w:cs="Arial"/>
                <w:b/>
                <w:bCs/>
                <w:sz w:val="20"/>
                <w:szCs w:val="20"/>
                <w:lang w:val="en-US"/>
              </w:rPr>
              <w:t>Biomarker</w:t>
            </w:r>
          </w:p>
        </w:tc>
        <w:tc>
          <w:tcPr>
            <w:tcW w:w="990" w:type="dxa"/>
            <w:tcBorders>
              <w:top w:val="single" w:sz="4" w:space="0" w:color="auto"/>
              <w:left w:val="nil"/>
              <w:bottom w:val="single" w:sz="4" w:space="0" w:color="auto"/>
              <w:right w:val="nil"/>
            </w:tcBorders>
            <w:noWrap/>
            <w:vAlign w:val="center"/>
            <w:hideMark/>
          </w:tcPr>
          <w:p w:rsidR="00576566" w:rsidRPr="00EF6887" w:rsidRDefault="00576566" w:rsidP="00D30C4C">
            <w:pPr>
              <w:jc w:val="center"/>
              <w:rPr>
                <w:rFonts w:ascii="Arial" w:hAnsi="Arial" w:cs="Arial"/>
                <w:b/>
                <w:bCs/>
                <w:sz w:val="20"/>
                <w:szCs w:val="20"/>
                <w:lang w:val="en-US"/>
              </w:rPr>
            </w:pPr>
            <w:r w:rsidRPr="00EF6887">
              <w:rPr>
                <w:rFonts w:ascii="Arial" w:hAnsi="Arial" w:cs="Arial"/>
                <w:b/>
                <w:bCs/>
                <w:sz w:val="20"/>
                <w:szCs w:val="20"/>
                <w:lang w:val="en-US"/>
              </w:rPr>
              <w:t>Model</w:t>
            </w:r>
          </w:p>
        </w:tc>
        <w:tc>
          <w:tcPr>
            <w:tcW w:w="1695" w:type="dxa"/>
            <w:tcBorders>
              <w:top w:val="single" w:sz="4" w:space="0" w:color="auto"/>
              <w:left w:val="nil"/>
              <w:bottom w:val="single" w:sz="4" w:space="0" w:color="auto"/>
              <w:right w:val="nil"/>
            </w:tcBorders>
            <w:noWrap/>
            <w:vAlign w:val="center"/>
            <w:hideMark/>
          </w:tcPr>
          <w:p w:rsidR="00576566" w:rsidRPr="00EF6887" w:rsidRDefault="00576566" w:rsidP="00D30C4C">
            <w:pPr>
              <w:jc w:val="center"/>
              <w:rPr>
                <w:rFonts w:ascii="Arial" w:hAnsi="Arial" w:cs="Arial"/>
                <w:b/>
                <w:bCs/>
                <w:sz w:val="20"/>
                <w:szCs w:val="20"/>
                <w:lang w:val="en-US"/>
              </w:rPr>
            </w:pPr>
            <w:r w:rsidRPr="00EF6887">
              <w:rPr>
                <w:rFonts w:ascii="Arial" w:hAnsi="Arial" w:cs="Arial"/>
                <w:b/>
                <w:bCs/>
                <w:sz w:val="20"/>
                <w:szCs w:val="20"/>
                <w:lang w:val="en-US"/>
              </w:rPr>
              <w:t>HR (95% CI)</w:t>
            </w:r>
          </w:p>
        </w:tc>
        <w:tc>
          <w:tcPr>
            <w:tcW w:w="989" w:type="dxa"/>
            <w:tcBorders>
              <w:top w:val="single" w:sz="4" w:space="0" w:color="auto"/>
              <w:left w:val="nil"/>
              <w:bottom w:val="single" w:sz="4" w:space="0" w:color="auto"/>
              <w:right w:val="nil"/>
            </w:tcBorders>
            <w:noWrap/>
            <w:vAlign w:val="center"/>
            <w:hideMark/>
          </w:tcPr>
          <w:p w:rsidR="00576566" w:rsidRPr="00EF6887" w:rsidRDefault="00576566" w:rsidP="00D30C4C">
            <w:pPr>
              <w:jc w:val="center"/>
              <w:rPr>
                <w:rFonts w:ascii="Arial" w:hAnsi="Arial" w:cs="Arial"/>
                <w:b/>
                <w:bCs/>
                <w:sz w:val="20"/>
                <w:szCs w:val="20"/>
                <w:lang w:val="en-US"/>
              </w:rPr>
            </w:pPr>
            <w:r w:rsidRPr="00EF6887">
              <w:rPr>
                <w:rFonts w:ascii="Arial" w:hAnsi="Arial" w:cs="Arial"/>
                <w:b/>
                <w:bCs/>
                <w:i/>
                <w:sz w:val="20"/>
                <w:szCs w:val="20"/>
                <w:lang w:val="en-US"/>
              </w:rPr>
              <w:t>p</w:t>
            </w:r>
            <w:r w:rsidRPr="00EF6887">
              <w:rPr>
                <w:rFonts w:ascii="Arial" w:hAnsi="Arial" w:cs="Arial"/>
                <w:b/>
                <w:bCs/>
                <w:sz w:val="20"/>
                <w:szCs w:val="20"/>
                <w:lang w:val="en-US"/>
              </w:rPr>
              <w:t xml:space="preserve"> value</w:t>
            </w:r>
          </w:p>
        </w:tc>
        <w:tc>
          <w:tcPr>
            <w:tcW w:w="2149" w:type="dxa"/>
            <w:gridSpan w:val="2"/>
            <w:tcBorders>
              <w:top w:val="single" w:sz="4" w:space="0" w:color="auto"/>
              <w:left w:val="nil"/>
              <w:bottom w:val="single" w:sz="4" w:space="0" w:color="auto"/>
              <w:right w:val="nil"/>
            </w:tcBorders>
            <w:vAlign w:val="center"/>
          </w:tcPr>
          <w:p w:rsidR="00576566" w:rsidRPr="00EF6887" w:rsidRDefault="00576566" w:rsidP="00D30C4C">
            <w:pPr>
              <w:jc w:val="center"/>
              <w:rPr>
                <w:rFonts w:ascii="Arial" w:hAnsi="Arial" w:cs="Arial"/>
                <w:b/>
                <w:bCs/>
                <w:sz w:val="20"/>
                <w:szCs w:val="20"/>
                <w:lang w:val="en-US"/>
              </w:rPr>
            </w:pPr>
            <w:r w:rsidRPr="00EF6887">
              <w:rPr>
                <w:rFonts w:ascii="Arial" w:hAnsi="Arial" w:cs="Arial"/>
                <w:b/>
                <w:bCs/>
                <w:sz w:val="20"/>
                <w:szCs w:val="20"/>
                <w:lang w:val="en-US"/>
              </w:rPr>
              <w:t xml:space="preserve">Heterogeneity </w:t>
            </w:r>
            <w:proofErr w:type="gramStart"/>
            <w:r w:rsidRPr="00EF6887">
              <w:rPr>
                <w:rFonts w:ascii="Arial" w:hAnsi="Arial" w:cs="Arial"/>
                <w:b/>
                <w:bCs/>
                <w:sz w:val="20"/>
                <w:szCs w:val="20"/>
                <w:lang w:val="en-US"/>
              </w:rPr>
              <w:t>I</w:t>
            </w:r>
            <w:r w:rsidRPr="00EF6887">
              <w:rPr>
                <w:rFonts w:ascii="Arial" w:hAnsi="Arial" w:cs="Arial"/>
                <w:b/>
                <w:bCs/>
                <w:sz w:val="20"/>
                <w:szCs w:val="20"/>
                <w:vertAlign w:val="superscript"/>
                <w:lang w:val="en-US"/>
              </w:rPr>
              <w:t xml:space="preserve">2  </w:t>
            </w:r>
            <w:r w:rsidRPr="00EF6887">
              <w:rPr>
                <w:rFonts w:ascii="Arial" w:hAnsi="Arial" w:cs="Arial"/>
                <w:b/>
                <w:bCs/>
                <w:sz w:val="20"/>
                <w:szCs w:val="20"/>
                <w:lang w:val="en-US"/>
              </w:rPr>
              <w:t>(</w:t>
            </w:r>
            <w:proofErr w:type="gramEnd"/>
            <w:r w:rsidRPr="00EF6887">
              <w:rPr>
                <w:rFonts w:ascii="Arial" w:hAnsi="Arial" w:cs="Arial"/>
                <w:b/>
                <w:bCs/>
                <w:sz w:val="20"/>
                <w:szCs w:val="20"/>
                <w:lang w:val="en-US"/>
              </w:rPr>
              <w:t>%)</w:t>
            </w:r>
          </w:p>
        </w:tc>
      </w:tr>
      <w:tr w:rsidR="00576566" w:rsidRPr="00EF6887" w:rsidTr="00DC75BA">
        <w:trPr>
          <w:gridAfter w:val="1"/>
          <w:wAfter w:w="425" w:type="dxa"/>
          <w:trHeight w:val="300"/>
        </w:trPr>
        <w:tc>
          <w:tcPr>
            <w:tcW w:w="957" w:type="dxa"/>
            <w:tcBorders>
              <w:top w:val="single" w:sz="4" w:space="0" w:color="auto"/>
              <w:left w:val="nil"/>
              <w:bottom w:val="nil"/>
              <w:right w:val="nil"/>
            </w:tcBorders>
            <w:noWrap/>
            <w:vAlign w:val="center"/>
          </w:tcPr>
          <w:p w:rsidR="00576566" w:rsidRPr="00EF6887" w:rsidRDefault="00576566" w:rsidP="00836AFF">
            <w:pPr>
              <w:rPr>
                <w:rFonts w:ascii="Arial" w:hAnsi="Arial" w:cs="Arial"/>
                <w:b/>
                <w:bCs/>
                <w:sz w:val="20"/>
                <w:szCs w:val="20"/>
                <w:lang w:val="en-US"/>
              </w:rPr>
            </w:pPr>
            <w:r w:rsidRPr="00EF6887">
              <w:rPr>
                <w:rFonts w:ascii="Arial" w:hAnsi="Arial" w:cs="Arial"/>
                <w:b/>
                <w:bCs/>
                <w:sz w:val="20"/>
                <w:szCs w:val="20"/>
                <w:lang w:val="en-US"/>
              </w:rPr>
              <w:t>Men</w:t>
            </w:r>
          </w:p>
        </w:tc>
        <w:tc>
          <w:tcPr>
            <w:tcW w:w="2542" w:type="dxa"/>
            <w:tcBorders>
              <w:top w:val="single" w:sz="4" w:space="0" w:color="auto"/>
              <w:left w:val="nil"/>
              <w:bottom w:val="nil"/>
              <w:right w:val="nil"/>
            </w:tcBorders>
            <w:noWrap/>
          </w:tcPr>
          <w:p w:rsidR="00576566" w:rsidRPr="00EF6887" w:rsidRDefault="00576566" w:rsidP="00836AFF">
            <w:pPr>
              <w:rPr>
                <w:rFonts w:ascii="Arial" w:hAnsi="Arial" w:cs="Arial"/>
                <w:b/>
                <w:bCs/>
                <w:sz w:val="20"/>
                <w:szCs w:val="20"/>
                <w:lang w:val="en-US"/>
              </w:rPr>
            </w:pPr>
          </w:p>
        </w:tc>
        <w:tc>
          <w:tcPr>
            <w:tcW w:w="990" w:type="dxa"/>
            <w:tcBorders>
              <w:top w:val="single" w:sz="4" w:space="0" w:color="auto"/>
              <w:left w:val="nil"/>
              <w:bottom w:val="nil"/>
              <w:right w:val="nil"/>
            </w:tcBorders>
            <w:noWrap/>
          </w:tcPr>
          <w:p w:rsidR="00576566" w:rsidRPr="00EF6887" w:rsidRDefault="00576566" w:rsidP="00836AFF">
            <w:pPr>
              <w:jc w:val="center"/>
              <w:rPr>
                <w:rFonts w:ascii="Arial" w:hAnsi="Arial" w:cs="Arial"/>
                <w:sz w:val="20"/>
                <w:szCs w:val="20"/>
                <w:lang w:val="en-US"/>
              </w:rPr>
            </w:pPr>
          </w:p>
        </w:tc>
        <w:tc>
          <w:tcPr>
            <w:tcW w:w="1695" w:type="dxa"/>
            <w:tcBorders>
              <w:top w:val="single" w:sz="4" w:space="0" w:color="auto"/>
              <w:left w:val="nil"/>
              <w:bottom w:val="nil"/>
              <w:right w:val="nil"/>
            </w:tcBorders>
            <w:noWrap/>
          </w:tcPr>
          <w:p w:rsidR="00576566" w:rsidRPr="00EF6887" w:rsidRDefault="00576566" w:rsidP="00836AFF">
            <w:pPr>
              <w:jc w:val="center"/>
              <w:rPr>
                <w:rFonts w:ascii="Arial" w:hAnsi="Arial" w:cs="Arial"/>
                <w:sz w:val="20"/>
                <w:szCs w:val="20"/>
                <w:lang w:val="en-US"/>
              </w:rPr>
            </w:pPr>
          </w:p>
        </w:tc>
        <w:tc>
          <w:tcPr>
            <w:tcW w:w="989" w:type="dxa"/>
            <w:tcBorders>
              <w:top w:val="single" w:sz="4" w:space="0" w:color="auto"/>
              <w:left w:val="nil"/>
              <w:bottom w:val="nil"/>
              <w:right w:val="nil"/>
            </w:tcBorders>
            <w:noWrap/>
          </w:tcPr>
          <w:p w:rsidR="00576566" w:rsidRPr="00EF6887" w:rsidRDefault="00576566" w:rsidP="00836AFF">
            <w:pPr>
              <w:jc w:val="center"/>
              <w:rPr>
                <w:rFonts w:ascii="Arial" w:hAnsi="Arial" w:cs="Arial"/>
                <w:sz w:val="20"/>
                <w:szCs w:val="20"/>
                <w:lang w:val="en-US"/>
              </w:rPr>
            </w:pPr>
          </w:p>
        </w:tc>
        <w:tc>
          <w:tcPr>
            <w:tcW w:w="1724" w:type="dxa"/>
            <w:tcBorders>
              <w:top w:val="single" w:sz="4" w:space="0" w:color="auto"/>
              <w:left w:val="nil"/>
              <w:bottom w:val="nil"/>
              <w:right w:val="nil"/>
            </w:tcBorders>
          </w:tcPr>
          <w:p w:rsidR="00576566" w:rsidRPr="00EF6887" w:rsidRDefault="00576566" w:rsidP="00836AFF">
            <w:pPr>
              <w:jc w:val="center"/>
              <w:rPr>
                <w:rFonts w:ascii="Arial" w:hAnsi="Arial" w:cs="Arial"/>
                <w:sz w:val="20"/>
                <w:szCs w:val="20"/>
                <w:lang w:val="en-US"/>
              </w:rPr>
            </w:pPr>
          </w:p>
        </w:tc>
      </w:tr>
      <w:tr w:rsidR="00576566" w:rsidRPr="00EF6887" w:rsidTr="00DC75BA">
        <w:trPr>
          <w:gridAfter w:val="1"/>
          <w:wAfter w:w="425" w:type="dxa"/>
          <w:trHeight w:val="70"/>
        </w:trPr>
        <w:tc>
          <w:tcPr>
            <w:tcW w:w="957" w:type="dxa"/>
            <w:tcBorders>
              <w:top w:val="nil"/>
              <w:left w:val="nil"/>
              <w:bottom w:val="nil"/>
              <w:right w:val="nil"/>
            </w:tcBorders>
            <w:noWrap/>
            <w:vAlign w:val="center"/>
            <w:hideMark/>
          </w:tcPr>
          <w:p w:rsidR="00576566" w:rsidRPr="00EF6887" w:rsidRDefault="00576566" w:rsidP="00836AFF">
            <w:pPr>
              <w:rPr>
                <w:rFonts w:ascii="Arial" w:hAnsi="Arial" w:cs="Arial"/>
                <w:sz w:val="20"/>
                <w:szCs w:val="20"/>
                <w:lang w:val="en-US"/>
              </w:rPr>
            </w:pPr>
          </w:p>
        </w:tc>
        <w:tc>
          <w:tcPr>
            <w:tcW w:w="2542" w:type="dxa"/>
            <w:tcBorders>
              <w:top w:val="nil"/>
              <w:left w:val="nil"/>
              <w:bottom w:val="nil"/>
              <w:right w:val="nil"/>
            </w:tcBorders>
            <w:noWrap/>
            <w:hideMark/>
          </w:tcPr>
          <w:p w:rsidR="00576566" w:rsidRPr="00EF6887" w:rsidRDefault="00576566" w:rsidP="004016F8">
            <w:pPr>
              <w:rPr>
                <w:rFonts w:ascii="Arial" w:hAnsi="Arial" w:cs="Arial"/>
                <w:b/>
                <w:bCs/>
                <w:sz w:val="20"/>
                <w:szCs w:val="20"/>
                <w:lang w:val="en-US"/>
              </w:rPr>
            </w:pPr>
            <w:r w:rsidRPr="00EF6887">
              <w:rPr>
                <w:rFonts w:ascii="Arial" w:hAnsi="Arial" w:cs="Arial"/>
                <w:b/>
                <w:bCs/>
                <w:sz w:val="20"/>
                <w:szCs w:val="20"/>
                <w:lang w:val="en-US"/>
              </w:rPr>
              <w:t xml:space="preserve">Ferritin (per 100 </w:t>
            </w:r>
            <w:proofErr w:type="spellStart"/>
            <w:r w:rsidRPr="00EF6887">
              <w:rPr>
                <w:rFonts w:ascii="Arial" w:hAnsi="Arial" w:cs="Arial"/>
                <w:b/>
                <w:bCs/>
                <w:sz w:val="20"/>
                <w:szCs w:val="20"/>
                <w:lang w:val="en-US"/>
              </w:rPr>
              <w:t>μg</w:t>
            </w:r>
            <w:proofErr w:type="spellEnd"/>
            <w:r w:rsidR="006B7240" w:rsidRPr="00EF6887">
              <w:rPr>
                <w:rFonts w:ascii="Arial" w:hAnsi="Arial" w:cs="Arial"/>
                <w:b/>
                <w:bCs/>
                <w:sz w:val="20"/>
                <w:szCs w:val="20"/>
                <w:lang w:val="en-US"/>
              </w:rPr>
              <w:t>/L</w:t>
            </w:r>
            <w:r w:rsidRPr="00EF6887">
              <w:rPr>
                <w:rFonts w:ascii="Arial" w:hAnsi="Arial" w:cs="Arial"/>
                <w:b/>
                <w:bCs/>
                <w:sz w:val="20"/>
                <w:szCs w:val="20"/>
                <w:lang w:val="en-US"/>
              </w:rPr>
              <w:t xml:space="preserve"> )</w:t>
            </w:r>
          </w:p>
        </w:tc>
        <w:tc>
          <w:tcPr>
            <w:tcW w:w="990" w:type="dxa"/>
            <w:tcBorders>
              <w:top w:val="nil"/>
              <w:left w:val="nil"/>
              <w:bottom w:val="nil"/>
              <w:right w:val="nil"/>
            </w:tcBorders>
            <w:noWrap/>
            <w:hideMark/>
          </w:tcPr>
          <w:p w:rsidR="00576566" w:rsidRPr="00EF6887" w:rsidRDefault="00576566" w:rsidP="00836AFF">
            <w:pPr>
              <w:jc w:val="center"/>
              <w:rPr>
                <w:rFonts w:ascii="Arial" w:hAnsi="Arial" w:cs="Arial"/>
                <w:sz w:val="20"/>
                <w:szCs w:val="20"/>
                <w:lang w:val="en-US"/>
              </w:rPr>
            </w:pPr>
            <w:r w:rsidRPr="00EF6887">
              <w:rPr>
                <w:rFonts w:ascii="Arial" w:hAnsi="Arial" w:cs="Arial"/>
                <w:sz w:val="20"/>
                <w:szCs w:val="20"/>
                <w:lang w:val="en-US"/>
              </w:rPr>
              <w:t>1</w:t>
            </w:r>
          </w:p>
        </w:tc>
        <w:tc>
          <w:tcPr>
            <w:tcW w:w="1695" w:type="dxa"/>
            <w:tcBorders>
              <w:top w:val="nil"/>
              <w:left w:val="nil"/>
              <w:bottom w:val="nil"/>
              <w:right w:val="nil"/>
            </w:tcBorders>
            <w:noWrap/>
            <w:hideMark/>
          </w:tcPr>
          <w:p w:rsidR="00576566" w:rsidRPr="00EF6887" w:rsidRDefault="00576566" w:rsidP="00836AFF">
            <w:pPr>
              <w:jc w:val="center"/>
              <w:rPr>
                <w:rFonts w:ascii="Arial" w:hAnsi="Arial" w:cs="Arial"/>
                <w:sz w:val="20"/>
                <w:szCs w:val="20"/>
                <w:lang w:val="en-US"/>
              </w:rPr>
            </w:pPr>
            <w:r w:rsidRPr="00EF6887">
              <w:rPr>
                <w:rFonts w:ascii="Arial" w:hAnsi="Arial" w:cs="Arial"/>
                <w:sz w:val="20"/>
                <w:szCs w:val="20"/>
                <w:lang w:val="en-US"/>
              </w:rPr>
              <w:t>1.18 (1.12; 1.25)</w:t>
            </w:r>
          </w:p>
        </w:tc>
        <w:tc>
          <w:tcPr>
            <w:tcW w:w="989" w:type="dxa"/>
            <w:tcBorders>
              <w:top w:val="nil"/>
              <w:left w:val="nil"/>
              <w:bottom w:val="nil"/>
              <w:right w:val="nil"/>
            </w:tcBorders>
            <w:noWrap/>
            <w:hideMark/>
          </w:tcPr>
          <w:p w:rsidR="00576566" w:rsidRPr="00EF6887" w:rsidRDefault="00576566" w:rsidP="00836AFF">
            <w:pPr>
              <w:jc w:val="center"/>
              <w:rPr>
                <w:rFonts w:ascii="Arial" w:hAnsi="Arial" w:cs="Arial"/>
                <w:sz w:val="20"/>
                <w:szCs w:val="20"/>
                <w:lang w:val="en-US"/>
              </w:rPr>
            </w:pPr>
            <w:r w:rsidRPr="00EF6887">
              <w:rPr>
                <w:rFonts w:ascii="Arial" w:hAnsi="Arial" w:cs="Arial"/>
                <w:sz w:val="20"/>
                <w:szCs w:val="20"/>
                <w:lang w:val="en-US"/>
              </w:rPr>
              <w:t>&lt;0.001</w:t>
            </w:r>
          </w:p>
        </w:tc>
        <w:tc>
          <w:tcPr>
            <w:tcW w:w="1724" w:type="dxa"/>
            <w:tcBorders>
              <w:top w:val="nil"/>
              <w:left w:val="nil"/>
              <w:bottom w:val="nil"/>
              <w:right w:val="nil"/>
            </w:tcBorders>
          </w:tcPr>
          <w:p w:rsidR="00576566" w:rsidRPr="00EF6887" w:rsidRDefault="00576566" w:rsidP="00836AFF">
            <w:pPr>
              <w:jc w:val="center"/>
              <w:rPr>
                <w:rFonts w:ascii="Arial" w:hAnsi="Arial" w:cs="Arial"/>
                <w:sz w:val="20"/>
                <w:szCs w:val="20"/>
                <w:lang w:val="en-US"/>
              </w:rPr>
            </w:pPr>
          </w:p>
        </w:tc>
      </w:tr>
      <w:tr w:rsidR="00576566" w:rsidRPr="00EF6887" w:rsidTr="00DC75BA">
        <w:trPr>
          <w:gridAfter w:val="1"/>
          <w:wAfter w:w="425" w:type="dxa"/>
          <w:trHeight w:val="300"/>
        </w:trPr>
        <w:tc>
          <w:tcPr>
            <w:tcW w:w="957" w:type="dxa"/>
            <w:tcBorders>
              <w:top w:val="nil"/>
              <w:left w:val="nil"/>
              <w:bottom w:val="nil"/>
              <w:right w:val="nil"/>
            </w:tcBorders>
            <w:noWrap/>
            <w:vAlign w:val="center"/>
            <w:hideMark/>
          </w:tcPr>
          <w:p w:rsidR="00576566" w:rsidRPr="00EF6887" w:rsidRDefault="00576566" w:rsidP="00836AFF">
            <w:pPr>
              <w:rPr>
                <w:rFonts w:ascii="Arial" w:hAnsi="Arial" w:cs="Arial"/>
                <w:sz w:val="20"/>
                <w:szCs w:val="20"/>
                <w:lang w:val="en-US"/>
              </w:rPr>
            </w:pPr>
          </w:p>
        </w:tc>
        <w:tc>
          <w:tcPr>
            <w:tcW w:w="2542" w:type="dxa"/>
            <w:tcBorders>
              <w:top w:val="nil"/>
              <w:left w:val="nil"/>
              <w:bottom w:val="nil"/>
              <w:right w:val="nil"/>
            </w:tcBorders>
            <w:noWrap/>
            <w:hideMark/>
          </w:tcPr>
          <w:p w:rsidR="00576566" w:rsidRPr="00EF6887" w:rsidRDefault="00576566" w:rsidP="00836AFF">
            <w:pPr>
              <w:rPr>
                <w:rFonts w:ascii="Arial" w:hAnsi="Arial" w:cs="Arial"/>
                <w:sz w:val="20"/>
                <w:szCs w:val="20"/>
                <w:lang w:val="en-US"/>
              </w:rPr>
            </w:pPr>
          </w:p>
        </w:tc>
        <w:tc>
          <w:tcPr>
            <w:tcW w:w="990" w:type="dxa"/>
            <w:tcBorders>
              <w:top w:val="nil"/>
              <w:left w:val="nil"/>
              <w:bottom w:val="nil"/>
              <w:right w:val="nil"/>
            </w:tcBorders>
            <w:noWrap/>
            <w:hideMark/>
          </w:tcPr>
          <w:p w:rsidR="00576566" w:rsidRPr="00EF6887" w:rsidRDefault="00576566" w:rsidP="00836AFF">
            <w:pPr>
              <w:jc w:val="center"/>
              <w:rPr>
                <w:rFonts w:ascii="Arial" w:hAnsi="Arial" w:cs="Arial"/>
                <w:sz w:val="20"/>
                <w:szCs w:val="20"/>
                <w:lang w:val="en-US"/>
              </w:rPr>
            </w:pPr>
            <w:r w:rsidRPr="00EF6887">
              <w:rPr>
                <w:rFonts w:ascii="Arial" w:hAnsi="Arial" w:cs="Arial"/>
                <w:sz w:val="20"/>
                <w:szCs w:val="20"/>
                <w:lang w:val="en-US"/>
              </w:rPr>
              <w:t>2</w:t>
            </w:r>
          </w:p>
        </w:tc>
        <w:tc>
          <w:tcPr>
            <w:tcW w:w="1695" w:type="dxa"/>
            <w:tcBorders>
              <w:top w:val="nil"/>
              <w:left w:val="nil"/>
              <w:bottom w:val="nil"/>
              <w:right w:val="nil"/>
            </w:tcBorders>
            <w:noWrap/>
            <w:hideMark/>
          </w:tcPr>
          <w:p w:rsidR="00576566" w:rsidRPr="00EF6887" w:rsidRDefault="00576566" w:rsidP="00836AFF">
            <w:pPr>
              <w:jc w:val="center"/>
              <w:rPr>
                <w:rFonts w:ascii="Arial" w:hAnsi="Arial" w:cs="Arial"/>
                <w:sz w:val="20"/>
                <w:szCs w:val="20"/>
                <w:lang w:val="en-US"/>
              </w:rPr>
            </w:pPr>
            <w:r w:rsidRPr="00EF6887">
              <w:rPr>
                <w:rFonts w:ascii="Arial" w:hAnsi="Arial" w:cs="Arial"/>
                <w:sz w:val="20"/>
                <w:szCs w:val="20"/>
                <w:lang w:val="en-US"/>
              </w:rPr>
              <w:t>1.13 (1.08; 1.19)</w:t>
            </w:r>
          </w:p>
        </w:tc>
        <w:tc>
          <w:tcPr>
            <w:tcW w:w="989" w:type="dxa"/>
            <w:tcBorders>
              <w:top w:val="nil"/>
              <w:left w:val="nil"/>
              <w:bottom w:val="nil"/>
              <w:right w:val="nil"/>
            </w:tcBorders>
            <w:noWrap/>
            <w:hideMark/>
          </w:tcPr>
          <w:p w:rsidR="00576566" w:rsidRPr="00EF6887" w:rsidRDefault="00576566" w:rsidP="00836AFF">
            <w:pPr>
              <w:jc w:val="center"/>
              <w:rPr>
                <w:rFonts w:ascii="Arial" w:hAnsi="Arial" w:cs="Arial"/>
                <w:sz w:val="20"/>
                <w:szCs w:val="20"/>
                <w:lang w:val="en-US"/>
              </w:rPr>
            </w:pPr>
            <w:r w:rsidRPr="00EF6887">
              <w:rPr>
                <w:rFonts w:ascii="Arial" w:hAnsi="Arial" w:cs="Arial"/>
                <w:sz w:val="20"/>
                <w:szCs w:val="20"/>
                <w:lang w:val="en-US"/>
              </w:rPr>
              <w:t>&lt;0.001</w:t>
            </w:r>
          </w:p>
        </w:tc>
        <w:tc>
          <w:tcPr>
            <w:tcW w:w="1724" w:type="dxa"/>
            <w:tcBorders>
              <w:top w:val="nil"/>
              <w:left w:val="nil"/>
              <w:bottom w:val="nil"/>
              <w:right w:val="nil"/>
            </w:tcBorders>
          </w:tcPr>
          <w:p w:rsidR="00576566" w:rsidRPr="00EF6887" w:rsidRDefault="00576566" w:rsidP="00836AFF">
            <w:pPr>
              <w:jc w:val="center"/>
              <w:rPr>
                <w:rFonts w:ascii="Arial" w:hAnsi="Arial" w:cs="Arial"/>
                <w:sz w:val="20"/>
                <w:szCs w:val="20"/>
                <w:lang w:val="en-US"/>
              </w:rPr>
            </w:pPr>
          </w:p>
        </w:tc>
      </w:tr>
      <w:tr w:rsidR="00576566" w:rsidRPr="00EF6887" w:rsidTr="00DC75BA">
        <w:trPr>
          <w:gridAfter w:val="1"/>
          <w:wAfter w:w="425" w:type="dxa"/>
          <w:trHeight w:val="300"/>
        </w:trPr>
        <w:tc>
          <w:tcPr>
            <w:tcW w:w="957" w:type="dxa"/>
            <w:tcBorders>
              <w:top w:val="nil"/>
              <w:left w:val="nil"/>
              <w:bottom w:val="nil"/>
              <w:right w:val="nil"/>
            </w:tcBorders>
            <w:noWrap/>
            <w:vAlign w:val="center"/>
            <w:hideMark/>
          </w:tcPr>
          <w:p w:rsidR="00576566" w:rsidRPr="00EF6887" w:rsidRDefault="00576566" w:rsidP="00836AFF">
            <w:pPr>
              <w:rPr>
                <w:rFonts w:ascii="Arial" w:hAnsi="Arial" w:cs="Arial"/>
                <w:sz w:val="20"/>
                <w:szCs w:val="20"/>
                <w:lang w:val="en-US"/>
              </w:rPr>
            </w:pPr>
          </w:p>
        </w:tc>
        <w:tc>
          <w:tcPr>
            <w:tcW w:w="2542" w:type="dxa"/>
            <w:tcBorders>
              <w:top w:val="nil"/>
              <w:left w:val="nil"/>
              <w:bottom w:val="single" w:sz="4" w:space="0" w:color="auto"/>
              <w:right w:val="nil"/>
            </w:tcBorders>
            <w:noWrap/>
            <w:hideMark/>
          </w:tcPr>
          <w:p w:rsidR="00576566" w:rsidRPr="00EF6887" w:rsidRDefault="00576566" w:rsidP="00836AFF">
            <w:pPr>
              <w:rPr>
                <w:rFonts w:ascii="Arial" w:hAnsi="Arial" w:cs="Arial"/>
                <w:sz w:val="20"/>
                <w:szCs w:val="20"/>
                <w:lang w:val="en-US"/>
              </w:rPr>
            </w:pPr>
          </w:p>
        </w:tc>
        <w:tc>
          <w:tcPr>
            <w:tcW w:w="990" w:type="dxa"/>
            <w:tcBorders>
              <w:top w:val="nil"/>
              <w:left w:val="nil"/>
              <w:bottom w:val="single" w:sz="4" w:space="0" w:color="auto"/>
              <w:right w:val="nil"/>
            </w:tcBorders>
            <w:noWrap/>
            <w:hideMark/>
          </w:tcPr>
          <w:p w:rsidR="00576566" w:rsidRPr="00EF6887" w:rsidRDefault="00576566" w:rsidP="00836AFF">
            <w:pPr>
              <w:jc w:val="center"/>
              <w:rPr>
                <w:rFonts w:ascii="Arial" w:hAnsi="Arial" w:cs="Arial"/>
                <w:sz w:val="20"/>
                <w:szCs w:val="20"/>
                <w:lang w:val="en-US"/>
              </w:rPr>
            </w:pPr>
            <w:r w:rsidRPr="00EF6887">
              <w:rPr>
                <w:rFonts w:ascii="Arial" w:hAnsi="Arial" w:cs="Arial"/>
                <w:sz w:val="20"/>
                <w:szCs w:val="20"/>
                <w:lang w:val="en-US"/>
              </w:rPr>
              <w:t>3</w:t>
            </w:r>
          </w:p>
        </w:tc>
        <w:tc>
          <w:tcPr>
            <w:tcW w:w="1695" w:type="dxa"/>
            <w:tcBorders>
              <w:top w:val="nil"/>
              <w:left w:val="nil"/>
              <w:bottom w:val="single" w:sz="4" w:space="0" w:color="auto"/>
              <w:right w:val="nil"/>
            </w:tcBorders>
            <w:noWrap/>
            <w:hideMark/>
          </w:tcPr>
          <w:p w:rsidR="00576566" w:rsidRPr="00EF6887" w:rsidRDefault="00576566" w:rsidP="00836AFF">
            <w:pPr>
              <w:jc w:val="center"/>
              <w:rPr>
                <w:rFonts w:ascii="Arial" w:hAnsi="Arial" w:cs="Arial"/>
                <w:sz w:val="20"/>
                <w:szCs w:val="20"/>
                <w:lang w:val="en-US"/>
              </w:rPr>
            </w:pPr>
            <w:r w:rsidRPr="00EF6887">
              <w:rPr>
                <w:rFonts w:ascii="Arial" w:hAnsi="Arial" w:cs="Arial"/>
                <w:sz w:val="20"/>
                <w:szCs w:val="20"/>
                <w:lang w:val="en-US"/>
              </w:rPr>
              <w:t>1.0</w:t>
            </w:r>
            <w:r w:rsidR="00D26721">
              <w:rPr>
                <w:rFonts w:ascii="Arial" w:hAnsi="Arial" w:cs="Arial"/>
                <w:sz w:val="20"/>
                <w:szCs w:val="20"/>
                <w:lang w:val="en-US"/>
              </w:rPr>
              <w:t>6</w:t>
            </w:r>
            <w:r w:rsidRPr="00EF6887">
              <w:rPr>
                <w:rFonts w:ascii="Arial" w:hAnsi="Arial" w:cs="Arial"/>
                <w:sz w:val="20"/>
                <w:szCs w:val="20"/>
                <w:lang w:val="en-US"/>
              </w:rPr>
              <w:t xml:space="preserve"> (1.01; 1.12)</w:t>
            </w:r>
          </w:p>
        </w:tc>
        <w:tc>
          <w:tcPr>
            <w:tcW w:w="989" w:type="dxa"/>
            <w:tcBorders>
              <w:top w:val="nil"/>
              <w:left w:val="nil"/>
              <w:bottom w:val="single" w:sz="4" w:space="0" w:color="auto"/>
              <w:right w:val="nil"/>
            </w:tcBorders>
            <w:noWrap/>
            <w:hideMark/>
          </w:tcPr>
          <w:p w:rsidR="00576566" w:rsidRPr="00EF6887" w:rsidRDefault="00576566" w:rsidP="00836AFF">
            <w:pPr>
              <w:jc w:val="center"/>
              <w:rPr>
                <w:rFonts w:ascii="Arial" w:hAnsi="Arial" w:cs="Arial"/>
                <w:sz w:val="20"/>
                <w:szCs w:val="20"/>
                <w:lang w:val="en-US"/>
              </w:rPr>
            </w:pPr>
            <w:r w:rsidRPr="00EF6887">
              <w:rPr>
                <w:rFonts w:ascii="Arial" w:hAnsi="Arial" w:cs="Arial"/>
                <w:sz w:val="20"/>
                <w:szCs w:val="20"/>
                <w:lang w:val="en-US"/>
              </w:rPr>
              <w:t>0.021</w:t>
            </w:r>
          </w:p>
        </w:tc>
        <w:tc>
          <w:tcPr>
            <w:tcW w:w="1724" w:type="dxa"/>
            <w:tcBorders>
              <w:top w:val="nil"/>
              <w:left w:val="nil"/>
              <w:bottom w:val="single" w:sz="4" w:space="0" w:color="auto"/>
              <w:right w:val="nil"/>
            </w:tcBorders>
            <w:vAlign w:val="bottom"/>
          </w:tcPr>
          <w:p w:rsidR="00576566" w:rsidRPr="00EF6887" w:rsidRDefault="00576566" w:rsidP="00576566">
            <w:pPr>
              <w:jc w:val="center"/>
              <w:rPr>
                <w:rFonts w:ascii="Arial" w:hAnsi="Arial" w:cs="Arial"/>
                <w:sz w:val="20"/>
                <w:szCs w:val="20"/>
                <w:lang w:val="en-US"/>
              </w:rPr>
            </w:pPr>
            <w:r w:rsidRPr="00EF6887">
              <w:rPr>
                <w:rFonts w:ascii="Arial" w:hAnsi="Arial" w:cs="Arial"/>
                <w:bCs/>
                <w:color w:val="000000"/>
                <w:sz w:val="20"/>
                <w:szCs w:val="20"/>
              </w:rPr>
              <w:t>72.20</w:t>
            </w: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val="restart"/>
            <w:tcBorders>
              <w:top w:val="single" w:sz="4" w:space="0" w:color="auto"/>
              <w:left w:val="nil"/>
              <w:right w:val="nil"/>
            </w:tcBorders>
            <w:noWrap/>
            <w:vAlign w:val="center"/>
            <w:hideMark/>
          </w:tcPr>
          <w:p w:rsidR="0019207F" w:rsidRPr="00EF6887" w:rsidRDefault="0019207F" w:rsidP="0019207F">
            <w:pPr>
              <w:rPr>
                <w:rFonts w:ascii="Arial" w:hAnsi="Arial" w:cs="Arial"/>
                <w:b/>
                <w:bCs/>
                <w:sz w:val="20"/>
                <w:szCs w:val="20"/>
                <w:lang w:val="en-US"/>
              </w:rPr>
            </w:pPr>
            <w:r w:rsidRPr="00EF6887">
              <w:rPr>
                <w:rFonts w:ascii="Arial" w:hAnsi="Arial" w:cs="Arial"/>
                <w:b/>
                <w:bCs/>
                <w:sz w:val="20"/>
                <w:szCs w:val="20"/>
                <w:lang w:val="en-US"/>
              </w:rPr>
              <w:t>TSAT</w:t>
            </w:r>
            <w:r w:rsidR="00F94E42">
              <w:rPr>
                <w:rFonts w:ascii="Arial" w:hAnsi="Arial" w:cs="Arial"/>
                <w:b/>
                <w:bCs/>
                <w:sz w:val="20"/>
                <w:szCs w:val="20"/>
                <w:lang w:val="en-US"/>
              </w:rPr>
              <w:t>≥</w:t>
            </w:r>
            <w:r w:rsidRPr="00EF6887">
              <w:rPr>
                <w:rFonts w:ascii="Arial" w:hAnsi="Arial" w:cs="Arial"/>
                <w:b/>
                <w:bCs/>
                <w:sz w:val="20"/>
                <w:szCs w:val="20"/>
                <w:lang w:val="en-US"/>
              </w:rPr>
              <w:t>45%</w:t>
            </w:r>
          </w:p>
          <w:p w:rsidR="0019207F" w:rsidRPr="00EF6887" w:rsidRDefault="0019207F" w:rsidP="0019207F">
            <w:pPr>
              <w:rPr>
                <w:rFonts w:ascii="Arial" w:hAnsi="Arial" w:cs="Arial"/>
                <w:b/>
                <w:bCs/>
                <w:sz w:val="20"/>
                <w:szCs w:val="20"/>
                <w:lang w:val="en-US"/>
              </w:rPr>
            </w:pPr>
          </w:p>
        </w:tc>
        <w:tc>
          <w:tcPr>
            <w:tcW w:w="990" w:type="dxa"/>
            <w:tcBorders>
              <w:top w:val="single" w:sz="4" w:space="0" w:color="auto"/>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w:t>
            </w:r>
          </w:p>
        </w:tc>
        <w:tc>
          <w:tcPr>
            <w:tcW w:w="1695" w:type="dxa"/>
            <w:tcBorders>
              <w:top w:val="single" w:sz="4" w:space="0" w:color="auto"/>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0.99 (0.81; 1.2</w:t>
            </w:r>
            <w:r w:rsidR="00D26721">
              <w:rPr>
                <w:rFonts w:ascii="Arial" w:hAnsi="Arial" w:cs="Arial"/>
                <w:sz w:val="20"/>
                <w:szCs w:val="20"/>
                <w:lang w:val="en-US"/>
              </w:rPr>
              <w:t>0</w:t>
            </w:r>
            <w:r w:rsidRPr="00EF6887">
              <w:rPr>
                <w:rFonts w:ascii="Arial" w:hAnsi="Arial" w:cs="Arial"/>
                <w:sz w:val="20"/>
                <w:szCs w:val="20"/>
                <w:lang w:val="en-US"/>
              </w:rPr>
              <w:t>)</w:t>
            </w:r>
          </w:p>
        </w:tc>
        <w:tc>
          <w:tcPr>
            <w:tcW w:w="989" w:type="dxa"/>
            <w:tcBorders>
              <w:top w:val="single" w:sz="4" w:space="0" w:color="auto"/>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0.885</w:t>
            </w:r>
          </w:p>
        </w:tc>
        <w:tc>
          <w:tcPr>
            <w:tcW w:w="1724" w:type="dxa"/>
            <w:tcBorders>
              <w:top w:val="single" w:sz="4" w:space="0" w:color="auto"/>
              <w:left w:val="nil"/>
              <w:bottom w:val="nil"/>
              <w:right w:val="nil"/>
            </w:tcBorders>
          </w:tcPr>
          <w:p w:rsidR="0019207F" w:rsidRPr="00EF6887" w:rsidRDefault="0019207F" w:rsidP="00836AFF">
            <w:pPr>
              <w:jc w:val="center"/>
              <w:rPr>
                <w:rFonts w:ascii="Arial" w:hAnsi="Arial" w:cs="Arial"/>
                <w:sz w:val="20"/>
                <w:szCs w:val="20"/>
                <w:lang w:val="en-US"/>
              </w:rPr>
            </w:pP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tcBorders>
              <w:left w:val="nil"/>
              <w:right w:val="nil"/>
            </w:tcBorders>
            <w:noWrap/>
            <w:hideMark/>
          </w:tcPr>
          <w:p w:rsidR="0019207F" w:rsidRPr="00EF6887" w:rsidRDefault="0019207F" w:rsidP="00836AFF">
            <w:pPr>
              <w:rPr>
                <w:rFonts w:ascii="Arial" w:hAnsi="Arial" w:cs="Arial"/>
                <w:sz w:val="20"/>
                <w:szCs w:val="20"/>
                <w:lang w:val="en-US"/>
              </w:rPr>
            </w:pPr>
          </w:p>
        </w:tc>
        <w:tc>
          <w:tcPr>
            <w:tcW w:w="990"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2</w:t>
            </w:r>
          </w:p>
        </w:tc>
        <w:tc>
          <w:tcPr>
            <w:tcW w:w="1695"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1.06 (0.86; 1.32)</w:t>
            </w:r>
          </w:p>
        </w:tc>
        <w:tc>
          <w:tcPr>
            <w:tcW w:w="989"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0.579</w:t>
            </w:r>
          </w:p>
        </w:tc>
        <w:tc>
          <w:tcPr>
            <w:tcW w:w="1724" w:type="dxa"/>
            <w:tcBorders>
              <w:top w:val="nil"/>
              <w:left w:val="nil"/>
              <w:bottom w:val="nil"/>
              <w:right w:val="nil"/>
            </w:tcBorders>
          </w:tcPr>
          <w:p w:rsidR="0019207F" w:rsidRPr="00EF6887" w:rsidRDefault="0019207F" w:rsidP="00836AFF">
            <w:pPr>
              <w:jc w:val="center"/>
              <w:rPr>
                <w:rFonts w:ascii="Arial" w:hAnsi="Arial" w:cs="Arial"/>
                <w:sz w:val="20"/>
                <w:szCs w:val="20"/>
                <w:lang w:val="en-US"/>
              </w:rPr>
            </w:pP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tcBorders>
              <w:left w:val="nil"/>
              <w:bottom w:val="single" w:sz="4" w:space="0" w:color="auto"/>
              <w:right w:val="nil"/>
            </w:tcBorders>
            <w:noWrap/>
            <w:hideMark/>
          </w:tcPr>
          <w:p w:rsidR="0019207F" w:rsidRPr="00EF6887" w:rsidRDefault="0019207F" w:rsidP="00836AFF">
            <w:pPr>
              <w:rPr>
                <w:rFonts w:ascii="Arial" w:hAnsi="Arial" w:cs="Arial"/>
                <w:sz w:val="20"/>
                <w:szCs w:val="20"/>
                <w:lang w:val="en-US"/>
              </w:rPr>
            </w:pPr>
          </w:p>
        </w:tc>
        <w:tc>
          <w:tcPr>
            <w:tcW w:w="990"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3</w:t>
            </w:r>
          </w:p>
        </w:tc>
        <w:tc>
          <w:tcPr>
            <w:tcW w:w="1695"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0.90 (0.75; 1.08)</w:t>
            </w:r>
          </w:p>
        </w:tc>
        <w:tc>
          <w:tcPr>
            <w:tcW w:w="989"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0.259</w:t>
            </w:r>
          </w:p>
        </w:tc>
        <w:tc>
          <w:tcPr>
            <w:tcW w:w="1724" w:type="dxa"/>
            <w:tcBorders>
              <w:top w:val="nil"/>
              <w:left w:val="nil"/>
              <w:bottom w:val="single" w:sz="4" w:space="0" w:color="auto"/>
              <w:right w:val="nil"/>
            </w:tcBorders>
          </w:tcPr>
          <w:p w:rsidR="0019207F" w:rsidRPr="00EF6887" w:rsidRDefault="0019207F" w:rsidP="00576566">
            <w:pPr>
              <w:jc w:val="center"/>
              <w:rPr>
                <w:rFonts w:ascii="Arial" w:hAnsi="Arial" w:cs="Arial"/>
                <w:bCs/>
                <w:color w:val="000000"/>
                <w:sz w:val="20"/>
                <w:szCs w:val="20"/>
              </w:rPr>
            </w:pPr>
            <w:r w:rsidRPr="00EF6887">
              <w:rPr>
                <w:rFonts w:ascii="Arial" w:hAnsi="Arial" w:cs="Arial"/>
                <w:bCs/>
                <w:color w:val="000000"/>
                <w:sz w:val="20"/>
                <w:szCs w:val="20"/>
              </w:rPr>
              <w:t>0.0</w:t>
            </w: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val="restart"/>
            <w:tcBorders>
              <w:top w:val="single" w:sz="4" w:space="0" w:color="auto"/>
              <w:left w:val="nil"/>
              <w:right w:val="nil"/>
            </w:tcBorders>
            <w:noWrap/>
            <w:vAlign w:val="center"/>
            <w:hideMark/>
          </w:tcPr>
          <w:p w:rsidR="0019207F" w:rsidRPr="00EF6887" w:rsidRDefault="0019207F" w:rsidP="0019207F">
            <w:pPr>
              <w:rPr>
                <w:rFonts w:ascii="Arial" w:hAnsi="Arial" w:cs="Arial"/>
                <w:b/>
                <w:bCs/>
                <w:sz w:val="20"/>
                <w:szCs w:val="20"/>
                <w:lang w:val="en-US"/>
              </w:rPr>
            </w:pPr>
            <w:r w:rsidRPr="00EF6887">
              <w:rPr>
                <w:rFonts w:ascii="Arial" w:hAnsi="Arial" w:cs="Arial"/>
                <w:b/>
                <w:bCs/>
                <w:sz w:val="20"/>
                <w:szCs w:val="20"/>
                <w:lang w:val="en-US"/>
              </w:rPr>
              <w:t xml:space="preserve">Serum Iron (per 5 </w:t>
            </w:r>
            <w:proofErr w:type="spellStart"/>
            <w:r w:rsidRPr="00EF6887">
              <w:rPr>
                <w:rFonts w:ascii="Arial" w:hAnsi="Arial" w:cs="Arial"/>
                <w:b/>
                <w:bCs/>
                <w:sz w:val="20"/>
                <w:szCs w:val="20"/>
                <w:lang w:val="en-US"/>
              </w:rPr>
              <w:t>μmol</w:t>
            </w:r>
            <w:proofErr w:type="spellEnd"/>
            <w:r w:rsidRPr="00EF6887">
              <w:rPr>
                <w:rFonts w:ascii="Arial" w:hAnsi="Arial" w:cs="Arial"/>
                <w:b/>
                <w:bCs/>
                <w:sz w:val="20"/>
                <w:szCs w:val="20"/>
                <w:lang w:val="en-US"/>
              </w:rPr>
              <w:t>/L)</w:t>
            </w:r>
          </w:p>
          <w:p w:rsidR="0019207F" w:rsidRPr="00EF6887" w:rsidRDefault="0019207F" w:rsidP="0019207F">
            <w:pPr>
              <w:rPr>
                <w:rFonts w:ascii="Arial" w:hAnsi="Arial" w:cs="Arial"/>
                <w:b/>
                <w:bCs/>
                <w:sz w:val="20"/>
                <w:szCs w:val="20"/>
                <w:lang w:val="en-US"/>
              </w:rPr>
            </w:pPr>
          </w:p>
        </w:tc>
        <w:tc>
          <w:tcPr>
            <w:tcW w:w="990" w:type="dxa"/>
            <w:tcBorders>
              <w:top w:val="single" w:sz="4" w:space="0" w:color="auto"/>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w:t>
            </w:r>
          </w:p>
        </w:tc>
        <w:tc>
          <w:tcPr>
            <w:tcW w:w="1695" w:type="dxa"/>
            <w:tcBorders>
              <w:top w:val="single" w:sz="4" w:space="0" w:color="auto"/>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1.03 (0.98; 1.08)</w:t>
            </w:r>
          </w:p>
        </w:tc>
        <w:tc>
          <w:tcPr>
            <w:tcW w:w="989" w:type="dxa"/>
            <w:tcBorders>
              <w:top w:val="single" w:sz="4" w:space="0" w:color="auto"/>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0.293</w:t>
            </w:r>
          </w:p>
        </w:tc>
        <w:tc>
          <w:tcPr>
            <w:tcW w:w="1724" w:type="dxa"/>
            <w:tcBorders>
              <w:top w:val="single" w:sz="4" w:space="0" w:color="auto"/>
              <w:left w:val="nil"/>
              <w:bottom w:val="nil"/>
              <w:right w:val="nil"/>
            </w:tcBorders>
          </w:tcPr>
          <w:p w:rsidR="0019207F" w:rsidRPr="00EF6887" w:rsidRDefault="0019207F" w:rsidP="00836AFF">
            <w:pPr>
              <w:jc w:val="center"/>
              <w:rPr>
                <w:rFonts w:ascii="Arial" w:hAnsi="Arial" w:cs="Arial"/>
                <w:sz w:val="20"/>
                <w:szCs w:val="20"/>
                <w:lang w:val="en-US"/>
              </w:rPr>
            </w:pP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tcBorders>
              <w:left w:val="nil"/>
              <w:right w:val="nil"/>
            </w:tcBorders>
            <w:noWrap/>
            <w:hideMark/>
          </w:tcPr>
          <w:p w:rsidR="0019207F" w:rsidRPr="00EF6887" w:rsidRDefault="0019207F" w:rsidP="00836AFF">
            <w:pPr>
              <w:rPr>
                <w:rFonts w:ascii="Arial" w:hAnsi="Arial" w:cs="Arial"/>
                <w:b/>
                <w:bCs/>
                <w:sz w:val="20"/>
                <w:szCs w:val="20"/>
                <w:lang w:val="en-US"/>
              </w:rPr>
            </w:pPr>
          </w:p>
        </w:tc>
        <w:tc>
          <w:tcPr>
            <w:tcW w:w="990"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2</w:t>
            </w:r>
          </w:p>
        </w:tc>
        <w:tc>
          <w:tcPr>
            <w:tcW w:w="1695"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1.04 (0.98; 1.11)</w:t>
            </w:r>
          </w:p>
        </w:tc>
        <w:tc>
          <w:tcPr>
            <w:tcW w:w="989"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0.166</w:t>
            </w:r>
          </w:p>
        </w:tc>
        <w:tc>
          <w:tcPr>
            <w:tcW w:w="1724" w:type="dxa"/>
            <w:tcBorders>
              <w:top w:val="nil"/>
              <w:left w:val="nil"/>
              <w:bottom w:val="nil"/>
              <w:right w:val="nil"/>
            </w:tcBorders>
          </w:tcPr>
          <w:p w:rsidR="0019207F" w:rsidRPr="00EF6887" w:rsidRDefault="0019207F" w:rsidP="00836AFF">
            <w:pPr>
              <w:jc w:val="center"/>
              <w:rPr>
                <w:rFonts w:ascii="Arial" w:hAnsi="Arial" w:cs="Arial"/>
                <w:sz w:val="20"/>
                <w:szCs w:val="20"/>
                <w:lang w:val="en-US"/>
              </w:rPr>
            </w:pP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tcBorders>
              <w:left w:val="nil"/>
              <w:bottom w:val="single" w:sz="4" w:space="0" w:color="auto"/>
              <w:right w:val="nil"/>
            </w:tcBorders>
            <w:noWrap/>
            <w:hideMark/>
          </w:tcPr>
          <w:p w:rsidR="0019207F" w:rsidRPr="00EF6887" w:rsidRDefault="0019207F" w:rsidP="00836AFF">
            <w:pPr>
              <w:rPr>
                <w:rFonts w:ascii="Arial" w:hAnsi="Arial" w:cs="Arial"/>
                <w:b/>
                <w:bCs/>
                <w:sz w:val="20"/>
                <w:szCs w:val="20"/>
                <w:lang w:val="en-US"/>
              </w:rPr>
            </w:pPr>
          </w:p>
        </w:tc>
        <w:tc>
          <w:tcPr>
            <w:tcW w:w="990"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3</w:t>
            </w:r>
          </w:p>
        </w:tc>
        <w:tc>
          <w:tcPr>
            <w:tcW w:w="1695"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1.00 (0.94; 1.07)</w:t>
            </w:r>
          </w:p>
        </w:tc>
        <w:tc>
          <w:tcPr>
            <w:tcW w:w="989"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0.976</w:t>
            </w:r>
          </w:p>
        </w:tc>
        <w:tc>
          <w:tcPr>
            <w:tcW w:w="1724" w:type="dxa"/>
            <w:tcBorders>
              <w:top w:val="nil"/>
              <w:left w:val="nil"/>
              <w:bottom w:val="single" w:sz="4" w:space="0" w:color="auto"/>
              <w:right w:val="nil"/>
            </w:tcBorders>
          </w:tcPr>
          <w:p w:rsidR="0019207F" w:rsidRPr="00EF6887" w:rsidRDefault="0019207F" w:rsidP="00576566">
            <w:pPr>
              <w:jc w:val="center"/>
              <w:rPr>
                <w:rFonts w:ascii="Arial" w:hAnsi="Arial" w:cs="Arial"/>
                <w:bCs/>
                <w:color w:val="000000"/>
                <w:sz w:val="20"/>
                <w:szCs w:val="20"/>
              </w:rPr>
            </w:pPr>
            <w:r w:rsidRPr="00EF6887">
              <w:rPr>
                <w:rFonts w:ascii="Arial" w:hAnsi="Arial" w:cs="Arial"/>
                <w:bCs/>
                <w:color w:val="000000"/>
                <w:sz w:val="20"/>
                <w:szCs w:val="20"/>
              </w:rPr>
              <w:t>49.40</w:t>
            </w: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val="restart"/>
            <w:tcBorders>
              <w:top w:val="single" w:sz="4" w:space="0" w:color="auto"/>
              <w:left w:val="nil"/>
              <w:right w:val="nil"/>
            </w:tcBorders>
            <w:noWrap/>
            <w:vAlign w:val="center"/>
            <w:hideMark/>
          </w:tcPr>
          <w:p w:rsidR="0019207F" w:rsidRPr="00EF6887" w:rsidRDefault="0019207F" w:rsidP="0019207F">
            <w:pPr>
              <w:rPr>
                <w:rFonts w:ascii="Arial" w:hAnsi="Arial" w:cs="Arial"/>
                <w:b/>
                <w:bCs/>
                <w:sz w:val="20"/>
                <w:szCs w:val="20"/>
                <w:lang w:val="en-US"/>
              </w:rPr>
            </w:pPr>
            <w:r w:rsidRPr="00EF6887">
              <w:rPr>
                <w:rFonts w:ascii="Arial" w:hAnsi="Arial" w:cs="Arial"/>
                <w:b/>
                <w:bCs/>
                <w:sz w:val="20"/>
                <w:szCs w:val="20"/>
                <w:lang w:val="en-US"/>
              </w:rPr>
              <w:t>Transferrin (per 0.5 g/L)</w:t>
            </w:r>
          </w:p>
          <w:p w:rsidR="0019207F" w:rsidRPr="00EF6887" w:rsidRDefault="0019207F" w:rsidP="0019207F">
            <w:pPr>
              <w:rPr>
                <w:rFonts w:ascii="Arial" w:hAnsi="Arial" w:cs="Arial"/>
                <w:b/>
                <w:bCs/>
                <w:sz w:val="20"/>
                <w:szCs w:val="20"/>
                <w:lang w:val="en-US"/>
              </w:rPr>
            </w:pPr>
          </w:p>
        </w:tc>
        <w:tc>
          <w:tcPr>
            <w:tcW w:w="990" w:type="dxa"/>
            <w:tcBorders>
              <w:top w:val="single" w:sz="4" w:space="0" w:color="auto"/>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w:t>
            </w:r>
          </w:p>
        </w:tc>
        <w:tc>
          <w:tcPr>
            <w:tcW w:w="1695" w:type="dxa"/>
            <w:tcBorders>
              <w:top w:val="single" w:sz="4" w:space="0" w:color="auto"/>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1.20 (1.12; 1.30)</w:t>
            </w:r>
          </w:p>
        </w:tc>
        <w:tc>
          <w:tcPr>
            <w:tcW w:w="989" w:type="dxa"/>
            <w:tcBorders>
              <w:top w:val="single" w:sz="4" w:space="0" w:color="auto"/>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&lt;0.001</w:t>
            </w:r>
          </w:p>
        </w:tc>
        <w:tc>
          <w:tcPr>
            <w:tcW w:w="1724" w:type="dxa"/>
            <w:tcBorders>
              <w:top w:val="single" w:sz="4" w:space="0" w:color="auto"/>
              <w:left w:val="nil"/>
              <w:bottom w:val="nil"/>
              <w:right w:val="nil"/>
            </w:tcBorders>
          </w:tcPr>
          <w:p w:rsidR="0019207F" w:rsidRPr="00EF6887" w:rsidRDefault="0019207F" w:rsidP="00836AFF">
            <w:pPr>
              <w:jc w:val="center"/>
              <w:rPr>
                <w:rFonts w:ascii="Arial" w:hAnsi="Arial" w:cs="Arial"/>
                <w:sz w:val="20"/>
                <w:szCs w:val="20"/>
                <w:lang w:val="en-US"/>
              </w:rPr>
            </w:pP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tcBorders>
              <w:left w:val="nil"/>
              <w:right w:val="nil"/>
            </w:tcBorders>
            <w:noWrap/>
            <w:hideMark/>
          </w:tcPr>
          <w:p w:rsidR="0019207F" w:rsidRPr="00EF6887" w:rsidRDefault="0019207F" w:rsidP="00836AFF">
            <w:pPr>
              <w:rPr>
                <w:rFonts w:ascii="Arial" w:hAnsi="Arial" w:cs="Arial"/>
                <w:sz w:val="20"/>
                <w:szCs w:val="20"/>
                <w:lang w:val="en-US"/>
              </w:rPr>
            </w:pPr>
          </w:p>
        </w:tc>
        <w:tc>
          <w:tcPr>
            <w:tcW w:w="990"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2</w:t>
            </w:r>
          </w:p>
        </w:tc>
        <w:tc>
          <w:tcPr>
            <w:tcW w:w="1695"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1.16 (1.05; 1.29)</w:t>
            </w:r>
          </w:p>
        </w:tc>
        <w:tc>
          <w:tcPr>
            <w:tcW w:w="989"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0.003</w:t>
            </w:r>
          </w:p>
        </w:tc>
        <w:tc>
          <w:tcPr>
            <w:tcW w:w="1724" w:type="dxa"/>
            <w:tcBorders>
              <w:top w:val="nil"/>
              <w:left w:val="nil"/>
              <w:bottom w:val="nil"/>
              <w:right w:val="nil"/>
            </w:tcBorders>
          </w:tcPr>
          <w:p w:rsidR="0019207F" w:rsidRPr="00EF6887" w:rsidRDefault="0019207F" w:rsidP="00836AFF">
            <w:pPr>
              <w:jc w:val="center"/>
              <w:rPr>
                <w:rFonts w:ascii="Arial" w:hAnsi="Arial" w:cs="Arial"/>
                <w:sz w:val="20"/>
                <w:szCs w:val="20"/>
                <w:lang w:val="en-US"/>
              </w:rPr>
            </w:pPr>
          </w:p>
        </w:tc>
      </w:tr>
      <w:tr w:rsidR="0019207F" w:rsidRPr="00EF6887" w:rsidTr="00DC75BA">
        <w:trPr>
          <w:gridAfter w:val="1"/>
          <w:wAfter w:w="425" w:type="dxa"/>
          <w:trHeight w:val="300"/>
        </w:trPr>
        <w:tc>
          <w:tcPr>
            <w:tcW w:w="957" w:type="dxa"/>
            <w:tcBorders>
              <w:top w:val="nil"/>
              <w:left w:val="nil"/>
              <w:bottom w:val="single" w:sz="4" w:space="0" w:color="auto"/>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tcBorders>
              <w:left w:val="nil"/>
              <w:bottom w:val="single" w:sz="4" w:space="0" w:color="auto"/>
              <w:right w:val="nil"/>
            </w:tcBorders>
            <w:noWrap/>
            <w:hideMark/>
          </w:tcPr>
          <w:p w:rsidR="0019207F" w:rsidRPr="00EF6887" w:rsidRDefault="0019207F" w:rsidP="00836AFF">
            <w:pPr>
              <w:rPr>
                <w:rFonts w:ascii="Arial" w:hAnsi="Arial" w:cs="Arial"/>
                <w:sz w:val="20"/>
                <w:szCs w:val="20"/>
                <w:lang w:val="en-US"/>
              </w:rPr>
            </w:pPr>
          </w:p>
        </w:tc>
        <w:tc>
          <w:tcPr>
            <w:tcW w:w="990"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3</w:t>
            </w:r>
          </w:p>
        </w:tc>
        <w:tc>
          <w:tcPr>
            <w:tcW w:w="1695" w:type="dxa"/>
            <w:tcBorders>
              <w:top w:val="nil"/>
              <w:left w:val="nil"/>
              <w:bottom w:val="single" w:sz="4" w:space="0" w:color="auto"/>
              <w:right w:val="nil"/>
            </w:tcBorders>
            <w:noWrap/>
            <w:hideMark/>
          </w:tcPr>
          <w:p w:rsidR="0019207F" w:rsidRPr="00EF6887" w:rsidRDefault="0019207F" w:rsidP="00722EFF">
            <w:pPr>
              <w:jc w:val="center"/>
              <w:rPr>
                <w:rFonts w:ascii="Arial" w:hAnsi="Arial" w:cs="Arial"/>
                <w:sz w:val="20"/>
                <w:szCs w:val="20"/>
                <w:lang w:val="en-US"/>
              </w:rPr>
            </w:pPr>
            <w:r w:rsidRPr="00EF6887">
              <w:rPr>
                <w:rFonts w:ascii="Arial" w:hAnsi="Arial" w:cs="Arial"/>
                <w:sz w:val="20"/>
                <w:szCs w:val="20"/>
                <w:lang w:val="en-US"/>
              </w:rPr>
              <w:t>1.11 (1.00; 1.2</w:t>
            </w:r>
            <w:r w:rsidR="00722EFF">
              <w:rPr>
                <w:rFonts w:ascii="Arial" w:hAnsi="Arial" w:cs="Arial"/>
                <w:sz w:val="20"/>
                <w:szCs w:val="20"/>
                <w:lang w:val="en-US"/>
              </w:rPr>
              <w:t>3</w:t>
            </w:r>
            <w:r w:rsidRPr="00EF6887">
              <w:rPr>
                <w:rFonts w:ascii="Arial" w:hAnsi="Arial" w:cs="Arial"/>
                <w:sz w:val="20"/>
                <w:szCs w:val="20"/>
                <w:lang w:val="en-US"/>
              </w:rPr>
              <w:t>)</w:t>
            </w:r>
          </w:p>
        </w:tc>
        <w:tc>
          <w:tcPr>
            <w:tcW w:w="989"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0.061</w:t>
            </w:r>
          </w:p>
        </w:tc>
        <w:tc>
          <w:tcPr>
            <w:tcW w:w="1724" w:type="dxa"/>
            <w:tcBorders>
              <w:top w:val="nil"/>
              <w:left w:val="nil"/>
              <w:bottom w:val="single" w:sz="4" w:space="0" w:color="auto"/>
              <w:right w:val="nil"/>
            </w:tcBorders>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54.50</w:t>
            </w:r>
          </w:p>
        </w:tc>
      </w:tr>
      <w:tr w:rsidR="00576566" w:rsidRPr="00EF6887" w:rsidTr="00DC75BA">
        <w:trPr>
          <w:gridAfter w:val="1"/>
          <w:wAfter w:w="425" w:type="dxa"/>
          <w:trHeight w:val="300"/>
        </w:trPr>
        <w:tc>
          <w:tcPr>
            <w:tcW w:w="957" w:type="dxa"/>
            <w:tcBorders>
              <w:top w:val="single" w:sz="4" w:space="0" w:color="auto"/>
              <w:left w:val="nil"/>
              <w:bottom w:val="nil"/>
              <w:right w:val="nil"/>
            </w:tcBorders>
            <w:noWrap/>
            <w:vAlign w:val="center"/>
          </w:tcPr>
          <w:p w:rsidR="00576566" w:rsidRPr="00EF6887" w:rsidRDefault="00576566" w:rsidP="00836AFF">
            <w:pPr>
              <w:rPr>
                <w:rFonts w:ascii="Arial" w:hAnsi="Arial" w:cs="Arial"/>
                <w:b/>
                <w:bCs/>
                <w:sz w:val="20"/>
                <w:szCs w:val="20"/>
                <w:lang w:val="en-US"/>
              </w:rPr>
            </w:pPr>
            <w:r w:rsidRPr="00EF6887">
              <w:rPr>
                <w:rFonts w:ascii="Arial" w:hAnsi="Arial" w:cs="Arial"/>
                <w:b/>
                <w:bCs/>
                <w:sz w:val="20"/>
                <w:szCs w:val="20"/>
                <w:lang w:val="en-US"/>
              </w:rPr>
              <w:t>Women</w:t>
            </w:r>
          </w:p>
        </w:tc>
        <w:tc>
          <w:tcPr>
            <w:tcW w:w="2542" w:type="dxa"/>
            <w:tcBorders>
              <w:top w:val="single" w:sz="4" w:space="0" w:color="auto"/>
              <w:left w:val="nil"/>
              <w:bottom w:val="nil"/>
              <w:right w:val="nil"/>
            </w:tcBorders>
            <w:noWrap/>
          </w:tcPr>
          <w:p w:rsidR="00576566" w:rsidRPr="00EF6887" w:rsidRDefault="00576566" w:rsidP="00836AFF">
            <w:pPr>
              <w:rPr>
                <w:rFonts w:ascii="Arial" w:hAnsi="Arial" w:cs="Arial"/>
                <w:b/>
                <w:bCs/>
                <w:sz w:val="20"/>
                <w:szCs w:val="20"/>
                <w:lang w:val="en-US"/>
              </w:rPr>
            </w:pPr>
          </w:p>
        </w:tc>
        <w:tc>
          <w:tcPr>
            <w:tcW w:w="990" w:type="dxa"/>
            <w:tcBorders>
              <w:top w:val="single" w:sz="4" w:space="0" w:color="auto"/>
              <w:left w:val="nil"/>
              <w:bottom w:val="nil"/>
              <w:right w:val="nil"/>
            </w:tcBorders>
            <w:noWrap/>
          </w:tcPr>
          <w:p w:rsidR="00576566" w:rsidRPr="00EF6887" w:rsidRDefault="00576566" w:rsidP="00836AFF">
            <w:pPr>
              <w:jc w:val="center"/>
              <w:rPr>
                <w:rFonts w:ascii="Arial" w:hAnsi="Arial" w:cs="Arial"/>
                <w:sz w:val="20"/>
                <w:szCs w:val="20"/>
                <w:lang w:val="en-US"/>
              </w:rPr>
            </w:pPr>
          </w:p>
        </w:tc>
        <w:tc>
          <w:tcPr>
            <w:tcW w:w="1695" w:type="dxa"/>
            <w:tcBorders>
              <w:top w:val="single" w:sz="4" w:space="0" w:color="auto"/>
              <w:left w:val="nil"/>
              <w:bottom w:val="nil"/>
              <w:right w:val="nil"/>
            </w:tcBorders>
            <w:noWrap/>
          </w:tcPr>
          <w:p w:rsidR="00576566" w:rsidRPr="00EF6887" w:rsidRDefault="00576566" w:rsidP="00836AFF">
            <w:pPr>
              <w:jc w:val="center"/>
              <w:rPr>
                <w:rFonts w:ascii="Arial" w:hAnsi="Arial" w:cs="Arial"/>
                <w:sz w:val="20"/>
                <w:szCs w:val="20"/>
                <w:lang w:val="en-US"/>
              </w:rPr>
            </w:pPr>
          </w:p>
        </w:tc>
        <w:tc>
          <w:tcPr>
            <w:tcW w:w="989" w:type="dxa"/>
            <w:tcBorders>
              <w:top w:val="single" w:sz="4" w:space="0" w:color="auto"/>
              <w:left w:val="nil"/>
              <w:bottom w:val="nil"/>
              <w:right w:val="nil"/>
            </w:tcBorders>
            <w:noWrap/>
          </w:tcPr>
          <w:p w:rsidR="00576566" w:rsidRPr="00EF6887" w:rsidRDefault="00576566" w:rsidP="00836AFF">
            <w:pPr>
              <w:jc w:val="center"/>
              <w:rPr>
                <w:rFonts w:ascii="Arial" w:hAnsi="Arial" w:cs="Arial"/>
                <w:sz w:val="20"/>
                <w:szCs w:val="20"/>
                <w:lang w:val="en-US"/>
              </w:rPr>
            </w:pPr>
          </w:p>
        </w:tc>
        <w:tc>
          <w:tcPr>
            <w:tcW w:w="1724" w:type="dxa"/>
            <w:tcBorders>
              <w:top w:val="single" w:sz="4" w:space="0" w:color="auto"/>
              <w:left w:val="nil"/>
              <w:bottom w:val="nil"/>
              <w:right w:val="nil"/>
            </w:tcBorders>
          </w:tcPr>
          <w:p w:rsidR="00576566" w:rsidRPr="00EF6887" w:rsidRDefault="00576566" w:rsidP="00836AFF">
            <w:pPr>
              <w:jc w:val="center"/>
              <w:rPr>
                <w:rFonts w:ascii="Arial" w:hAnsi="Arial" w:cs="Arial"/>
                <w:sz w:val="20"/>
                <w:szCs w:val="20"/>
                <w:lang w:val="en-US"/>
              </w:rPr>
            </w:pP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b/>
                <w:bCs/>
                <w:sz w:val="20"/>
                <w:szCs w:val="20"/>
                <w:lang w:val="en-US"/>
              </w:rPr>
            </w:pPr>
          </w:p>
        </w:tc>
        <w:tc>
          <w:tcPr>
            <w:tcW w:w="2542" w:type="dxa"/>
            <w:vMerge w:val="restart"/>
            <w:tcBorders>
              <w:top w:val="nil"/>
              <w:left w:val="nil"/>
              <w:right w:val="nil"/>
            </w:tcBorders>
            <w:noWrap/>
            <w:vAlign w:val="center"/>
            <w:hideMark/>
          </w:tcPr>
          <w:p w:rsidR="0019207F" w:rsidRPr="00EF6887" w:rsidRDefault="0019207F" w:rsidP="0019207F">
            <w:pPr>
              <w:rPr>
                <w:rFonts w:ascii="Arial" w:hAnsi="Arial" w:cs="Arial"/>
                <w:b/>
                <w:bCs/>
                <w:sz w:val="20"/>
                <w:szCs w:val="20"/>
                <w:lang w:val="en-US"/>
              </w:rPr>
            </w:pPr>
            <w:r w:rsidRPr="00EF6887">
              <w:rPr>
                <w:rFonts w:ascii="Arial" w:hAnsi="Arial" w:cs="Arial"/>
                <w:b/>
                <w:bCs/>
                <w:sz w:val="20"/>
                <w:szCs w:val="20"/>
                <w:lang w:val="en-US"/>
              </w:rPr>
              <w:t xml:space="preserve">Ferritin (per 100 </w:t>
            </w:r>
            <w:proofErr w:type="spellStart"/>
            <w:r w:rsidRPr="00EF6887">
              <w:rPr>
                <w:rFonts w:ascii="Arial" w:hAnsi="Arial" w:cs="Arial"/>
                <w:b/>
                <w:bCs/>
                <w:sz w:val="20"/>
                <w:szCs w:val="20"/>
                <w:lang w:val="en-US"/>
              </w:rPr>
              <w:t>μg</w:t>
            </w:r>
            <w:proofErr w:type="spellEnd"/>
            <w:r w:rsidRPr="00EF6887">
              <w:rPr>
                <w:rFonts w:ascii="Arial" w:hAnsi="Arial" w:cs="Arial"/>
                <w:b/>
                <w:bCs/>
                <w:sz w:val="20"/>
                <w:szCs w:val="20"/>
                <w:lang w:val="en-US"/>
              </w:rPr>
              <w:t>/L)</w:t>
            </w:r>
          </w:p>
          <w:p w:rsidR="0019207F" w:rsidRPr="00EF6887" w:rsidRDefault="0019207F" w:rsidP="00120AEA">
            <w:pPr>
              <w:rPr>
                <w:rFonts w:ascii="Arial" w:hAnsi="Arial" w:cs="Arial"/>
                <w:b/>
                <w:bCs/>
                <w:sz w:val="20"/>
                <w:szCs w:val="20"/>
                <w:lang w:val="en-US"/>
              </w:rPr>
            </w:pPr>
          </w:p>
        </w:tc>
        <w:tc>
          <w:tcPr>
            <w:tcW w:w="990"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w:t>
            </w:r>
          </w:p>
        </w:tc>
        <w:tc>
          <w:tcPr>
            <w:tcW w:w="1695"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1.31 (1.22; 1.41)</w:t>
            </w:r>
          </w:p>
        </w:tc>
        <w:tc>
          <w:tcPr>
            <w:tcW w:w="989"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&lt;0.001</w:t>
            </w:r>
          </w:p>
        </w:tc>
        <w:tc>
          <w:tcPr>
            <w:tcW w:w="1724" w:type="dxa"/>
            <w:tcBorders>
              <w:top w:val="nil"/>
              <w:left w:val="nil"/>
              <w:bottom w:val="nil"/>
              <w:right w:val="nil"/>
            </w:tcBorders>
          </w:tcPr>
          <w:p w:rsidR="0019207F" w:rsidRPr="00EF6887" w:rsidRDefault="0019207F" w:rsidP="00836AFF">
            <w:pPr>
              <w:jc w:val="center"/>
              <w:rPr>
                <w:rFonts w:ascii="Arial" w:hAnsi="Arial" w:cs="Arial"/>
                <w:sz w:val="20"/>
                <w:szCs w:val="20"/>
                <w:lang w:val="en-US"/>
              </w:rPr>
            </w:pP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tcBorders>
              <w:left w:val="nil"/>
              <w:right w:val="nil"/>
            </w:tcBorders>
            <w:noWrap/>
            <w:hideMark/>
          </w:tcPr>
          <w:p w:rsidR="0019207F" w:rsidRPr="00EF6887" w:rsidRDefault="0019207F" w:rsidP="00836AFF">
            <w:pPr>
              <w:rPr>
                <w:rFonts w:ascii="Arial" w:hAnsi="Arial" w:cs="Arial"/>
                <w:sz w:val="20"/>
                <w:szCs w:val="20"/>
                <w:lang w:val="en-US"/>
              </w:rPr>
            </w:pPr>
          </w:p>
        </w:tc>
        <w:tc>
          <w:tcPr>
            <w:tcW w:w="990"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2</w:t>
            </w:r>
          </w:p>
        </w:tc>
        <w:tc>
          <w:tcPr>
            <w:tcW w:w="1695"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1.22 (1.14; 1.31)</w:t>
            </w:r>
          </w:p>
        </w:tc>
        <w:tc>
          <w:tcPr>
            <w:tcW w:w="989"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&lt;0.001</w:t>
            </w:r>
          </w:p>
        </w:tc>
        <w:tc>
          <w:tcPr>
            <w:tcW w:w="1724" w:type="dxa"/>
            <w:tcBorders>
              <w:top w:val="nil"/>
              <w:left w:val="nil"/>
              <w:bottom w:val="nil"/>
              <w:right w:val="nil"/>
            </w:tcBorders>
          </w:tcPr>
          <w:p w:rsidR="0019207F" w:rsidRPr="00EF6887" w:rsidRDefault="0019207F" w:rsidP="00836AFF">
            <w:pPr>
              <w:jc w:val="center"/>
              <w:rPr>
                <w:rFonts w:ascii="Arial" w:hAnsi="Arial" w:cs="Arial"/>
                <w:sz w:val="20"/>
                <w:szCs w:val="20"/>
                <w:lang w:val="en-US"/>
              </w:rPr>
            </w:pP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tcBorders>
              <w:left w:val="nil"/>
              <w:bottom w:val="single" w:sz="4" w:space="0" w:color="auto"/>
              <w:right w:val="nil"/>
            </w:tcBorders>
            <w:noWrap/>
            <w:hideMark/>
          </w:tcPr>
          <w:p w:rsidR="0019207F" w:rsidRPr="00EF6887" w:rsidRDefault="0019207F" w:rsidP="00836AFF">
            <w:pPr>
              <w:rPr>
                <w:rFonts w:ascii="Arial" w:hAnsi="Arial" w:cs="Arial"/>
                <w:sz w:val="20"/>
                <w:szCs w:val="20"/>
                <w:lang w:val="en-US"/>
              </w:rPr>
            </w:pPr>
          </w:p>
        </w:tc>
        <w:tc>
          <w:tcPr>
            <w:tcW w:w="990"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3</w:t>
            </w:r>
          </w:p>
        </w:tc>
        <w:tc>
          <w:tcPr>
            <w:tcW w:w="1695"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1.12 (1.05; 1.19)</w:t>
            </w:r>
          </w:p>
        </w:tc>
        <w:tc>
          <w:tcPr>
            <w:tcW w:w="989"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0.001</w:t>
            </w:r>
          </w:p>
        </w:tc>
        <w:tc>
          <w:tcPr>
            <w:tcW w:w="1724" w:type="dxa"/>
            <w:tcBorders>
              <w:top w:val="nil"/>
              <w:left w:val="nil"/>
              <w:bottom w:val="single" w:sz="4" w:space="0" w:color="auto"/>
              <w:right w:val="nil"/>
            </w:tcBorders>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53.50</w:t>
            </w: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val="restart"/>
            <w:tcBorders>
              <w:top w:val="single" w:sz="4" w:space="0" w:color="auto"/>
              <w:left w:val="nil"/>
              <w:right w:val="nil"/>
            </w:tcBorders>
            <w:noWrap/>
            <w:vAlign w:val="center"/>
            <w:hideMark/>
          </w:tcPr>
          <w:p w:rsidR="0019207F" w:rsidRPr="00EF6887" w:rsidRDefault="0019207F" w:rsidP="0019207F">
            <w:pPr>
              <w:rPr>
                <w:rFonts w:ascii="Arial" w:hAnsi="Arial" w:cs="Arial"/>
                <w:b/>
                <w:bCs/>
                <w:sz w:val="20"/>
                <w:szCs w:val="20"/>
                <w:lang w:val="en-US"/>
              </w:rPr>
            </w:pPr>
            <w:r w:rsidRPr="00EF6887">
              <w:rPr>
                <w:rFonts w:ascii="Arial" w:hAnsi="Arial" w:cs="Arial"/>
                <w:b/>
                <w:bCs/>
                <w:sz w:val="20"/>
                <w:szCs w:val="20"/>
                <w:lang w:val="en-US"/>
              </w:rPr>
              <w:t>TSAT</w:t>
            </w:r>
            <w:r w:rsidR="00F94E42">
              <w:rPr>
                <w:rFonts w:ascii="Arial" w:hAnsi="Arial" w:cs="Arial"/>
                <w:b/>
                <w:bCs/>
                <w:sz w:val="20"/>
                <w:szCs w:val="20"/>
                <w:lang w:val="en-US"/>
              </w:rPr>
              <w:t>≥</w:t>
            </w:r>
            <w:r w:rsidRPr="00EF6887">
              <w:rPr>
                <w:rFonts w:ascii="Arial" w:hAnsi="Arial" w:cs="Arial"/>
                <w:b/>
                <w:bCs/>
                <w:sz w:val="20"/>
                <w:szCs w:val="20"/>
                <w:lang w:val="en-US"/>
              </w:rPr>
              <w:t>45%</w:t>
            </w:r>
          </w:p>
          <w:p w:rsidR="0019207F" w:rsidRPr="00EF6887" w:rsidRDefault="0019207F" w:rsidP="0019207F">
            <w:pPr>
              <w:rPr>
                <w:rFonts w:ascii="Arial" w:hAnsi="Arial" w:cs="Arial"/>
                <w:b/>
                <w:bCs/>
                <w:sz w:val="20"/>
                <w:szCs w:val="20"/>
                <w:lang w:val="en-US"/>
              </w:rPr>
            </w:pPr>
          </w:p>
        </w:tc>
        <w:tc>
          <w:tcPr>
            <w:tcW w:w="990" w:type="dxa"/>
            <w:tcBorders>
              <w:top w:val="single" w:sz="4" w:space="0" w:color="auto"/>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w:t>
            </w:r>
          </w:p>
        </w:tc>
        <w:tc>
          <w:tcPr>
            <w:tcW w:w="1695" w:type="dxa"/>
            <w:tcBorders>
              <w:top w:val="single" w:sz="4" w:space="0" w:color="auto"/>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0.54 (0.44; 0.67)</w:t>
            </w:r>
          </w:p>
        </w:tc>
        <w:tc>
          <w:tcPr>
            <w:tcW w:w="989" w:type="dxa"/>
            <w:tcBorders>
              <w:top w:val="single" w:sz="4" w:space="0" w:color="auto"/>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&lt;0.001</w:t>
            </w:r>
          </w:p>
        </w:tc>
        <w:tc>
          <w:tcPr>
            <w:tcW w:w="1724" w:type="dxa"/>
            <w:tcBorders>
              <w:top w:val="single" w:sz="4" w:space="0" w:color="auto"/>
              <w:left w:val="nil"/>
              <w:bottom w:val="nil"/>
              <w:right w:val="nil"/>
            </w:tcBorders>
          </w:tcPr>
          <w:p w:rsidR="0019207F" w:rsidRPr="00EF6887" w:rsidRDefault="0019207F" w:rsidP="00836AFF">
            <w:pPr>
              <w:jc w:val="center"/>
              <w:rPr>
                <w:rFonts w:ascii="Arial" w:hAnsi="Arial" w:cs="Arial"/>
                <w:sz w:val="20"/>
                <w:szCs w:val="20"/>
                <w:lang w:val="en-US"/>
              </w:rPr>
            </w:pP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tcBorders>
              <w:left w:val="nil"/>
              <w:right w:val="nil"/>
            </w:tcBorders>
            <w:noWrap/>
            <w:hideMark/>
          </w:tcPr>
          <w:p w:rsidR="0019207F" w:rsidRPr="00EF6887" w:rsidRDefault="0019207F" w:rsidP="00836AFF">
            <w:pPr>
              <w:rPr>
                <w:rFonts w:ascii="Arial" w:hAnsi="Arial" w:cs="Arial"/>
                <w:sz w:val="20"/>
                <w:szCs w:val="20"/>
                <w:lang w:val="en-US"/>
              </w:rPr>
            </w:pPr>
          </w:p>
        </w:tc>
        <w:tc>
          <w:tcPr>
            <w:tcW w:w="990"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2</w:t>
            </w:r>
          </w:p>
        </w:tc>
        <w:tc>
          <w:tcPr>
            <w:tcW w:w="1695"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0.73 (0.59; 0.91)</w:t>
            </w:r>
          </w:p>
        </w:tc>
        <w:tc>
          <w:tcPr>
            <w:tcW w:w="989"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0.004</w:t>
            </w:r>
          </w:p>
        </w:tc>
        <w:tc>
          <w:tcPr>
            <w:tcW w:w="1724" w:type="dxa"/>
            <w:tcBorders>
              <w:top w:val="nil"/>
              <w:left w:val="nil"/>
              <w:bottom w:val="nil"/>
              <w:right w:val="nil"/>
            </w:tcBorders>
          </w:tcPr>
          <w:p w:rsidR="0019207F" w:rsidRPr="00EF6887" w:rsidRDefault="0019207F" w:rsidP="00836AFF">
            <w:pPr>
              <w:jc w:val="center"/>
              <w:rPr>
                <w:rFonts w:ascii="Arial" w:hAnsi="Arial" w:cs="Arial"/>
                <w:sz w:val="20"/>
                <w:szCs w:val="20"/>
                <w:lang w:val="en-US"/>
              </w:rPr>
            </w:pP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tcBorders>
              <w:left w:val="nil"/>
              <w:bottom w:val="single" w:sz="4" w:space="0" w:color="auto"/>
              <w:right w:val="nil"/>
            </w:tcBorders>
            <w:noWrap/>
            <w:hideMark/>
          </w:tcPr>
          <w:p w:rsidR="0019207F" w:rsidRPr="00EF6887" w:rsidRDefault="0019207F" w:rsidP="00836AFF">
            <w:pPr>
              <w:rPr>
                <w:rFonts w:ascii="Arial" w:hAnsi="Arial" w:cs="Arial"/>
                <w:sz w:val="20"/>
                <w:szCs w:val="20"/>
                <w:lang w:val="en-US"/>
              </w:rPr>
            </w:pPr>
          </w:p>
        </w:tc>
        <w:tc>
          <w:tcPr>
            <w:tcW w:w="990"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3</w:t>
            </w:r>
          </w:p>
        </w:tc>
        <w:tc>
          <w:tcPr>
            <w:tcW w:w="1695"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0.68 (0.54; 0.86)</w:t>
            </w:r>
          </w:p>
        </w:tc>
        <w:tc>
          <w:tcPr>
            <w:tcW w:w="989"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0.002</w:t>
            </w:r>
          </w:p>
        </w:tc>
        <w:tc>
          <w:tcPr>
            <w:tcW w:w="1724" w:type="dxa"/>
            <w:tcBorders>
              <w:top w:val="nil"/>
              <w:left w:val="nil"/>
              <w:bottom w:val="single" w:sz="4" w:space="0" w:color="auto"/>
              <w:right w:val="nil"/>
            </w:tcBorders>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0.0</w:t>
            </w: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val="restart"/>
            <w:tcBorders>
              <w:top w:val="single" w:sz="4" w:space="0" w:color="auto"/>
              <w:left w:val="nil"/>
              <w:right w:val="nil"/>
            </w:tcBorders>
            <w:noWrap/>
            <w:vAlign w:val="center"/>
            <w:hideMark/>
          </w:tcPr>
          <w:p w:rsidR="0019207F" w:rsidRPr="00EF6887" w:rsidRDefault="0019207F" w:rsidP="0019207F">
            <w:pPr>
              <w:rPr>
                <w:rFonts w:ascii="Arial" w:hAnsi="Arial" w:cs="Arial"/>
                <w:b/>
                <w:bCs/>
                <w:sz w:val="20"/>
                <w:szCs w:val="20"/>
                <w:lang w:val="en-US"/>
              </w:rPr>
            </w:pPr>
            <w:r w:rsidRPr="00EF6887">
              <w:rPr>
                <w:rFonts w:ascii="Arial" w:hAnsi="Arial" w:cs="Arial"/>
                <w:b/>
                <w:bCs/>
                <w:sz w:val="20"/>
                <w:szCs w:val="20"/>
                <w:lang w:val="en-US"/>
              </w:rPr>
              <w:t xml:space="preserve">Serum Iron (per 5 </w:t>
            </w:r>
            <w:proofErr w:type="spellStart"/>
            <w:r w:rsidRPr="00EF6887">
              <w:rPr>
                <w:rFonts w:ascii="Arial" w:hAnsi="Arial" w:cs="Arial"/>
                <w:b/>
                <w:bCs/>
                <w:sz w:val="20"/>
                <w:szCs w:val="20"/>
                <w:lang w:val="en-US"/>
              </w:rPr>
              <w:t>μmol</w:t>
            </w:r>
            <w:proofErr w:type="spellEnd"/>
            <w:r w:rsidRPr="00EF6887">
              <w:rPr>
                <w:rFonts w:ascii="Arial" w:hAnsi="Arial" w:cs="Arial"/>
                <w:b/>
                <w:bCs/>
                <w:sz w:val="20"/>
                <w:szCs w:val="20"/>
                <w:lang w:val="en-US"/>
              </w:rPr>
              <w:t>/L)</w:t>
            </w:r>
          </w:p>
          <w:p w:rsidR="0019207F" w:rsidRPr="00EF6887" w:rsidRDefault="0019207F" w:rsidP="0019207F">
            <w:pPr>
              <w:rPr>
                <w:rFonts w:ascii="Arial" w:hAnsi="Arial" w:cs="Arial"/>
                <w:b/>
                <w:bCs/>
                <w:sz w:val="20"/>
                <w:szCs w:val="20"/>
                <w:lang w:val="en-US"/>
              </w:rPr>
            </w:pPr>
          </w:p>
        </w:tc>
        <w:tc>
          <w:tcPr>
            <w:tcW w:w="990" w:type="dxa"/>
            <w:tcBorders>
              <w:top w:val="single" w:sz="4" w:space="0" w:color="auto"/>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w:t>
            </w:r>
          </w:p>
        </w:tc>
        <w:tc>
          <w:tcPr>
            <w:tcW w:w="1695" w:type="dxa"/>
            <w:tcBorders>
              <w:top w:val="single" w:sz="4" w:space="0" w:color="auto"/>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0.92 (0.89; 0.95)</w:t>
            </w:r>
          </w:p>
        </w:tc>
        <w:tc>
          <w:tcPr>
            <w:tcW w:w="989" w:type="dxa"/>
            <w:tcBorders>
              <w:top w:val="single" w:sz="4" w:space="0" w:color="auto"/>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&lt;0.001</w:t>
            </w:r>
          </w:p>
        </w:tc>
        <w:tc>
          <w:tcPr>
            <w:tcW w:w="1724" w:type="dxa"/>
            <w:tcBorders>
              <w:top w:val="single" w:sz="4" w:space="0" w:color="auto"/>
              <w:left w:val="nil"/>
              <w:bottom w:val="nil"/>
              <w:right w:val="nil"/>
            </w:tcBorders>
          </w:tcPr>
          <w:p w:rsidR="0019207F" w:rsidRPr="00EF6887" w:rsidRDefault="0019207F" w:rsidP="00836AFF">
            <w:pPr>
              <w:jc w:val="center"/>
              <w:rPr>
                <w:rFonts w:ascii="Arial" w:hAnsi="Arial" w:cs="Arial"/>
                <w:sz w:val="20"/>
                <w:szCs w:val="20"/>
                <w:lang w:val="en-US"/>
              </w:rPr>
            </w:pP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tcBorders>
              <w:left w:val="nil"/>
              <w:right w:val="nil"/>
            </w:tcBorders>
            <w:noWrap/>
            <w:hideMark/>
          </w:tcPr>
          <w:p w:rsidR="0019207F" w:rsidRPr="00EF6887" w:rsidRDefault="0019207F" w:rsidP="00836AFF">
            <w:pPr>
              <w:rPr>
                <w:rFonts w:ascii="Arial" w:hAnsi="Arial" w:cs="Arial"/>
                <w:sz w:val="20"/>
                <w:szCs w:val="20"/>
                <w:lang w:val="en-US"/>
              </w:rPr>
            </w:pPr>
          </w:p>
        </w:tc>
        <w:tc>
          <w:tcPr>
            <w:tcW w:w="990"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2</w:t>
            </w:r>
          </w:p>
        </w:tc>
        <w:tc>
          <w:tcPr>
            <w:tcW w:w="1695"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1.02 (0.97; 1.07)</w:t>
            </w:r>
          </w:p>
        </w:tc>
        <w:tc>
          <w:tcPr>
            <w:tcW w:w="989"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0.403</w:t>
            </w:r>
          </w:p>
        </w:tc>
        <w:tc>
          <w:tcPr>
            <w:tcW w:w="1724" w:type="dxa"/>
            <w:tcBorders>
              <w:top w:val="nil"/>
              <w:left w:val="nil"/>
              <w:bottom w:val="nil"/>
              <w:right w:val="nil"/>
            </w:tcBorders>
          </w:tcPr>
          <w:p w:rsidR="0019207F" w:rsidRPr="00EF6887" w:rsidRDefault="0019207F" w:rsidP="00836AFF">
            <w:pPr>
              <w:jc w:val="center"/>
              <w:rPr>
                <w:rFonts w:ascii="Arial" w:hAnsi="Arial" w:cs="Arial"/>
                <w:sz w:val="20"/>
                <w:szCs w:val="20"/>
                <w:lang w:val="en-US"/>
              </w:rPr>
            </w:pP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tcBorders>
              <w:left w:val="nil"/>
              <w:bottom w:val="single" w:sz="4" w:space="0" w:color="auto"/>
              <w:right w:val="nil"/>
            </w:tcBorders>
            <w:noWrap/>
            <w:hideMark/>
          </w:tcPr>
          <w:p w:rsidR="0019207F" w:rsidRPr="00EF6887" w:rsidRDefault="0019207F" w:rsidP="00836AFF">
            <w:pPr>
              <w:rPr>
                <w:rFonts w:ascii="Arial" w:hAnsi="Arial" w:cs="Arial"/>
                <w:sz w:val="20"/>
                <w:szCs w:val="20"/>
                <w:lang w:val="en-US"/>
              </w:rPr>
            </w:pPr>
          </w:p>
        </w:tc>
        <w:tc>
          <w:tcPr>
            <w:tcW w:w="990"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3</w:t>
            </w:r>
          </w:p>
        </w:tc>
        <w:tc>
          <w:tcPr>
            <w:tcW w:w="1695"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1.00 (0.95; 1.05)</w:t>
            </w:r>
          </w:p>
        </w:tc>
        <w:tc>
          <w:tcPr>
            <w:tcW w:w="989"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0.869</w:t>
            </w:r>
          </w:p>
        </w:tc>
        <w:tc>
          <w:tcPr>
            <w:tcW w:w="1724" w:type="dxa"/>
            <w:tcBorders>
              <w:top w:val="nil"/>
              <w:left w:val="nil"/>
              <w:bottom w:val="single" w:sz="4" w:space="0" w:color="auto"/>
              <w:right w:val="nil"/>
            </w:tcBorders>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38.00</w:t>
            </w: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val="restart"/>
            <w:tcBorders>
              <w:top w:val="single" w:sz="4" w:space="0" w:color="auto"/>
              <w:left w:val="nil"/>
              <w:right w:val="nil"/>
            </w:tcBorders>
            <w:noWrap/>
            <w:vAlign w:val="center"/>
            <w:hideMark/>
          </w:tcPr>
          <w:p w:rsidR="0019207F" w:rsidRPr="00EF6887" w:rsidRDefault="0019207F" w:rsidP="0019207F">
            <w:pPr>
              <w:rPr>
                <w:rFonts w:ascii="Arial" w:hAnsi="Arial" w:cs="Arial"/>
                <w:b/>
                <w:bCs/>
                <w:sz w:val="20"/>
                <w:szCs w:val="20"/>
                <w:lang w:val="en-US"/>
              </w:rPr>
            </w:pPr>
            <w:r w:rsidRPr="00EF6887">
              <w:rPr>
                <w:rFonts w:ascii="Arial" w:hAnsi="Arial" w:cs="Arial"/>
                <w:b/>
                <w:bCs/>
                <w:sz w:val="20"/>
                <w:szCs w:val="20"/>
                <w:lang w:val="en-US"/>
              </w:rPr>
              <w:t>Transferrin (per 0.5 g/L)</w:t>
            </w:r>
          </w:p>
          <w:p w:rsidR="0019207F" w:rsidRPr="00EF6887" w:rsidRDefault="0019207F" w:rsidP="0019207F">
            <w:pPr>
              <w:rPr>
                <w:rFonts w:ascii="Arial" w:hAnsi="Arial" w:cs="Arial"/>
                <w:b/>
                <w:bCs/>
                <w:sz w:val="20"/>
                <w:szCs w:val="20"/>
                <w:lang w:val="en-US"/>
              </w:rPr>
            </w:pPr>
          </w:p>
        </w:tc>
        <w:tc>
          <w:tcPr>
            <w:tcW w:w="990" w:type="dxa"/>
            <w:tcBorders>
              <w:top w:val="single" w:sz="4" w:space="0" w:color="auto"/>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w:t>
            </w:r>
          </w:p>
        </w:tc>
        <w:tc>
          <w:tcPr>
            <w:tcW w:w="1695" w:type="dxa"/>
            <w:tcBorders>
              <w:top w:val="single" w:sz="4" w:space="0" w:color="auto"/>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1.3</w:t>
            </w:r>
            <w:r w:rsidR="00722EFF">
              <w:rPr>
                <w:rFonts w:ascii="Arial" w:hAnsi="Arial" w:cs="Arial"/>
                <w:sz w:val="20"/>
                <w:szCs w:val="20"/>
                <w:lang w:val="en-US"/>
              </w:rPr>
              <w:t>0</w:t>
            </w:r>
            <w:r w:rsidRPr="00EF6887">
              <w:rPr>
                <w:rFonts w:ascii="Arial" w:hAnsi="Arial" w:cs="Arial"/>
                <w:sz w:val="20"/>
                <w:szCs w:val="20"/>
                <w:lang w:val="en-US"/>
              </w:rPr>
              <w:t xml:space="preserve"> (1.21; 1.41)</w:t>
            </w:r>
          </w:p>
        </w:tc>
        <w:tc>
          <w:tcPr>
            <w:tcW w:w="989" w:type="dxa"/>
            <w:tcBorders>
              <w:top w:val="single" w:sz="4" w:space="0" w:color="auto"/>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&lt;0.001</w:t>
            </w:r>
          </w:p>
        </w:tc>
        <w:tc>
          <w:tcPr>
            <w:tcW w:w="1724" w:type="dxa"/>
            <w:tcBorders>
              <w:top w:val="single" w:sz="4" w:space="0" w:color="auto"/>
              <w:left w:val="nil"/>
              <w:bottom w:val="nil"/>
              <w:right w:val="nil"/>
            </w:tcBorders>
          </w:tcPr>
          <w:p w:rsidR="0019207F" w:rsidRPr="00EF6887" w:rsidRDefault="0019207F" w:rsidP="00836AFF">
            <w:pPr>
              <w:jc w:val="center"/>
              <w:rPr>
                <w:rFonts w:ascii="Arial" w:hAnsi="Arial" w:cs="Arial"/>
                <w:sz w:val="20"/>
                <w:szCs w:val="20"/>
                <w:lang w:val="en-US"/>
              </w:rPr>
            </w:pPr>
          </w:p>
        </w:tc>
      </w:tr>
      <w:tr w:rsidR="0019207F" w:rsidRPr="00EF6887" w:rsidTr="00DC75BA">
        <w:trPr>
          <w:gridAfter w:val="1"/>
          <w:wAfter w:w="425" w:type="dxa"/>
          <w:trHeight w:val="300"/>
        </w:trPr>
        <w:tc>
          <w:tcPr>
            <w:tcW w:w="957" w:type="dxa"/>
            <w:tcBorders>
              <w:top w:val="nil"/>
              <w:left w:val="nil"/>
              <w:bottom w:val="nil"/>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tcBorders>
              <w:left w:val="nil"/>
              <w:right w:val="nil"/>
            </w:tcBorders>
            <w:noWrap/>
            <w:hideMark/>
          </w:tcPr>
          <w:p w:rsidR="0019207F" w:rsidRPr="00EF6887" w:rsidRDefault="0019207F" w:rsidP="00836AFF">
            <w:pPr>
              <w:rPr>
                <w:rFonts w:ascii="Arial" w:hAnsi="Arial" w:cs="Arial"/>
                <w:sz w:val="20"/>
                <w:szCs w:val="20"/>
                <w:lang w:val="en-US"/>
              </w:rPr>
            </w:pPr>
          </w:p>
        </w:tc>
        <w:tc>
          <w:tcPr>
            <w:tcW w:w="990"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2</w:t>
            </w:r>
          </w:p>
        </w:tc>
        <w:tc>
          <w:tcPr>
            <w:tcW w:w="1695"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1.24 (1.15; 1.</w:t>
            </w:r>
            <w:r w:rsidR="00722EFF">
              <w:rPr>
                <w:rFonts w:ascii="Arial" w:hAnsi="Arial" w:cs="Arial"/>
                <w:sz w:val="20"/>
                <w:szCs w:val="20"/>
                <w:lang w:val="en-US"/>
              </w:rPr>
              <w:t>34</w:t>
            </w:r>
            <w:r w:rsidRPr="00EF6887">
              <w:rPr>
                <w:rFonts w:ascii="Arial" w:hAnsi="Arial" w:cs="Arial"/>
                <w:sz w:val="20"/>
                <w:szCs w:val="20"/>
                <w:lang w:val="en-US"/>
              </w:rPr>
              <w:t>)</w:t>
            </w:r>
          </w:p>
        </w:tc>
        <w:tc>
          <w:tcPr>
            <w:tcW w:w="989" w:type="dxa"/>
            <w:tcBorders>
              <w:top w:val="nil"/>
              <w:left w:val="nil"/>
              <w:bottom w:val="nil"/>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&lt;0.001</w:t>
            </w:r>
          </w:p>
        </w:tc>
        <w:tc>
          <w:tcPr>
            <w:tcW w:w="1724" w:type="dxa"/>
            <w:tcBorders>
              <w:top w:val="nil"/>
              <w:left w:val="nil"/>
              <w:bottom w:val="nil"/>
              <w:right w:val="nil"/>
            </w:tcBorders>
          </w:tcPr>
          <w:p w:rsidR="0019207F" w:rsidRPr="00EF6887" w:rsidRDefault="0019207F" w:rsidP="00836AFF">
            <w:pPr>
              <w:jc w:val="center"/>
              <w:rPr>
                <w:rFonts w:ascii="Arial" w:hAnsi="Arial" w:cs="Arial"/>
                <w:sz w:val="20"/>
                <w:szCs w:val="20"/>
                <w:lang w:val="en-US"/>
              </w:rPr>
            </w:pPr>
          </w:p>
        </w:tc>
      </w:tr>
      <w:tr w:rsidR="0019207F" w:rsidRPr="00EF6887" w:rsidTr="00DC75BA">
        <w:trPr>
          <w:gridAfter w:val="1"/>
          <w:wAfter w:w="425" w:type="dxa"/>
          <w:trHeight w:val="300"/>
        </w:trPr>
        <w:tc>
          <w:tcPr>
            <w:tcW w:w="957" w:type="dxa"/>
            <w:tcBorders>
              <w:top w:val="nil"/>
              <w:left w:val="nil"/>
              <w:bottom w:val="single" w:sz="4" w:space="0" w:color="auto"/>
              <w:right w:val="nil"/>
            </w:tcBorders>
            <w:noWrap/>
            <w:vAlign w:val="center"/>
            <w:hideMark/>
          </w:tcPr>
          <w:p w:rsidR="0019207F" w:rsidRPr="00EF6887" w:rsidRDefault="0019207F" w:rsidP="00836AFF">
            <w:pPr>
              <w:rPr>
                <w:rFonts w:ascii="Arial" w:hAnsi="Arial" w:cs="Arial"/>
                <w:sz w:val="20"/>
                <w:szCs w:val="20"/>
                <w:lang w:val="en-US"/>
              </w:rPr>
            </w:pPr>
          </w:p>
        </w:tc>
        <w:tc>
          <w:tcPr>
            <w:tcW w:w="2542" w:type="dxa"/>
            <w:vMerge/>
            <w:tcBorders>
              <w:left w:val="nil"/>
              <w:bottom w:val="single" w:sz="4" w:space="0" w:color="auto"/>
              <w:right w:val="nil"/>
            </w:tcBorders>
            <w:noWrap/>
            <w:hideMark/>
          </w:tcPr>
          <w:p w:rsidR="0019207F" w:rsidRPr="00EF6887" w:rsidRDefault="0019207F" w:rsidP="00836AFF">
            <w:pPr>
              <w:rPr>
                <w:rFonts w:ascii="Arial" w:hAnsi="Arial" w:cs="Arial"/>
                <w:sz w:val="20"/>
                <w:szCs w:val="20"/>
                <w:lang w:val="en-US"/>
              </w:rPr>
            </w:pPr>
          </w:p>
        </w:tc>
        <w:tc>
          <w:tcPr>
            <w:tcW w:w="990"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3</w:t>
            </w:r>
          </w:p>
        </w:tc>
        <w:tc>
          <w:tcPr>
            <w:tcW w:w="1695"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1.22 (1.12; 1.33)</w:t>
            </w:r>
          </w:p>
        </w:tc>
        <w:tc>
          <w:tcPr>
            <w:tcW w:w="989" w:type="dxa"/>
            <w:tcBorders>
              <w:top w:val="nil"/>
              <w:left w:val="nil"/>
              <w:bottom w:val="single" w:sz="4" w:space="0" w:color="auto"/>
              <w:right w:val="nil"/>
            </w:tcBorders>
            <w:noWrap/>
            <w:hideMark/>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&lt;0.001</w:t>
            </w:r>
          </w:p>
        </w:tc>
        <w:tc>
          <w:tcPr>
            <w:tcW w:w="1724" w:type="dxa"/>
            <w:tcBorders>
              <w:top w:val="nil"/>
              <w:left w:val="nil"/>
              <w:bottom w:val="single" w:sz="4" w:space="0" w:color="auto"/>
              <w:right w:val="nil"/>
            </w:tcBorders>
          </w:tcPr>
          <w:p w:rsidR="0019207F" w:rsidRPr="00EF6887" w:rsidRDefault="0019207F" w:rsidP="00836AFF">
            <w:pPr>
              <w:jc w:val="center"/>
              <w:rPr>
                <w:rFonts w:ascii="Arial" w:hAnsi="Arial" w:cs="Arial"/>
                <w:sz w:val="20"/>
                <w:szCs w:val="20"/>
                <w:lang w:val="en-US"/>
              </w:rPr>
            </w:pPr>
            <w:r w:rsidRPr="00EF6887">
              <w:rPr>
                <w:rFonts w:ascii="Arial" w:hAnsi="Arial" w:cs="Arial"/>
                <w:sz w:val="20"/>
                <w:szCs w:val="20"/>
                <w:lang w:val="en-US"/>
              </w:rPr>
              <w:t>55.30</w:t>
            </w:r>
          </w:p>
        </w:tc>
      </w:tr>
      <w:tr w:rsidR="00576566" w:rsidRPr="00EF6887" w:rsidTr="00DC75BA">
        <w:trPr>
          <w:gridAfter w:val="1"/>
          <w:wAfter w:w="425" w:type="dxa"/>
          <w:trHeight w:val="300"/>
        </w:trPr>
        <w:tc>
          <w:tcPr>
            <w:tcW w:w="3499" w:type="dxa"/>
            <w:gridSpan w:val="2"/>
            <w:tcBorders>
              <w:top w:val="single" w:sz="4" w:space="0" w:color="auto"/>
              <w:left w:val="nil"/>
              <w:bottom w:val="nil"/>
              <w:right w:val="nil"/>
            </w:tcBorders>
            <w:noWrap/>
            <w:vAlign w:val="center"/>
          </w:tcPr>
          <w:p w:rsidR="00576566" w:rsidRPr="00EF6887" w:rsidRDefault="00576566" w:rsidP="00836AFF">
            <w:pPr>
              <w:rPr>
                <w:rFonts w:ascii="Arial" w:hAnsi="Arial" w:cs="Arial"/>
                <w:sz w:val="20"/>
                <w:szCs w:val="20"/>
                <w:lang w:val="en-US"/>
              </w:rPr>
            </w:pPr>
            <w:r w:rsidRPr="00EF6887">
              <w:rPr>
                <w:rFonts w:ascii="Arial" w:hAnsi="Arial" w:cs="Arial"/>
                <w:b/>
                <w:sz w:val="20"/>
                <w:szCs w:val="20"/>
                <w:lang w:val="en-US"/>
              </w:rPr>
              <w:t>Men and Women</w:t>
            </w:r>
          </w:p>
        </w:tc>
        <w:tc>
          <w:tcPr>
            <w:tcW w:w="990" w:type="dxa"/>
            <w:tcBorders>
              <w:top w:val="single" w:sz="4" w:space="0" w:color="auto"/>
              <w:left w:val="nil"/>
              <w:bottom w:val="nil"/>
              <w:right w:val="nil"/>
            </w:tcBorders>
            <w:noWrap/>
          </w:tcPr>
          <w:p w:rsidR="00576566" w:rsidRPr="00EF6887" w:rsidRDefault="00576566" w:rsidP="00836AFF">
            <w:pPr>
              <w:jc w:val="center"/>
              <w:rPr>
                <w:rFonts w:ascii="Arial" w:hAnsi="Arial" w:cs="Arial"/>
                <w:sz w:val="20"/>
                <w:szCs w:val="20"/>
                <w:lang w:val="en-US"/>
              </w:rPr>
            </w:pPr>
          </w:p>
        </w:tc>
        <w:tc>
          <w:tcPr>
            <w:tcW w:w="1695" w:type="dxa"/>
            <w:tcBorders>
              <w:top w:val="single" w:sz="4" w:space="0" w:color="auto"/>
              <w:left w:val="nil"/>
              <w:bottom w:val="nil"/>
              <w:right w:val="nil"/>
            </w:tcBorders>
            <w:noWrap/>
          </w:tcPr>
          <w:p w:rsidR="00576566" w:rsidRPr="00EF6887" w:rsidRDefault="00576566" w:rsidP="00836AFF">
            <w:pPr>
              <w:jc w:val="center"/>
              <w:rPr>
                <w:rFonts w:ascii="Arial" w:hAnsi="Arial" w:cs="Arial"/>
                <w:sz w:val="20"/>
                <w:szCs w:val="20"/>
                <w:lang w:val="en-US"/>
              </w:rPr>
            </w:pPr>
          </w:p>
        </w:tc>
        <w:tc>
          <w:tcPr>
            <w:tcW w:w="989" w:type="dxa"/>
            <w:tcBorders>
              <w:top w:val="single" w:sz="4" w:space="0" w:color="auto"/>
              <w:left w:val="nil"/>
              <w:bottom w:val="nil"/>
              <w:right w:val="nil"/>
            </w:tcBorders>
            <w:noWrap/>
          </w:tcPr>
          <w:p w:rsidR="00576566" w:rsidRPr="00EF6887" w:rsidRDefault="00576566" w:rsidP="00836AFF">
            <w:pPr>
              <w:jc w:val="center"/>
              <w:rPr>
                <w:rFonts w:ascii="Arial" w:hAnsi="Arial" w:cs="Arial"/>
                <w:sz w:val="20"/>
                <w:szCs w:val="20"/>
                <w:lang w:val="en-US"/>
              </w:rPr>
            </w:pPr>
          </w:p>
        </w:tc>
        <w:tc>
          <w:tcPr>
            <w:tcW w:w="1724" w:type="dxa"/>
            <w:tcBorders>
              <w:top w:val="single" w:sz="4" w:space="0" w:color="auto"/>
              <w:left w:val="nil"/>
              <w:bottom w:val="nil"/>
              <w:right w:val="nil"/>
            </w:tcBorders>
          </w:tcPr>
          <w:p w:rsidR="00576566" w:rsidRPr="00EF6887" w:rsidRDefault="00576566" w:rsidP="00836AFF">
            <w:pPr>
              <w:jc w:val="center"/>
              <w:rPr>
                <w:rFonts w:ascii="Arial" w:hAnsi="Arial" w:cs="Arial"/>
                <w:sz w:val="20"/>
                <w:szCs w:val="20"/>
                <w:lang w:val="en-US"/>
              </w:rPr>
            </w:pPr>
          </w:p>
        </w:tc>
      </w:tr>
      <w:tr w:rsidR="00576566" w:rsidRPr="00EF6887" w:rsidTr="00DC75BA">
        <w:trPr>
          <w:gridAfter w:val="1"/>
          <w:wAfter w:w="425" w:type="dxa"/>
          <w:trHeight w:val="300"/>
        </w:trPr>
        <w:tc>
          <w:tcPr>
            <w:tcW w:w="957" w:type="dxa"/>
            <w:tcBorders>
              <w:top w:val="nil"/>
              <w:left w:val="nil"/>
              <w:bottom w:val="nil"/>
              <w:right w:val="nil"/>
            </w:tcBorders>
            <w:noWrap/>
            <w:vAlign w:val="center"/>
          </w:tcPr>
          <w:p w:rsidR="00576566" w:rsidRPr="00EF6887" w:rsidRDefault="00576566" w:rsidP="00836AFF">
            <w:pPr>
              <w:rPr>
                <w:rFonts w:ascii="Arial" w:hAnsi="Arial" w:cs="Arial"/>
                <w:sz w:val="20"/>
                <w:szCs w:val="20"/>
                <w:lang w:val="en-US"/>
              </w:rPr>
            </w:pPr>
          </w:p>
        </w:tc>
        <w:tc>
          <w:tcPr>
            <w:tcW w:w="2542" w:type="dxa"/>
            <w:vMerge w:val="restart"/>
            <w:tcBorders>
              <w:top w:val="nil"/>
              <w:left w:val="nil"/>
              <w:bottom w:val="nil"/>
              <w:right w:val="nil"/>
            </w:tcBorders>
            <w:noWrap/>
          </w:tcPr>
          <w:p w:rsidR="00576566" w:rsidRPr="00EF6887" w:rsidRDefault="00576566" w:rsidP="00836AFF">
            <w:pPr>
              <w:rPr>
                <w:rFonts w:ascii="Arial" w:hAnsi="Arial" w:cs="Arial"/>
                <w:b/>
                <w:sz w:val="20"/>
                <w:szCs w:val="20"/>
                <w:lang w:val="en-US"/>
              </w:rPr>
            </w:pPr>
            <w:r w:rsidRPr="00EF6887">
              <w:rPr>
                <w:rFonts w:ascii="Arial" w:hAnsi="Arial" w:cs="Arial"/>
                <w:b/>
                <w:sz w:val="20"/>
                <w:szCs w:val="20"/>
                <w:lang w:val="en-US"/>
              </w:rPr>
              <w:t>Ferritin (upper vs. lower quintile)</w:t>
            </w:r>
            <w:r w:rsidR="00DC7EF0">
              <w:rPr>
                <w:rFonts w:ascii="Arial" w:hAnsi="Arial" w:cs="Arial"/>
                <w:b/>
                <w:sz w:val="20"/>
                <w:szCs w:val="20"/>
                <w:lang w:val="en-US"/>
              </w:rPr>
              <w:t>†</w:t>
            </w:r>
          </w:p>
          <w:p w:rsidR="00576566" w:rsidRPr="00EF6887" w:rsidRDefault="00576566" w:rsidP="00836AFF">
            <w:pPr>
              <w:rPr>
                <w:rFonts w:ascii="Arial" w:hAnsi="Arial" w:cs="Arial"/>
                <w:b/>
                <w:sz w:val="20"/>
                <w:szCs w:val="20"/>
                <w:lang w:val="en-US"/>
              </w:rPr>
            </w:pPr>
          </w:p>
        </w:tc>
        <w:tc>
          <w:tcPr>
            <w:tcW w:w="990" w:type="dxa"/>
            <w:tcBorders>
              <w:top w:val="nil"/>
              <w:left w:val="nil"/>
              <w:bottom w:val="nil"/>
              <w:right w:val="nil"/>
            </w:tcBorders>
            <w:noWrap/>
          </w:tcPr>
          <w:p w:rsidR="00576566" w:rsidRPr="00EF6887" w:rsidRDefault="00576566" w:rsidP="00836AFF">
            <w:pPr>
              <w:jc w:val="center"/>
              <w:rPr>
                <w:rFonts w:ascii="Arial" w:hAnsi="Arial" w:cs="Arial"/>
                <w:sz w:val="20"/>
                <w:szCs w:val="20"/>
                <w:lang w:val="en-US"/>
              </w:rPr>
            </w:pPr>
            <w:r w:rsidRPr="00EF6887">
              <w:rPr>
                <w:rFonts w:ascii="Arial" w:hAnsi="Arial" w:cs="Arial"/>
                <w:sz w:val="20"/>
                <w:szCs w:val="20"/>
                <w:lang w:val="en-US"/>
              </w:rPr>
              <w:t>1*</w:t>
            </w:r>
          </w:p>
        </w:tc>
        <w:tc>
          <w:tcPr>
            <w:tcW w:w="1695" w:type="dxa"/>
            <w:tcBorders>
              <w:top w:val="nil"/>
              <w:left w:val="nil"/>
              <w:bottom w:val="nil"/>
              <w:right w:val="nil"/>
            </w:tcBorders>
            <w:noWrap/>
          </w:tcPr>
          <w:p w:rsidR="00576566" w:rsidRPr="00EF6887" w:rsidRDefault="00576566" w:rsidP="00836AFF">
            <w:pPr>
              <w:jc w:val="center"/>
              <w:rPr>
                <w:rFonts w:ascii="Arial" w:hAnsi="Arial" w:cs="Arial"/>
                <w:color w:val="000000"/>
                <w:sz w:val="20"/>
                <w:szCs w:val="20"/>
                <w:lang w:val="en-US"/>
              </w:rPr>
            </w:pPr>
            <w:r w:rsidRPr="00EF6887">
              <w:rPr>
                <w:rFonts w:ascii="Arial" w:hAnsi="Arial" w:cs="Arial"/>
                <w:color w:val="000000"/>
                <w:sz w:val="20"/>
                <w:szCs w:val="20"/>
                <w:lang w:val="en-US"/>
              </w:rPr>
              <w:t>2.46 (2.05; 2.96)</w:t>
            </w:r>
          </w:p>
        </w:tc>
        <w:tc>
          <w:tcPr>
            <w:tcW w:w="989" w:type="dxa"/>
            <w:tcBorders>
              <w:top w:val="nil"/>
              <w:left w:val="nil"/>
              <w:bottom w:val="nil"/>
              <w:right w:val="nil"/>
            </w:tcBorders>
            <w:noWrap/>
          </w:tcPr>
          <w:p w:rsidR="00576566" w:rsidRPr="00EF6887" w:rsidRDefault="00576566" w:rsidP="00836AFF">
            <w:pPr>
              <w:jc w:val="center"/>
              <w:rPr>
                <w:rFonts w:ascii="Arial" w:hAnsi="Arial" w:cs="Arial"/>
                <w:sz w:val="20"/>
                <w:szCs w:val="20"/>
                <w:lang w:val="en-US"/>
              </w:rPr>
            </w:pPr>
            <w:r w:rsidRPr="00EF6887">
              <w:rPr>
                <w:rFonts w:ascii="Arial" w:hAnsi="Arial" w:cs="Arial"/>
                <w:sz w:val="20"/>
                <w:szCs w:val="20"/>
                <w:lang w:val="en-US"/>
              </w:rPr>
              <w:t>&lt;0.001</w:t>
            </w:r>
          </w:p>
        </w:tc>
        <w:tc>
          <w:tcPr>
            <w:tcW w:w="1724" w:type="dxa"/>
            <w:tcBorders>
              <w:top w:val="nil"/>
              <w:left w:val="nil"/>
              <w:bottom w:val="nil"/>
              <w:right w:val="nil"/>
            </w:tcBorders>
          </w:tcPr>
          <w:p w:rsidR="00576566" w:rsidRPr="00EF6887" w:rsidRDefault="00576566" w:rsidP="00836AFF">
            <w:pPr>
              <w:jc w:val="center"/>
              <w:rPr>
                <w:rFonts w:ascii="Arial" w:hAnsi="Arial" w:cs="Arial"/>
                <w:sz w:val="20"/>
                <w:szCs w:val="20"/>
                <w:lang w:val="en-US"/>
              </w:rPr>
            </w:pPr>
          </w:p>
        </w:tc>
      </w:tr>
      <w:tr w:rsidR="00576566" w:rsidRPr="00EF6887" w:rsidTr="00DC75BA">
        <w:trPr>
          <w:gridAfter w:val="1"/>
          <w:wAfter w:w="425" w:type="dxa"/>
          <w:trHeight w:val="300"/>
        </w:trPr>
        <w:tc>
          <w:tcPr>
            <w:tcW w:w="957" w:type="dxa"/>
            <w:tcBorders>
              <w:top w:val="nil"/>
              <w:left w:val="nil"/>
              <w:bottom w:val="nil"/>
              <w:right w:val="nil"/>
            </w:tcBorders>
            <w:noWrap/>
            <w:vAlign w:val="center"/>
          </w:tcPr>
          <w:p w:rsidR="00576566" w:rsidRPr="00EF6887" w:rsidRDefault="00576566" w:rsidP="00836AFF">
            <w:pPr>
              <w:rPr>
                <w:rFonts w:ascii="Arial" w:hAnsi="Arial" w:cs="Arial"/>
                <w:sz w:val="20"/>
                <w:szCs w:val="20"/>
                <w:lang w:val="en-US"/>
              </w:rPr>
            </w:pPr>
          </w:p>
        </w:tc>
        <w:tc>
          <w:tcPr>
            <w:tcW w:w="2542" w:type="dxa"/>
            <w:vMerge/>
            <w:tcBorders>
              <w:top w:val="nil"/>
              <w:left w:val="nil"/>
              <w:bottom w:val="nil"/>
              <w:right w:val="nil"/>
            </w:tcBorders>
            <w:noWrap/>
          </w:tcPr>
          <w:p w:rsidR="00576566" w:rsidRPr="00EF6887" w:rsidRDefault="00576566" w:rsidP="00836AFF">
            <w:pPr>
              <w:rPr>
                <w:rFonts w:ascii="Arial" w:hAnsi="Arial" w:cs="Arial"/>
                <w:sz w:val="20"/>
                <w:szCs w:val="20"/>
                <w:lang w:val="en-US"/>
              </w:rPr>
            </w:pPr>
          </w:p>
        </w:tc>
        <w:tc>
          <w:tcPr>
            <w:tcW w:w="990" w:type="dxa"/>
            <w:tcBorders>
              <w:top w:val="nil"/>
              <w:left w:val="nil"/>
              <w:bottom w:val="nil"/>
              <w:right w:val="nil"/>
            </w:tcBorders>
            <w:noWrap/>
          </w:tcPr>
          <w:p w:rsidR="00576566" w:rsidRPr="00EF6887" w:rsidRDefault="00576566" w:rsidP="00836AFF">
            <w:pPr>
              <w:jc w:val="center"/>
              <w:rPr>
                <w:rFonts w:ascii="Arial" w:hAnsi="Arial" w:cs="Arial"/>
                <w:sz w:val="20"/>
                <w:szCs w:val="20"/>
                <w:lang w:val="en-US"/>
              </w:rPr>
            </w:pPr>
            <w:r w:rsidRPr="00EF6887">
              <w:rPr>
                <w:rFonts w:ascii="Arial" w:hAnsi="Arial" w:cs="Arial"/>
                <w:sz w:val="20"/>
                <w:szCs w:val="20"/>
                <w:lang w:val="en-US"/>
              </w:rPr>
              <w:t>2*</w:t>
            </w:r>
          </w:p>
        </w:tc>
        <w:tc>
          <w:tcPr>
            <w:tcW w:w="1695" w:type="dxa"/>
            <w:tcBorders>
              <w:top w:val="nil"/>
              <w:left w:val="nil"/>
              <w:bottom w:val="nil"/>
              <w:right w:val="nil"/>
            </w:tcBorders>
            <w:noWrap/>
          </w:tcPr>
          <w:p w:rsidR="00576566" w:rsidRPr="00EF6887" w:rsidRDefault="00576566" w:rsidP="00836AFF">
            <w:pPr>
              <w:jc w:val="center"/>
              <w:rPr>
                <w:rFonts w:ascii="Arial" w:hAnsi="Arial" w:cs="Arial"/>
                <w:color w:val="000000"/>
                <w:sz w:val="20"/>
                <w:szCs w:val="20"/>
                <w:lang w:val="en-US"/>
              </w:rPr>
            </w:pPr>
            <w:r w:rsidRPr="00EF6887">
              <w:rPr>
                <w:rFonts w:ascii="Arial" w:hAnsi="Arial" w:cs="Arial"/>
                <w:color w:val="000000"/>
                <w:sz w:val="20"/>
                <w:szCs w:val="20"/>
                <w:lang w:val="en-US"/>
              </w:rPr>
              <w:t>1.77 (1.57; 2.00)</w:t>
            </w:r>
          </w:p>
        </w:tc>
        <w:tc>
          <w:tcPr>
            <w:tcW w:w="989" w:type="dxa"/>
            <w:tcBorders>
              <w:top w:val="nil"/>
              <w:left w:val="nil"/>
              <w:bottom w:val="nil"/>
              <w:right w:val="nil"/>
            </w:tcBorders>
            <w:noWrap/>
          </w:tcPr>
          <w:p w:rsidR="00576566" w:rsidRPr="00EF6887" w:rsidRDefault="00576566" w:rsidP="00836AFF">
            <w:pPr>
              <w:jc w:val="center"/>
              <w:rPr>
                <w:rFonts w:ascii="Arial" w:hAnsi="Arial" w:cs="Arial"/>
                <w:sz w:val="20"/>
                <w:szCs w:val="20"/>
                <w:lang w:val="en-US"/>
              </w:rPr>
            </w:pPr>
            <w:r w:rsidRPr="00EF6887">
              <w:rPr>
                <w:rFonts w:ascii="Arial" w:hAnsi="Arial" w:cs="Arial"/>
                <w:sz w:val="20"/>
                <w:szCs w:val="20"/>
                <w:lang w:val="en-US"/>
              </w:rPr>
              <w:t>&lt;0.001</w:t>
            </w:r>
          </w:p>
        </w:tc>
        <w:tc>
          <w:tcPr>
            <w:tcW w:w="1724" w:type="dxa"/>
            <w:tcBorders>
              <w:top w:val="nil"/>
              <w:left w:val="nil"/>
              <w:bottom w:val="nil"/>
              <w:right w:val="nil"/>
            </w:tcBorders>
          </w:tcPr>
          <w:p w:rsidR="00576566" w:rsidRPr="00EF6887" w:rsidRDefault="00576566" w:rsidP="00836AFF">
            <w:pPr>
              <w:jc w:val="center"/>
              <w:rPr>
                <w:rFonts w:ascii="Arial" w:hAnsi="Arial" w:cs="Arial"/>
                <w:sz w:val="20"/>
                <w:szCs w:val="20"/>
                <w:lang w:val="en-US"/>
              </w:rPr>
            </w:pPr>
          </w:p>
        </w:tc>
      </w:tr>
      <w:tr w:rsidR="00576566" w:rsidRPr="00EF6887" w:rsidTr="00DC75BA">
        <w:trPr>
          <w:gridAfter w:val="1"/>
          <w:wAfter w:w="425" w:type="dxa"/>
          <w:trHeight w:val="300"/>
        </w:trPr>
        <w:tc>
          <w:tcPr>
            <w:tcW w:w="957" w:type="dxa"/>
            <w:tcBorders>
              <w:top w:val="nil"/>
              <w:left w:val="nil"/>
              <w:bottom w:val="single" w:sz="4" w:space="0" w:color="auto"/>
              <w:right w:val="nil"/>
            </w:tcBorders>
            <w:noWrap/>
            <w:vAlign w:val="center"/>
          </w:tcPr>
          <w:p w:rsidR="00576566" w:rsidRPr="00EF6887" w:rsidRDefault="00576566" w:rsidP="00836AFF">
            <w:pPr>
              <w:rPr>
                <w:rFonts w:ascii="Arial" w:hAnsi="Arial" w:cs="Arial"/>
                <w:sz w:val="20"/>
                <w:szCs w:val="20"/>
                <w:lang w:val="en-US"/>
              </w:rPr>
            </w:pPr>
          </w:p>
        </w:tc>
        <w:tc>
          <w:tcPr>
            <w:tcW w:w="2542" w:type="dxa"/>
            <w:vMerge/>
            <w:tcBorders>
              <w:top w:val="nil"/>
              <w:left w:val="nil"/>
              <w:bottom w:val="single" w:sz="4" w:space="0" w:color="auto"/>
              <w:right w:val="nil"/>
            </w:tcBorders>
            <w:noWrap/>
          </w:tcPr>
          <w:p w:rsidR="00576566" w:rsidRPr="00EF6887" w:rsidRDefault="00576566" w:rsidP="00836AFF">
            <w:pPr>
              <w:rPr>
                <w:rFonts w:ascii="Arial" w:hAnsi="Arial" w:cs="Arial"/>
                <w:sz w:val="20"/>
                <w:szCs w:val="20"/>
                <w:lang w:val="en-US"/>
              </w:rPr>
            </w:pPr>
          </w:p>
        </w:tc>
        <w:tc>
          <w:tcPr>
            <w:tcW w:w="990" w:type="dxa"/>
            <w:tcBorders>
              <w:top w:val="nil"/>
              <w:left w:val="nil"/>
              <w:bottom w:val="single" w:sz="4" w:space="0" w:color="auto"/>
              <w:right w:val="nil"/>
            </w:tcBorders>
            <w:noWrap/>
          </w:tcPr>
          <w:p w:rsidR="00576566" w:rsidRPr="00EF6887" w:rsidRDefault="00576566" w:rsidP="00836AFF">
            <w:pPr>
              <w:jc w:val="center"/>
              <w:rPr>
                <w:rFonts w:ascii="Arial" w:hAnsi="Arial" w:cs="Arial"/>
                <w:sz w:val="20"/>
                <w:szCs w:val="20"/>
                <w:lang w:val="en-US"/>
              </w:rPr>
            </w:pPr>
            <w:r w:rsidRPr="00EF6887">
              <w:rPr>
                <w:rFonts w:ascii="Arial" w:hAnsi="Arial" w:cs="Arial"/>
                <w:sz w:val="20"/>
                <w:szCs w:val="20"/>
                <w:lang w:val="en-US"/>
              </w:rPr>
              <w:t>3*</w:t>
            </w:r>
          </w:p>
        </w:tc>
        <w:tc>
          <w:tcPr>
            <w:tcW w:w="1695" w:type="dxa"/>
            <w:tcBorders>
              <w:top w:val="nil"/>
              <w:left w:val="nil"/>
              <w:bottom w:val="single" w:sz="4" w:space="0" w:color="auto"/>
              <w:right w:val="nil"/>
            </w:tcBorders>
            <w:noWrap/>
          </w:tcPr>
          <w:p w:rsidR="00576566" w:rsidRPr="00EF6887" w:rsidRDefault="00576566" w:rsidP="00836AFF">
            <w:pPr>
              <w:jc w:val="center"/>
              <w:rPr>
                <w:rFonts w:ascii="Arial" w:hAnsi="Arial" w:cs="Arial"/>
                <w:color w:val="000000"/>
                <w:sz w:val="20"/>
                <w:szCs w:val="20"/>
                <w:lang w:val="en-US"/>
              </w:rPr>
            </w:pPr>
            <w:r w:rsidRPr="00EF6887">
              <w:rPr>
                <w:rFonts w:ascii="Arial" w:hAnsi="Arial" w:cs="Arial"/>
                <w:color w:val="000000"/>
                <w:sz w:val="20"/>
                <w:szCs w:val="20"/>
                <w:lang w:val="en-US"/>
              </w:rPr>
              <w:t>1.36 (1.20; 1.54)</w:t>
            </w:r>
          </w:p>
        </w:tc>
        <w:tc>
          <w:tcPr>
            <w:tcW w:w="989" w:type="dxa"/>
            <w:tcBorders>
              <w:top w:val="nil"/>
              <w:left w:val="nil"/>
              <w:bottom w:val="single" w:sz="4" w:space="0" w:color="auto"/>
              <w:right w:val="nil"/>
            </w:tcBorders>
            <w:noWrap/>
          </w:tcPr>
          <w:p w:rsidR="00576566" w:rsidRPr="00EF6887" w:rsidRDefault="00576566" w:rsidP="00836AFF">
            <w:pPr>
              <w:jc w:val="center"/>
              <w:rPr>
                <w:rFonts w:ascii="Arial" w:hAnsi="Arial" w:cs="Arial"/>
                <w:sz w:val="20"/>
                <w:szCs w:val="20"/>
                <w:lang w:val="en-US"/>
              </w:rPr>
            </w:pPr>
            <w:r w:rsidRPr="00EF6887">
              <w:rPr>
                <w:rFonts w:ascii="Arial" w:hAnsi="Arial" w:cs="Arial"/>
                <w:sz w:val="20"/>
                <w:szCs w:val="20"/>
                <w:lang w:val="en-US"/>
              </w:rPr>
              <w:t>&lt;0.001</w:t>
            </w:r>
          </w:p>
        </w:tc>
        <w:tc>
          <w:tcPr>
            <w:tcW w:w="1724" w:type="dxa"/>
            <w:tcBorders>
              <w:top w:val="nil"/>
              <w:left w:val="nil"/>
              <w:bottom w:val="single" w:sz="4" w:space="0" w:color="auto"/>
              <w:right w:val="nil"/>
            </w:tcBorders>
          </w:tcPr>
          <w:p w:rsidR="00576566" w:rsidRPr="00EF6887" w:rsidRDefault="00576566" w:rsidP="00836AFF">
            <w:pPr>
              <w:jc w:val="center"/>
              <w:rPr>
                <w:rFonts w:ascii="Arial" w:hAnsi="Arial" w:cs="Arial"/>
                <w:sz w:val="20"/>
                <w:szCs w:val="20"/>
                <w:lang w:val="en-US"/>
              </w:rPr>
            </w:pPr>
            <w:r w:rsidRPr="00EF6887">
              <w:rPr>
                <w:rFonts w:ascii="Arial" w:hAnsi="Arial" w:cs="Arial"/>
                <w:sz w:val="20"/>
                <w:szCs w:val="20"/>
                <w:lang w:val="en-US"/>
              </w:rPr>
              <w:t>5.3</w:t>
            </w:r>
          </w:p>
        </w:tc>
      </w:tr>
    </w:tbl>
    <w:p w:rsidR="0034115E" w:rsidRPr="000874BA" w:rsidRDefault="0034115E" w:rsidP="000874BA">
      <w:pPr>
        <w:spacing w:after="0" w:line="240" w:lineRule="auto"/>
        <w:jc w:val="both"/>
        <w:rPr>
          <w:rFonts w:ascii="Arial" w:hAnsi="Arial" w:cs="Arial"/>
          <w:sz w:val="20"/>
          <w:szCs w:val="20"/>
          <w:lang w:val="en-US"/>
        </w:rPr>
      </w:pPr>
      <w:r w:rsidRPr="000874BA">
        <w:rPr>
          <w:rFonts w:ascii="Arial" w:hAnsi="Arial" w:cs="Arial"/>
          <w:sz w:val="20"/>
          <w:szCs w:val="20"/>
          <w:lang w:val="en-US"/>
        </w:rPr>
        <w:t xml:space="preserve">Model 1: age and </w:t>
      </w:r>
      <w:r w:rsidR="00B72174" w:rsidRPr="000874BA">
        <w:rPr>
          <w:rFonts w:ascii="Arial" w:hAnsi="Arial" w:cs="Arial"/>
          <w:sz w:val="20"/>
          <w:szCs w:val="20"/>
          <w:lang w:val="en-US"/>
        </w:rPr>
        <w:t>center</w:t>
      </w:r>
      <w:r w:rsidRPr="000874BA">
        <w:rPr>
          <w:rFonts w:ascii="Arial" w:hAnsi="Arial" w:cs="Arial"/>
          <w:sz w:val="20"/>
          <w:szCs w:val="20"/>
          <w:lang w:val="en-US"/>
        </w:rPr>
        <w:t xml:space="preserve"> adjusted</w:t>
      </w:r>
    </w:p>
    <w:p w:rsidR="0034115E" w:rsidRPr="000874BA" w:rsidRDefault="0034115E" w:rsidP="000874BA">
      <w:pPr>
        <w:spacing w:after="0" w:line="240" w:lineRule="auto"/>
        <w:jc w:val="both"/>
        <w:rPr>
          <w:rFonts w:ascii="Arial" w:hAnsi="Arial" w:cs="Arial"/>
          <w:sz w:val="20"/>
          <w:szCs w:val="20"/>
          <w:lang w:val="en-US"/>
        </w:rPr>
      </w:pPr>
      <w:r w:rsidRPr="000874BA">
        <w:rPr>
          <w:rFonts w:ascii="Arial" w:hAnsi="Arial" w:cs="Arial"/>
          <w:sz w:val="20"/>
          <w:szCs w:val="20"/>
          <w:lang w:val="en-US"/>
        </w:rPr>
        <w:t>Model 2: further adjustment for BMI, physical activity, smoking status and level of education</w:t>
      </w:r>
    </w:p>
    <w:p w:rsidR="00542BE5" w:rsidRPr="000874BA" w:rsidRDefault="0034115E" w:rsidP="000874BA">
      <w:pPr>
        <w:spacing w:after="0" w:line="240" w:lineRule="auto"/>
        <w:jc w:val="both"/>
        <w:rPr>
          <w:rFonts w:ascii="Arial" w:hAnsi="Arial" w:cs="Arial"/>
          <w:sz w:val="20"/>
          <w:szCs w:val="20"/>
          <w:lang w:val="en-US"/>
        </w:rPr>
      </w:pPr>
      <w:r w:rsidRPr="000874BA">
        <w:rPr>
          <w:rFonts w:ascii="Arial" w:hAnsi="Arial" w:cs="Arial"/>
          <w:sz w:val="20"/>
          <w:szCs w:val="20"/>
          <w:lang w:val="en-US"/>
        </w:rPr>
        <w:t xml:space="preserve">Model 3: further adjustment for </w:t>
      </w:r>
      <w:proofErr w:type="spellStart"/>
      <w:r w:rsidRPr="000874BA">
        <w:rPr>
          <w:rFonts w:ascii="Arial" w:hAnsi="Arial" w:cs="Arial"/>
          <w:sz w:val="20"/>
          <w:szCs w:val="20"/>
          <w:lang w:val="en-US"/>
        </w:rPr>
        <w:t>hsCRP</w:t>
      </w:r>
      <w:proofErr w:type="spellEnd"/>
      <w:r w:rsidRPr="000874BA">
        <w:rPr>
          <w:rFonts w:ascii="Arial" w:hAnsi="Arial" w:cs="Arial"/>
          <w:sz w:val="20"/>
          <w:szCs w:val="20"/>
          <w:lang w:val="en-US"/>
        </w:rPr>
        <w:t>, ALT and GGT</w:t>
      </w:r>
    </w:p>
    <w:p w:rsidR="007632BD" w:rsidRPr="000874BA" w:rsidRDefault="004563FF" w:rsidP="000874BA">
      <w:pPr>
        <w:spacing w:line="240" w:lineRule="auto"/>
        <w:rPr>
          <w:rFonts w:ascii="Arial" w:hAnsi="Arial" w:cs="Arial"/>
          <w:sz w:val="20"/>
          <w:szCs w:val="20"/>
          <w:lang w:val="en-US"/>
        </w:rPr>
      </w:pPr>
      <w:r w:rsidRPr="000874BA">
        <w:rPr>
          <w:rFonts w:ascii="Arial" w:hAnsi="Arial" w:cs="Arial"/>
          <w:sz w:val="20"/>
          <w:szCs w:val="20"/>
          <w:lang w:val="en-US"/>
        </w:rPr>
        <w:t>*additional adjustment for sex</w:t>
      </w:r>
    </w:p>
    <w:p w:rsidR="00BE265A" w:rsidRPr="000874BA" w:rsidRDefault="00DC7EF0" w:rsidP="000874BA">
      <w:pPr>
        <w:spacing w:after="0" w:line="240" w:lineRule="auto"/>
        <w:rPr>
          <w:rFonts w:ascii="Arial" w:hAnsi="Arial" w:cs="Arial"/>
          <w:sz w:val="20"/>
          <w:szCs w:val="20"/>
          <w:lang w:val="en-US"/>
        </w:rPr>
      </w:pPr>
      <w:r>
        <w:rPr>
          <w:rFonts w:ascii="Arial" w:hAnsi="Arial" w:cs="Arial"/>
          <w:sz w:val="20"/>
          <w:szCs w:val="20"/>
          <w:lang w:val="en-US"/>
        </w:rPr>
        <w:t>†</w:t>
      </w:r>
      <w:r w:rsidR="00BE265A" w:rsidRPr="000874BA">
        <w:rPr>
          <w:rFonts w:ascii="Arial" w:hAnsi="Arial" w:cs="Arial"/>
          <w:sz w:val="20"/>
          <w:szCs w:val="20"/>
          <w:lang w:val="en-US"/>
        </w:rPr>
        <w:t>Ferritin quintile cut-points</w:t>
      </w:r>
      <w:r w:rsidR="000874BA">
        <w:rPr>
          <w:rFonts w:ascii="Arial" w:hAnsi="Arial" w:cs="Arial"/>
          <w:sz w:val="20"/>
          <w:szCs w:val="20"/>
          <w:lang w:val="en-US"/>
        </w:rPr>
        <w:t>:</w:t>
      </w:r>
    </w:p>
    <w:p w:rsidR="00BE265A" w:rsidRPr="000874BA" w:rsidRDefault="00BE265A" w:rsidP="000874BA">
      <w:pPr>
        <w:spacing w:after="0" w:line="240" w:lineRule="auto"/>
        <w:rPr>
          <w:rFonts w:ascii="Arial" w:hAnsi="Arial" w:cs="Arial"/>
          <w:sz w:val="20"/>
          <w:szCs w:val="20"/>
          <w:lang w:val="en-US"/>
        </w:rPr>
      </w:pPr>
      <w:r w:rsidRPr="000874BA">
        <w:rPr>
          <w:rFonts w:ascii="Arial" w:hAnsi="Arial" w:cs="Arial"/>
          <w:sz w:val="20"/>
          <w:szCs w:val="20"/>
          <w:lang w:val="en-US"/>
        </w:rPr>
        <w:t>Men (</w:t>
      </w:r>
      <w:proofErr w:type="spellStart"/>
      <w:r w:rsidR="005D4EF8" w:rsidRPr="000874BA">
        <w:rPr>
          <w:rFonts w:ascii="Arial" w:hAnsi="Arial" w:cs="Arial"/>
          <w:sz w:val="20"/>
          <w:szCs w:val="20"/>
          <w:lang w:val="en-US"/>
        </w:rPr>
        <w:t>μ</w:t>
      </w:r>
      <w:r w:rsidRPr="000874BA">
        <w:rPr>
          <w:rFonts w:ascii="Arial" w:hAnsi="Arial" w:cs="Arial"/>
          <w:sz w:val="20"/>
          <w:szCs w:val="20"/>
          <w:lang w:val="en-US"/>
        </w:rPr>
        <w:t>g</w:t>
      </w:r>
      <w:proofErr w:type="spellEnd"/>
      <w:r w:rsidR="0006765E">
        <w:rPr>
          <w:rFonts w:ascii="Arial" w:hAnsi="Arial" w:cs="Arial"/>
          <w:sz w:val="20"/>
          <w:szCs w:val="20"/>
          <w:lang w:val="en-US"/>
        </w:rPr>
        <w:t>/</w:t>
      </w:r>
      <w:r w:rsidRPr="000874BA">
        <w:rPr>
          <w:rFonts w:ascii="Arial" w:hAnsi="Arial" w:cs="Arial"/>
          <w:sz w:val="20"/>
          <w:szCs w:val="20"/>
          <w:lang w:val="en-US"/>
        </w:rPr>
        <w:t xml:space="preserve">L): </w:t>
      </w:r>
      <w:r w:rsidR="00722EFF">
        <w:rPr>
          <w:rFonts w:ascii="Arial" w:hAnsi="Arial" w:cs="Arial"/>
          <w:sz w:val="20"/>
          <w:szCs w:val="20"/>
          <w:lang w:val="en-US"/>
        </w:rPr>
        <w:t>≤</w:t>
      </w:r>
      <w:r w:rsidRPr="000874BA">
        <w:rPr>
          <w:rFonts w:ascii="Arial" w:hAnsi="Arial" w:cs="Arial"/>
          <w:sz w:val="20"/>
          <w:szCs w:val="20"/>
          <w:lang w:val="en-US"/>
        </w:rPr>
        <w:t>68, &gt;68-117, &gt;117-177, &gt;177-270, &gt;270</w:t>
      </w:r>
    </w:p>
    <w:p w:rsidR="00AD73A4" w:rsidRPr="00F11E3C" w:rsidRDefault="00BE265A" w:rsidP="000874BA">
      <w:pPr>
        <w:spacing w:after="0" w:line="240" w:lineRule="auto"/>
        <w:rPr>
          <w:rFonts w:ascii="Arial" w:hAnsi="Arial" w:cs="Arial"/>
          <w:sz w:val="20"/>
          <w:szCs w:val="20"/>
          <w:lang w:val="en-US"/>
        </w:rPr>
      </w:pPr>
      <w:r w:rsidRPr="000874BA">
        <w:rPr>
          <w:rFonts w:ascii="Arial" w:hAnsi="Arial" w:cs="Arial"/>
          <w:sz w:val="20"/>
          <w:szCs w:val="20"/>
          <w:lang w:val="en-US"/>
        </w:rPr>
        <w:t>Women (</w:t>
      </w:r>
      <w:proofErr w:type="spellStart"/>
      <w:r w:rsidR="005D4EF8" w:rsidRPr="000874BA">
        <w:rPr>
          <w:rFonts w:ascii="Arial" w:hAnsi="Arial" w:cs="Arial"/>
          <w:sz w:val="20"/>
          <w:szCs w:val="20"/>
          <w:lang w:val="en-US"/>
        </w:rPr>
        <w:t>μ</w:t>
      </w:r>
      <w:r w:rsidRPr="00F11E3C">
        <w:rPr>
          <w:rFonts w:ascii="Arial" w:hAnsi="Arial" w:cs="Arial"/>
          <w:sz w:val="20"/>
          <w:szCs w:val="20"/>
          <w:lang w:val="en-US"/>
        </w:rPr>
        <w:t>g</w:t>
      </w:r>
      <w:proofErr w:type="spellEnd"/>
      <w:r w:rsidR="0006765E">
        <w:rPr>
          <w:rFonts w:ascii="Arial" w:hAnsi="Arial" w:cs="Arial"/>
          <w:sz w:val="20"/>
          <w:szCs w:val="20"/>
          <w:lang w:val="en-US"/>
        </w:rPr>
        <w:t>/</w:t>
      </w:r>
      <w:r w:rsidRPr="00F11E3C">
        <w:rPr>
          <w:rFonts w:ascii="Arial" w:hAnsi="Arial" w:cs="Arial"/>
          <w:sz w:val="20"/>
          <w:szCs w:val="20"/>
          <w:lang w:val="en-US"/>
        </w:rPr>
        <w:t xml:space="preserve">L): </w:t>
      </w:r>
      <w:r w:rsidR="00722EFF">
        <w:rPr>
          <w:rFonts w:ascii="Arial" w:hAnsi="Arial" w:cs="Arial"/>
          <w:sz w:val="20"/>
          <w:szCs w:val="20"/>
          <w:lang w:val="en-US"/>
        </w:rPr>
        <w:t>≤</w:t>
      </w:r>
      <w:r w:rsidRPr="00F11E3C">
        <w:rPr>
          <w:rFonts w:ascii="Arial" w:hAnsi="Arial" w:cs="Arial"/>
          <w:sz w:val="20"/>
          <w:szCs w:val="20"/>
          <w:lang w:val="en-US"/>
        </w:rPr>
        <w:t>24, &gt;24-45, &gt;45-73, &gt;73-121, &gt;121</w:t>
      </w:r>
    </w:p>
    <w:p w:rsidR="00AD73A4" w:rsidRDefault="00AD73A4">
      <w:pPr>
        <w:rPr>
          <w:rFonts w:ascii="Arial" w:hAnsi="Arial" w:cs="Arial"/>
          <w:sz w:val="20"/>
          <w:szCs w:val="24"/>
          <w:lang w:val="en-US"/>
        </w:rPr>
      </w:pPr>
      <w:r>
        <w:rPr>
          <w:rFonts w:ascii="Arial" w:hAnsi="Arial" w:cs="Arial"/>
          <w:sz w:val="20"/>
          <w:szCs w:val="24"/>
          <w:lang w:val="en-US"/>
        </w:rPr>
        <w:br w:type="page"/>
      </w:r>
    </w:p>
    <w:p w:rsidR="006F71EE" w:rsidRDefault="006F71EE" w:rsidP="006F71EE">
      <w:pPr>
        <w:rPr>
          <w:rFonts w:ascii="Arial" w:hAnsi="Arial" w:cs="Arial"/>
          <w:b/>
          <w:sz w:val="24"/>
          <w:szCs w:val="24"/>
          <w:lang w:val="en-US"/>
        </w:rPr>
      </w:pPr>
      <w:proofErr w:type="gramStart"/>
      <w:r>
        <w:rPr>
          <w:rFonts w:ascii="Arial" w:hAnsi="Arial" w:cs="Arial"/>
          <w:b/>
          <w:sz w:val="24"/>
          <w:szCs w:val="24"/>
          <w:lang w:val="en-US"/>
        </w:rPr>
        <w:lastRenderedPageBreak/>
        <w:t>Legends for Figures and Supplementary Tables and Figures.</w:t>
      </w:r>
      <w:proofErr w:type="gramEnd"/>
    </w:p>
    <w:p w:rsidR="006F71EE" w:rsidRDefault="006F71EE" w:rsidP="006F71EE">
      <w:pPr>
        <w:rPr>
          <w:rFonts w:ascii="Arial" w:hAnsi="Arial" w:cs="Arial"/>
          <w:b/>
          <w:sz w:val="24"/>
          <w:szCs w:val="24"/>
          <w:lang w:val="en-US"/>
        </w:rPr>
      </w:pPr>
    </w:p>
    <w:p w:rsidR="006F71EE" w:rsidRPr="006F71EE" w:rsidRDefault="006F71EE" w:rsidP="006F71EE">
      <w:pPr>
        <w:rPr>
          <w:rFonts w:ascii="Arial" w:hAnsi="Arial" w:cs="Arial"/>
          <w:sz w:val="24"/>
          <w:szCs w:val="24"/>
          <w:lang w:val="en-US"/>
        </w:rPr>
      </w:pPr>
      <w:proofErr w:type="gramStart"/>
      <w:r w:rsidRPr="006F71EE">
        <w:rPr>
          <w:rFonts w:ascii="Arial" w:hAnsi="Arial" w:cs="Arial"/>
          <w:b/>
          <w:sz w:val="24"/>
          <w:szCs w:val="24"/>
          <w:lang w:val="en-US"/>
        </w:rPr>
        <w:t>Figure 1.</w:t>
      </w:r>
      <w:proofErr w:type="gramEnd"/>
      <w:r w:rsidRPr="006F71EE">
        <w:rPr>
          <w:rFonts w:ascii="Arial" w:hAnsi="Arial" w:cs="Arial"/>
          <w:sz w:val="24"/>
          <w:szCs w:val="24"/>
          <w:lang w:val="en-US"/>
        </w:rPr>
        <w:t xml:space="preserve"> </w:t>
      </w:r>
      <w:proofErr w:type="gramStart"/>
      <w:r w:rsidRPr="006F71EE">
        <w:rPr>
          <w:rFonts w:ascii="Arial" w:hAnsi="Arial" w:cs="Arial"/>
          <w:sz w:val="24"/>
          <w:szCs w:val="24"/>
          <w:lang w:val="en-US"/>
        </w:rPr>
        <w:t>Adjusted Hazard ratios for Type 2 Diabetes (T2D) by Ferritin, TSAT, Serum Iron and Transferrin levels in men and women.</w:t>
      </w:r>
      <w:proofErr w:type="gramEnd"/>
      <w:r w:rsidRPr="006F71EE">
        <w:rPr>
          <w:rFonts w:ascii="Arial" w:hAnsi="Arial" w:cs="Arial"/>
          <w:sz w:val="24"/>
          <w:szCs w:val="24"/>
          <w:lang w:val="en-US"/>
        </w:rPr>
        <w:t xml:space="preserve"> </w:t>
      </w:r>
    </w:p>
    <w:p w:rsidR="006F71EE" w:rsidRPr="006F71EE" w:rsidRDefault="006F71EE" w:rsidP="006F71EE">
      <w:pPr>
        <w:jc w:val="both"/>
        <w:rPr>
          <w:rStyle w:val="CommentReference"/>
          <w:rFonts w:ascii="Arial" w:hAnsi="Arial" w:cs="Arial"/>
          <w:sz w:val="24"/>
          <w:szCs w:val="24"/>
        </w:rPr>
      </w:pPr>
      <w:proofErr w:type="gramStart"/>
      <w:r w:rsidRPr="006F71EE">
        <w:rPr>
          <w:rFonts w:ascii="Arial" w:hAnsi="Arial" w:cs="Arial"/>
          <w:b/>
          <w:sz w:val="24"/>
          <w:szCs w:val="24"/>
          <w:lang w:val="en-US"/>
        </w:rPr>
        <w:t>Figure 2.</w:t>
      </w:r>
      <w:proofErr w:type="gramEnd"/>
      <w:r w:rsidRPr="006F71EE">
        <w:rPr>
          <w:rFonts w:ascii="Arial" w:hAnsi="Arial" w:cs="Arial"/>
          <w:b/>
          <w:sz w:val="24"/>
          <w:szCs w:val="24"/>
          <w:lang w:val="en-US"/>
        </w:rPr>
        <w:t xml:space="preserve"> </w:t>
      </w:r>
      <w:proofErr w:type="gramStart"/>
      <w:r w:rsidRPr="006F71EE">
        <w:rPr>
          <w:rFonts w:ascii="Arial" w:hAnsi="Arial" w:cs="Arial"/>
          <w:sz w:val="24"/>
          <w:szCs w:val="24"/>
          <w:lang w:val="en-US"/>
        </w:rPr>
        <w:t xml:space="preserve">Hazard ratios of type 2 diabetes per 100 </w:t>
      </w:r>
      <w:proofErr w:type="spellStart"/>
      <w:r w:rsidRPr="006F71EE">
        <w:rPr>
          <w:rFonts w:ascii="Arial" w:hAnsi="Arial" w:cs="Arial"/>
          <w:sz w:val="24"/>
          <w:szCs w:val="24"/>
          <w:lang w:val="en-US"/>
        </w:rPr>
        <w:t>μg</w:t>
      </w:r>
      <w:proofErr w:type="spellEnd"/>
      <w:r w:rsidRPr="006F71EE">
        <w:rPr>
          <w:rFonts w:ascii="Arial" w:hAnsi="Arial" w:cs="Arial"/>
          <w:sz w:val="24"/>
          <w:szCs w:val="24"/>
          <w:lang w:val="en-US"/>
        </w:rPr>
        <w:t>/L of ferritin and 0.5 g/L of transferrin in men and women by strata adjusting for age, sex and center and meta-analyzed across countries</w:t>
      </w:r>
      <w:r w:rsidRPr="006F71EE">
        <w:rPr>
          <w:rStyle w:val="CommentReference"/>
          <w:rFonts w:ascii="Arial" w:hAnsi="Arial" w:cs="Arial"/>
          <w:sz w:val="24"/>
          <w:szCs w:val="24"/>
        </w:rPr>
        <w:t>.</w:t>
      </w:r>
      <w:proofErr w:type="gramEnd"/>
    </w:p>
    <w:p w:rsidR="006F71EE" w:rsidRPr="006F71EE" w:rsidRDefault="006F71EE" w:rsidP="006F71EE">
      <w:pPr>
        <w:rPr>
          <w:rFonts w:ascii="Arial" w:hAnsi="Arial" w:cs="Arial"/>
          <w:b/>
          <w:sz w:val="24"/>
          <w:szCs w:val="24"/>
          <w:lang w:val="en-US"/>
        </w:rPr>
      </w:pPr>
    </w:p>
    <w:p w:rsidR="006F71EE" w:rsidRPr="00DC75BA" w:rsidRDefault="006F71EE" w:rsidP="006F71EE">
      <w:pPr>
        <w:rPr>
          <w:rFonts w:ascii="Arial" w:hAnsi="Arial" w:cs="Arial"/>
          <w:sz w:val="24"/>
          <w:szCs w:val="24"/>
          <w:lang w:val="en-US"/>
        </w:rPr>
      </w:pPr>
      <w:proofErr w:type="gramStart"/>
      <w:r w:rsidRPr="006F71EE">
        <w:rPr>
          <w:rFonts w:ascii="Arial" w:hAnsi="Arial" w:cs="Arial"/>
          <w:b/>
          <w:sz w:val="24"/>
          <w:szCs w:val="24"/>
          <w:lang w:val="en-US"/>
        </w:rPr>
        <w:t>Supplementary Figure S1.</w:t>
      </w:r>
      <w:proofErr w:type="gramEnd"/>
      <w:r w:rsidRPr="006F71EE">
        <w:rPr>
          <w:rFonts w:ascii="Arial" w:hAnsi="Arial" w:cs="Arial"/>
          <w:sz w:val="24"/>
          <w:szCs w:val="24"/>
          <w:lang w:val="en-US"/>
        </w:rPr>
        <w:t xml:space="preserve"> </w:t>
      </w:r>
      <w:proofErr w:type="gramStart"/>
      <w:r w:rsidRPr="006F71EE">
        <w:rPr>
          <w:rFonts w:ascii="Arial" w:hAnsi="Arial" w:cs="Arial"/>
          <w:sz w:val="24"/>
          <w:szCs w:val="24"/>
          <w:lang w:val="en-US"/>
        </w:rPr>
        <w:t xml:space="preserve">Hazard ratios (95% confidence intervals) of Type 2 Diabetes for the higher biomarker level as stated, by sex and meta-analyzed across </w:t>
      </w:r>
      <w:r w:rsidRPr="00DC75BA">
        <w:rPr>
          <w:rFonts w:ascii="Arial" w:hAnsi="Arial" w:cs="Arial"/>
          <w:sz w:val="24"/>
          <w:szCs w:val="24"/>
          <w:lang w:val="en-US"/>
        </w:rPr>
        <w:t>countries.</w:t>
      </w:r>
      <w:proofErr w:type="gramEnd"/>
    </w:p>
    <w:p w:rsidR="006F71EE" w:rsidRDefault="006F71EE" w:rsidP="006F71EE">
      <w:pPr>
        <w:rPr>
          <w:rFonts w:ascii="Arial" w:hAnsi="Arial" w:cs="Arial"/>
          <w:sz w:val="24"/>
          <w:szCs w:val="24"/>
          <w:lang w:val="en-US"/>
        </w:rPr>
      </w:pPr>
      <w:proofErr w:type="gramStart"/>
      <w:r w:rsidRPr="00DC75BA">
        <w:rPr>
          <w:rFonts w:ascii="Arial" w:hAnsi="Arial" w:cs="Arial"/>
          <w:b/>
          <w:sz w:val="24"/>
          <w:szCs w:val="24"/>
          <w:lang w:val="en-US"/>
        </w:rPr>
        <w:t>Supplementary Figure S2.</w:t>
      </w:r>
      <w:proofErr w:type="gramEnd"/>
      <w:r w:rsidRPr="00DC75BA">
        <w:rPr>
          <w:rFonts w:ascii="Arial" w:hAnsi="Arial" w:cs="Arial"/>
          <w:b/>
          <w:sz w:val="24"/>
          <w:szCs w:val="24"/>
          <w:lang w:val="en-US"/>
        </w:rPr>
        <w:t xml:space="preserve"> </w:t>
      </w:r>
      <w:proofErr w:type="gramStart"/>
      <w:r w:rsidRPr="00DC75BA">
        <w:rPr>
          <w:rFonts w:ascii="Arial" w:hAnsi="Arial" w:cs="Arial"/>
          <w:sz w:val="24"/>
          <w:szCs w:val="24"/>
          <w:lang w:val="en-US"/>
        </w:rPr>
        <w:t>Unadjusted Hazard ratios for Type 2 Diabetes (T2D) by Ferritin, TSAT, Serum Iron and Transf</w:t>
      </w:r>
      <w:r w:rsidR="00DC75BA">
        <w:rPr>
          <w:rFonts w:ascii="Arial" w:hAnsi="Arial" w:cs="Arial"/>
          <w:sz w:val="24"/>
          <w:szCs w:val="24"/>
          <w:lang w:val="en-US"/>
        </w:rPr>
        <w:t>errin levels in men and women.</w:t>
      </w:r>
      <w:proofErr w:type="gramEnd"/>
      <w:r w:rsidR="00DC75BA">
        <w:rPr>
          <w:rFonts w:ascii="Arial" w:hAnsi="Arial" w:cs="Arial"/>
          <w:sz w:val="24"/>
          <w:szCs w:val="24"/>
          <w:lang w:val="en-US"/>
        </w:rPr>
        <w:t xml:space="preserve"> </w:t>
      </w:r>
    </w:p>
    <w:p w:rsidR="00DC75BA" w:rsidRPr="00DC75BA" w:rsidRDefault="00DC75BA" w:rsidP="006F71EE">
      <w:pPr>
        <w:rPr>
          <w:rFonts w:ascii="Arial" w:hAnsi="Arial" w:cs="Arial"/>
          <w:sz w:val="24"/>
          <w:szCs w:val="24"/>
          <w:lang w:val="en-US"/>
        </w:rPr>
      </w:pPr>
    </w:p>
    <w:p w:rsidR="006F71EE" w:rsidRPr="00DC75BA" w:rsidRDefault="006F71EE" w:rsidP="006F71EE">
      <w:pPr>
        <w:rPr>
          <w:rFonts w:ascii="Arial" w:hAnsi="Arial" w:cs="Arial"/>
          <w:sz w:val="24"/>
          <w:szCs w:val="24"/>
        </w:rPr>
      </w:pPr>
      <w:proofErr w:type="gramStart"/>
      <w:r w:rsidRPr="00DC75BA">
        <w:rPr>
          <w:rFonts w:ascii="Arial" w:hAnsi="Arial" w:cs="Arial"/>
          <w:b/>
          <w:sz w:val="24"/>
          <w:szCs w:val="24"/>
          <w:lang w:val="en-US"/>
        </w:rPr>
        <w:t>Supplementary Table S1.</w:t>
      </w:r>
      <w:proofErr w:type="gramEnd"/>
      <w:r w:rsidRPr="00DC75BA">
        <w:rPr>
          <w:rFonts w:ascii="Arial" w:hAnsi="Arial" w:cs="Arial"/>
          <w:b/>
          <w:sz w:val="24"/>
          <w:szCs w:val="24"/>
          <w:lang w:val="en-US"/>
        </w:rPr>
        <w:t xml:space="preserve"> </w:t>
      </w:r>
      <w:proofErr w:type="gramStart"/>
      <w:r w:rsidR="00DC75BA" w:rsidRPr="00DC75BA">
        <w:rPr>
          <w:rFonts w:ascii="Arial" w:hAnsi="Arial" w:cs="Arial"/>
          <w:sz w:val="24"/>
          <w:szCs w:val="24"/>
        </w:rPr>
        <w:t>Means (SD) and median (interquartile range) of Ferritin (</w:t>
      </w:r>
      <w:proofErr w:type="spellStart"/>
      <w:r w:rsidR="00DC75BA" w:rsidRPr="00DC75BA">
        <w:rPr>
          <w:rFonts w:ascii="Arial" w:hAnsi="Arial" w:cs="Arial"/>
          <w:sz w:val="24"/>
          <w:szCs w:val="24"/>
        </w:rPr>
        <w:t>μg</w:t>
      </w:r>
      <w:proofErr w:type="spellEnd"/>
      <w:r w:rsidR="00DC75BA" w:rsidRPr="00DC75BA">
        <w:rPr>
          <w:rFonts w:ascii="Arial" w:hAnsi="Arial" w:cs="Arial"/>
          <w:sz w:val="24"/>
          <w:szCs w:val="24"/>
        </w:rPr>
        <w:t xml:space="preserve">/L) by BMI and waist circumference categories in men and women in the </w:t>
      </w:r>
      <w:proofErr w:type="spellStart"/>
      <w:r w:rsidR="00DC75BA" w:rsidRPr="00DC75BA">
        <w:rPr>
          <w:rFonts w:ascii="Arial" w:hAnsi="Arial" w:cs="Arial"/>
          <w:sz w:val="24"/>
          <w:szCs w:val="24"/>
        </w:rPr>
        <w:t>subcohort</w:t>
      </w:r>
      <w:proofErr w:type="spellEnd"/>
      <w:r w:rsidR="00DC75BA" w:rsidRPr="00DC75BA">
        <w:rPr>
          <w:rFonts w:ascii="Arial" w:hAnsi="Arial" w:cs="Arial"/>
          <w:sz w:val="24"/>
          <w:szCs w:val="24"/>
        </w:rPr>
        <w:t>.</w:t>
      </w:r>
      <w:proofErr w:type="gramEnd"/>
    </w:p>
    <w:p w:rsidR="006F71EE" w:rsidRPr="00DC75BA" w:rsidRDefault="006F71EE" w:rsidP="006F71EE">
      <w:pPr>
        <w:jc w:val="both"/>
        <w:rPr>
          <w:rFonts w:ascii="Arial" w:hAnsi="Arial" w:cs="Arial"/>
          <w:sz w:val="24"/>
          <w:szCs w:val="24"/>
          <w:lang w:val="en-US"/>
        </w:rPr>
      </w:pPr>
      <w:proofErr w:type="gramStart"/>
      <w:r w:rsidRPr="00DC75BA">
        <w:rPr>
          <w:rFonts w:ascii="Arial" w:hAnsi="Arial" w:cs="Arial"/>
          <w:b/>
          <w:sz w:val="24"/>
          <w:szCs w:val="24"/>
          <w:lang w:val="en-US"/>
        </w:rPr>
        <w:t>Supplementary Table S2.</w:t>
      </w:r>
      <w:proofErr w:type="gramEnd"/>
      <w:r w:rsidRPr="00DC75BA">
        <w:rPr>
          <w:rFonts w:ascii="Arial" w:hAnsi="Arial" w:cs="Arial"/>
          <w:b/>
          <w:sz w:val="24"/>
          <w:szCs w:val="24"/>
          <w:lang w:val="en-US"/>
        </w:rPr>
        <w:t xml:space="preserve"> </w:t>
      </w:r>
      <w:r w:rsidRPr="00DC75BA">
        <w:rPr>
          <w:rFonts w:ascii="Arial" w:hAnsi="Arial" w:cs="Arial"/>
          <w:sz w:val="24"/>
          <w:szCs w:val="24"/>
          <w:lang w:val="en-US"/>
        </w:rPr>
        <w:t xml:space="preserve">Multivariable linear regressions (age, sex and center adjusted) and correlations (unadjusted) of each biomarker with other variables in the </w:t>
      </w:r>
      <w:proofErr w:type="spellStart"/>
      <w:r w:rsidRPr="00DC75BA">
        <w:rPr>
          <w:rFonts w:ascii="Arial" w:hAnsi="Arial" w:cs="Arial"/>
          <w:sz w:val="24"/>
          <w:szCs w:val="24"/>
          <w:lang w:val="en-US"/>
        </w:rPr>
        <w:t>subcohort</w:t>
      </w:r>
      <w:proofErr w:type="spellEnd"/>
      <w:r w:rsidRPr="00DC75BA">
        <w:rPr>
          <w:rFonts w:ascii="Arial" w:hAnsi="Arial" w:cs="Arial"/>
          <w:sz w:val="24"/>
          <w:szCs w:val="24"/>
          <w:lang w:val="en-US"/>
        </w:rPr>
        <w:t>.</w:t>
      </w:r>
    </w:p>
    <w:p w:rsidR="00A22D7E" w:rsidRPr="00A22D7E" w:rsidRDefault="00A22D7E" w:rsidP="00A22D7E">
      <w:pPr>
        <w:rPr>
          <w:rFonts w:ascii="Arial" w:hAnsi="Arial" w:cs="Arial"/>
          <w:sz w:val="24"/>
          <w:szCs w:val="20"/>
          <w:lang w:val="en-US"/>
        </w:rPr>
      </w:pPr>
      <w:proofErr w:type="gramStart"/>
      <w:r w:rsidRPr="00A22D7E">
        <w:rPr>
          <w:rFonts w:ascii="Arial" w:hAnsi="Arial" w:cs="Arial"/>
          <w:b/>
          <w:sz w:val="24"/>
          <w:szCs w:val="20"/>
          <w:lang w:val="en-US"/>
        </w:rPr>
        <w:t>Supplementary Table S3.</w:t>
      </w:r>
      <w:proofErr w:type="gramEnd"/>
      <w:r w:rsidRPr="00A22D7E">
        <w:rPr>
          <w:rFonts w:ascii="Arial" w:hAnsi="Arial" w:cs="Arial"/>
          <w:sz w:val="24"/>
          <w:szCs w:val="20"/>
          <w:lang w:val="en-US"/>
        </w:rPr>
        <w:t xml:space="preserve"> </w:t>
      </w:r>
      <w:proofErr w:type="gramStart"/>
      <w:r w:rsidRPr="00A22D7E">
        <w:rPr>
          <w:rFonts w:ascii="Arial" w:hAnsi="Arial" w:cs="Arial"/>
          <w:sz w:val="24"/>
          <w:szCs w:val="20"/>
          <w:lang w:val="en-US"/>
        </w:rPr>
        <w:t xml:space="preserve">Hazard ratios (95% confidence intervals) of Type 2 Diabetes per sex-specific </w:t>
      </w:r>
      <w:r w:rsidR="0068410F">
        <w:rPr>
          <w:rFonts w:ascii="Arial" w:hAnsi="Arial" w:cs="Arial"/>
          <w:sz w:val="24"/>
          <w:szCs w:val="20"/>
          <w:lang w:val="en-US"/>
        </w:rPr>
        <w:t>s</w:t>
      </w:r>
      <w:r w:rsidRPr="00A22D7E">
        <w:rPr>
          <w:rFonts w:ascii="Arial" w:hAnsi="Arial" w:cs="Arial"/>
          <w:sz w:val="24"/>
          <w:szCs w:val="20"/>
          <w:lang w:val="en-US"/>
        </w:rPr>
        <w:t xml:space="preserve">tandard </w:t>
      </w:r>
      <w:r w:rsidR="0068410F">
        <w:rPr>
          <w:rFonts w:ascii="Arial" w:hAnsi="Arial" w:cs="Arial"/>
          <w:sz w:val="24"/>
          <w:szCs w:val="20"/>
          <w:lang w:val="en-US"/>
        </w:rPr>
        <w:t>d</w:t>
      </w:r>
      <w:r w:rsidRPr="00A22D7E">
        <w:rPr>
          <w:rFonts w:ascii="Arial" w:hAnsi="Arial" w:cs="Arial"/>
          <w:sz w:val="24"/>
          <w:szCs w:val="20"/>
          <w:lang w:val="en-US"/>
        </w:rPr>
        <w:t>eviation of Ferritin in men and women</w:t>
      </w:r>
      <w:r>
        <w:rPr>
          <w:rFonts w:ascii="Arial" w:hAnsi="Arial" w:cs="Arial"/>
          <w:sz w:val="24"/>
          <w:szCs w:val="20"/>
          <w:lang w:val="en-US"/>
        </w:rPr>
        <w:t>.</w:t>
      </w:r>
      <w:proofErr w:type="gramEnd"/>
    </w:p>
    <w:p w:rsidR="006F71EE" w:rsidRPr="006F71EE" w:rsidRDefault="006F71EE" w:rsidP="006F71EE">
      <w:pPr>
        <w:rPr>
          <w:rFonts w:ascii="Arial" w:hAnsi="Arial" w:cs="Arial"/>
          <w:b/>
          <w:sz w:val="24"/>
          <w:szCs w:val="24"/>
          <w:lang w:val="en-US"/>
        </w:rPr>
      </w:pPr>
      <w:proofErr w:type="gramStart"/>
      <w:r w:rsidRPr="00DC75BA">
        <w:rPr>
          <w:rFonts w:ascii="Arial" w:hAnsi="Arial" w:cs="Arial"/>
          <w:b/>
          <w:sz w:val="24"/>
          <w:szCs w:val="24"/>
          <w:lang w:val="en-US"/>
        </w:rPr>
        <w:t>Supplementary Table S4.</w:t>
      </w:r>
      <w:proofErr w:type="gramEnd"/>
      <w:r w:rsidRPr="00DC75BA">
        <w:rPr>
          <w:rFonts w:ascii="Arial" w:hAnsi="Arial" w:cs="Arial"/>
          <w:b/>
          <w:sz w:val="24"/>
          <w:szCs w:val="24"/>
          <w:lang w:val="en-US"/>
        </w:rPr>
        <w:t xml:space="preserve"> </w:t>
      </w:r>
      <w:proofErr w:type="gramStart"/>
      <w:r w:rsidRPr="00DC75BA">
        <w:rPr>
          <w:rFonts w:ascii="Arial" w:hAnsi="Arial" w:cs="Arial"/>
          <w:sz w:val="24"/>
          <w:szCs w:val="24"/>
          <w:lang w:val="en-US"/>
        </w:rPr>
        <w:t>Hazard ratios (95% confidence</w:t>
      </w:r>
      <w:r w:rsidRPr="00DC75BA">
        <w:rPr>
          <w:rFonts w:ascii="Arial" w:hAnsi="Arial" w:cs="Arial"/>
          <w:sz w:val="28"/>
          <w:szCs w:val="24"/>
          <w:lang w:val="en-US"/>
        </w:rPr>
        <w:t xml:space="preserve"> </w:t>
      </w:r>
      <w:r w:rsidRPr="006F71EE">
        <w:rPr>
          <w:rFonts w:ascii="Arial" w:hAnsi="Arial" w:cs="Arial"/>
          <w:sz w:val="24"/>
          <w:szCs w:val="24"/>
          <w:lang w:val="en-US"/>
        </w:rPr>
        <w:t>intervals) of Type 2 Diabetes for T</w:t>
      </w:r>
      <w:r w:rsidR="005A7BF8">
        <w:rPr>
          <w:rFonts w:ascii="Arial" w:hAnsi="Arial" w:cs="Arial"/>
          <w:sz w:val="24"/>
          <w:szCs w:val="24"/>
          <w:lang w:val="en-US"/>
        </w:rPr>
        <w:t>ransferrin Saturation</w:t>
      </w:r>
      <w:r w:rsidRPr="006F71EE">
        <w:rPr>
          <w:rFonts w:ascii="Arial" w:hAnsi="Arial" w:cs="Arial"/>
          <w:sz w:val="24"/>
          <w:szCs w:val="24"/>
          <w:lang w:val="en-US"/>
        </w:rPr>
        <w:t xml:space="preserve"> using varying cut-off points and per 5% higher level of TSAT</w:t>
      </w:r>
      <w:r w:rsidR="00A22D7E">
        <w:rPr>
          <w:rFonts w:ascii="Arial" w:hAnsi="Arial" w:cs="Arial"/>
          <w:sz w:val="24"/>
          <w:szCs w:val="24"/>
          <w:lang w:val="en-US"/>
        </w:rPr>
        <w:t xml:space="preserve"> </w:t>
      </w:r>
      <w:r w:rsidR="00A22D7E" w:rsidRPr="00A22D7E">
        <w:rPr>
          <w:rFonts w:ascii="Arial" w:hAnsi="Arial" w:cs="Arial"/>
          <w:sz w:val="24"/>
          <w:szCs w:val="20"/>
          <w:lang w:val="en-US"/>
        </w:rPr>
        <w:t>in men and women</w:t>
      </w:r>
      <w:r w:rsidR="00A22D7E">
        <w:rPr>
          <w:rFonts w:ascii="Arial" w:hAnsi="Arial" w:cs="Arial"/>
          <w:sz w:val="24"/>
          <w:szCs w:val="20"/>
          <w:lang w:val="en-US"/>
        </w:rPr>
        <w:t>.</w:t>
      </w:r>
      <w:proofErr w:type="gramEnd"/>
    </w:p>
    <w:p w:rsidR="006F71EE" w:rsidRPr="006F71EE" w:rsidRDefault="006F71EE" w:rsidP="006F71EE">
      <w:pPr>
        <w:rPr>
          <w:rFonts w:ascii="Arial" w:hAnsi="Arial" w:cs="Arial"/>
          <w:sz w:val="24"/>
          <w:szCs w:val="24"/>
          <w:lang w:val="en-US"/>
        </w:rPr>
      </w:pPr>
      <w:proofErr w:type="gramStart"/>
      <w:r w:rsidRPr="006F71EE">
        <w:rPr>
          <w:rFonts w:ascii="Arial" w:hAnsi="Arial" w:cs="Arial"/>
          <w:b/>
          <w:sz w:val="24"/>
          <w:szCs w:val="24"/>
          <w:lang w:val="en-US"/>
        </w:rPr>
        <w:t>Supplementary Table S5.</w:t>
      </w:r>
      <w:proofErr w:type="gramEnd"/>
      <w:r w:rsidRPr="006F71EE">
        <w:rPr>
          <w:rFonts w:ascii="Arial" w:hAnsi="Arial" w:cs="Arial"/>
          <w:b/>
          <w:sz w:val="24"/>
          <w:szCs w:val="24"/>
          <w:lang w:val="en-US"/>
        </w:rPr>
        <w:t xml:space="preserve"> </w:t>
      </w:r>
      <w:r w:rsidRPr="006F71EE">
        <w:rPr>
          <w:rFonts w:ascii="Arial" w:hAnsi="Arial" w:cs="Arial"/>
          <w:sz w:val="24"/>
          <w:szCs w:val="24"/>
          <w:lang w:val="en-US"/>
        </w:rPr>
        <w:t xml:space="preserve">Hazard ratio (95% confidence intervals) of </w:t>
      </w:r>
      <w:r w:rsidR="0068410F" w:rsidRPr="00A22D7E">
        <w:rPr>
          <w:rFonts w:ascii="Arial" w:hAnsi="Arial" w:cs="Arial"/>
          <w:sz w:val="24"/>
          <w:szCs w:val="20"/>
          <w:lang w:val="en-US"/>
        </w:rPr>
        <w:t>Type 2 Diabetes</w:t>
      </w:r>
      <w:r w:rsidRPr="006F71EE">
        <w:rPr>
          <w:rFonts w:ascii="Arial" w:hAnsi="Arial" w:cs="Arial"/>
          <w:sz w:val="24"/>
          <w:szCs w:val="24"/>
          <w:lang w:val="en-US"/>
        </w:rPr>
        <w:t xml:space="preserve"> for 100 </w:t>
      </w:r>
      <w:proofErr w:type="spellStart"/>
      <w:r w:rsidRPr="006F71EE">
        <w:rPr>
          <w:rFonts w:ascii="Arial" w:hAnsi="Arial" w:cs="Arial"/>
          <w:sz w:val="24"/>
          <w:szCs w:val="24"/>
          <w:lang w:val="en-US"/>
        </w:rPr>
        <w:t>μg</w:t>
      </w:r>
      <w:proofErr w:type="spellEnd"/>
      <w:r w:rsidRPr="006F71EE">
        <w:rPr>
          <w:rFonts w:ascii="Arial" w:hAnsi="Arial" w:cs="Arial"/>
          <w:sz w:val="24"/>
          <w:szCs w:val="24"/>
          <w:lang w:val="en-US"/>
        </w:rPr>
        <w:t xml:space="preserve">/L higher level of ferritin by sex in specific subgroups, adjusting for age, center, BMI, physical activity, smoking status, level of education, </w:t>
      </w:r>
      <w:proofErr w:type="spellStart"/>
      <w:r w:rsidRPr="006F71EE">
        <w:rPr>
          <w:rFonts w:ascii="Arial" w:hAnsi="Arial" w:cs="Arial"/>
          <w:sz w:val="24"/>
          <w:szCs w:val="24"/>
          <w:lang w:val="en-US"/>
        </w:rPr>
        <w:t>hsCRP</w:t>
      </w:r>
      <w:proofErr w:type="spellEnd"/>
      <w:r w:rsidRPr="006F71EE">
        <w:rPr>
          <w:rFonts w:ascii="Arial" w:hAnsi="Arial" w:cs="Arial"/>
          <w:sz w:val="24"/>
          <w:szCs w:val="24"/>
          <w:lang w:val="en-US"/>
        </w:rPr>
        <w:t>, ALT and GGT and specified additional covariates.</w:t>
      </w:r>
    </w:p>
    <w:p w:rsidR="006B2296" w:rsidRPr="006F71EE" w:rsidRDefault="006B2296" w:rsidP="00B93791">
      <w:pPr>
        <w:rPr>
          <w:rFonts w:ascii="Arial" w:hAnsi="Arial" w:cs="Arial"/>
          <w:sz w:val="24"/>
          <w:szCs w:val="24"/>
          <w:lang w:val="en-US"/>
        </w:rPr>
      </w:pPr>
    </w:p>
    <w:p w:rsidR="00EE7501" w:rsidRPr="00202FA4" w:rsidRDefault="00EE7501" w:rsidP="00283767">
      <w:pPr>
        <w:jc w:val="both"/>
        <w:rPr>
          <w:rFonts w:ascii="Arial" w:hAnsi="Arial" w:cs="Arial"/>
          <w:sz w:val="24"/>
          <w:szCs w:val="24"/>
          <w:lang w:val="en-US"/>
        </w:rPr>
      </w:pPr>
    </w:p>
    <w:sectPr w:rsidR="00EE7501" w:rsidRPr="00202FA4" w:rsidSect="00E37A7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9AE" w:rsidRDefault="002209AE" w:rsidP="00FD7E5B">
      <w:pPr>
        <w:spacing w:after="0" w:line="240" w:lineRule="auto"/>
      </w:pPr>
      <w:r>
        <w:separator/>
      </w:r>
    </w:p>
  </w:endnote>
  <w:endnote w:type="continuationSeparator" w:id="0">
    <w:p w:rsidR="002209AE" w:rsidRDefault="002209AE" w:rsidP="00FD7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6253659"/>
      <w:docPartObj>
        <w:docPartGallery w:val="Page Numbers (Bottom of Page)"/>
        <w:docPartUnique/>
      </w:docPartObj>
    </w:sdtPr>
    <w:sdtEndPr>
      <w:rPr>
        <w:noProof/>
      </w:rPr>
    </w:sdtEndPr>
    <w:sdtContent>
      <w:p w:rsidR="002209AE" w:rsidRDefault="002209AE">
        <w:pPr>
          <w:pStyle w:val="Footer"/>
          <w:jc w:val="right"/>
        </w:pPr>
        <w:r>
          <w:fldChar w:fldCharType="begin"/>
        </w:r>
        <w:r>
          <w:instrText xml:space="preserve"> PAGE   \* MERGEFORMAT </w:instrText>
        </w:r>
        <w:r>
          <w:fldChar w:fldCharType="separate"/>
        </w:r>
        <w:r w:rsidR="00CA14B1">
          <w:rPr>
            <w:noProof/>
          </w:rPr>
          <w:t>23</w:t>
        </w:r>
        <w:r>
          <w:rPr>
            <w:noProof/>
          </w:rPr>
          <w:fldChar w:fldCharType="end"/>
        </w:r>
      </w:p>
    </w:sdtContent>
  </w:sdt>
  <w:p w:rsidR="002209AE" w:rsidRDefault="002209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9AE" w:rsidRDefault="002209AE" w:rsidP="00FD7E5B">
      <w:pPr>
        <w:spacing w:after="0" w:line="240" w:lineRule="auto"/>
      </w:pPr>
      <w:r>
        <w:separator/>
      </w:r>
    </w:p>
  </w:footnote>
  <w:footnote w:type="continuationSeparator" w:id="0">
    <w:p w:rsidR="002209AE" w:rsidRDefault="002209AE" w:rsidP="00FD7E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B3D0A"/>
    <w:multiLevelType w:val="hybridMultilevel"/>
    <w:tmpl w:val="BD3E9A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F13184"/>
    <w:multiLevelType w:val="hybridMultilevel"/>
    <w:tmpl w:val="02EC80C6"/>
    <w:lvl w:ilvl="0" w:tplc="09929A90">
      <w:start w:val="2"/>
      <w:numFmt w:val="bullet"/>
      <w:lvlText w:val="-"/>
      <w:lvlJc w:val="left"/>
      <w:pPr>
        <w:ind w:left="1080" w:hanging="360"/>
      </w:pPr>
      <w:rPr>
        <w:rFonts w:ascii="Calibri" w:eastAsiaTheme="minorHAnsi" w:hAnsi="Calibri"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2F6318C7"/>
    <w:multiLevelType w:val="hybridMultilevel"/>
    <w:tmpl w:val="8C24BB50"/>
    <w:lvl w:ilvl="0" w:tplc="956A9542">
      <w:start w:val="2"/>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EAC7B10"/>
    <w:multiLevelType w:val="hybridMultilevel"/>
    <w:tmpl w:val="2BB407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5837B2F"/>
    <w:multiLevelType w:val="hybridMultilevel"/>
    <w:tmpl w:val="45DC6208"/>
    <w:lvl w:ilvl="0" w:tplc="AC82624A">
      <w:start w:val="121"/>
      <w:numFmt w:val="bullet"/>
      <w:lvlText w:val="-"/>
      <w:lvlJc w:val="left"/>
      <w:pPr>
        <w:ind w:left="720" w:hanging="360"/>
      </w:pPr>
      <w:rPr>
        <w:rFonts w:ascii="Calibri" w:eastAsia="Verdana"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977"/>
    <w:rsid w:val="00001283"/>
    <w:rsid w:val="000024B7"/>
    <w:rsid w:val="00003B19"/>
    <w:rsid w:val="000046A7"/>
    <w:rsid w:val="00005990"/>
    <w:rsid w:val="00011D56"/>
    <w:rsid w:val="0001351E"/>
    <w:rsid w:val="0001431A"/>
    <w:rsid w:val="000158BC"/>
    <w:rsid w:val="00017047"/>
    <w:rsid w:val="00017362"/>
    <w:rsid w:val="0001738C"/>
    <w:rsid w:val="00017A04"/>
    <w:rsid w:val="00020840"/>
    <w:rsid w:val="00020EBB"/>
    <w:rsid w:val="00022037"/>
    <w:rsid w:val="000235A7"/>
    <w:rsid w:val="0002418E"/>
    <w:rsid w:val="00024706"/>
    <w:rsid w:val="00024B2A"/>
    <w:rsid w:val="00024F33"/>
    <w:rsid w:val="00026350"/>
    <w:rsid w:val="0002697A"/>
    <w:rsid w:val="00027B2C"/>
    <w:rsid w:val="00030A98"/>
    <w:rsid w:val="000312BD"/>
    <w:rsid w:val="000314CF"/>
    <w:rsid w:val="00032C8D"/>
    <w:rsid w:val="00036AC4"/>
    <w:rsid w:val="00037244"/>
    <w:rsid w:val="00037445"/>
    <w:rsid w:val="00041DBF"/>
    <w:rsid w:val="00041DCA"/>
    <w:rsid w:val="00042D13"/>
    <w:rsid w:val="00045ABA"/>
    <w:rsid w:val="00046806"/>
    <w:rsid w:val="00047BF8"/>
    <w:rsid w:val="00051B85"/>
    <w:rsid w:val="000523EE"/>
    <w:rsid w:val="00052CAB"/>
    <w:rsid w:val="00052E78"/>
    <w:rsid w:val="00053580"/>
    <w:rsid w:val="0005655D"/>
    <w:rsid w:val="00057011"/>
    <w:rsid w:val="00062D63"/>
    <w:rsid w:val="0006765E"/>
    <w:rsid w:val="00072460"/>
    <w:rsid w:val="00073813"/>
    <w:rsid w:val="00074BC8"/>
    <w:rsid w:val="000768FB"/>
    <w:rsid w:val="00076C25"/>
    <w:rsid w:val="00077ECF"/>
    <w:rsid w:val="00081223"/>
    <w:rsid w:val="0008154A"/>
    <w:rsid w:val="00082093"/>
    <w:rsid w:val="000825D3"/>
    <w:rsid w:val="00084E92"/>
    <w:rsid w:val="00086086"/>
    <w:rsid w:val="000874BA"/>
    <w:rsid w:val="00090D3F"/>
    <w:rsid w:val="00092FE1"/>
    <w:rsid w:val="00094B64"/>
    <w:rsid w:val="000958C2"/>
    <w:rsid w:val="000972CE"/>
    <w:rsid w:val="000A160F"/>
    <w:rsid w:val="000A346E"/>
    <w:rsid w:val="000A3E8B"/>
    <w:rsid w:val="000B13BA"/>
    <w:rsid w:val="000B16EB"/>
    <w:rsid w:val="000B17E8"/>
    <w:rsid w:val="000B240B"/>
    <w:rsid w:val="000B3360"/>
    <w:rsid w:val="000B4E2C"/>
    <w:rsid w:val="000B60E4"/>
    <w:rsid w:val="000C0367"/>
    <w:rsid w:val="000C06C4"/>
    <w:rsid w:val="000C371A"/>
    <w:rsid w:val="000D0188"/>
    <w:rsid w:val="000D2688"/>
    <w:rsid w:val="000D357A"/>
    <w:rsid w:val="000E08D5"/>
    <w:rsid w:val="000E142F"/>
    <w:rsid w:val="000E3F3E"/>
    <w:rsid w:val="000E60EA"/>
    <w:rsid w:val="000E76FA"/>
    <w:rsid w:val="000F16BD"/>
    <w:rsid w:val="000F2567"/>
    <w:rsid w:val="000F4B39"/>
    <w:rsid w:val="000F685A"/>
    <w:rsid w:val="00101AB5"/>
    <w:rsid w:val="0010682C"/>
    <w:rsid w:val="00106B28"/>
    <w:rsid w:val="0010704E"/>
    <w:rsid w:val="00107EE1"/>
    <w:rsid w:val="001100C1"/>
    <w:rsid w:val="00110318"/>
    <w:rsid w:val="0011197F"/>
    <w:rsid w:val="001131C5"/>
    <w:rsid w:val="001143B0"/>
    <w:rsid w:val="001145B5"/>
    <w:rsid w:val="00114C42"/>
    <w:rsid w:val="001164CF"/>
    <w:rsid w:val="001208CF"/>
    <w:rsid w:val="00120AEA"/>
    <w:rsid w:val="00125050"/>
    <w:rsid w:val="00125F39"/>
    <w:rsid w:val="00127C2D"/>
    <w:rsid w:val="00134DAD"/>
    <w:rsid w:val="00134FC8"/>
    <w:rsid w:val="001355C3"/>
    <w:rsid w:val="00136D2D"/>
    <w:rsid w:val="00137E10"/>
    <w:rsid w:val="001401F0"/>
    <w:rsid w:val="00140CA5"/>
    <w:rsid w:val="00141A21"/>
    <w:rsid w:val="00141D45"/>
    <w:rsid w:val="0014307E"/>
    <w:rsid w:val="00145536"/>
    <w:rsid w:val="0014590B"/>
    <w:rsid w:val="00147B24"/>
    <w:rsid w:val="00147CED"/>
    <w:rsid w:val="00150164"/>
    <w:rsid w:val="00150F48"/>
    <w:rsid w:val="00151913"/>
    <w:rsid w:val="0015319E"/>
    <w:rsid w:val="00154937"/>
    <w:rsid w:val="00154E60"/>
    <w:rsid w:val="00156ECC"/>
    <w:rsid w:val="00157321"/>
    <w:rsid w:val="00157A0E"/>
    <w:rsid w:val="001604E7"/>
    <w:rsid w:val="00163C6B"/>
    <w:rsid w:val="0016436B"/>
    <w:rsid w:val="0016578F"/>
    <w:rsid w:val="00170633"/>
    <w:rsid w:val="00171E76"/>
    <w:rsid w:val="00173B14"/>
    <w:rsid w:val="00173BE7"/>
    <w:rsid w:val="00174B01"/>
    <w:rsid w:val="00180549"/>
    <w:rsid w:val="00180946"/>
    <w:rsid w:val="00181393"/>
    <w:rsid w:val="0018334E"/>
    <w:rsid w:val="0018569F"/>
    <w:rsid w:val="001863C7"/>
    <w:rsid w:val="001868D6"/>
    <w:rsid w:val="00187910"/>
    <w:rsid w:val="001903C3"/>
    <w:rsid w:val="00190B5F"/>
    <w:rsid w:val="00190E44"/>
    <w:rsid w:val="001917D9"/>
    <w:rsid w:val="0019207F"/>
    <w:rsid w:val="00192B1D"/>
    <w:rsid w:val="00193987"/>
    <w:rsid w:val="00193DA6"/>
    <w:rsid w:val="00196A49"/>
    <w:rsid w:val="001A3C99"/>
    <w:rsid w:val="001A63CB"/>
    <w:rsid w:val="001B1359"/>
    <w:rsid w:val="001B38C1"/>
    <w:rsid w:val="001B3BD5"/>
    <w:rsid w:val="001B3F63"/>
    <w:rsid w:val="001B732F"/>
    <w:rsid w:val="001C1257"/>
    <w:rsid w:val="001C4CEB"/>
    <w:rsid w:val="001C5BDC"/>
    <w:rsid w:val="001C655B"/>
    <w:rsid w:val="001C7642"/>
    <w:rsid w:val="001D16C9"/>
    <w:rsid w:val="001D2242"/>
    <w:rsid w:val="001D319D"/>
    <w:rsid w:val="001D384D"/>
    <w:rsid w:val="001D4766"/>
    <w:rsid w:val="001D655D"/>
    <w:rsid w:val="001D7B46"/>
    <w:rsid w:val="001D7EE2"/>
    <w:rsid w:val="001E0078"/>
    <w:rsid w:val="001E211C"/>
    <w:rsid w:val="001E2E16"/>
    <w:rsid w:val="001E3120"/>
    <w:rsid w:val="001E7116"/>
    <w:rsid w:val="001F0356"/>
    <w:rsid w:val="001F4DF7"/>
    <w:rsid w:val="001F4FA1"/>
    <w:rsid w:val="001F71EE"/>
    <w:rsid w:val="00200ED4"/>
    <w:rsid w:val="00201E85"/>
    <w:rsid w:val="00202099"/>
    <w:rsid w:val="00202FA4"/>
    <w:rsid w:val="002063D8"/>
    <w:rsid w:val="00210014"/>
    <w:rsid w:val="002135D0"/>
    <w:rsid w:val="002162B3"/>
    <w:rsid w:val="00216868"/>
    <w:rsid w:val="0021726B"/>
    <w:rsid w:val="002209AE"/>
    <w:rsid w:val="0022143F"/>
    <w:rsid w:val="00221F8F"/>
    <w:rsid w:val="0022358A"/>
    <w:rsid w:val="00223EE8"/>
    <w:rsid w:val="00224BE4"/>
    <w:rsid w:val="00225D14"/>
    <w:rsid w:val="002272D5"/>
    <w:rsid w:val="0022737F"/>
    <w:rsid w:val="002308EA"/>
    <w:rsid w:val="0023528C"/>
    <w:rsid w:val="00235AF9"/>
    <w:rsid w:val="00236D85"/>
    <w:rsid w:val="00241F62"/>
    <w:rsid w:val="00242820"/>
    <w:rsid w:val="00243F09"/>
    <w:rsid w:val="00244FE5"/>
    <w:rsid w:val="00251195"/>
    <w:rsid w:val="00251AA0"/>
    <w:rsid w:val="0025304C"/>
    <w:rsid w:val="00253804"/>
    <w:rsid w:val="00255036"/>
    <w:rsid w:val="00256E61"/>
    <w:rsid w:val="00257F22"/>
    <w:rsid w:val="00261523"/>
    <w:rsid w:val="002618DD"/>
    <w:rsid w:val="00261F2F"/>
    <w:rsid w:val="00264866"/>
    <w:rsid w:val="00267ABE"/>
    <w:rsid w:val="00270896"/>
    <w:rsid w:val="00270FD0"/>
    <w:rsid w:val="00272319"/>
    <w:rsid w:val="00273C59"/>
    <w:rsid w:val="00273CB9"/>
    <w:rsid w:val="00276BD4"/>
    <w:rsid w:val="002800C0"/>
    <w:rsid w:val="00280863"/>
    <w:rsid w:val="00283767"/>
    <w:rsid w:val="002857CF"/>
    <w:rsid w:val="0028641A"/>
    <w:rsid w:val="0029466E"/>
    <w:rsid w:val="00294B8B"/>
    <w:rsid w:val="00295987"/>
    <w:rsid w:val="0029791A"/>
    <w:rsid w:val="002A00B0"/>
    <w:rsid w:val="002A0519"/>
    <w:rsid w:val="002A2274"/>
    <w:rsid w:val="002A37D1"/>
    <w:rsid w:val="002A51BA"/>
    <w:rsid w:val="002B4DDC"/>
    <w:rsid w:val="002B5141"/>
    <w:rsid w:val="002C1294"/>
    <w:rsid w:val="002C210D"/>
    <w:rsid w:val="002C2709"/>
    <w:rsid w:val="002C294E"/>
    <w:rsid w:val="002C38A9"/>
    <w:rsid w:val="002C3E57"/>
    <w:rsid w:val="002C5C4E"/>
    <w:rsid w:val="002D2521"/>
    <w:rsid w:val="002D2552"/>
    <w:rsid w:val="002E3796"/>
    <w:rsid w:val="002E7890"/>
    <w:rsid w:val="002F05CD"/>
    <w:rsid w:val="002F27A2"/>
    <w:rsid w:val="002F34F2"/>
    <w:rsid w:val="002F6C7A"/>
    <w:rsid w:val="002F75D3"/>
    <w:rsid w:val="003016BB"/>
    <w:rsid w:val="00301A2B"/>
    <w:rsid w:val="00302D6B"/>
    <w:rsid w:val="003041EF"/>
    <w:rsid w:val="0030645B"/>
    <w:rsid w:val="00307557"/>
    <w:rsid w:val="00311933"/>
    <w:rsid w:val="003124DF"/>
    <w:rsid w:val="00316F3E"/>
    <w:rsid w:val="00321D90"/>
    <w:rsid w:val="00322444"/>
    <w:rsid w:val="00322695"/>
    <w:rsid w:val="003233D3"/>
    <w:rsid w:val="00323DB6"/>
    <w:rsid w:val="00325D15"/>
    <w:rsid w:val="003271FD"/>
    <w:rsid w:val="003309EC"/>
    <w:rsid w:val="003329FE"/>
    <w:rsid w:val="00332B2B"/>
    <w:rsid w:val="00332D17"/>
    <w:rsid w:val="00333A20"/>
    <w:rsid w:val="00337850"/>
    <w:rsid w:val="0033786B"/>
    <w:rsid w:val="00340E6D"/>
    <w:rsid w:val="0034115E"/>
    <w:rsid w:val="003415A5"/>
    <w:rsid w:val="00342C35"/>
    <w:rsid w:val="00343497"/>
    <w:rsid w:val="00344E10"/>
    <w:rsid w:val="0034768B"/>
    <w:rsid w:val="003476E5"/>
    <w:rsid w:val="00351F76"/>
    <w:rsid w:val="00352D8C"/>
    <w:rsid w:val="00355311"/>
    <w:rsid w:val="00355B61"/>
    <w:rsid w:val="00356861"/>
    <w:rsid w:val="00356FD6"/>
    <w:rsid w:val="00357E6D"/>
    <w:rsid w:val="00361C84"/>
    <w:rsid w:val="003628D1"/>
    <w:rsid w:val="00363BBF"/>
    <w:rsid w:val="00366737"/>
    <w:rsid w:val="00371CF0"/>
    <w:rsid w:val="0037218C"/>
    <w:rsid w:val="00372FFC"/>
    <w:rsid w:val="00373934"/>
    <w:rsid w:val="003773B8"/>
    <w:rsid w:val="003775C0"/>
    <w:rsid w:val="00377702"/>
    <w:rsid w:val="003813A4"/>
    <w:rsid w:val="00382082"/>
    <w:rsid w:val="00382A2E"/>
    <w:rsid w:val="0038319A"/>
    <w:rsid w:val="00384C04"/>
    <w:rsid w:val="00384E2B"/>
    <w:rsid w:val="00387C96"/>
    <w:rsid w:val="003904E1"/>
    <w:rsid w:val="00390DA9"/>
    <w:rsid w:val="003911C0"/>
    <w:rsid w:val="003913D4"/>
    <w:rsid w:val="00392A15"/>
    <w:rsid w:val="00393536"/>
    <w:rsid w:val="00394E87"/>
    <w:rsid w:val="003956DC"/>
    <w:rsid w:val="0039581A"/>
    <w:rsid w:val="00395C87"/>
    <w:rsid w:val="003A15EA"/>
    <w:rsid w:val="003A4553"/>
    <w:rsid w:val="003A4A3D"/>
    <w:rsid w:val="003B0435"/>
    <w:rsid w:val="003B1A28"/>
    <w:rsid w:val="003C51A5"/>
    <w:rsid w:val="003C6F6F"/>
    <w:rsid w:val="003D1081"/>
    <w:rsid w:val="003D37D2"/>
    <w:rsid w:val="003D3F9D"/>
    <w:rsid w:val="003E14CA"/>
    <w:rsid w:val="003E169F"/>
    <w:rsid w:val="003E427D"/>
    <w:rsid w:val="003E4E46"/>
    <w:rsid w:val="003E5406"/>
    <w:rsid w:val="003F03F5"/>
    <w:rsid w:val="003F3DE1"/>
    <w:rsid w:val="003F3F0A"/>
    <w:rsid w:val="003F692C"/>
    <w:rsid w:val="004002A4"/>
    <w:rsid w:val="00400805"/>
    <w:rsid w:val="004016F8"/>
    <w:rsid w:val="0040181A"/>
    <w:rsid w:val="004037AB"/>
    <w:rsid w:val="004043F0"/>
    <w:rsid w:val="0040489E"/>
    <w:rsid w:val="00405342"/>
    <w:rsid w:val="004066A0"/>
    <w:rsid w:val="00410A4F"/>
    <w:rsid w:val="004130D1"/>
    <w:rsid w:val="00413CFC"/>
    <w:rsid w:val="00415E0E"/>
    <w:rsid w:val="00416A1F"/>
    <w:rsid w:val="00421F88"/>
    <w:rsid w:val="00422013"/>
    <w:rsid w:val="004226D0"/>
    <w:rsid w:val="00422E58"/>
    <w:rsid w:val="004232E2"/>
    <w:rsid w:val="00424908"/>
    <w:rsid w:val="00430C93"/>
    <w:rsid w:val="00436889"/>
    <w:rsid w:val="00436F4E"/>
    <w:rsid w:val="004374D4"/>
    <w:rsid w:val="004402CF"/>
    <w:rsid w:val="004407D4"/>
    <w:rsid w:val="00444BC7"/>
    <w:rsid w:val="00444C3E"/>
    <w:rsid w:val="004460F6"/>
    <w:rsid w:val="00452469"/>
    <w:rsid w:val="00452653"/>
    <w:rsid w:val="004539DB"/>
    <w:rsid w:val="00455404"/>
    <w:rsid w:val="0045610D"/>
    <w:rsid w:val="004563FF"/>
    <w:rsid w:val="00457F38"/>
    <w:rsid w:val="00462545"/>
    <w:rsid w:val="00471DD0"/>
    <w:rsid w:val="00473C5F"/>
    <w:rsid w:val="00474C49"/>
    <w:rsid w:val="00474E2C"/>
    <w:rsid w:val="0047559E"/>
    <w:rsid w:val="00477057"/>
    <w:rsid w:val="00477E6B"/>
    <w:rsid w:val="004834EC"/>
    <w:rsid w:val="00483A04"/>
    <w:rsid w:val="00484CA9"/>
    <w:rsid w:val="00485D2E"/>
    <w:rsid w:val="00486EFD"/>
    <w:rsid w:val="00490331"/>
    <w:rsid w:val="00492438"/>
    <w:rsid w:val="00495FA6"/>
    <w:rsid w:val="004972EC"/>
    <w:rsid w:val="004A067A"/>
    <w:rsid w:val="004A0B45"/>
    <w:rsid w:val="004A1B05"/>
    <w:rsid w:val="004A2F6A"/>
    <w:rsid w:val="004A369A"/>
    <w:rsid w:val="004A3DF3"/>
    <w:rsid w:val="004A62DB"/>
    <w:rsid w:val="004A78CF"/>
    <w:rsid w:val="004B385F"/>
    <w:rsid w:val="004B4497"/>
    <w:rsid w:val="004B65B7"/>
    <w:rsid w:val="004B6BC1"/>
    <w:rsid w:val="004B75DE"/>
    <w:rsid w:val="004C009C"/>
    <w:rsid w:val="004C153B"/>
    <w:rsid w:val="004C6827"/>
    <w:rsid w:val="004C6C10"/>
    <w:rsid w:val="004D03A0"/>
    <w:rsid w:val="004D1AA2"/>
    <w:rsid w:val="004D35BD"/>
    <w:rsid w:val="004D5E7E"/>
    <w:rsid w:val="004D62A5"/>
    <w:rsid w:val="004E0F0D"/>
    <w:rsid w:val="004E1DC9"/>
    <w:rsid w:val="004E2BF5"/>
    <w:rsid w:val="004E396C"/>
    <w:rsid w:val="004E47F8"/>
    <w:rsid w:val="004E5287"/>
    <w:rsid w:val="004E5370"/>
    <w:rsid w:val="004E5595"/>
    <w:rsid w:val="004E63D5"/>
    <w:rsid w:val="004F164B"/>
    <w:rsid w:val="004F1C5C"/>
    <w:rsid w:val="004F3784"/>
    <w:rsid w:val="004F4600"/>
    <w:rsid w:val="004F4976"/>
    <w:rsid w:val="004F4AE4"/>
    <w:rsid w:val="004F4E8C"/>
    <w:rsid w:val="004F57FB"/>
    <w:rsid w:val="005012C4"/>
    <w:rsid w:val="005062B9"/>
    <w:rsid w:val="0050789B"/>
    <w:rsid w:val="00512BBB"/>
    <w:rsid w:val="0051593A"/>
    <w:rsid w:val="00522D64"/>
    <w:rsid w:val="0052312E"/>
    <w:rsid w:val="005247C2"/>
    <w:rsid w:val="00524E51"/>
    <w:rsid w:val="00526CDE"/>
    <w:rsid w:val="00526D7B"/>
    <w:rsid w:val="00542B04"/>
    <w:rsid w:val="00542BE5"/>
    <w:rsid w:val="005438D3"/>
    <w:rsid w:val="005443BF"/>
    <w:rsid w:val="005454E7"/>
    <w:rsid w:val="00546FF9"/>
    <w:rsid w:val="00551981"/>
    <w:rsid w:val="00554A60"/>
    <w:rsid w:val="00555508"/>
    <w:rsid w:val="0055624C"/>
    <w:rsid w:val="00560D29"/>
    <w:rsid w:val="00566EE6"/>
    <w:rsid w:val="0056717D"/>
    <w:rsid w:val="0056721D"/>
    <w:rsid w:val="00570935"/>
    <w:rsid w:val="0057164E"/>
    <w:rsid w:val="005749E9"/>
    <w:rsid w:val="00574AB6"/>
    <w:rsid w:val="00576566"/>
    <w:rsid w:val="005805AE"/>
    <w:rsid w:val="00581CCE"/>
    <w:rsid w:val="00581E25"/>
    <w:rsid w:val="005829C0"/>
    <w:rsid w:val="00583F4D"/>
    <w:rsid w:val="005854FD"/>
    <w:rsid w:val="00585A25"/>
    <w:rsid w:val="00591420"/>
    <w:rsid w:val="00593299"/>
    <w:rsid w:val="005950AA"/>
    <w:rsid w:val="005967BC"/>
    <w:rsid w:val="005A08B2"/>
    <w:rsid w:val="005A1970"/>
    <w:rsid w:val="005A3E6B"/>
    <w:rsid w:val="005A4B87"/>
    <w:rsid w:val="005A6FC3"/>
    <w:rsid w:val="005A7BF8"/>
    <w:rsid w:val="005B7448"/>
    <w:rsid w:val="005C5A9B"/>
    <w:rsid w:val="005C617A"/>
    <w:rsid w:val="005D04F1"/>
    <w:rsid w:val="005D2824"/>
    <w:rsid w:val="005D2C19"/>
    <w:rsid w:val="005D4EF8"/>
    <w:rsid w:val="005D7986"/>
    <w:rsid w:val="005E16BC"/>
    <w:rsid w:val="005E2483"/>
    <w:rsid w:val="005E32A7"/>
    <w:rsid w:val="005E4429"/>
    <w:rsid w:val="005E5232"/>
    <w:rsid w:val="005E5ABD"/>
    <w:rsid w:val="005F0991"/>
    <w:rsid w:val="005F1B95"/>
    <w:rsid w:val="005F2A46"/>
    <w:rsid w:val="005F2A83"/>
    <w:rsid w:val="005F3715"/>
    <w:rsid w:val="00601598"/>
    <w:rsid w:val="00605766"/>
    <w:rsid w:val="00610AC7"/>
    <w:rsid w:val="006133FB"/>
    <w:rsid w:val="00614276"/>
    <w:rsid w:val="006236F8"/>
    <w:rsid w:val="006247B5"/>
    <w:rsid w:val="00631017"/>
    <w:rsid w:val="00632706"/>
    <w:rsid w:val="00635582"/>
    <w:rsid w:val="006372DC"/>
    <w:rsid w:val="006418E6"/>
    <w:rsid w:val="00642C6E"/>
    <w:rsid w:val="006432CF"/>
    <w:rsid w:val="006434A9"/>
    <w:rsid w:val="0064399F"/>
    <w:rsid w:val="006447BA"/>
    <w:rsid w:val="00644BD7"/>
    <w:rsid w:val="006455B9"/>
    <w:rsid w:val="00646AD7"/>
    <w:rsid w:val="006539A2"/>
    <w:rsid w:val="00657C76"/>
    <w:rsid w:val="006615C9"/>
    <w:rsid w:val="0066343C"/>
    <w:rsid w:val="00664701"/>
    <w:rsid w:val="006655E6"/>
    <w:rsid w:val="006712E3"/>
    <w:rsid w:val="00672E94"/>
    <w:rsid w:val="00674E55"/>
    <w:rsid w:val="00675D7B"/>
    <w:rsid w:val="00675F8C"/>
    <w:rsid w:val="00680497"/>
    <w:rsid w:val="00681807"/>
    <w:rsid w:val="00681DF3"/>
    <w:rsid w:val="006829FE"/>
    <w:rsid w:val="0068410F"/>
    <w:rsid w:val="006842F4"/>
    <w:rsid w:val="00690F7E"/>
    <w:rsid w:val="00692874"/>
    <w:rsid w:val="00693AAA"/>
    <w:rsid w:val="00694035"/>
    <w:rsid w:val="006943E9"/>
    <w:rsid w:val="006A1AB8"/>
    <w:rsid w:val="006A5B8C"/>
    <w:rsid w:val="006A671B"/>
    <w:rsid w:val="006B009C"/>
    <w:rsid w:val="006B017A"/>
    <w:rsid w:val="006B0345"/>
    <w:rsid w:val="006B2195"/>
    <w:rsid w:val="006B2296"/>
    <w:rsid w:val="006B3FCF"/>
    <w:rsid w:val="006B546C"/>
    <w:rsid w:val="006B5931"/>
    <w:rsid w:val="006B5BA2"/>
    <w:rsid w:val="006B7240"/>
    <w:rsid w:val="006C1475"/>
    <w:rsid w:val="006C6388"/>
    <w:rsid w:val="006E0A1D"/>
    <w:rsid w:val="006E13F2"/>
    <w:rsid w:val="006E1ABC"/>
    <w:rsid w:val="006E3696"/>
    <w:rsid w:val="006E389E"/>
    <w:rsid w:val="006E5245"/>
    <w:rsid w:val="006E59FA"/>
    <w:rsid w:val="006F0996"/>
    <w:rsid w:val="006F1D33"/>
    <w:rsid w:val="006F240B"/>
    <w:rsid w:val="006F2BB0"/>
    <w:rsid w:val="006F3822"/>
    <w:rsid w:val="006F53FA"/>
    <w:rsid w:val="006F71EE"/>
    <w:rsid w:val="00700157"/>
    <w:rsid w:val="00701290"/>
    <w:rsid w:val="00701347"/>
    <w:rsid w:val="0070188C"/>
    <w:rsid w:val="00704664"/>
    <w:rsid w:val="00705E2D"/>
    <w:rsid w:val="00706B07"/>
    <w:rsid w:val="00711BC8"/>
    <w:rsid w:val="00711D5B"/>
    <w:rsid w:val="0071594B"/>
    <w:rsid w:val="00716C8D"/>
    <w:rsid w:val="00720F33"/>
    <w:rsid w:val="00722EFF"/>
    <w:rsid w:val="00724782"/>
    <w:rsid w:val="007250EC"/>
    <w:rsid w:val="00731BC0"/>
    <w:rsid w:val="00735502"/>
    <w:rsid w:val="00736D30"/>
    <w:rsid w:val="00737886"/>
    <w:rsid w:val="00737E17"/>
    <w:rsid w:val="007421F8"/>
    <w:rsid w:val="00745094"/>
    <w:rsid w:val="00747459"/>
    <w:rsid w:val="00753F15"/>
    <w:rsid w:val="00756738"/>
    <w:rsid w:val="00760E15"/>
    <w:rsid w:val="0076180C"/>
    <w:rsid w:val="00762820"/>
    <w:rsid w:val="007628CF"/>
    <w:rsid w:val="007630EE"/>
    <w:rsid w:val="007632BD"/>
    <w:rsid w:val="007651D5"/>
    <w:rsid w:val="007656D2"/>
    <w:rsid w:val="0076623A"/>
    <w:rsid w:val="00771A76"/>
    <w:rsid w:val="00777346"/>
    <w:rsid w:val="00780AE3"/>
    <w:rsid w:val="00782090"/>
    <w:rsid w:val="00782B09"/>
    <w:rsid w:val="00783F08"/>
    <w:rsid w:val="00784568"/>
    <w:rsid w:val="00786188"/>
    <w:rsid w:val="0078670F"/>
    <w:rsid w:val="0078680B"/>
    <w:rsid w:val="00786D89"/>
    <w:rsid w:val="007902B1"/>
    <w:rsid w:val="00791024"/>
    <w:rsid w:val="00791309"/>
    <w:rsid w:val="00791440"/>
    <w:rsid w:val="00793996"/>
    <w:rsid w:val="0079473A"/>
    <w:rsid w:val="00795304"/>
    <w:rsid w:val="00796ED0"/>
    <w:rsid w:val="007973A4"/>
    <w:rsid w:val="007A56C1"/>
    <w:rsid w:val="007A697F"/>
    <w:rsid w:val="007A6D1C"/>
    <w:rsid w:val="007B0010"/>
    <w:rsid w:val="007B283A"/>
    <w:rsid w:val="007B2862"/>
    <w:rsid w:val="007B30B0"/>
    <w:rsid w:val="007B35FC"/>
    <w:rsid w:val="007B3A52"/>
    <w:rsid w:val="007B44C8"/>
    <w:rsid w:val="007B4AA1"/>
    <w:rsid w:val="007C0387"/>
    <w:rsid w:val="007C067A"/>
    <w:rsid w:val="007C1D53"/>
    <w:rsid w:val="007C30D2"/>
    <w:rsid w:val="007C3BE1"/>
    <w:rsid w:val="007D0020"/>
    <w:rsid w:val="007D0636"/>
    <w:rsid w:val="007D0977"/>
    <w:rsid w:val="007D0B55"/>
    <w:rsid w:val="007D22F4"/>
    <w:rsid w:val="007D2EB0"/>
    <w:rsid w:val="007D3896"/>
    <w:rsid w:val="007D6CEC"/>
    <w:rsid w:val="007E04B0"/>
    <w:rsid w:val="007E09AE"/>
    <w:rsid w:val="007E1168"/>
    <w:rsid w:val="007E1564"/>
    <w:rsid w:val="007E6EC3"/>
    <w:rsid w:val="007E74AE"/>
    <w:rsid w:val="007F08AD"/>
    <w:rsid w:val="007F12CB"/>
    <w:rsid w:val="007F2A29"/>
    <w:rsid w:val="007F3E7D"/>
    <w:rsid w:val="007F73E4"/>
    <w:rsid w:val="007F7A62"/>
    <w:rsid w:val="0080283A"/>
    <w:rsid w:val="00802EA3"/>
    <w:rsid w:val="008035B6"/>
    <w:rsid w:val="0080418B"/>
    <w:rsid w:val="008057C0"/>
    <w:rsid w:val="00805B4C"/>
    <w:rsid w:val="00810BAA"/>
    <w:rsid w:val="0081506D"/>
    <w:rsid w:val="00815610"/>
    <w:rsid w:val="00815E90"/>
    <w:rsid w:val="00816249"/>
    <w:rsid w:val="0081794C"/>
    <w:rsid w:val="00820098"/>
    <w:rsid w:val="00822E9A"/>
    <w:rsid w:val="00824500"/>
    <w:rsid w:val="008255DE"/>
    <w:rsid w:val="008310AF"/>
    <w:rsid w:val="0083245B"/>
    <w:rsid w:val="00832E84"/>
    <w:rsid w:val="00834380"/>
    <w:rsid w:val="00835AE5"/>
    <w:rsid w:val="0083603D"/>
    <w:rsid w:val="00836AFF"/>
    <w:rsid w:val="00836F0B"/>
    <w:rsid w:val="0083758C"/>
    <w:rsid w:val="00841951"/>
    <w:rsid w:val="008434E6"/>
    <w:rsid w:val="00844460"/>
    <w:rsid w:val="00845578"/>
    <w:rsid w:val="00846352"/>
    <w:rsid w:val="00850256"/>
    <w:rsid w:val="00852DD6"/>
    <w:rsid w:val="00855CED"/>
    <w:rsid w:val="008569D6"/>
    <w:rsid w:val="00862A09"/>
    <w:rsid w:val="0086393A"/>
    <w:rsid w:val="0086563A"/>
    <w:rsid w:val="00865C3A"/>
    <w:rsid w:val="00870FD9"/>
    <w:rsid w:val="00873A22"/>
    <w:rsid w:val="00880ADA"/>
    <w:rsid w:val="00880FCD"/>
    <w:rsid w:val="00881B96"/>
    <w:rsid w:val="00891484"/>
    <w:rsid w:val="008947EB"/>
    <w:rsid w:val="00894CAF"/>
    <w:rsid w:val="00895757"/>
    <w:rsid w:val="0089625E"/>
    <w:rsid w:val="00897102"/>
    <w:rsid w:val="008972D2"/>
    <w:rsid w:val="008A0D22"/>
    <w:rsid w:val="008A2009"/>
    <w:rsid w:val="008A3C1B"/>
    <w:rsid w:val="008A5380"/>
    <w:rsid w:val="008A70B6"/>
    <w:rsid w:val="008B0B92"/>
    <w:rsid w:val="008B12FB"/>
    <w:rsid w:val="008B3DFF"/>
    <w:rsid w:val="008B4CF1"/>
    <w:rsid w:val="008B50FF"/>
    <w:rsid w:val="008B5A09"/>
    <w:rsid w:val="008B5B88"/>
    <w:rsid w:val="008B6F61"/>
    <w:rsid w:val="008C0AEF"/>
    <w:rsid w:val="008C12C8"/>
    <w:rsid w:val="008C3A5C"/>
    <w:rsid w:val="008C722E"/>
    <w:rsid w:val="008C7666"/>
    <w:rsid w:val="008D0869"/>
    <w:rsid w:val="008D280E"/>
    <w:rsid w:val="008D289A"/>
    <w:rsid w:val="008D28CE"/>
    <w:rsid w:val="008D66AC"/>
    <w:rsid w:val="008D7368"/>
    <w:rsid w:val="008E169D"/>
    <w:rsid w:val="008E2511"/>
    <w:rsid w:val="008E3811"/>
    <w:rsid w:val="008E6B08"/>
    <w:rsid w:val="008E6F1A"/>
    <w:rsid w:val="008E7506"/>
    <w:rsid w:val="008F050A"/>
    <w:rsid w:val="008F6D12"/>
    <w:rsid w:val="009017A5"/>
    <w:rsid w:val="00902A7A"/>
    <w:rsid w:val="00903384"/>
    <w:rsid w:val="009038B4"/>
    <w:rsid w:val="00905147"/>
    <w:rsid w:val="009053D8"/>
    <w:rsid w:val="00905F5F"/>
    <w:rsid w:val="00905FC7"/>
    <w:rsid w:val="00906A0E"/>
    <w:rsid w:val="00906DF9"/>
    <w:rsid w:val="00907CA4"/>
    <w:rsid w:val="009114D7"/>
    <w:rsid w:val="00911872"/>
    <w:rsid w:val="00911A11"/>
    <w:rsid w:val="00911DF6"/>
    <w:rsid w:val="009200CA"/>
    <w:rsid w:val="00921433"/>
    <w:rsid w:val="00921F66"/>
    <w:rsid w:val="0092233A"/>
    <w:rsid w:val="0092346D"/>
    <w:rsid w:val="00923E2A"/>
    <w:rsid w:val="00924D5B"/>
    <w:rsid w:val="00925F67"/>
    <w:rsid w:val="00926517"/>
    <w:rsid w:val="009322EC"/>
    <w:rsid w:val="00932318"/>
    <w:rsid w:val="00932CA2"/>
    <w:rsid w:val="00933C06"/>
    <w:rsid w:val="00936315"/>
    <w:rsid w:val="009371F8"/>
    <w:rsid w:val="00937429"/>
    <w:rsid w:val="00940FF3"/>
    <w:rsid w:val="009417D2"/>
    <w:rsid w:val="00941EDE"/>
    <w:rsid w:val="009431B1"/>
    <w:rsid w:val="009442D2"/>
    <w:rsid w:val="00945C84"/>
    <w:rsid w:val="009467A5"/>
    <w:rsid w:val="00947725"/>
    <w:rsid w:val="00951966"/>
    <w:rsid w:val="009521C3"/>
    <w:rsid w:val="009534BD"/>
    <w:rsid w:val="00953DE9"/>
    <w:rsid w:val="009543D9"/>
    <w:rsid w:val="0096005E"/>
    <w:rsid w:val="00963BDD"/>
    <w:rsid w:val="00965443"/>
    <w:rsid w:val="00966242"/>
    <w:rsid w:val="009669CE"/>
    <w:rsid w:val="009670DD"/>
    <w:rsid w:val="009702C5"/>
    <w:rsid w:val="009725AE"/>
    <w:rsid w:val="0097721A"/>
    <w:rsid w:val="00977DAB"/>
    <w:rsid w:val="0098073A"/>
    <w:rsid w:val="00982C25"/>
    <w:rsid w:val="00985174"/>
    <w:rsid w:val="0098587B"/>
    <w:rsid w:val="00985F5E"/>
    <w:rsid w:val="00987A7F"/>
    <w:rsid w:val="0099113F"/>
    <w:rsid w:val="00991A25"/>
    <w:rsid w:val="0099287E"/>
    <w:rsid w:val="00992CC3"/>
    <w:rsid w:val="00994BA3"/>
    <w:rsid w:val="009955E9"/>
    <w:rsid w:val="009958F9"/>
    <w:rsid w:val="00995B29"/>
    <w:rsid w:val="00995BA3"/>
    <w:rsid w:val="00997A86"/>
    <w:rsid w:val="009A0B34"/>
    <w:rsid w:val="009A0C08"/>
    <w:rsid w:val="009A7A81"/>
    <w:rsid w:val="009B2568"/>
    <w:rsid w:val="009B2AF4"/>
    <w:rsid w:val="009B70A7"/>
    <w:rsid w:val="009B7FDF"/>
    <w:rsid w:val="009C1DE0"/>
    <w:rsid w:val="009C4B34"/>
    <w:rsid w:val="009D4956"/>
    <w:rsid w:val="009D7C59"/>
    <w:rsid w:val="009E018B"/>
    <w:rsid w:val="009E2156"/>
    <w:rsid w:val="009E400F"/>
    <w:rsid w:val="009E7FE2"/>
    <w:rsid w:val="009F3A2D"/>
    <w:rsid w:val="009F43A1"/>
    <w:rsid w:val="009F45F7"/>
    <w:rsid w:val="009F4846"/>
    <w:rsid w:val="009F6E7F"/>
    <w:rsid w:val="009F77EF"/>
    <w:rsid w:val="00A00AC2"/>
    <w:rsid w:val="00A07326"/>
    <w:rsid w:val="00A11D13"/>
    <w:rsid w:val="00A1285B"/>
    <w:rsid w:val="00A13C13"/>
    <w:rsid w:val="00A164A7"/>
    <w:rsid w:val="00A2199F"/>
    <w:rsid w:val="00A22128"/>
    <w:rsid w:val="00A222E5"/>
    <w:rsid w:val="00A22D7E"/>
    <w:rsid w:val="00A249A2"/>
    <w:rsid w:val="00A26C9F"/>
    <w:rsid w:val="00A31A9C"/>
    <w:rsid w:val="00A333B0"/>
    <w:rsid w:val="00A3586C"/>
    <w:rsid w:val="00A42D25"/>
    <w:rsid w:val="00A43DD1"/>
    <w:rsid w:val="00A44AF1"/>
    <w:rsid w:val="00A45C0E"/>
    <w:rsid w:val="00A46774"/>
    <w:rsid w:val="00A46AFA"/>
    <w:rsid w:val="00A47647"/>
    <w:rsid w:val="00A51D20"/>
    <w:rsid w:val="00A54C0E"/>
    <w:rsid w:val="00A54CBF"/>
    <w:rsid w:val="00A5690B"/>
    <w:rsid w:val="00A61F27"/>
    <w:rsid w:val="00A62EC7"/>
    <w:rsid w:val="00A66267"/>
    <w:rsid w:val="00A66517"/>
    <w:rsid w:val="00A706AA"/>
    <w:rsid w:val="00A7475D"/>
    <w:rsid w:val="00A74A44"/>
    <w:rsid w:val="00A74FB5"/>
    <w:rsid w:val="00A751F1"/>
    <w:rsid w:val="00A7611B"/>
    <w:rsid w:val="00A7704D"/>
    <w:rsid w:val="00A80C49"/>
    <w:rsid w:val="00A81E0D"/>
    <w:rsid w:val="00A83B64"/>
    <w:rsid w:val="00A9063B"/>
    <w:rsid w:val="00A9247F"/>
    <w:rsid w:val="00A92A58"/>
    <w:rsid w:val="00A9409E"/>
    <w:rsid w:val="00A95743"/>
    <w:rsid w:val="00AA137D"/>
    <w:rsid w:val="00AA3C9F"/>
    <w:rsid w:val="00AA4F86"/>
    <w:rsid w:val="00AB00C0"/>
    <w:rsid w:val="00AB030C"/>
    <w:rsid w:val="00AB0409"/>
    <w:rsid w:val="00AB0775"/>
    <w:rsid w:val="00AB66A0"/>
    <w:rsid w:val="00AB77CA"/>
    <w:rsid w:val="00AC1A08"/>
    <w:rsid w:val="00AC3D3B"/>
    <w:rsid w:val="00AC47BA"/>
    <w:rsid w:val="00AC4BDA"/>
    <w:rsid w:val="00AC4D57"/>
    <w:rsid w:val="00AC7348"/>
    <w:rsid w:val="00AD0998"/>
    <w:rsid w:val="00AD3199"/>
    <w:rsid w:val="00AD470C"/>
    <w:rsid w:val="00AD6A4D"/>
    <w:rsid w:val="00AD73A4"/>
    <w:rsid w:val="00AE0D47"/>
    <w:rsid w:val="00AE1115"/>
    <w:rsid w:val="00AE3041"/>
    <w:rsid w:val="00AE3E9B"/>
    <w:rsid w:val="00AE4697"/>
    <w:rsid w:val="00AF09C8"/>
    <w:rsid w:val="00AF0AAC"/>
    <w:rsid w:val="00AF5054"/>
    <w:rsid w:val="00AF6571"/>
    <w:rsid w:val="00B0162E"/>
    <w:rsid w:val="00B017E1"/>
    <w:rsid w:val="00B023AA"/>
    <w:rsid w:val="00B0538D"/>
    <w:rsid w:val="00B06360"/>
    <w:rsid w:val="00B073B5"/>
    <w:rsid w:val="00B07705"/>
    <w:rsid w:val="00B112C7"/>
    <w:rsid w:val="00B11732"/>
    <w:rsid w:val="00B123A4"/>
    <w:rsid w:val="00B164B9"/>
    <w:rsid w:val="00B2017B"/>
    <w:rsid w:val="00B2117A"/>
    <w:rsid w:val="00B22679"/>
    <w:rsid w:val="00B233C0"/>
    <w:rsid w:val="00B23908"/>
    <w:rsid w:val="00B23D0A"/>
    <w:rsid w:val="00B25E1E"/>
    <w:rsid w:val="00B27895"/>
    <w:rsid w:val="00B27933"/>
    <w:rsid w:val="00B31719"/>
    <w:rsid w:val="00B33B3A"/>
    <w:rsid w:val="00B33BA6"/>
    <w:rsid w:val="00B369A0"/>
    <w:rsid w:val="00B41896"/>
    <w:rsid w:val="00B4284A"/>
    <w:rsid w:val="00B5092A"/>
    <w:rsid w:val="00B51B1C"/>
    <w:rsid w:val="00B52504"/>
    <w:rsid w:val="00B54109"/>
    <w:rsid w:val="00B578AC"/>
    <w:rsid w:val="00B57E14"/>
    <w:rsid w:val="00B610DF"/>
    <w:rsid w:val="00B6115A"/>
    <w:rsid w:val="00B61292"/>
    <w:rsid w:val="00B63032"/>
    <w:rsid w:val="00B64FFF"/>
    <w:rsid w:val="00B660BA"/>
    <w:rsid w:val="00B670D6"/>
    <w:rsid w:val="00B67467"/>
    <w:rsid w:val="00B705CA"/>
    <w:rsid w:val="00B71D16"/>
    <w:rsid w:val="00B72116"/>
    <w:rsid w:val="00B72174"/>
    <w:rsid w:val="00B72DC0"/>
    <w:rsid w:val="00B73DF0"/>
    <w:rsid w:val="00B741E1"/>
    <w:rsid w:val="00B74949"/>
    <w:rsid w:val="00B76430"/>
    <w:rsid w:val="00B766EA"/>
    <w:rsid w:val="00B76EDB"/>
    <w:rsid w:val="00B82044"/>
    <w:rsid w:val="00B82745"/>
    <w:rsid w:val="00B83B60"/>
    <w:rsid w:val="00B83D88"/>
    <w:rsid w:val="00B90B3F"/>
    <w:rsid w:val="00B93791"/>
    <w:rsid w:val="00B9540D"/>
    <w:rsid w:val="00B97402"/>
    <w:rsid w:val="00BA0AA5"/>
    <w:rsid w:val="00BA2E55"/>
    <w:rsid w:val="00BA4FA8"/>
    <w:rsid w:val="00BB1965"/>
    <w:rsid w:val="00BB2320"/>
    <w:rsid w:val="00BB413C"/>
    <w:rsid w:val="00BB65FC"/>
    <w:rsid w:val="00BB7FDA"/>
    <w:rsid w:val="00BC2C1A"/>
    <w:rsid w:val="00BC3D43"/>
    <w:rsid w:val="00BC4C72"/>
    <w:rsid w:val="00BC7C7E"/>
    <w:rsid w:val="00BD2010"/>
    <w:rsid w:val="00BD456B"/>
    <w:rsid w:val="00BD4C3A"/>
    <w:rsid w:val="00BD5CEA"/>
    <w:rsid w:val="00BD675E"/>
    <w:rsid w:val="00BD6CFE"/>
    <w:rsid w:val="00BD7D23"/>
    <w:rsid w:val="00BE0191"/>
    <w:rsid w:val="00BE0957"/>
    <w:rsid w:val="00BE265A"/>
    <w:rsid w:val="00BE2A98"/>
    <w:rsid w:val="00BE2C40"/>
    <w:rsid w:val="00BE6051"/>
    <w:rsid w:val="00BE679E"/>
    <w:rsid w:val="00BF10C4"/>
    <w:rsid w:val="00BF2A8E"/>
    <w:rsid w:val="00BF64B3"/>
    <w:rsid w:val="00C0331B"/>
    <w:rsid w:val="00C07DFF"/>
    <w:rsid w:val="00C11B0E"/>
    <w:rsid w:val="00C11E62"/>
    <w:rsid w:val="00C17392"/>
    <w:rsid w:val="00C22351"/>
    <w:rsid w:val="00C3176E"/>
    <w:rsid w:val="00C31AEB"/>
    <w:rsid w:val="00C32496"/>
    <w:rsid w:val="00C356C0"/>
    <w:rsid w:val="00C37AFD"/>
    <w:rsid w:val="00C44BD2"/>
    <w:rsid w:val="00C45116"/>
    <w:rsid w:val="00C46AE5"/>
    <w:rsid w:val="00C547DF"/>
    <w:rsid w:val="00C54952"/>
    <w:rsid w:val="00C54FD6"/>
    <w:rsid w:val="00C5538B"/>
    <w:rsid w:val="00C55FF4"/>
    <w:rsid w:val="00C61D13"/>
    <w:rsid w:val="00C625F9"/>
    <w:rsid w:val="00C63732"/>
    <w:rsid w:val="00C63D02"/>
    <w:rsid w:val="00C67DEE"/>
    <w:rsid w:val="00C7202E"/>
    <w:rsid w:val="00C73574"/>
    <w:rsid w:val="00C75EAC"/>
    <w:rsid w:val="00C775C8"/>
    <w:rsid w:val="00C8135A"/>
    <w:rsid w:val="00C83CCB"/>
    <w:rsid w:val="00C8456D"/>
    <w:rsid w:val="00C8496D"/>
    <w:rsid w:val="00C91E02"/>
    <w:rsid w:val="00C95FB4"/>
    <w:rsid w:val="00CA14B1"/>
    <w:rsid w:val="00CA241F"/>
    <w:rsid w:val="00CA252F"/>
    <w:rsid w:val="00CA7DA4"/>
    <w:rsid w:val="00CB059A"/>
    <w:rsid w:val="00CB3760"/>
    <w:rsid w:val="00CB54AD"/>
    <w:rsid w:val="00CC10BF"/>
    <w:rsid w:val="00CC33F1"/>
    <w:rsid w:val="00CC4BFD"/>
    <w:rsid w:val="00CC4E29"/>
    <w:rsid w:val="00CC5AD7"/>
    <w:rsid w:val="00CC6B2E"/>
    <w:rsid w:val="00CC6E64"/>
    <w:rsid w:val="00CC7927"/>
    <w:rsid w:val="00CD02F4"/>
    <w:rsid w:val="00CD05D7"/>
    <w:rsid w:val="00CD2DC9"/>
    <w:rsid w:val="00CE0BD3"/>
    <w:rsid w:val="00CE2216"/>
    <w:rsid w:val="00CE6943"/>
    <w:rsid w:val="00CE762D"/>
    <w:rsid w:val="00CE7703"/>
    <w:rsid w:val="00CF0190"/>
    <w:rsid w:val="00CF4EB4"/>
    <w:rsid w:val="00CF7BA0"/>
    <w:rsid w:val="00D015A3"/>
    <w:rsid w:val="00D032F0"/>
    <w:rsid w:val="00D05ED4"/>
    <w:rsid w:val="00D060C3"/>
    <w:rsid w:val="00D06346"/>
    <w:rsid w:val="00D077D0"/>
    <w:rsid w:val="00D10601"/>
    <w:rsid w:val="00D10CFD"/>
    <w:rsid w:val="00D11C19"/>
    <w:rsid w:val="00D12DF0"/>
    <w:rsid w:val="00D134D8"/>
    <w:rsid w:val="00D14630"/>
    <w:rsid w:val="00D16B2F"/>
    <w:rsid w:val="00D17F43"/>
    <w:rsid w:val="00D21349"/>
    <w:rsid w:val="00D22953"/>
    <w:rsid w:val="00D25CB3"/>
    <w:rsid w:val="00D264CC"/>
    <w:rsid w:val="00D26721"/>
    <w:rsid w:val="00D26C7E"/>
    <w:rsid w:val="00D27CEA"/>
    <w:rsid w:val="00D27DAA"/>
    <w:rsid w:val="00D30C4C"/>
    <w:rsid w:val="00D34F38"/>
    <w:rsid w:val="00D3677A"/>
    <w:rsid w:val="00D36ED4"/>
    <w:rsid w:val="00D402EC"/>
    <w:rsid w:val="00D41123"/>
    <w:rsid w:val="00D411C0"/>
    <w:rsid w:val="00D44B60"/>
    <w:rsid w:val="00D44E58"/>
    <w:rsid w:val="00D510F6"/>
    <w:rsid w:val="00D51196"/>
    <w:rsid w:val="00D54329"/>
    <w:rsid w:val="00D54EFC"/>
    <w:rsid w:val="00D5695A"/>
    <w:rsid w:val="00D62C4C"/>
    <w:rsid w:val="00D636A5"/>
    <w:rsid w:val="00D65377"/>
    <w:rsid w:val="00D70FBB"/>
    <w:rsid w:val="00D7290A"/>
    <w:rsid w:val="00D72A8C"/>
    <w:rsid w:val="00D73302"/>
    <w:rsid w:val="00D7341E"/>
    <w:rsid w:val="00D74563"/>
    <w:rsid w:val="00D811AE"/>
    <w:rsid w:val="00D81CC1"/>
    <w:rsid w:val="00D81F2B"/>
    <w:rsid w:val="00D8283D"/>
    <w:rsid w:val="00D83982"/>
    <w:rsid w:val="00D84771"/>
    <w:rsid w:val="00D84B4E"/>
    <w:rsid w:val="00D85395"/>
    <w:rsid w:val="00D87D36"/>
    <w:rsid w:val="00D90CDA"/>
    <w:rsid w:val="00D924A5"/>
    <w:rsid w:val="00D93798"/>
    <w:rsid w:val="00D945EC"/>
    <w:rsid w:val="00D95D11"/>
    <w:rsid w:val="00D95F5D"/>
    <w:rsid w:val="00D966DB"/>
    <w:rsid w:val="00DA4718"/>
    <w:rsid w:val="00DA5146"/>
    <w:rsid w:val="00DA5265"/>
    <w:rsid w:val="00DA5DED"/>
    <w:rsid w:val="00DA5F71"/>
    <w:rsid w:val="00DB1C2A"/>
    <w:rsid w:val="00DB249A"/>
    <w:rsid w:val="00DB3534"/>
    <w:rsid w:val="00DB455F"/>
    <w:rsid w:val="00DB4A77"/>
    <w:rsid w:val="00DB5CBB"/>
    <w:rsid w:val="00DB6458"/>
    <w:rsid w:val="00DB6460"/>
    <w:rsid w:val="00DB7F6F"/>
    <w:rsid w:val="00DC2BC3"/>
    <w:rsid w:val="00DC4282"/>
    <w:rsid w:val="00DC5B2D"/>
    <w:rsid w:val="00DC5EC9"/>
    <w:rsid w:val="00DC75BA"/>
    <w:rsid w:val="00DC7EF0"/>
    <w:rsid w:val="00DD4D47"/>
    <w:rsid w:val="00DD6293"/>
    <w:rsid w:val="00DD7A18"/>
    <w:rsid w:val="00DD7B93"/>
    <w:rsid w:val="00DD7FEA"/>
    <w:rsid w:val="00DE0D61"/>
    <w:rsid w:val="00DE1757"/>
    <w:rsid w:val="00DE3AB5"/>
    <w:rsid w:val="00DE5A08"/>
    <w:rsid w:val="00DE7B78"/>
    <w:rsid w:val="00DF028B"/>
    <w:rsid w:val="00DF3106"/>
    <w:rsid w:val="00DF42BA"/>
    <w:rsid w:val="00DF6CB7"/>
    <w:rsid w:val="00DF6F2E"/>
    <w:rsid w:val="00E00979"/>
    <w:rsid w:val="00E019A0"/>
    <w:rsid w:val="00E04406"/>
    <w:rsid w:val="00E0793D"/>
    <w:rsid w:val="00E1146F"/>
    <w:rsid w:val="00E12C27"/>
    <w:rsid w:val="00E201A7"/>
    <w:rsid w:val="00E21BAA"/>
    <w:rsid w:val="00E22133"/>
    <w:rsid w:val="00E22AEC"/>
    <w:rsid w:val="00E23C8F"/>
    <w:rsid w:val="00E27D8E"/>
    <w:rsid w:val="00E35249"/>
    <w:rsid w:val="00E37A7F"/>
    <w:rsid w:val="00E40BEE"/>
    <w:rsid w:val="00E40D42"/>
    <w:rsid w:val="00E41FAB"/>
    <w:rsid w:val="00E424E1"/>
    <w:rsid w:val="00E4582B"/>
    <w:rsid w:val="00E460EA"/>
    <w:rsid w:val="00E462D2"/>
    <w:rsid w:val="00E46A5D"/>
    <w:rsid w:val="00E47948"/>
    <w:rsid w:val="00E50A84"/>
    <w:rsid w:val="00E5181A"/>
    <w:rsid w:val="00E571F9"/>
    <w:rsid w:val="00E6117B"/>
    <w:rsid w:val="00E65C59"/>
    <w:rsid w:val="00E71C1B"/>
    <w:rsid w:val="00E72A5C"/>
    <w:rsid w:val="00E72FE7"/>
    <w:rsid w:val="00E734E9"/>
    <w:rsid w:val="00E73A3C"/>
    <w:rsid w:val="00E73CCC"/>
    <w:rsid w:val="00E755D9"/>
    <w:rsid w:val="00E9296A"/>
    <w:rsid w:val="00E9308C"/>
    <w:rsid w:val="00E93163"/>
    <w:rsid w:val="00E94D18"/>
    <w:rsid w:val="00E95850"/>
    <w:rsid w:val="00E9602D"/>
    <w:rsid w:val="00E96988"/>
    <w:rsid w:val="00E973B7"/>
    <w:rsid w:val="00E97F02"/>
    <w:rsid w:val="00EA10AE"/>
    <w:rsid w:val="00EA1992"/>
    <w:rsid w:val="00EA2C28"/>
    <w:rsid w:val="00EA49A7"/>
    <w:rsid w:val="00EA534F"/>
    <w:rsid w:val="00EA5579"/>
    <w:rsid w:val="00EA6561"/>
    <w:rsid w:val="00EA747F"/>
    <w:rsid w:val="00EA7D65"/>
    <w:rsid w:val="00EB0099"/>
    <w:rsid w:val="00EB0FD7"/>
    <w:rsid w:val="00EB292B"/>
    <w:rsid w:val="00EB418B"/>
    <w:rsid w:val="00EB47CF"/>
    <w:rsid w:val="00EB49B5"/>
    <w:rsid w:val="00EB6925"/>
    <w:rsid w:val="00EB6BD7"/>
    <w:rsid w:val="00ED0700"/>
    <w:rsid w:val="00ED0B6E"/>
    <w:rsid w:val="00ED1284"/>
    <w:rsid w:val="00ED1463"/>
    <w:rsid w:val="00ED404C"/>
    <w:rsid w:val="00ED404E"/>
    <w:rsid w:val="00ED41CD"/>
    <w:rsid w:val="00ED65AD"/>
    <w:rsid w:val="00ED6BB9"/>
    <w:rsid w:val="00ED6E6B"/>
    <w:rsid w:val="00EE060F"/>
    <w:rsid w:val="00EE0C51"/>
    <w:rsid w:val="00EE0F54"/>
    <w:rsid w:val="00EE170D"/>
    <w:rsid w:val="00EE1D1E"/>
    <w:rsid w:val="00EE1E42"/>
    <w:rsid w:val="00EE44D6"/>
    <w:rsid w:val="00EE496B"/>
    <w:rsid w:val="00EE6A58"/>
    <w:rsid w:val="00EE74FC"/>
    <w:rsid w:val="00EE7501"/>
    <w:rsid w:val="00EF0933"/>
    <w:rsid w:val="00EF0A68"/>
    <w:rsid w:val="00EF1731"/>
    <w:rsid w:val="00EF4DD6"/>
    <w:rsid w:val="00EF6887"/>
    <w:rsid w:val="00EF7245"/>
    <w:rsid w:val="00EF73CB"/>
    <w:rsid w:val="00F02C06"/>
    <w:rsid w:val="00F0630D"/>
    <w:rsid w:val="00F06433"/>
    <w:rsid w:val="00F113BA"/>
    <w:rsid w:val="00F11DB7"/>
    <w:rsid w:val="00F11E3C"/>
    <w:rsid w:val="00F11E4E"/>
    <w:rsid w:val="00F11EFD"/>
    <w:rsid w:val="00F12669"/>
    <w:rsid w:val="00F12744"/>
    <w:rsid w:val="00F136CF"/>
    <w:rsid w:val="00F14A88"/>
    <w:rsid w:val="00F14E87"/>
    <w:rsid w:val="00F15752"/>
    <w:rsid w:val="00F25ABC"/>
    <w:rsid w:val="00F26056"/>
    <w:rsid w:val="00F30444"/>
    <w:rsid w:val="00F31B92"/>
    <w:rsid w:val="00F328BE"/>
    <w:rsid w:val="00F35F45"/>
    <w:rsid w:val="00F378A8"/>
    <w:rsid w:val="00F40F51"/>
    <w:rsid w:val="00F419EC"/>
    <w:rsid w:val="00F423FA"/>
    <w:rsid w:val="00F43640"/>
    <w:rsid w:val="00F46D7F"/>
    <w:rsid w:val="00F46DEC"/>
    <w:rsid w:val="00F46EBB"/>
    <w:rsid w:val="00F473D7"/>
    <w:rsid w:val="00F47890"/>
    <w:rsid w:val="00F47B14"/>
    <w:rsid w:val="00F545D5"/>
    <w:rsid w:val="00F56A77"/>
    <w:rsid w:val="00F56D4A"/>
    <w:rsid w:val="00F57149"/>
    <w:rsid w:val="00F57399"/>
    <w:rsid w:val="00F60270"/>
    <w:rsid w:val="00F61856"/>
    <w:rsid w:val="00F625C0"/>
    <w:rsid w:val="00F6267A"/>
    <w:rsid w:val="00F627F2"/>
    <w:rsid w:val="00F6355A"/>
    <w:rsid w:val="00F6391F"/>
    <w:rsid w:val="00F64DB1"/>
    <w:rsid w:val="00F6580B"/>
    <w:rsid w:val="00F65DC4"/>
    <w:rsid w:val="00F65FDB"/>
    <w:rsid w:val="00F67879"/>
    <w:rsid w:val="00F7003C"/>
    <w:rsid w:val="00F71668"/>
    <w:rsid w:val="00F71F1C"/>
    <w:rsid w:val="00F723F1"/>
    <w:rsid w:val="00F74DFC"/>
    <w:rsid w:val="00F76385"/>
    <w:rsid w:val="00F77C23"/>
    <w:rsid w:val="00F80D8C"/>
    <w:rsid w:val="00F84020"/>
    <w:rsid w:val="00F845AA"/>
    <w:rsid w:val="00F845CE"/>
    <w:rsid w:val="00F872D4"/>
    <w:rsid w:val="00F87444"/>
    <w:rsid w:val="00F91A1A"/>
    <w:rsid w:val="00F92939"/>
    <w:rsid w:val="00F94E42"/>
    <w:rsid w:val="00F95147"/>
    <w:rsid w:val="00F95DB1"/>
    <w:rsid w:val="00F95F5C"/>
    <w:rsid w:val="00F9733D"/>
    <w:rsid w:val="00F9744D"/>
    <w:rsid w:val="00F97B2E"/>
    <w:rsid w:val="00FA1629"/>
    <w:rsid w:val="00FA2FB7"/>
    <w:rsid w:val="00FA2FF9"/>
    <w:rsid w:val="00FA37C4"/>
    <w:rsid w:val="00FA4C63"/>
    <w:rsid w:val="00FA4F5B"/>
    <w:rsid w:val="00FA7D87"/>
    <w:rsid w:val="00FB130B"/>
    <w:rsid w:val="00FC03A2"/>
    <w:rsid w:val="00FC0998"/>
    <w:rsid w:val="00FC18D1"/>
    <w:rsid w:val="00FC1DB0"/>
    <w:rsid w:val="00FC4557"/>
    <w:rsid w:val="00FC572E"/>
    <w:rsid w:val="00FD20EA"/>
    <w:rsid w:val="00FD3AC3"/>
    <w:rsid w:val="00FD444C"/>
    <w:rsid w:val="00FD7E5B"/>
    <w:rsid w:val="00FE0A5E"/>
    <w:rsid w:val="00FE1416"/>
    <w:rsid w:val="00FE3ADD"/>
    <w:rsid w:val="00FE4B15"/>
    <w:rsid w:val="00FF2F25"/>
    <w:rsid w:val="00FF4BD6"/>
    <w:rsid w:val="00FF5D91"/>
    <w:rsid w:val="00FF61B6"/>
    <w:rsid w:val="00FF78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09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977"/>
    <w:rPr>
      <w:rFonts w:ascii="Tahoma" w:hAnsi="Tahoma" w:cs="Tahoma"/>
      <w:sz w:val="16"/>
      <w:szCs w:val="16"/>
    </w:rPr>
  </w:style>
  <w:style w:type="paragraph" w:styleId="NormalWeb">
    <w:name w:val="Normal (Web)"/>
    <w:basedOn w:val="Normal"/>
    <w:uiPriority w:val="99"/>
    <w:unhideWhenUsed/>
    <w:rsid w:val="007D09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796ED0"/>
    <w:pPr>
      <w:ind w:left="720"/>
      <w:contextualSpacing/>
    </w:pPr>
  </w:style>
  <w:style w:type="paragraph" w:styleId="Header">
    <w:name w:val="header"/>
    <w:basedOn w:val="Normal"/>
    <w:link w:val="HeaderChar"/>
    <w:uiPriority w:val="99"/>
    <w:unhideWhenUsed/>
    <w:rsid w:val="00FD7E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7E5B"/>
  </w:style>
  <w:style w:type="paragraph" w:styleId="Footer">
    <w:name w:val="footer"/>
    <w:basedOn w:val="Normal"/>
    <w:link w:val="FooterChar"/>
    <w:uiPriority w:val="99"/>
    <w:unhideWhenUsed/>
    <w:rsid w:val="00FD7E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7E5B"/>
  </w:style>
  <w:style w:type="paragraph" w:customStyle="1" w:styleId="Normail">
    <w:name w:val="Normail"/>
    <w:basedOn w:val="PlainText"/>
    <w:link w:val="NormailChar"/>
    <w:rsid w:val="0016578F"/>
    <w:rPr>
      <w:rFonts w:ascii="Arial" w:eastAsia="Times New Roman" w:hAnsi="Arial" w:cs="Times New Roman"/>
      <w:sz w:val="22"/>
      <w:szCs w:val="20"/>
    </w:rPr>
  </w:style>
  <w:style w:type="character" w:customStyle="1" w:styleId="NormailChar">
    <w:name w:val="Normail Char"/>
    <w:link w:val="Normail"/>
    <w:rsid w:val="0016578F"/>
    <w:rPr>
      <w:rFonts w:ascii="Arial" w:eastAsia="Times New Roman" w:hAnsi="Arial" w:cs="Times New Roman"/>
      <w:szCs w:val="20"/>
    </w:rPr>
  </w:style>
  <w:style w:type="paragraph" w:styleId="PlainText">
    <w:name w:val="Plain Text"/>
    <w:basedOn w:val="Normal"/>
    <w:link w:val="PlainTextChar"/>
    <w:uiPriority w:val="99"/>
    <w:unhideWhenUsed/>
    <w:rsid w:val="0016578F"/>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16578F"/>
    <w:rPr>
      <w:rFonts w:ascii="Consolas" w:hAnsi="Consolas" w:cs="Consolas"/>
      <w:sz w:val="21"/>
      <w:szCs w:val="21"/>
    </w:rPr>
  </w:style>
  <w:style w:type="character" w:styleId="Emphasis">
    <w:name w:val="Emphasis"/>
    <w:basedOn w:val="DefaultParagraphFont"/>
    <w:uiPriority w:val="20"/>
    <w:qFormat/>
    <w:rsid w:val="00A46774"/>
    <w:rPr>
      <w:i/>
      <w:iCs/>
    </w:rPr>
  </w:style>
  <w:style w:type="character" w:styleId="LineNumber">
    <w:name w:val="line number"/>
    <w:basedOn w:val="DefaultParagraphFont"/>
    <w:uiPriority w:val="99"/>
    <w:semiHidden/>
    <w:unhideWhenUsed/>
    <w:rsid w:val="003913D4"/>
  </w:style>
  <w:style w:type="paragraph" w:styleId="FootnoteText">
    <w:name w:val="footnote text"/>
    <w:basedOn w:val="Normal"/>
    <w:link w:val="FootnoteTextChar"/>
    <w:uiPriority w:val="99"/>
    <w:semiHidden/>
    <w:unhideWhenUsed/>
    <w:rsid w:val="001131C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31C5"/>
    <w:rPr>
      <w:sz w:val="20"/>
      <w:szCs w:val="20"/>
    </w:rPr>
  </w:style>
  <w:style w:type="character" w:styleId="FootnoteReference">
    <w:name w:val="footnote reference"/>
    <w:basedOn w:val="DefaultParagraphFont"/>
    <w:uiPriority w:val="99"/>
    <w:semiHidden/>
    <w:unhideWhenUsed/>
    <w:rsid w:val="001131C5"/>
    <w:rPr>
      <w:vertAlign w:val="superscript"/>
    </w:rPr>
  </w:style>
  <w:style w:type="table" w:styleId="TableGrid">
    <w:name w:val="Table Grid"/>
    <w:basedOn w:val="TableNormal"/>
    <w:uiPriority w:val="59"/>
    <w:rsid w:val="00D13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0789B"/>
    <w:rPr>
      <w:color w:val="0000FF"/>
      <w:u w:val="single"/>
    </w:rPr>
  </w:style>
  <w:style w:type="character" w:styleId="CommentReference">
    <w:name w:val="annotation reference"/>
    <w:basedOn w:val="DefaultParagraphFont"/>
    <w:uiPriority w:val="99"/>
    <w:semiHidden/>
    <w:unhideWhenUsed/>
    <w:rsid w:val="001D384D"/>
    <w:rPr>
      <w:sz w:val="16"/>
      <w:szCs w:val="16"/>
    </w:rPr>
  </w:style>
  <w:style w:type="paragraph" w:styleId="CommentText">
    <w:name w:val="annotation text"/>
    <w:basedOn w:val="Normal"/>
    <w:link w:val="CommentTextChar"/>
    <w:uiPriority w:val="99"/>
    <w:semiHidden/>
    <w:unhideWhenUsed/>
    <w:rsid w:val="001D384D"/>
    <w:pPr>
      <w:spacing w:line="240" w:lineRule="auto"/>
    </w:pPr>
    <w:rPr>
      <w:sz w:val="20"/>
      <w:szCs w:val="20"/>
    </w:rPr>
  </w:style>
  <w:style w:type="character" w:customStyle="1" w:styleId="CommentTextChar">
    <w:name w:val="Comment Text Char"/>
    <w:basedOn w:val="DefaultParagraphFont"/>
    <w:link w:val="CommentText"/>
    <w:uiPriority w:val="99"/>
    <w:semiHidden/>
    <w:rsid w:val="001D384D"/>
    <w:rPr>
      <w:sz w:val="20"/>
      <w:szCs w:val="20"/>
    </w:rPr>
  </w:style>
  <w:style w:type="paragraph" w:styleId="CommentSubject">
    <w:name w:val="annotation subject"/>
    <w:basedOn w:val="CommentText"/>
    <w:next w:val="CommentText"/>
    <w:link w:val="CommentSubjectChar"/>
    <w:uiPriority w:val="99"/>
    <w:semiHidden/>
    <w:unhideWhenUsed/>
    <w:rsid w:val="00D264CC"/>
    <w:rPr>
      <w:b/>
      <w:bCs/>
    </w:rPr>
  </w:style>
  <w:style w:type="character" w:customStyle="1" w:styleId="CommentSubjectChar">
    <w:name w:val="Comment Subject Char"/>
    <w:basedOn w:val="CommentTextChar"/>
    <w:link w:val="CommentSubject"/>
    <w:uiPriority w:val="99"/>
    <w:semiHidden/>
    <w:rsid w:val="00D264CC"/>
    <w:rPr>
      <w:b/>
      <w:bCs/>
      <w:sz w:val="20"/>
      <w:szCs w:val="20"/>
    </w:rPr>
  </w:style>
  <w:style w:type="character" w:customStyle="1" w:styleId="apple-converted-space">
    <w:name w:val="apple-converted-space"/>
    <w:basedOn w:val="DefaultParagraphFont"/>
    <w:rsid w:val="00B31719"/>
  </w:style>
  <w:style w:type="character" w:styleId="BookTitle">
    <w:name w:val="Book Title"/>
    <w:basedOn w:val="DefaultParagraphFont"/>
    <w:uiPriority w:val="33"/>
    <w:qFormat/>
    <w:rsid w:val="00BA2E55"/>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09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977"/>
    <w:rPr>
      <w:rFonts w:ascii="Tahoma" w:hAnsi="Tahoma" w:cs="Tahoma"/>
      <w:sz w:val="16"/>
      <w:szCs w:val="16"/>
    </w:rPr>
  </w:style>
  <w:style w:type="paragraph" w:styleId="NormalWeb">
    <w:name w:val="Normal (Web)"/>
    <w:basedOn w:val="Normal"/>
    <w:uiPriority w:val="99"/>
    <w:unhideWhenUsed/>
    <w:rsid w:val="007D09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796ED0"/>
    <w:pPr>
      <w:ind w:left="720"/>
      <w:contextualSpacing/>
    </w:pPr>
  </w:style>
  <w:style w:type="paragraph" w:styleId="Header">
    <w:name w:val="header"/>
    <w:basedOn w:val="Normal"/>
    <w:link w:val="HeaderChar"/>
    <w:uiPriority w:val="99"/>
    <w:unhideWhenUsed/>
    <w:rsid w:val="00FD7E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7E5B"/>
  </w:style>
  <w:style w:type="paragraph" w:styleId="Footer">
    <w:name w:val="footer"/>
    <w:basedOn w:val="Normal"/>
    <w:link w:val="FooterChar"/>
    <w:uiPriority w:val="99"/>
    <w:unhideWhenUsed/>
    <w:rsid w:val="00FD7E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7E5B"/>
  </w:style>
  <w:style w:type="paragraph" w:customStyle="1" w:styleId="Normail">
    <w:name w:val="Normail"/>
    <w:basedOn w:val="PlainText"/>
    <w:link w:val="NormailChar"/>
    <w:rsid w:val="0016578F"/>
    <w:rPr>
      <w:rFonts w:ascii="Arial" w:eastAsia="Times New Roman" w:hAnsi="Arial" w:cs="Times New Roman"/>
      <w:sz w:val="22"/>
      <w:szCs w:val="20"/>
    </w:rPr>
  </w:style>
  <w:style w:type="character" w:customStyle="1" w:styleId="NormailChar">
    <w:name w:val="Normail Char"/>
    <w:link w:val="Normail"/>
    <w:rsid w:val="0016578F"/>
    <w:rPr>
      <w:rFonts w:ascii="Arial" w:eastAsia="Times New Roman" w:hAnsi="Arial" w:cs="Times New Roman"/>
      <w:szCs w:val="20"/>
    </w:rPr>
  </w:style>
  <w:style w:type="paragraph" w:styleId="PlainText">
    <w:name w:val="Plain Text"/>
    <w:basedOn w:val="Normal"/>
    <w:link w:val="PlainTextChar"/>
    <w:uiPriority w:val="99"/>
    <w:unhideWhenUsed/>
    <w:rsid w:val="0016578F"/>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16578F"/>
    <w:rPr>
      <w:rFonts w:ascii="Consolas" w:hAnsi="Consolas" w:cs="Consolas"/>
      <w:sz w:val="21"/>
      <w:szCs w:val="21"/>
    </w:rPr>
  </w:style>
  <w:style w:type="character" w:styleId="Emphasis">
    <w:name w:val="Emphasis"/>
    <w:basedOn w:val="DefaultParagraphFont"/>
    <w:uiPriority w:val="20"/>
    <w:qFormat/>
    <w:rsid w:val="00A46774"/>
    <w:rPr>
      <w:i/>
      <w:iCs/>
    </w:rPr>
  </w:style>
  <w:style w:type="character" w:styleId="LineNumber">
    <w:name w:val="line number"/>
    <w:basedOn w:val="DefaultParagraphFont"/>
    <w:uiPriority w:val="99"/>
    <w:semiHidden/>
    <w:unhideWhenUsed/>
    <w:rsid w:val="003913D4"/>
  </w:style>
  <w:style w:type="paragraph" w:styleId="FootnoteText">
    <w:name w:val="footnote text"/>
    <w:basedOn w:val="Normal"/>
    <w:link w:val="FootnoteTextChar"/>
    <w:uiPriority w:val="99"/>
    <w:semiHidden/>
    <w:unhideWhenUsed/>
    <w:rsid w:val="001131C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31C5"/>
    <w:rPr>
      <w:sz w:val="20"/>
      <w:szCs w:val="20"/>
    </w:rPr>
  </w:style>
  <w:style w:type="character" w:styleId="FootnoteReference">
    <w:name w:val="footnote reference"/>
    <w:basedOn w:val="DefaultParagraphFont"/>
    <w:uiPriority w:val="99"/>
    <w:semiHidden/>
    <w:unhideWhenUsed/>
    <w:rsid w:val="001131C5"/>
    <w:rPr>
      <w:vertAlign w:val="superscript"/>
    </w:rPr>
  </w:style>
  <w:style w:type="table" w:styleId="TableGrid">
    <w:name w:val="Table Grid"/>
    <w:basedOn w:val="TableNormal"/>
    <w:uiPriority w:val="59"/>
    <w:rsid w:val="00D13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0789B"/>
    <w:rPr>
      <w:color w:val="0000FF"/>
      <w:u w:val="single"/>
    </w:rPr>
  </w:style>
  <w:style w:type="character" w:styleId="CommentReference">
    <w:name w:val="annotation reference"/>
    <w:basedOn w:val="DefaultParagraphFont"/>
    <w:uiPriority w:val="99"/>
    <w:semiHidden/>
    <w:unhideWhenUsed/>
    <w:rsid w:val="001D384D"/>
    <w:rPr>
      <w:sz w:val="16"/>
      <w:szCs w:val="16"/>
    </w:rPr>
  </w:style>
  <w:style w:type="paragraph" w:styleId="CommentText">
    <w:name w:val="annotation text"/>
    <w:basedOn w:val="Normal"/>
    <w:link w:val="CommentTextChar"/>
    <w:uiPriority w:val="99"/>
    <w:semiHidden/>
    <w:unhideWhenUsed/>
    <w:rsid w:val="001D384D"/>
    <w:pPr>
      <w:spacing w:line="240" w:lineRule="auto"/>
    </w:pPr>
    <w:rPr>
      <w:sz w:val="20"/>
      <w:szCs w:val="20"/>
    </w:rPr>
  </w:style>
  <w:style w:type="character" w:customStyle="1" w:styleId="CommentTextChar">
    <w:name w:val="Comment Text Char"/>
    <w:basedOn w:val="DefaultParagraphFont"/>
    <w:link w:val="CommentText"/>
    <w:uiPriority w:val="99"/>
    <w:semiHidden/>
    <w:rsid w:val="001D384D"/>
    <w:rPr>
      <w:sz w:val="20"/>
      <w:szCs w:val="20"/>
    </w:rPr>
  </w:style>
  <w:style w:type="paragraph" w:styleId="CommentSubject">
    <w:name w:val="annotation subject"/>
    <w:basedOn w:val="CommentText"/>
    <w:next w:val="CommentText"/>
    <w:link w:val="CommentSubjectChar"/>
    <w:uiPriority w:val="99"/>
    <w:semiHidden/>
    <w:unhideWhenUsed/>
    <w:rsid w:val="00D264CC"/>
    <w:rPr>
      <w:b/>
      <w:bCs/>
    </w:rPr>
  </w:style>
  <w:style w:type="character" w:customStyle="1" w:styleId="CommentSubjectChar">
    <w:name w:val="Comment Subject Char"/>
    <w:basedOn w:val="CommentTextChar"/>
    <w:link w:val="CommentSubject"/>
    <w:uiPriority w:val="99"/>
    <w:semiHidden/>
    <w:rsid w:val="00D264CC"/>
    <w:rPr>
      <w:b/>
      <w:bCs/>
      <w:sz w:val="20"/>
      <w:szCs w:val="20"/>
    </w:rPr>
  </w:style>
  <w:style w:type="character" w:customStyle="1" w:styleId="apple-converted-space">
    <w:name w:val="apple-converted-space"/>
    <w:basedOn w:val="DefaultParagraphFont"/>
    <w:rsid w:val="00B31719"/>
  </w:style>
  <w:style w:type="character" w:styleId="BookTitle">
    <w:name w:val="Book Title"/>
    <w:basedOn w:val="DefaultParagraphFont"/>
    <w:uiPriority w:val="33"/>
    <w:qFormat/>
    <w:rsid w:val="00BA2E55"/>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42509">
      <w:bodyDiv w:val="1"/>
      <w:marLeft w:val="0"/>
      <w:marRight w:val="0"/>
      <w:marTop w:val="0"/>
      <w:marBottom w:val="0"/>
      <w:divBdr>
        <w:top w:val="none" w:sz="0" w:space="0" w:color="auto"/>
        <w:left w:val="none" w:sz="0" w:space="0" w:color="auto"/>
        <w:bottom w:val="none" w:sz="0" w:space="0" w:color="auto"/>
        <w:right w:val="none" w:sz="0" w:space="0" w:color="auto"/>
      </w:divBdr>
    </w:div>
    <w:div w:id="45765952">
      <w:bodyDiv w:val="1"/>
      <w:marLeft w:val="0"/>
      <w:marRight w:val="0"/>
      <w:marTop w:val="0"/>
      <w:marBottom w:val="0"/>
      <w:divBdr>
        <w:top w:val="none" w:sz="0" w:space="0" w:color="auto"/>
        <w:left w:val="none" w:sz="0" w:space="0" w:color="auto"/>
        <w:bottom w:val="none" w:sz="0" w:space="0" w:color="auto"/>
        <w:right w:val="none" w:sz="0" w:space="0" w:color="auto"/>
      </w:divBdr>
    </w:div>
    <w:div w:id="122042850">
      <w:bodyDiv w:val="1"/>
      <w:marLeft w:val="0"/>
      <w:marRight w:val="0"/>
      <w:marTop w:val="0"/>
      <w:marBottom w:val="0"/>
      <w:divBdr>
        <w:top w:val="none" w:sz="0" w:space="0" w:color="auto"/>
        <w:left w:val="none" w:sz="0" w:space="0" w:color="auto"/>
        <w:bottom w:val="none" w:sz="0" w:space="0" w:color="auto"/>
        <w:right w:val="none" w:sz="0" w:space="0" w:color="auto"/>
      </w:divBdr>
    </w:div>
    <w:div w:id="149374437">
      <w:bodyDiv w:val="1"/>
      <w:marLeft w:val="0"/>
      <w:marRight w:val="0"/>
      <w:marTop w:val="0"/>
      <w:marBottom w:val="0"/>
      <w:divBdr>
        <w:top w:val="none" w:sz="0" w:space="0" w:color="auto"/>
        <w:left w:val="none" w:sz="0" w:space="0" w:color="auto"/>
        <w:bottom w:val="none" w:sz="0" w:space="0" w:color="auto"/>
        <w:right w:val="none" w:sz="0" w:space="0" w:color="auto"/>
      </w:divBdr>
    </w:div>
    <w:div w:id="155535381">
      <w:bodyDiv w:val="1"/>
      <w:marLeft w:val="0"/>
      <w:marRight w:val="0"/>
      <w:marTop w:val="0"/>
      <w:marBottom w:val="0"/>
      <w:divBdr>
        <w:top w:val="none" w:sz="0" w:space="0" w:color="auto"/>
        <w:left w:val="none" w:sz="0" w:space="0" w:color="auto"/>
        <w:bottom w:val="none" w:sz="0" w:space="0" w:color="auto"/>
        <w:right w:val="none" w:sz="0" w:space="0" w:color="auto"/>
      </w:divBdr>
    </w:div>
    <w:div w:id="194389976">
      <w:bodyDiv w:val="1"/>
      <w:marLeft w:val="0"/>
      <w:marRight w:val="0"/>
      <w:marTop w:val="0"/>
      <w:marBottom w:val="0"/>
      <w:divBdr>
        <w:top w:val="none" w:sz="0" w:space="0" w:color="auto"/>
        <w:left w:val="none" w:sz="0" w:space="0" w:color="auto"/>
        <w:bottom w:val="none" w:sz="0" w:space="0" w:color="auto"/>
        <w:right w:val="none" w:sz="0" w:space="0" w:color="auto"/>
      </w:divBdr>
    </w:div>
    <w:div w:id="237180212">
      <w:bodyDiv w:val="1"/>
      <w:marLeft w:val="0"/>
      <w:marRight w:val="0"/>
      <w:marTop w:val="0"/>
      <w:marBottom w:val="0"/>
      <w:divBdr>
        <w:top w:val="none" w:sz="0" w:space="0" w:color="auto"/>
        <w:left w:val="none" w:sz="0" w:space="0" w:color="auto"/>
        <w:bottom w:val="none" w:sz="0" w:space="0" w:color="auto"/>
        <w:right w:val="none" w:sz="0" w:space="0" w:color="auto"/>
      </w:divBdr>
    </w:div>
    <w:div w:id="240144013">
      <w:bodyDiv w:val="1"/>
      <w:marLeft w:val="0"/>
      <w:marRight w:val="0"/>
      <w:marTop w:val="0"/>
      <w:marBottom w:val="0"/>
      <w:divBdr>
        <w:top w:val="none" w:sz="0" w:space="0" w:color="auto"/>
        <w:left w:val="none" w:sz="0" w:space="0" w:color="auto"/>
        <w:bottom w:val="none" w:sz="0" w:space="0" w:color="auto"/>
        <w:right w:val="none" w:sz="0" w:space="0" w:color="auto"/>
      </w:divBdr>
    </w:div>
    <w:div w:id="370959366">
      <w:bodyDiv w:val="1"/>
      <w:marLeft w:val="0"/>
      <w:marRight w:val="0"/>
      <w:marTop w:val="0"/>
      <w:marBottom w:val="0"/>
      <w:divBdr>
        <w:top w:val="none" w:sz="0" w:space="0" w:color="auto"/>
        <w:left w:val="none" w:sz="0" w:space="0" w:color="auto"/>
        <w:bottom w:val="none" w:sz="0" w:space="0" w:color="auto"/>
        <w:right w:val="none" w:sz="0" w:space="0" w:color="auto"/>
      </w:divBdr>
    </w:div>
    <w:div w:id="374358418">
      <w:bodyDiv w:val="1"/>
      <w:marLeft w:val="0"/>
      <w:marRight w:val="0"/>
      <w:marTop w:val="0"/>
      <w:marBottom w:val="0"/>
      <w:divBdr>
        <w:top w:val="none" w:sz="0" w:space="0" w:color="auto"/>
        <w:left w:val="none" w:sz="0" w:space="0" w:color="auto"/>
        <w:bottom w:val="none" w:sz="0" w:space="0" w:color="auto"/>
        <w:right w:val="none" w:sz="0" w:space="0" w:color="auto"/>
      </w:divBdr>
    </w:div>
    <w:div w:id="387269212">
      <w:bodyDiv w:val="1"/>
      <w:marLeft w:val="0"/>
      <w:marRight w:val="0"/>
      <w:marTop w:val="0"/>
      <w:marBottom w:val="0"/>
      <w:divBdr>
        <w:top w:val="none" w:sz="0" w:space="0" w:color="auto"/>
        <w:left w:val="none" w:sz="0" w:space="0" w:color="auto"/>
        <w:bottom w:val="none" w:sz="0" w:space="0" w:color="auto"/>
        <w:right w:val="none" w:sz="0" w:space="0" w:color="auto"/>
      </w:divBdr>
    </w:div>
    <w:div w:id="535627346">
      <w:bodyDiv w:val="1"/>
      <w:marLeft w:val="0"/>
      <w:marRight w:val="0"/>
      <w:marTop w:val="0"/>
      <w:marBottom w:val="0"/>
      <w:divBdr>
        <w:top w:val="none" w:sz="0" w:space="0" w:color="auto"/>
        <w:left w:val="none" w:sz="0" w:space="0" w:color="auto"/>
        <w:bottom w:val="none" w:sz="0" w:space="0" w:color="auto"/>
        <w:right w:val="none" w:sz="0" w:space="0" w:color="auto"/>
      </w:divBdr>
    </w:div>
    <w:div w:id="555971973">
      <w:bodyDiv w:val="1"/>
      <w:marLeft w:val="0"/>
      <w:marRight w:val="0"/>
      <w:marTop w:val="0"/>
      <w:marBottom w:val="0"/>
      <w:divBdr>
        <w:top w:val="none" w:sz="0" w:space="0" w:color="auto"/>
        <w:left w:val="none" w:sz="0" w:space="0" w:color="auto"/>
        <w:bottom w:val="none" w:sz="0" w:space="0" w:color="auto"/>
        <w:right w:val="none" w:sz="0" w:space="0" w:color="auto"/>
      </w:divBdr>
    </w:div>
    <w:div w:id="590089746">
      <w:bodyDiv w:val="1"/>
      <w:marLeft w:val="0"/>
      <w:marRight w:val="0"/>
      <w:marTop w:val="0"/>
      <w:marBottom w:val="0"/>
      <w:divBdr>
        <w:top w:val="none" w:sz="0" w:space="0" w:color="auto"/>
        <w:left w:val="none" w:sz="0" w:space="0" w:color="auto"/>
        <w:bottom w:val="none" w:sz="0" w:space="0" w:color="auto"/>
        <w:right w:val="none" w:sz="0" w:space="0" w:color="auto"/>
      </w:divBdr>
    </w:div>
    <w:div w:id="750389714">
      <w:bodyDiv w:val="1"/>
      <w:marLeft w:val="0"/>
      <w:marRight w:val="0"/>
      <w:marTop w:val="0"/>
      <w:marBottom w:val="0"/>
      <w:divBdr>
        <w:top w:val="none" w:sz="0" w:space="0" w:color="auto"/>
        <w:left w:val="none" w:sz="0" w:space="0" w:color="auto"/>
        <w:bottom w:val="none" w:sz="0" w:space="0" w:color="auto"/>
        <w:right w:val="none" w:sz="0" w:space="0" w:color="auto"/>
      </w:divBdr>
    </w:div>
    <w:div w:id="750664323">
      <w:bodyDiv w:val="1"/>
      <w:marLeft w:val="0"/>
      <w:marRight w:val="0"/>
      <w:marTop w:val="0"/>
      <w:marBottom w:val="0"/>
      <w:divBdr>
        <w:top w:val="none" w:sz="0" w:space="0" w:color="auto"/>
        <w:left w:val="none" w:sz="0" w:space="0" w:color="auto"/>
        <w:bottom w:val="none" w:sz="0" w:space="0" w:color="auto"/>
        <w:right w:val="none" w:sz="0" w:space="0" w:color="auto"/>
      </w:divBdr>
    </w:div>
    <w:div w:id="756365373">
      <w:bodyDiv w:val="1"/>
      <w:marLeft w:val="0"/>
      <w:marRight w:val="0"/>
      <w:marTop w:val="0"/>
      <w:marBottom w:val="0"/>
      <w:divBdr>
        <w:top w:val="none" w:sz="0" w:space="0" w:color="auto"/>
        <w:left w:val="none" w:sz="0" w:space="0" w:color="auto"/>
        <w:bottom w:val="none" w:sz="0" w:space="0" w:color="auto"/>
        <w:right w:val="none" w:sz="0" w:space="0" w:color="auto"/>
      </w:divBdr>
    </w:div>
    <w:div w:id="819418390">
      <w:bodyDiv w:val="1"/>
      <w:marLeft w:val="0"/>
      <w:marRight w:val="0"/>
      <w:marTop w:val="0"/>
      <w:marBottom w:val="0"/>
      <w:divBdr>
        <w:top w:val="none" w:sz="0" w:space="0" w:color="auto"/>
        <w:left w:val="none" w:sz="0" w:space="0" w:color="auto"/>
        <w:bottom w:val="none" w:sz="0" w:space="0" w:color="auto"/>
        <w:right w:val="none" w:sz="0" w:space="0" w:color="auto"/>
      </w:divBdr>
    </w:div>
    <w:div w:id="838234510">
      <w:bodyDiv w:val="1"/>
      <w:marLeft w:val="0"/>
      <w:marRight w:val="0"/>
      <w:marTop w:val="0"/>
      <w:marBottom w:val="0"/>
      <w:divBdr>
        <w:top w:val="none" w:sz="0" w:space="0" w:color="auto"/>
        <w:left w:val="none" w:sz="0" w:space="0" w:color="auto"/>
        <w:bottom w:val="none" w:sz="0" w:space="0" w:color="auto"/>
        <w:right w:val="none" w:sz="0" w:space="0" w:color="auto"/>
      </w:divBdr>
    </w:div>
    <w:div w:id="839926594">
      <w:bodyDiv w:val="1"/>
      <w:marLeft w:val="0"/>
      <w:marRight w:val="0"/>
      <w:marTop w:val="0"/>
      <w:marBottom w:val="0"/>
      <w:divBdr>
        <w:top w:val="none" w:sz="0" w:space="0" w:color="auto"/>
        <w:left w:val="none" w:sz="0" w:space="0" w:color="auto"/>
        <w:bottom w:val="none" w:sz="0" w:space="0" w:color="auto"/>
        <w:right w:val="none" w:sz="0" w:space="0" w:color="auto"/>
      </w:divBdr>
    </w:div>
    <w:div w:id="904996798">
      <w:bodyDiv w:val="1"/>
      <w:marLeft w:val="0"/>
      <w:marRight w:val="0"/>
      <w:marTop w:val="0"/>
      <w:marBottom w:val="0"/>
      <w:divBdr>
        <w:top w:val="none" w:sz="0" w:space="0" w:color="auto"/>
        <w:left w:val="none" w:sz="0" w:space="0" w:color="auto"/>
        <w:bottom w:val="none" w:sz="0" w:space="0" w:color="auto"/>
        <w:right w:val="none" w:sz="0" w:space="0" w:color="auto"/>
      </w:divBdr>
    </w:div>
    <w:div w:id="918519683">
      <w:bodyDiv w:val="1"/>
      <w:marLeft w:val="0"/>
      <w:marRight w:val="0"/>
      <w:marTop w:val="0"/>
      <w:marBottom w:val="0"/>
      <w:divBdr>
        <w:top w:val="none" w:sz="0" w:space="0" w:color="auto"/>
        <w:left w:val="none" w:sz="0" w:space="0" w:color="auto"/>
        <w:bottom w:val="none" w:sz="0" w:space="0" w:color="auto"/>
        <w:right w:val="none" w:sz="0" w:space="0" w:color="auto"/>
      </w:divBdr>
    </w:div>
    <w:div w:id="937180930">
      <w:bodyDiv w:val="1"/>
      <w:marLeft w:val="0"/>
      <w:marRight w:val="0"/>
      <w:marTop w:val="0"/>
      <w:marBottom w:val="0"/>
      <w:divBdr>
        <w:top w:val="none" w:sz="0" w:space="0" w:color="auto"/>
        <w:left w:val="none" w:sz="0" w:space="0" w:color="auto"/>
        <w:bottom w:val="none" w:sz="0" w:space="0" w:color="auto"/>
        <w:right w:val="none" w:sz="0" w:space="0" w:color="auto"/>
      </w:divBdr>
    </w:div>
    <w:div w:id="945230531">
      <w:bodyDiv w:val="1"/>
      <w:marLeft w:val="0"/>
      <w:marRight w:val="0"/>
      <w:marTop w:val="0"/>
      <w:marBottom w:val="0"/>
      <w:divBdr>
        <w:top w:val="none" w:sz="0" w:space="0" w:color="auto"/>
        <w:left w:val="none" w:sz="0" w:space="0" w:color="auto"/>
        <w:bottom w:val="none" w:sz="0" w:space="0" w:color="auto"/>
        <w:right w:val="none" w:sz="0" w:space="0" w:color="auto"/>
      </w:divBdr>
    </w:div>
    <w:div w:id="969747356">
      <w:bodyDiv w:val="1"/>
      <w:marLeft w:val="0"/>
      <w:marRight w:val="0"/>
      <w:marTop w:val="0"/>
      <w:marBottom w:val="0"/>
      <w:divBdr>
        <w:top w:val="none" w:sz="0" w:space="0" w:color="auto"/>
        <w:left w:val="none" w:sz="0" w:space="0" w:color="auto"/>
        <w:bottom w:val="none" w:sz="0" w:space="0" w:color="auto"/>
        <w:right w:val="none" w:sz="0" w:space="0" w:color="auto"/>
      </w:divBdr>
    </w:div>
    <w:div w:id="1004363218">
      <w:bodyDiv w:val="1"/>
      <w:marLeft w:val="0"/>
      <w:marRight w:val="0"/>
      <w:marTop w:val="0"/>
      <w:marBottom w:val="0"/>
      <w:divBdr>
        <w:top w:val="none" w:sz="0" w:space="0" w:color="auto"/>
        <w:left w:val="none" w:sz="0" w:space="0" w:color="auto"/>
        <w:bottom w:val="none" w:sz="0" w:space="0" w:color="auto"/>
        <w:right w:val="none" w:sz="0" w:space="0" w:color="auto"/>
      </w:divBdr>
    </w:div>
    <w:div w:id="1032612903">
      <w:bodyDiv w:val="1"/>
      <w:marLeft w:val="0"/>
      <w:marRight w:val="0"/>
      <w:marTop w:val="0"/>
      <w:marBottom w:val="0"/>
      <w:divBdr>
        <w:top w:val="none" w:sz="0" w:space="0" w:color="auto"/>
        <w:left w:val="none" w:sz="0" w:space="0" w:color="auto"/>
        <w:bottom w:val="none" w:sz="0" w:space="0" w:color="auto"/>
        <w:right w:val="none" w:sz="0" w:space="0" w:color="auto"/>
      </w:divBdr>
    </w:div>
    <w:div w:id="1097143412">
      <w:bodyDiv w:val="1"/>
      <w:marLeft w:val="0"/>
      <w:marRight w:val="0"/>
      <w:marTop w:val="0"/>
      <w:marBottom w:val="0"/>
      <w:divBdr>
        <w:top w:val="none" w:sz="0" w:space="0" w:color="auto"/>
        <w:left w:val="none" w:sz="0" w:space="0" w:color="auto"/>
        <w:bottom w:val="none" w:sz="0" w:space="0" w:color="auto"/>
        <w:right w:val="none" w:sz="0" w:space="0" w:color="auto"/>
      </w:divBdr>
    </w:div>
    <w:div w:id="1206915925">
      <w:bodyDiv w:val="1"/>
      <w:marLeft w:val="0"/>
      <w:marRight w:val="0"/>
      <w:marTop w:val="0"/>
      <w:marBottom w:val="0"/>
      <w:divBdr>
        <w:top w:val="none" w:sz="0" w:space="0" w:color="auto"/>
        <w:left w:val="none" w:sz="0" w:space="0" w:color="auto"/>
        <w:bottom w:val="none" w:sz="0" w:space="0" w:color="auto"/>
        <w:right w:val="none" w:sz="0" w:space="0" w:color="auto"/>
      </w:divBdr>
    </w:div>
    <w:div w:id="1219242144">
      <w:bodyDiv w:val="1"/>
      <w:marLeft w:val="0"/>
      <w:marRight w:val="0"/>
      <w:marTop w:val="0"/>
      <w:marBottom w:val="0"/>
      <w:divBdr>
        <w:top w:val="none" w:sz="0" w:space="0" w:color="auto"/>
        <w:left w:val="none" w:sz="0" w:space="0" w:color="auto"/>
        <w:bottom w:val="none" w:sz="0" w:space="0" w:color="auto"/>
        <w:right w:val="none" w:sz="0" w:space="0" w:color="auto"/>
      </w:divBdr>
    </w:div>
    <w:div w:id="1315255150">
      <w:bodyDiv w:val="1"/>
      <w:marLeft w:val="0"/>
      <w:marRight w:val="0"/>
      <w:marTop w:val="0"/>
      <w:marBottom w:val="0"/>
      <w:divBdr>
        <w:top w:val="none" w:sz="0" w:space="0" w:color="auto"/>
        <w:left w:val="none" w:sz="0" w:space="0" w:color="auto"/>
        <w:bottom w:val="none" w:sz="0" w:space="0" w:color="auto"/>
        <w:right w:val="none" w:sz="0" w:space="0" w:color="auto"/>
      </w:divBdr>
    </w:div>
    <w:div w:id="1345277659">
      <w:bodyDiv w:val="1"/>
      <w:marLeft w:val="0"/>
      <w:marRight w:val="0"/>
      <w:marTop w:val="0"/>
      <w:marBottom w:val="0"/>
      <w:divBdr>
        <w:top w:val="none" w:sz="0" w:space="0" w:color="auto"/>
        <w:left w:val="none" w:sz="0" w:space="0" w:color="auto"/>
        <w:bottom w:val="none" w:sz="0" w:space="0" w:color="auto"/>
        <w:right w:val="none" w:sz="0" w:space="0" w:color="auto"/>
      </w:divBdr>
    </w:div>
    <w:div w:id="1357845937">
      <w:bodyDiv w:val="1"/>
      <w:marLeft w:val="0"/>
      <w:marRight w:val="0"/>
      <w:marTop w:val="0"/>
      <w:marBottom w:val="0"/>
      <w:divBdr>
        <w:top w:val="none" w:sz="0" w:space="0" w:color="auto"/>
        <w:left w:val="none" w:sz="0" w:space="0" w:color="auto"/>
        <w:bottom w:val="none" w:sz="0" w:space="0" w:color="auto"/>
        <w:right w:val="none" w:sz="0" w:space="0" w:color="auto"/>
      </w:divBdr>
    </w:div>
    <w:div w:id="1394431615">
      <w:bodyDiv w:val="1"/>
      <w:marLeft w:val="0"/>
      <w:marRight w:val="0"/>
      <w:marTop w:val="0"/>
      <w:marBottom w:val="0"/>
      <w:divBdr>
        <w:top w:val="none" w:sz="0" w:space="0" w:color="auto"/>
        <w:left w:val="none" w:sz="0" w:space="0" w:color="auto"/>
        <w:bottom w:val="none" w:sz="0" w:space="0" w:color="auto"/>
        <w:right w:val="none" w:sz="0" w:space="0" w:color="auto"/>
      </w:divBdr>
    </w:div>
    <w:div w:id="1412000731">
      <w:bodyDiv w:val="1"/>
      <w:marLeft w:val="0"/>
      <w:marRight w:val="0"/>
      <w:marTop w:val="0"/>
      <w:marBottom w:val="0"/>
      <w:divBdr>
        <w:top w:val="none" w:sz="0" w:space="0" w:color="auto"/>
        <w:left w:val="none" w:sz="0" w:space="0" w:color="auto"/>
        <w:bottom w:val="none" w:sz="0" w:space="0" w:color="auto"/>
        <w:right w:val="none" w:sz="0" w:space="0" w:color="auto"/>
      </w:divBdr>
    </w:div>
    <w:div w:id="1436288289">
      <w:bodyDiv w:val="1"/>
      <w:marLeft w:val="0"/>
      <w:marRight w:val="0"/>
      <w:marTop w:val="0"/>
      <w:marBottom w:val="0"/>
      <w:divBdr>
        <w:top w:val="none" w:sz="0" w:space="0" w:color="auto"/>
        <w:left w:val="none" w:sz="0" w:space="0" w:color="auto"/>
        <w:bottom w:val="none" w:sz="0" w:space="0" w:color="auto"/>
        <w:right w:val="none" w:sz="0" w:space="0" w:color="auto"/>
      </w:divBdr>
    </w:div>
    <w:div w:id="1466197801">
      <w:bodyDiv w:val="1"/>
      <w:marLeft w:val="0"/>
      <w:marRight w:val="0"/>
      <w:marTop w:val="0"/>
      <w:marBottom w:val="0"/>
      <w:divBdr>
        <w:top w:val="none" w:sz="0" w:space="0" w:color="auto"/>
        <w:left w:val="none" w:sz="0" w:space="0" w:color="auto"/>
        <w:bottom w:val="none" w:sz="0" w:space="0" w:color="auto"/>
        <w:right w:val="none" w:sz="0" w:space="0" w:color="auto"/>
      </w:divBdr>
    </w:div>
    <w:div w:id="1496456907">
      <w:bodyDiv w:val="1"/>
      <w:marLeft w:val="0"/>
      <w:marRight w:val="0"/>
      <w:marTop w:val="0"/>
      <w:marBottom w:val="0"/>
      <w:divBdr>
        <w:top w:val="none" w:sz="0" w:space="0" w:color="auto"/>
        <w:left w:val="none" w:sz="0" w:space="0" w:color="auto"/>
        <w:bottom w:val="none" w:sz="0" w:space="0" w:color="auto"/>
        <w:right w:val="none" w:sz="0" w:space="0" w:color="auto"/>
      </w:divBdr>
    </w:div>
    <w:div w:id="1516073879">
      <w:bodyDiv w:val="1"/>
      <w:marLeft w:val="0"/>
      <w:marRight w:val="0"/>
      <w:marTop w:val="0"/>
      <w:marBottom w:val="0"/>
      <w:divBdr>
        <w:top w:val="none" w:sz="0" w:space="0" w:color="auto"/>
        <w:left w:val="none" w:sz="0" w:space="0" w:color="auto"/>
        <w:bottom w:val="none" w:sz="0" w:space="0" w:color="auto"/>
        <w:right w:val="none" w:sz="0" w:space="0" w:color="auto"/>
      </w:divBdr>
    </w:div>
    <w:div w:id="1631325074">
      <w:bodyDiv w:val="1"/>
      <w:marLeft w:val="0"/>
      <w:marRight w:val="0"/>
      <w:marTop w:val="0"/>
      <w:marBottom w:val="0"/>
      <w:divBdr>
        <w:top w:val="none" w:sz="0" w:space="0" w:color="auto"/>
        <w:left w:val="none" w:sz="0" w:space="0" w:color="auto"/>
        <w:bottom w:val="none" w:sz="0" w:space="0" w:color="auto"/>
        <w:right w:val="none" w:sz="0" w:space="0" w:color="auto"/>
      </w:divBdr>
    </w:div>
    <w:div w:id="1712880362">
      <w:bodyDiv w:val="1"/>
      <w:marLeft w:val="0"/>
      <w:marRight w:val="0"/>
      <w:marTop w:val="0"/>
      <w:marBottom w:val="0"/>
      <w:divBdr>
        <w:top w:val="none" w:sz="0" w:space="0" w:color="auto"/>
        <w:left w:val="none" w:sz="0" w:space="0" w:color="auto"/>
        <w:bottom w:val="none" w:sz="0" w:space="0" w:color="auto"/>
        <w:right w:val="none" w:sz="0" w:space="0" w:color="auto"/>
      </w:divBdr>
    </w:div>
    <w:div w:id="1729567277">
      <w:bodyDiv w:val="1"/>
      <w:marLeft w:val="0"/>
      <w:marRight w:val="0"/>
      <w:marTop w:val="0"/>
      <w:marBottom w:val="0"/>
      <w:divBdr>
        <w:top w:val="none" w:sz="0" w:space="0" w:color="auto"/>
        <w:left w:val="none" w:sz="0" w:space="0" w:color="auto"/>
        <w:bottom w:val="none" w:sz="0" w:space="0" w:color="auto"/>
        <w:right w:val="none" w:sz="0" w:space="0" w:color="auto"/>
      </w:divBdr>
    </w:div>
    <w:div w:id="1734892953">
      <w:bodyDiv w:val="1"/>
      <w:marLeft w:val="0"/>
      <w:marRight w:val="0"/>
      <w:marTop w:val="0"/>
      <w:marBottom w:val="0"/>
      <w:divBdr>
        <w:top w:val="none" w:sz="0" w:space="0" w:color="auto"/>
        <w:left w:val="none" w:sz="0" w:space="0" w:color="auto"/>
        <w:bottom w:val="none" w:sz="0" w:space="0" w:color="auto"/>
        <w:right w:val="none" w:sz="0" w:space="0" w:color="auto"/>
      </w:divBdr>
    </w:div>
    <w:div w:id="1775124793">
      <w:bodyDiv w:val="1"/>
      <w:marLeft w:val="0"/>
      <w:marRight w:val="0"/>
      <w:marTop w:val="0"/>
      <w:marBottom w:val="0"/>
      <w:divBdr>
        <w:top w:val="none" w:sz="0" w:space="0" w:color="auto"/>
        <w:left w:val="none" w:sz="0" w:space="0" w:color="auto"/>
        <w:bottom w:val="none" w:sz="0" w:space="0" w:color="auto"/>
        <w:right w:val="none" w:sz="0" w:space="0" w:color="auto"/>
      </w:divBdr>
    </w:div>
    <w:div w:id="1894779316">
      <w:bodyDiv w:val="1"/>
      <w:marLeft w:val="0"/>
      <w:marRight w:val="0"/>
      <w:marTop w:val="0"/>
      <w:marBottom w:val="0"/>
      <w:divBdr>
        <w:top w:val="none" w:sz="0" w:space="0" w:color="auto"/>
        <w:left w:val="none" w:sz="0" w:space="0" w:color="auto"/>
        <w:bottom w:val="none" w:sz="0" w:space="0" w:color="auto"/>
        <w:right w:val="none" w:sz="0" w:space="0" w:color="auto"/>
      </w:divBdr>
    </w:div>
    <w:div w:id="1913001889">
      <w:bodyDiv w:val="1"/>
      <w:marLeft w:val="0"/>
      <w:marRight w:val="0"/>
      <w:marTop w:val="0"/>
      <w:marBottom w:val="0"/>
      <w:divBdr>
        <w:top w:val="none" w:sz="0" w:space="0" w:color="auto"/>
        <w:left w:val="none" w:sz="0" w:space="0" w:color="auto"/>
        <w:bottom w:val="none" w:sz="0" w:space="0" w:color="auto"/>
        <w:right w:val="none" w:sz="0" w:space="0" w:color="auto"/>
      </w:divBdr>
    </w:div>
    <w:div w:id="1949659116">
      <w:bodyDiv w:val="1"/>
      <w:marLeft w:val="0"/>
      <w:marRight w:val="0"/>
      <w:marTop w:val="0"/>
      <w:marBottom w:val="0"/>
      <w:divBdr>
        <w:top w:val="none" w:sz="0" w:space="0" w:color="auto"/>
        <w:left w:val="none" w:sz="0" w:space="0" w:color="auto"/>
        <w:bottom w:val="none" w:sz="0" w:space="0" w:color="auto"/>
        <w:right w:val="none" w:sz="0" w:space="0" w:color="auto"/>
      </w:divBdr>
    </w:div>
    <w:div w:id="1957639660">
      <w:bodyDiv w:val="1"/>
      <w:marLeft w:val="0"/>
      <w:marRight w:val="0"/>
      <w:marTop w:val="0"/>
      <w:marBottom w:val="0"/>
      <w:divBdr>
        <w:top w:val="none" w:sz="0" w:space="0" w:color="auto"/>
        <w:left w:val="none" w:sz="0" w:space="0" w:color="auto"/>
        <w:bottom w:val="none" w:sz="0" w:space="0" w:color="auto"/>
        <w:right w:val="none" w:sz="0" w:space="0" w:color="auto"/>
      </w:divBdr>
    </w:div>
    <w:div w:id="1984892911">
      <w:bodyDiv w:val="1"/>
      <w:marLeft w:val="0"/>
      <w:marRight w:val="0"/>
      <w:marTop w:val="0"/>
      <w:marBottom w:val="0"/>
      <w:divBdr>
        <w:top w:val="none" w:sz="0" w:space="0" w:color="auto"/>
        <w:left w:val="none" w:sz="0" w:space="0" w:color="auto"/>
        <w:bottom w:val="none" w:sz="0" w:space="0" w:color="auto"/>
        <w:right w:val="none" w:sz="0" w:space="0" w:color="auto"/>
      </w:divBdr>
    </w:div>
    <w:div w:id="2092071948">
      <w:bodyDiv w:val="1"/>
      <w:marLeft w:val="0"/>
      <w:marRight w:val="0"/>
      <w:marTop w:val="0"/>
      <w:marBottom w:val="0"/>
      <w:divBdr>
        <w:top w:val="none" w:sz="0" w:space="0" w:color="auto"/>
        <w:left w:val="none" w:sz="0" w:space="0" w:color="auto"/>
        <w:bottom w:val="none" w:sz="0" w:space="0" w:color="auto"/>
        <w:right w:val="none" w:sz="0" w:space="0" w:color="auto"/>
      </w:divBdr>
      <w:divsChild>
        <w:div w:id="672949203">
          <w:marLeft w:val="0"/>
          <w:marRight w:val="0"/>
          <w:marTop w:val="0"/>
          <w:marBottom w:val="0"/>
          <w:divBdr>
            <w:top w:val="none" w:sz="0" w:space="0" w:color="auto"/>
            <w:left w:val="none" w:sz="0" w:space="0" w:color="auto"/>
            <w:bottom w:val="none" w:sz="0" w:space="0" w:color="auto"/>
            <w:right w:val="none" w:sz="0" w:space="0" w:color="auto"/>
          </w:divBdr>
          <w:divsChild>
            <w:div w:id="1644503470">
              <w:marLeft w:val="0"/>
              <w:marRight w:val="0"/>
              <w:marTop w:val="0"/>
              <w:marBottom w:val="0"/>
              <w:divBdr>
                <w:top w:val="none" w:sz="0" w:space="0" w:color="auto"/>
                <w:left w:val="none" w:sz="0" w:space="0" w:color="auto"/>
                <w:bottom w:val="none" w:sz="0" w:space="0" w:color="auto"/>
                <w:right w:val="none" w:sz="0" w:space="0" w:color="auto"/>
              </w:divBdr>
              <w:divsChild>
                <w:div w:id="1284311929">
                  <w:marLeft w:val="0"/>
                  <w:marRight w:val="0"/>
                  <w:marTop w:val="0"/>
                  <w:marBottom w:val="0"/>
                  <w:divBdr>
                    <w:top w:val="none" w:sz="0" w:space="0" w:color="auto"/>
                    <w:left w:val="none" w:sz="0" w:space="0" w:color="auto"/>
                    <w:bottom w:val="none" w:sz="0" w:space="0" w:color="auto"/>
                    <w:right w:val="none" w:sz="0" w:space="0" w:color="auto"/>
                  </w:divBdr>
                  <w:divsChild>
                    <w:div w:id="498888038">
                      <w:marLeft w:val="0"/>
                      <w:marRight w:val="0"/>
                      <w:marTop w:val="0"/>
                      <w:marBottom w:val="0"/>
                      <w:divBdr>
                        <w:top w:val="none" w:sz="0" w:space="0" w:color="auto"/>
                        <w:left w:val="none" w:sz="0" w:space="0" w:color="auto"/>
                        <w:bottom w:val="none" w:sz="0" w:space="0" w:color="auto"/>
                        <w:right w:val="none" w:sz="0" w:space="0" w:color="auto"/>
                      </w:divBdr>
                      <w:divsChild>
                        <w:div w:id="838429406">
                          <w:marLeft w:val="0"/>
                          <w:marRight w:val="0"/>
                          <w:marTop w:val="0"/>
                          <w:marBottom w:val="0"/>
                          <w:divBdr>
                            <w:top w:val="none" w:sz="0" w:space="0" w:color="auto"/>
                            <w:left w:val="none" w:sz="0" w:space="0" w:color="auto"/>
                            <w:bottom w:val="none" w:sz="0" w:space="0" w:color="auto"/>
                            <w:right w:val="none" w:sz="0" w:space="0" w:color="auto"/>
                          </w:divBdr>
                          <w:divsChild>
                            <w:div w:id="698512852">
                              <w:marLeft w:val="0"/>
                              <w:marRight w:val="0"/>
                              <w:marTop w:val="0"/>
                              <w:marBottom w:val="0"/>
                              <w:divBdr>
                                <w:top w:val="none" w:sz="0" w:space="0" w:color="auto"/>
                                <w:left w:val="none" w:sz="0" w:space="0" w:color="auto"/>
                                <w:bottom w:val="none" w:sz="0" w:space="0" w:color="auto"/>
                                <w:right w:val="none" w:sz="0" w:space="0" w:color="auto"/>
                              </w:divBdr>
                              <w:divsChild>
                                <w:div w:id="2142140546">
                                  <w:marLeft w:val="0"/>
                                  <w:marRight w:val="0"/>
                                  <w:marTop w:val="0"/>
                                  <w:marBottom w:val="0"/>
                                  <w:divBdr>
                                    <w:top w:val="none" w:sz="0" w:space="0" w:color="auto"/>
                                    <w:left w:val="none" w:sz="0" w:space="0" w:color="auto"/>
                                    <w:bottom w:val="none" w:sz="0" w:space="0" w:color="auto"/>
                                    <w:right w:val="none" w:sz="0" w:space="0" w:color="auto"/>
                                  </w:divBdr>
                                  <w:divsChild>
                                    <w:div w:id="86735545">
                                      <w:marLeft w:val="0"/>
                                      <w:marRight w:val="0"/>
                                      <w:marTop w:val="0"/>
                                      <w:marBottom w:val="0"/>
                                      <w:divBdr>
                                        <w:top w:val="none" w:sz="0" w:space="0" w:color="auto"/>
                                        <w:left w:val="none" w:sz="0" w:space="0" w:color="auto"/>
                                        <w:bottom w:val="none" w:sz="0" w:space="0" w:color="auto"/>
                                        <w:right w:val="none" w:sz="0" w:space="0" w:color="auto"/>
                                      </w:divBdr>
                                      <w:divsChild>
                                        <w:div w:id="1907762401">
                                          <w:marLeft w:val="0"/>
                                          <w:marRight w:val="0"/>
                                          <w:marTop w:val="0"/>
                                          <w:marBottom w:val="0"/>
                                          <w:divBdr>
                                            <w:top w:val="none" w:sz="0" w:space="0" w:color="auto"/>
                                            <w:left w:val="none" w:sz="0" w:space="0" w:color="auto"/>
                                            <w:bottom w:val="none" w:sz="0" w:space="0" w:color="auto"/>
                                            <w:right w:val="none" w:sz="0" w:space="0" w:color="auto"/>
                                          </w:divBdr>
                                          <w:divsChild>
                                            <w:div w:id="35083436">
                                              <w:marLeft w:val="0"/>
                                              <w:marRight w:val="0"/>
                                              <w:marTop w:val="0"/>
                                              <w:marBottom w:val="0"/>
                                              <w:divBdr>
                                                <w:top w:val="none" w:sz="0" w:space="0" w:color="auto"/>
                                                <w:left w:val="none" w:sz="0" w:space="0" w:color="auto"/>
                                                <w:bottom w:val="none" w:sz="0" w:space="0" w:color="auto"/>
                                                <w:right w:val="none" w:sz="0" w:space="0" w:color="auto"/>
                                              </w:divBdr>
                                              <w:divsChild>
                                                <w:div w:id="1785230680">
                                                  <w:marLeft w:val="0"/>
                                                  <w:marRight w:val="0"/>
                                                  <w:marTop w:val="0"/>
                                                  <w:marBottom w:val="0"/>
                                                  <w:divBdr>
                                                    <w:top w:val="none" w:sz="0" w:space="0" w:color="auto"/>
                                                    <w:left w:val="none" w:sz="0" w:space="0" w:color="auto"/>
                                                    <w:bottom w:val="none" w:sz="0" w:space="0" w:color="auto"/>
                                                    <w:right w:val="none" w:sz="0" w:space="0" w:color="auto"/>
                                                  </w:divBdr>
                                                  <w:divsChild>
                                                    <w:div w:id="1439791249">
                                                      <w:marLeft w:val="0"/>
                                                      <w:marRight w:val="0"/>
                                                      <w:marTop w:val="0"/>
                                                      <w:marBottom w:val="0"/>
                                                      <w:divBdr>
                                                        <w:top w:val="none" w:sz="0" w:space="0" w:color="auto"/>
                                                        <w:left w:val="none" w:sz="0" w:space="0" w:color="auto"/>
                                                        <w:bottom w:val="none" w:sz="0" w:space="0" w:color="auto"/>
                                                        <w:right w:val="none" w:sz="0" w:space="0" w:color="auto"/>
                                                      </w:divBdr>
                                                      <w:divsChild>
                                                        <w:div w:id="1054046227">
                                                          <w:marLeft w:val="0"/>
                                                          <w:marRight w:val="0"/>
                                                          <w:marTop w:val="0"/>
                                                          <w:marBottom w:val="0"/>
                                                          <w:divBdr>
                                                            <w:top w:val="none" w:sz="0" w:space="0" w:color="auto"/>
                                                            <w:left w:val="none" w:sz="0" w:space="0" w:color="auto"/>
                                                            <w:bottom w:val="none" w:sz="0" w:space="0" w:color="auto"/>
                                                            <w:right w:val="none" w:sz="0" w:space="0" w:color="auto"/>
                                                          </w:divBdr>
                                                          <w:divsChild>
                                                            <w:div w:id="456724935">
                                                              <w:marLeft w:val="0"/>
                                                              <w:marRight w:val="0"/>
                                                              <w:marTop w:val="0"/>
                                                              <w:marBottom w:val="0"/>
                                                              <w:divBdr>
                                                                <w:top w:val="none" w:sz="0" w:space="0" w:color="auto"/>
                                                                <w:left w:val="none" w:sz="0" w:space="0" w:color="auto"/>
                                                                <w:bottom w:val="none" w:sz="0" w:space="0" w:color="auto"/>
                                                                <w:right w:val="none" w:sz="0" w:space="0" w:color="auto"/>
                                                              </w:divBdr>
                                                              <w:divsChild>
                                                                <w:div w:id="583340902">
                                                                  <w:marLeft w:val="0"/>
                                                                  <w:marRight w:val="0"/>
                                                                  <w:marTop w:val="0"/>
                                                                  <w:marBottom w:val="0"/>
                                                                  <w:divBdr>
                                                                    <w:top w:val="none" w:sz="0" w:space="0" w:color="auto"/>
                                                                    <w:left w:val="none" w:sz="0" w:space="0" w:color="auto"/>
                                                                    <w:bottom w:val="none" w:sz="0" w:space="0" w:color="auto"/>
                                                                    <w:right w:val="none" w:sz="0" w:space="0" w:color="auto"/>
                                                                  </w:divBdr>
                                                                  <w:divsChild>
                                                                    <w:div w:id="1865633209">
                                                                      <w:marLeft w:val="0"/>
                                                                      <w:marRight w:val="0"/>
                                                                      <w:marTop w:val="0"/>
                                                                      <w:marBottom w:val="0"/>
                                                                      <w:divBdr>
                                                                        <w:top w:val="none" w:sz="0" w:space="0" w:color="auto"/>
                                                                        <w:left w:val="none" w:sz="0" w:space="0" w:color="auto"/>
                                                                        <w:bottom w:val="none" w:sz="0" w:space="0" w:color="auto"/>
                                                                        <w:right w:val="none" w:sz="0" w:space="0" w:color="auto"/>
                                                                      </w:divBdr>
                                                                      <w:divsChild>
                                                                        <w:div w:id="337586360">
                                                                          <w:marLeft w:val="0"/>
                                                                          <w:marRight w:val="0"/>
                                                                          <w:marTop w:val="0"/>
                                                                          <w:marBottom w:val="0"/>
                                                                          <w:divBdr>
                                                                            <w:top w:val="none" w:sz="0" w:space="0" w:color="auto"/>
                                                                            <w:left w:val="none" w:sz="0" w:space="0" w:color="auto"/>
                                                                            <w:bottom w:val="none" w:sz="0" w:space="0" w:color="auto"/>
                                                                            <w:right w:val="none" w:sz="0" w:space="0" w:color="auto"/>
                                                                          </w:divBdr>
                                                                          <w:divsChild>
                                                                            <w:div w:id="777454525">
                                                                              <w:marLeft w:val="0"/>
                                                                              <w:marRight w:val="0"/>
                                                                              <w:marTop w:val="0"/>
                                                                              <w:marBottom w:val="0"/>
                                                                              <w:divBdr>
                                                                                <w:top w:val="none" w:sz="0" w:space="0" w:color="auto"/>
                                                                                <w:left w:val="none" w:sz="0" w:space="0" w:color="auto"/>
                                                                                <w:bottom w:val="none" w:sz="0" w:space="0" w:color="auto"/>
                                                                                <w:right w:val="none" w:sz="0" w:space="0" w:color="auto"/>
                                                                              </w:divBdr>
                                                                              <w:divsChild>
                                                                                <w:div w:id="1276131505">
                                                                                  <w:marLeft w:val="0"/>
                                                                                  <w:marRight w:val="0"/>
                                                                                  <w:marTop w:val="0"/>
                                                                                  <w:marBottom w:val="0"/>
                                                                                  <w:divBdr>
                                                                                    <w:top w:val="none" w:sz="0" w:space="0" w:color="auto"/>
                                                                                    <w:left w:val="none" w:sz="0" w:space="0" w:color="auto"/>
                                                                                    <w:bottom w:val="none" w:sz="0" w:space="0" w:color="auto"/>
                                                                                    <w:right w:val="none" w:sz="0" w:space="0" w:color="auto"/>
                                                                                  </w:divBdr>
                                                                                  <w:divsChild>
                                                                                    <w:div w:id="1864784889">
                                                                                      <w:marLeft w:val="0"/>
                                                                                      <w:marRight w:val="0"/>
                                                                                      <w:marTop w:val="0"/>
                                                                                      <w:marBottom w:val="0"/>
                                                                                      <w:divBdr>
                                                                                        <w:top w:val="none" w:sz="0" w:space="0" w:color="auto"/>
                                                                                        <w:left w:val="none" w:sz="0" w:space="0" w:color="auto"/>
                                                                                        <w:bottom w:val="none" w:sz="0" w:space="0" w:color="auto"/>
                                                                                        <w:right w:val="none" w:sz="0" w:space="0" w:color="auto"/>
                                                                                      </w:divBdr>
                                                                                      <w:divsChild>
                                                                                        <w:div w:id="265583230">
                                                                                          <w:marLeft w:val="0"/>
                                                                                          <w:marRight w:val="0"/>
                                                                                          <w:marTop w:val="0"/>
                                                                                          <w:marBottom w:val="0"/>
                                                                                          <w:divBdr>
                                                                                            <w:top w:val="none" w:sz="0" w:space="0" w:color="auto"/>
                                                                                            <w:left w:val="none" w:sz="0" w:space="0" w:color="auto"/>
                                                                                            <w:bottom w:val="none" w:sz="0" w:space="0" w:color="auto"/>
                                                                                            <w:right w:val="none" w:sz="0" w:space="0" w:color="auto"/>
                                                                                          </w:divBdr>
                                                                                          <w:divsChild>
                                                                                            <w:div w:id="694774076">
                                                                                              <w:marLeft w:val="0"/>
                                                                                              <w:marRight w:val="0"/>
                                                                                              <w:marTop w:val="0"/>
                                                                                              <w:marBottom w:val="0"/>
                                                                                              <w:divBdr>
                                                                                                <w:top w:val="none" w:sz="0" w:space="0" w:color="auto"/>
                                                                                                <w:left w:val="none" w:sz="0" w:space="0" w:color="auto"/>
                                                                                                <w:bottom w:val="none" w:sz="0" w:space="0" w:color="auto"/>
                                                                                                <w:right w:val="none" w:sz="0" w:space="0" w:color="auto"/>
                                                                                              </w:divBdr>
                                                                                              <w:divsChild>
                                                                                                <w:div w:id="336663408">
                                                                                                  <w:marLeft w:val="0"/>
                                                                                                  <w:marRight w:val="0"/>
                                                                                                  <w:marTop w:val="0"/>
                                                                                                  <w:marBottom w:val="0"/>
                                                                                                  <w:divBdr>
                                                                                                    <w:top w:val="none" w:sz="0" w:space="0" w:color="auto"/>
                                                                                                    <w:left w:val="none" w:sz="0" w:space="0" w:color="auto"/>
                                                                                                    <w:bottom w:val="none" w:sz="0" w:space="0" w:color="auto"/>
                                                                                                    <w:right w:val="none" w:sz="0" w:space="0" w:color="auto"/>
                                                                                                  </w:divBdr>
                                                                                                  <w:divsChild>
                                                                                                    <w:div w:id="1245842049">
                                                                                                      <w:marLeft w:val="0"/>
                                                                                                      <w:marRight w:val="0"/>
                                                                                                      <w:marTop w:val="0"/>
                                                                                                      <w:marBottom w:val="0"/>
                                                                                                      <w:divBdr>
                                                                                                        <w:top w:val="none" w:sz="0" w:space="0" w:color="auto"/>
                                                                                                        <w:left w:val="none" w:sz="0" w:space="0" w:color="auto"/>
                                                                                                        <w:bottom w:val="none" w:sz="0" w:space="0" w:color="auto"/>
                                                                                                        <w:right w:val="none" w:sz="0" w:space="0" w:color="auto"/>
                                                                                                      </w:divBdr>
                                                                                                      <w:divsChild>
                                                                                                        <w:div w:id="908199112">
                                                                                                          <w:marLeft w:val="0"/>
                                                                                                          <w:marRight w:val="0"/>
                                                                                                          <w:marTop w:val="0"/>
                                                                                                          <w:marBottom w:val="0"/>
                                                                                                          <w:divBdr>
                                                                                                            <w:top w:val="none" w:sz="0" w:space="0" w:color="auto"/>
                                                                                                            <w:left w:val="none" w:sz="0" w:space="0" w:color="auto"/>
                                                                                                            <w:bottom w:val="none" w:sz="0" w:space="0" w:color="auto"/>
                                                                                                            <w:right w:val="none" w:sz="0" w:space="0" w:color="auto"/>
                                                                                                          </w:divBdr>
                                                                                                          <w:divsChild>
                                                                                                            <w:div w:id="1481730372">
                                                                                                              <w:marLeft w:val="0"/>
                                                                                                              <w:marRight w:val="0"/>
                                                                                                              <w:marTop w:val="0"/>
                                                                                                              <w:marBottom w:val="0"/>
                                                                                                              <w:divBdr>
                                                                                                                <w:top w:val="none" w:sz="0" w:space="0" w:color="auto"/>
                                                                                                                <w:left w:val="none" w:sz="0" w:space="0" w:color="auto"/>
                                                                                                                <w:bottom w:val="none" w:sz="0" w:space="0" w:color="auto"/>
                                                                                                                <w:right w:val="none" w:sz="0" w:space="0" w:color="auto"/>
                                                                                                              </w:divBdr>
                                                                                                              <w:divsChild>
                                                                                                                <w:div w:id="2072345188">
                                                                                                                  <w:marLeft w:val="0"/>
                                                                                                                  <w:marRight w:val="0"/>
                                                                                                                  <w:marTop w:val="0"/>
                                                                                                                  <w:marBottom w:val="0"/>
                                                                                                                  <w:divBdr>
                                                                                                                    <w:top w:val="none" w:sz="0" w:space="0" w:color="auto"/>
                                                                                                                    <w:left w:val="none" w:sz="0" w:space="0" w:color="auto"/>
                                                                                                                    <w:bottom w:val="none" w:sz="0" w:space="0" w:color="auto"/>
                                                                                                                    <w:right w:val="none" w:sz="0" w:space="0" w:color="auto"/>
                                                                                                                  </w:divBdr>
                                                                                                                  <w:divsChild>
                                                                                                                    <w:div w:id="2085688207">
                                                                                                                      <w:marLeft w:val="0"/>
                                                                                                                      <w:marRight w:val="0"/>
                                                                                                                      <w:marTop w:val="0"/>
                                                                                                                      <w:marBottom w:val="0"/>
                                                                                                                      <w:divBdr>
                                                                                                                        <w:top w:val="none" w:sz="0" w:space="0" w:color="auto"/>
                                                                                                                        <w:left w:val="none" w:sz="0" w:space="0" w:color="auto"/>
                                                                                                                        <w:bottom w:val="none" w:sz="0" w:space="0" w:color="auto"/>
                                                                                                                        <w:right w:val="none" w:sz="0" w:space="0" w:color="auto"/>
                                                                                                                      </w:divBdr>
                                                                                                                      <w:divsChild>
                                                                                                                        <w:div w:id="254485530">
                                                                                                                          <w:marLeft w:val="0"/>
                                                                                                                          <w:marRight w:val="0"/>
                                                                                                                          <w:marTop w:val="0"/>
                                                                                                                          <w:marBottom w:val="0"/>
                                                                                                                          <w:divBdr>
                                                                                                                            <w:top w:val="none" w:sz="0" w:space="0" w:color="auto"/>
                                                                                                                            <w:left w:val="none" w:sz="0" w:space="0" w:color="auto"/>
                                                                                                                            <w:bottom w:val="none" w:sz="0" w:space="0" w:color="auto"/>
                                                                                                                            <w:right w:val="none" w:sz="0" w:space="0" w:color="auto"/>
                                                                                                                          </w:divBdr>
                                                                                                                          <w:divsChild>
                                                                                                                            <w:div w:id="225802014">
                                                                                                                              <w:marLeft w:val="0"/>
                                                                                                                              <w:marRight w:val="0"/>
                                                                                                                              <w:marTop w:val="0"/>
                                                                                                                              <w:marBottom w:val="0"/>
                                                                                                                              <w:divBdr>
                                                                                                                                <w:top w:val="none" w:sz="0" w:space="0" w:color="auto"/>
                                                                                                                                <w:left w:val="none" w:sz="0" w:space="0" w:color="auto"/>
                                                                                                                                <w:bottom w:val="none" w:sz="0" w:space="0" w:color="auto"/>
                                                                                                                                <w:right w:val="none" w:sz="0" w:space="0" w:color="auto"/>
                                                                                                                              </w:divBdr>
                                                                                                                              <w:divsChild>
                                                                                                                                <w:div w:id="2040541474">
                                                                                                                                  <w:marLeft w:val="0"/>
                                                                                                                                  <w:marRight w:val="0"/>
                                                                                                                                  <w:marTop w:val="0"/>
                                                                                                                                  <w:marBottom w:val="0"/>
                                                                                                                                  <w:divBdr>
                                                                                                                                    <w:top w:val="none" w:sz="0" w:space="0" w:color="auto"/>
                                                                                                                                    <w:left w:val="none" w:sz="0" w:space="0" w:color="auto"/>
                                                                                                                                    <w:bottom w:val="none" w:sz="0" w:space="0" w:color="auto"/>
                                                                                                                                    <w:right w:val="none" w:sz="0" w:space="0" w:color="auto"/>
                                                                                                                                  </w:divBdr>
                                                                                                                                  <w:divsChild>
                                                                                                                                    <w:div w:id="1769697698">
                                                                                                                                      <w:marLeft w:val="0"/>
                                                                                                                                      <w:marRight w:val="0"/>
                                                                                                                                      <w:marTop w:val="0"/>
                                                                                                                                      <w:marBottom w:val="0"/>
                                                                                                                                      <w:divBdr>
                                                                                                                                        <w:top w:val="none" w:sz="0" w:space="0" w:color="auto"/>
                                                                                                                                        <w:left w:val="none" w:sz="0" w:space="0" w:color="auto"/>
                                                                                                                                        <w:bottom w:val="none" w:sz="0" w:space="0" w:color="auto"/>
                                                                                                                                        <w:right w:val="none" w:sz="0" w:space="0" w:color="auto"/>
                                                                                                                                      </w:divBdr>
                                                                                                                                      <w:divsChild>
                                                                                                                                        <w:div w:id="8289584">
                                                                                                                                          <w:marLeft w:val="0"/>
                                                                                                                                          <w:marRight w:val="0"/>
                                                                                                                                          <w:marTop w:val="0"/>
                                                                                                                                          <w:marBottom w:val="0"/>
                                                                                                                                          <w:divBdr>
                                                                                                                                            <w:top w:val="none" w:sz="0" w:space="0" w:color="auto"/>
                                                                                                                                            <w:left w:val="none" w:sz="0" w:space="0" w:color="auto"/>
                                                                                                                                            <w:bottom w:val="none" w:sz="0" w:space="0" w:color="auto"/>
                                                                                                                                            <w:right w:val="none" w:sz="0" w:space="0" w:color="auto"/>
                                                                                                                                          </w:divBdr>
                                                                                                                                          <w:divsChild>
                                                                                                                                            <w:div w:id="1874072550">
                                                                                                                                              <w:marLeft w:val="0"/>
                                                                                                                                              <w:marRight w:val="0"/>
                                                                                                                                              <w:marTop w:val="0"/>
                                                                                                                                              <w:marBottom w:val="0"/>
                                                                                                                                              <w:divBdr>
                                                                                                                                                <w:top w:val="none" w:sz="0" w:space="0" w:color="auto"/>
                                                                                                                                                <w:left w:val="none" w:sz="0" w:space="0" w:color="auto"/>
                                                                                                                                                <w:bottom w:val="none" w:sz="0" w:space="0" w:color="auto"/>
                                                                                                                                                <w:right w:val="none" w:sz="0" w:space="0" w:color="auto"/>
                                                                                                                                              </w:divBdr>
                                                                                                                                              <w:divsChild>
                                                                                                                                                <w:div w:id="382561309">
                                                                                                                                                  <w:marLeft w:val="0"/>
                                                                                                                                                  <w:marRight w:val="0"/>
                                                                                                                                                  <w:marTop w:val="0"/>
                                                                                                                                                  <w:marBottom w:val="0"/>
                                                                                                                                                  <w:divBdr>
                                                                                                                                                    <w:top w:val="none" w:sz="0" w:space="0" w:color="auto"/>
                                                                                                                                                    <w:left w:val="none" w:sz="0" w:space="0" w:color="auto"/>
                                                                                                                                                    <w:bottom w:val="none" w:sz="0" w:space="0" w:color="auto"/>
                                                                                                                                                    <w:right w:val="none" w:sz="0" w:space="0" w:color="auto"/>
                                                                                                                                                  </w:divBdr>
                                                                                                                                                  <w:divsChild>
                                                                                                                                                    <w:div w:id="57363454">
                                                                                                                                                      <w:marLeft w:val="0"/>
                                                                                                                                                      <w:marRight w:val="0"/>
                                                                                                                                                      <w:marTop w:val="0"/>
                                                                                                                                                      <w:marBottom w:val="0"/>
                                                                                                                                                      <w:divBdr>
                                                                                                                                                        <w:top w:val="none" w:sz="0" w:space="0" w:color="auto"/>
                                                                                                                                                        <w:left w:val="none" w:sz="0" w:space="0" w:color="auto"/>
                                                                                                                                                        <w:bottom w:val="none" w:sz="0" w:space="0" w:color="auto"/>
                                                                                                                                                        <w:right w:val="none" w:sz="0" w:space="0" w:color="auto"/>
                                                                                                                                                      </w:divBdr>
                                                                                                                                                      <w:divsChild>
                                                                                                                                                        <w:div w:id="712390033">
                                                                                                                                                          <w:marLeft w:val="0"/>
                                                                                                                                                          <w:marRight w:val="0"/>
                                                                                                                                                          <w:marTop w:val="0"/>
                                                                                                                                                          <w:marBottom w:val="0"/>
                                                                                                                                                          <w:divBdr>
                                                                                                                                                            <w:top w:val="none" w:sz="0" w:space="0" w:color="auto"/>
                                                                                                                                                            <w:left w:val="none" w:sz="0" w:space="0" w:color="auto"/>
                                                                                                                                                            <w:bottom w:val="none" w:sz="0" w:space="0" w:color="auto"/>
                                                                                                                                                            <w:right w:val="none" w:sz="0" w:space="0" w:color="auto"/>
                                                                                                                                                          </w:divBdr>
                                                                                                                                                          <w:divsChild>
                                                                                                                                                            <w:div w:id="1307277335">
                                                                                                                                                              <w:marLeft w:val="0"/>
                                                                                                                                                              <w:marRight w:val="0"/>
                                                                                                                                                              <w:marTop w:val="0"/>
                                                                                                                                                              <w:marBottom w:val="0"/>
                                                                                                                                                              <w:divBdr>
                                                                                                                                                                <w:top w:val="none" w:sz="0" w:space="0" w:color="auto"/>
                                                                                                                                                                <w:left w:val="none" w:sz="0" w:space="0" w:color="auto"/>
                                                                                                                                                                <w:bottom w:val="none" w:sz="0" w:space="0" w:color="auto"/>
                                                                                                                                                                <w:right w:val="none" w:sz="0" w:space="0" w:color="auto"/>
                                                                                                                                                              </w:divBdr>
                                                                                                                                                              <w:divsChild>
                                                                                                                                                                <w:div w:id="634914696">
                                                                                                                                                                  <w:marLeft w:val="0"/>
                                                                                                                                                                  <w:marRight w:val="0"/>
                                                                                                                                                                  <w:marTop w:val="0"/>
                                                                                                                                                                  <w:marBottom w:val="0"/>
                                                                                                                                                                  <w:divBdr>
                                                                                                                                                                    <w:top w:val="none" w:sz="0" w:space="0" w:color="auto"/>
                                                                                                                                                                    <w:left w:val="none" w:sz="0" w:space="0" w:color="auto"/>
                                                                                                                                                                    <w:bottom w:val="none" w:sz="0" w:space="0" w:color="auto"/>
                                                                                                                                                                    <w:right w:val="none" w:sz="0" w:space="0" w:color="auto"/>
                                                                                                                                                                  </w:divBdr>
                                                                                                                                                                  <w:divsChild>
                                                                                                                                                                    <w:div w:id="134375075">
                                                                                                                                                                      <w:marLeft w:val="0"/>
                                                                                                                                                                      <w:marRight w:val="0"/>
                                                                                                                                                                      <w:marTop w:val="0"/>
                                                                                                                                                                      <w:marBottom w:val="0"/>
                                                                                                                                                                      <w:divBdr>
                                                                                                                                                                        <w:top w:val="none" w:sz="0" w:space="0" w:color="auto"/>
                                                                                                                                                                        <w:left w:val="none" w:sz="0" w:space="0" w:color="auto"/>
                                                                                                                                                                        <w:bottom w:val="none" w:sz="0" w:space="0" w:color="auto"/>
                                                                                                                                                                        <w:right w:val="none" w:sz="0" w:space="0" w:color="auto"/>
                                                                                                                                                                      </w:divBdr>
                                                                                                                                                                      <w:divsChild>
                                                                                                                                                                        <w:div w:id="1916667348">
                                                                                                                                                                          <w:marLeft w:val="0"/>
                                                                                                                                                                          <w:marRight w:val="0"/>
                                                                                                                                                                          <w:marTop w:val="0"/>
                                                                                                                                                                          <w:marBottom w:val="0"/>
                                                                                                                                                                          <w:divBdr>
                                                                                                                                                                            <w:top w:val="none" w:sz="0" w:space="0" w:color="auto"/>
                                                                                                                                                                            <w:left w:val="none" w:sz="0" w:space="0" w:color="auto"/>
                                                                                                                                                                            <w:bottom w:val="none" w:sz="0" w:space="0" w:color="auto"/>
                                                                                                                                                                            <w:right w:val="none" w:sz="0" w:space="0" w:color="auto"/>
                                                                                                                                                                          </w:divBdr>
                                                                                                                                                                          <w:divsChild>
                                                                                                                                                                            <w:div w:id="570311159">
                                                                                                                                                                              <w:marLeft w:val="0"/>
                                                                                                                                                                              <w:marRight w:val="0"/>
                                                                                                                                                                              <w:marTop w:val="0"/>
                                                                                                                                                                              <w:marBottom w:val="0"/>
                                                                                                                                                                              <w:divBdr>
                                                                                                                                                                                <w:top w:val="none" w:sz="0" w:space="0" w:color="auto"/>
                                                                                                                                                                                <w:left w:val="none" w:sz="0" w:space="0" w:color="auto"/>
                                                                                                                                                                                <w:bottom w:val="none" w:sz="0" w:space="0" w:color="auto"/>
                                                                                                                                                                                <w:right w:val="none" w:sz="0" w:space="0" w:color="auto"/>
                                                                                                                                                                              </w:divBdr>
                                                                                                                                                                              <w:divsChild>
                                                                                                                                                                                <w:div w:id="1786459308">
                                                                                                                                                                                  <w:marLeft w:val="0"/>
                                                                                                                                                                                  <w:marRight w:val="0"/>
                                                                                                                                                                                  <w:marTop w:val="0"/>
                                                                                                                                                                                  <w:marBottom w:val="0"/>
                                                                                                                                                                                  <w:divBdr>
                                                                                                                                                                                    <w:top w:val="none" w:sz="0" w:space="0" w:color="auto"/>
                                                                                                                                                                                    <w:left w:val="none" w:sz="0" w:space="0" w:color="auto"/>
                                                                                                                                                                                    <w:bottom w:val="none" w:sz="0" w:space="0" w:color="auto"/>
                                                                                                                                                                                    <w:right w:val="none" w:sz="0" w:space="0" w:color="auto"/>
                                                                                                                                                                                  </w:divBdr>
                                                                                                                                                                                  <w:divsChild>
                                                                                                                                                                                    <w:div w:id="803543934">
                                                                                                                                                                                      <w:marLeft w:val="0"/>
                                                                                                                                                                                      <w:marRight w:val="0"/>
                                                                                                                                                                                      <w:marTop w:val="0"/>
                                                                                                                                                                                      <w:marBottom w:val="0"/>
                                                                                                                                                                                      <w:divBdr>
                                                                                                                                                                                        <w:top w:val="none" w:sz="0" w:space="0" w:color="auto"/>
                                                                                                                                                                                        <w:left w:val="none" w:sz="0" w:space="0" w:color="auto"/>
                                                                                                                                                                                        <w:bottom w:val="none" w:sz="0" w:space="0" w:color="auto"/>
                                                                                                                                                                                        <w:right w:val="none" w:sz="0" w:space="0" w:color="auto"/>
                                                                                                                                                                                      </w:divBdr>
                                                                                                                                                                                      <w:divsChild>
                                                                                                                                                                                        <w:div w:id="1709332663">
                                                                                                                                                                                          <w:marLeft w:val="0"/>
                                                                                                                                                                                          <w:marRight w:val="0"/>
                                                                                                                                                                                          <w:marTop w:val="0"/>
                                                                                                                                                                                          <w:marBottom w:val="0"/>
                                                                                                                                                                                          <w:divBdr>
                                                                                                                                                                                            <w:top w:val="none" w:sz="0" w:space="0" w:color="auto"/>
                                                                                                                                                                                            <w:left w:val="none" w:sz="0" w:space="0" w:color="auto"/>
                                                                                                                                                                                            <w:bottom w:val="none" w:sz="0" w:space="0" w:color="auto"/>
                                                                                                                                                                                            <w:right w:val="none" w:sz="0" w:space="0" w:color="auto"/>
                                                                                                                                                                                          </w:divBdr>
                                                                                                                                                                                          <w:divsChild>
                                                                                                                                                                                            <w:div w:id="196549010">
                                                                                                                                                                                              <w:marLeft w:val="0"/>
                                                                                                                                                                                              <w:marRight w:val="0"/>
                                                                                                                                                                                              <w:marTop w:val="0"/>
                                                                                                                                                                                              <w:marBottom w:val="0"/>
                                                                                                                                                                                              <w:divBdr>
                                                                                                                                                                                                <w:top w:val="none" w:sz="0" w:space="0" w:color="auto"/>
                                                                                                                                                                                                <w:left w:val="none" w:sz="0" w:space="0" w:color="auto"/>
                                                                                                                                                                                                <w:bottom w:val="none" w:sz="0" w:space="0" w:color="auto"/>
                                                                                                                                                                                                <w:right w:val="none" w:sz="0" w:space="0" w:color="auto"/>
                                                                                                                                                                                              </w:divBdr>
                                                                                                                                                                                              <w:divsChild>
                                                                                                                                                                                                <w:div w:id="245236424">
                                                                                                                                                                                                  <w:marLeft w:val="0"/>
                                                                                                                                                                                                  <w:marRight w:val="0"/>
                                                                                                                                                                                                  <w:marTop w:val="0"/>
                                                                                                                                                                                                  <w:marBottom w:val="0"/>
                                                                                                                                                                                                  <w:divBdr>
                                                                                                                                                                                                    <w:top w:val="none" w:sz="0" w:space="0" w:color="auto"/>
                                                                                                                                                                                                    <w:left w:val="none" w:sz="0" w:space="0" w:color="auto"/>
                                                                                                                                                                                                    <w:bottom w:val="none" w:sz="0" w:space="0" w:color="auto"/>
                                                                                                                                                                                                    <w:right w:val="none" w:sz="0" w:space="0" w:color="auto"/>
                                                                                                                                                                                                  </w:divBdr>
                                                                                                                                                                                                  <w:divsChild>
                                                                                                                                                                                                    <w:div w:id="291600454">
                                                                                                                                                                                                      <w:marLeft w:val="0"/>
                                                                                                                                                                                                      <w:marRight w:val="0"/>
                                                                                                                                                                                                      <w:marTop w:val="0"/>
                                                                                                                                                                                                      <w:marBottom w:val="0"/>
                                                                                                                                                                                                      <w:divBdr>
                                                                                                                                                                                                        <w:top w:val="none" w:sz="0" w:space="0" w:color="auto"/>
                                                                                                                                                                                                        <w:left w:val="none" w:sz="0" w:space="0" w:color="auto"/>
                                                                                                                                                                                                        <w:bottom w:val="none" w:sz="0" w:space="0" w:color="auto"/>
                                                                                                                                                                                                        <w:right w:val="none" w:sz="0" w:space="0" w:color="auto"/>
                                                                                                                                                                                                      </w:divBdr>
                                                                                                                                                                                                      <w:divsChild>
                                                                                                                                                                                                        <w:div w:id="61105448">
                                                                                                                                                                                                          <w:marLeft w:val="0"/>
                                                                                                                                                                                                          <w:marRight w:val="0"/>
                                                                                                                                                                                                          <w:marTop w:val="0"/>
                                                                                                                                                                                                          <w:marBottom w:val="0"/>
                                                                                                                                                                                                          <w:divBdr>
                                                                                                                                                                                                            <w:top w:val="none" w:sz="0" w:space="0" w:color="auto"/>
                                                                                                                                                                                                            <w:left w:val="none" w:sz="0" w:space="0" w:color="auto"/>
                                                                                                                                                                                                            <w:bottom w:val="none" w:sz="0" w:space="0" w:color="auto"/>
                                                                                                                                                                                                            <w:right w:val="none" w:sz="0" w:space="0" w:color="auto"/>
                                                                                                                                                                                                          </w:divBdr>
                                                                                                                                                                                                          <w:divsChild>
                                                                                                                                                                                                            <w:div w:id="460810448">
                                                                                                                                                                                                              <w:marLeft w:val="0"/>
                                                                                                                                                                                                              <w:marRight w:val="0"/>
                                                                                                                                                                                                              <w:marTop w:val="0"/>
                                                                                                                                                                                                              <w:marBottom w:val="0"/>
                                                                                                                                                                                                              <w:divBdr>
                                                                                                                                                                                                                <w:top w:val="none" w:sz="0" w:space="0" w:color="auto"/>
                                                                                                                                                                                                                <w:left w:val="none" w:sz="0" w:space="0" w:color="auto"/>
                                                                                                                                                                                                                <w:bottom w:val="none" w:sz="0" w:space="0" w:color="auto"/>
                                                                                                                                                                                                                <w:right w:val="none" w:sz="0" w:space="0" w:color="auto"/>
                                                                                                                                                                                                              </w:divBdr>
                                                                                                                                                                                                              <w:divsChild>
                                                                                                                                                                                                                <w:div w:id="1332294798">
                                                                                                                                                                                                                  <w:marLeft w:val="0"/>
                                                                                                                                                                                                                  <w:marRight w:val="0"/>
                                                                                                                                                                                                                  <w:marTop w:val="0"/>
                                                                                                                                                                                                                  <w:marBottom w:val="0"/>
                                                                                                                                                                                                                  <w:divBdr>
                                                                                                                                                                                                                    <w:top w:val="none" w:sz="0" w:space="0" w:color="auto"/>
                                                                                                                                                                                                                    <w:left w:val="none" w:sz="0" w:space="0" w:color="auto"/>
                                                                                                                                                                                                                    <w:bottom w:val="none" w:sz="0" w:space="0" w:color="auto"/>
                                                                                                                                                                                                                    <w:right w:val="none" w:sz="0" w:space="0" w:color="auto"/>
                                                                                                                                                                                                                  </w:divBdr>
                                                                                                                                                                                                                  <w:divsChild>
                                                                                                                                                                                                                    <w:div w:id="1345739907">
                                                                                                                                                                                                                      <w:marLeft w:val="0"/>
                                                                                                                                                                                                                      <w:marRight w:val="0"/>
                                                                                                                                                                                                                      <w:marTop w:val="0"/>
                                                                                                                                                                                                                      <w:marBottom w:val="0"/>
                                                                                                                                                                                                                      <w:divBdr>
                                                                                                                                                                                                                        <w:top w:val="none" w:sz="0" w:space="0" w:color="auto"/>
                                                                                                                                                                                                                        <w:left w:val="none" w:sz="0" w:space="0" w:color="auto"/>
                                                                                                                                                                                                                        <w:bottom w:val="none" w:sz="0" w:space="0" w:color="auto"/>
                                                                                                                                                                                                                        <w:right w:val="none" w:sz="0" w:space="0" w:color="auto"/>
                                                                                                                                                                                                                      </w:divBdr>
                                                                                                                                                                                                                      <w:divsChild>
                                                                                                                                                                                                                        <w:div w:id="1085565325">
                                                                                                                                                                                                                          <w:marLeft w:val="0"/>
                                                                                                                                                                                                                          <w:marRight w:val="0"/>
                                                                                                                                                                                                                          <w:marTop w:val="0"/>
                                                                                                                                                                                                                          <w:marBottom w:val="0"/>
                                                                                                                                                                                                                          <w:divBdr>
                                                                                                                                                                                                                            <w:top w:val="none" w:sz="0" w:space="0" w:color="auto"/>
                                                                                                                                                                                                                            <w:left w:val="none" w:sz="0" w:space="0" w:color="auto"/>
                                                                                                                                                                                                                            <w:bottom w:val="none" w:sz="0" w:space="0" w:color="auto"/>
                                                                                                                                                                                                                            <w:right w:val="none" w:sz="0" w:space="0" w:color="auto"/>
                                                                                                                                                                                                                          </w:divBdr>
                                                                                                                                                                                                                          <w:divsChild>
                                                                                                                                                                                                                            <w:div w:id="910312894">
                                                                                                                                                                                                                              <w:marLeft w:val="0"/>
                                                                                                                                                                                                                              <w:marRight w:val="0"/>
                                                                                                                                                                                                                              <w:marTop w:val="0"/>
                                                                                                                                                                                                                              <w:marBottom w:val="0"/>
                                                                                                                                                                                                                              <w:divBdr>
                                                                                                                                                                                                                                <w:top w:val="none" w:sz="0" w:space="0" w:color="auto"/>
                                                                                                                                                                                                                                <w:left w:val="none" w:sz="0" w:space="0" w:color="auto"/>
                                                                                                                                                                                                                                <w:bottom w:val="none" w:sz="0" w:space="0" w:color="auto"/>
                                                                                                                                                                                                                                <w:right w:val="none" w:sz="0" w:space="0" w:color="auto"/>
                                                                                                                                                                                                                              </w:divBdr>
                                                                                                                                                                                                                              <w:divsChild>
                                                                                                                                                                                                                                <w:div w:id="903570053">
                                                                                                                                                                                                                                  <w:marLeft w:val="0"/>
                                                                                                                                                                                                                                  <w:marRight w:val="0"/>
                                                                                                                                                                                                                                  <w:marTop w:val="0"/>
                                                                                                                                                                                                                                  <w:marBottom w:val="0"/>
                                                                                                                                                                                                                                  <w:divBdr>
                                                                                                                                                                                                                                    <w:top w:val="none" w:sz="0" w:space="0" w:color="auto"/>
                                                                                                                                                                                                                                    <w:left w:val="none" w:sz="0" w:space="0" w:color="auto"/>
                                                                                                                                                                                                                                    <w:bottom w:val="none" w:sz="0" w:space="0" w:color="auto"/>
                                                                                                                                                                                                                                    <w:right w:val="none" w:sz="0" w:space="0" w:color="auto"/>
                                                                                                                                                                                                                                  </w:divBdr>
                                                                                                                                                                                                                                  <w:divsChild>
                                                                                                                                                                                                                                    <w:div w:id="796337560">
                                                                                                                                                                                                                                      <w:marLeft w:val="0"/>
                                                                                                                                                                                                                                      <w:marRight w:val="0"/>
                                                                                                                                                                                                                                      <w:marTop w:val="0"/>
                                                                                                                                                                                                                                      <w:marBottom w:val="0"/>
                                                                                                                                                                                                                                      <w:divBdr>
                                                                                                                                                                                                                                        <w:top w:val="none" w:sz="0" w:space="0" w:color="auto"/>
                                                                                                                                                                                                                                        <w:left w:val="none" w:sz="0" w:space="0" w:color="auto"/>
                                                                                                                                                                                                                                        <w:bottom w:val="none" w:sz="0" w:space="0" w:color="auto"/>
                                                                                                                                                                                                                                        <w:right w:val="none" w:sz="0" w:space="0" w:color="auto"/>
                                                                                                                                                                                                                                      </w:divBdr>
                                                                                                                                                                                                                                      <w:divsChild>
                                                                                                                                                                                                                                        <w:div w:id="960111374">
                                                                                                                                                                                                                                          <w:marLeft w:val="0"/>
                                                                                                                                                                                                                                          <w:marRight w:val="0"/>
                                                                                                                                                                                                                                          <w:marTop w:val="0"/>
                                                                                                                                                                                                                                          <w:marBottom w:val="0"/>
                                                                                                                                                                                                                                          <w:divBdr>
                                                                                                                                                                                                                                            <w:top w:val="none" w:sz="0" w:space="0" w:color="auto"/>
                                                                                                                                                                                                                                            <w:left w:val="none" w:sz="0" w:space="0" w:color="auto"/>
                                                                                                                                                                                                                                            <w:bottom w:val="none" w:sz="0" w:space="0" w:color="auto"/>
                                                                                                                                                                                                                                            <w:right w:val="none" w:sz="0" w:space="0" w:color="auto"/>
                                                                                                                                                                                                                                          </w:divBdr>
                                                                                                                                                                                                                                          <w:divsChild>
                                                                                                                                                                                                                                            <w:div w:id="623851101">
                                                                                                                                                                                                                                              <w:marLeft w:val="0"/>
                                                                                                                                                                                                                                              <w:marRight w:val="0"/>
                                                                                                                                                                                                                                              <w:marTop w:val="0"/>
                                                                                                                                                                                                                                              <w:marBottom w:val="0"/>
                                                                                                                                                                                                                                              <w:divBdr>
                                                                                                                                                                                                                                                <w:top w:val="none" w:sz="0" w:space="0" w:color="auto"/>
                                                                                                                                                                                                                                                <w:left w:val="none" w:sz="0" w:space="0" w:color="auto"/>
                                                                                                                                                                                                                                                <w:bottom w:val="none" w:sz="0" w:space="0" w:color="auto"/>
                                                                                                                                                                                                                                                <w:right w:val="none" w:sz="0" w:space="0" w:color="auto"/>
                                                                                                                                                                                                                                              </w:divBdr>
                                                                                                                                                                                                                                              <w:divsChild>
                                                                                                                                                                                                                                                <w:div w:id="1913655745">
                                                                                                                                                                                                                                                  <w:marLeft w:val="0"/>
                                                                                                                                                                                                                                                  <w:marRight w:val="0"/>
                                                                                                                                                                                                                                                  <w:marTop w:val="0"/>
                                                                                                                                                                                                                                                  <w:marBottom w:val="0"/>
                                                                                                                                                                                                                                                  <w:divBdr>
                                                                                                                                                                                                                                                    <w:top w:val="none" w:sz="0" w:space="0" w:color="auto"/>
                                                                                                                                                                                                                                                    <w:left w:val="none" w:sz="0" w:space="0" w:color="auto"/>
                                                                                                                                                                                                                                                    <w:bottom w:val="none" w:sz="0" w:space="0" w:color="auto"/>
                                                                                                                                                                                                                                                    <w:right w:val="none" w:sz="0" w:space="0" w:color="auto"/>
                                                                                                                                                                                                                                                  </w:divBdr>
                                                                                                                                                                                                                                                  <w:divsChild>
                                                                                                                                                                                                                                                    <w:div w:id="1745102474">
                                                                                                                                                                                                                                                      <w:marLeft w:val="0"/>
                                                                                                                                                                                                                                                      <w:marRight w:val="0"/>
                                                                                                                                                                                                                                                      <w:marTop w:val="0"/>
                                                                                                                                                                                                                                                      <w:marBottom w:val="0"/>
                                                                                                                                                                                                                                                      <w:divBdr>
                                                                                                                                                                                                                                                        <w:top w:val="none" w:sz="0" w:space="0" w:color="auto"/>
                                                                                                                                                                                                                                                        <w:left w:val="none" w:sz="0" w:space="0" w:color="auto"/>
                                                                                                                                                                                                                                                        <w:bottom w:val="none" w:sz="0" w:space="0" w:color="auto"/>
                                                                                                                                                                                                                                                        <w:right w:val="none" w:sz="0" w:space="0" w:color="auto"/>
                                                                                                                                                                                                                                                      </w:divBdr>
                                                                                                                                                                                                                                                      <w:divsChild>
                                                                                                                                                                                                                                                        <w:div w:id="153422509">
                                                                                                                                                                                                                                                          <w:marLeft w:val="0"/>
                                                                                                                                                                                                                                                          <w:marRight w:val="0"/>
                                                                                                                                                                                                                                                          <w:marTop w:val="0"/>
                                                                                                                                                                                                                                                          <w:marBottom w:val="0"/>
                                                                                                                                                                                                                                                          <w:divBdr>
                                                                                                                                                                                                                                                            <w:top w:val="none" w:sz="0" w:space="0" w:color="auto"/>
                                                                                                                                                                                                                                                            <w:left w:val="none" w:sz="0" w:space="0" w:color="auto"/>
                                                                                                                                                                                                                                                            <w:bottom w:val="none" w:sz="0" w:space="0" w:color="auto"/>
                                                                                                                                                                                                                                                            <w:right w:val="none" w:sz="0" w:space="0" w:color="auto"/>
                                                                                                                                                                                                                                                          </w:divBdr>
                                                                                                                                                                                                                                                          <w:divsChild>
                                                                                                                                                                                                                                                            <w:div w:id="404037779">
                                                                                                                                                                                                                                                              <w:marLeft w:val="0"/>
                                                                                                                                                                                                                                                              <w:marRight w:val="0"/>
                                                                                                                                                                                                                                                              <w:marTop w:val="0"/>
                                                                                                                                                                                                                                                              <w:marBottom w:val="0"/>
                                                                                                                                                                                                                                                              <w:divBdr>
                                                                                                                                                                                                                                                                <w:top w:val="none" w:sz="0" w:space="0" w:color="auto"/>
                                                                                                                                                                                                                                                                <w:left w:val="none" w:sz="0" w:space="0" w:color="auto"/>
                                                                                                                                                                                                                                                                <w:bottom w:val="none" w:sz="0" w:space="0" w:color="auto"/>
                                                                                                                                                                                                                                                                <w:right w:val="none" w:sz="0" w:space="0" w:color="auto"/>
                                                                                                                                                                                                                                                              </w:divBdr>
                                                                                                                                                                                                                                                              <w:divsChild>
                                                                                                                                                                                                                                                                <w:div w:id="461659399">
                                                                                                                                                                                                                                                                  <w:marLeft w:val="0"/>
                                                                                                                                                                                                                                                                  <w:marRight w:val="0"/>
                                                                                                                                                                                                                                                                  <w:marTop w:val="0"/>
                                                                                                                                                                                                                                                                  <w:marBottom w:val="0"/>
                                                                                                                                                                                                                                                                  <w:divBdr>
                                                                                                                                                                                                                                                                    <w:top w:val="none" w:sz="0" w:space="0" w:color="auto"/>
                                                                                                                                                                                                                                                                    <w:left w:val="none" w:sz="0" w:space="0" w:color="auto"/>
                                                                                                                                                                                                                                                                    <w:bottom w:val="none" w:sz="0" w:space="0" w:color="auto"/>
                                                                                                                                                                                                                                                                    <w:right w:val="none" w:sz="0" w:space="0" w:color="auto"/>
                                                                                                                                                                                                                                                                  </w:divBdr>
                                                                                                                                                                                                                                                                  <w:divsChild>
                                                                                                                                                                                                                                                                    <w:div w:id="1490712543">
                                                                                                                                                                                                                                                                      <w:marLeft w:val="0"/>
                                                                                                                                                                                                                                                                      <w:marRight w:val="0"/>
                                                                                                                                                                                                                                                                      <w:marTop w:val="0"/>
                                                                                                                                                                                                                                                                      <w:marBottom w:val="0"/>
                                                                                                                                                                                                                                                                      <w:divBdr>
                                                                                                                                                                                                                                                                        <w:top w:val="none" w:sz="0" w:space="0" w:color="auto"/>
                                                                                                                                                                                                                                                                        <w:left w:val="none" w:sz="0" w:space="0" w:color="auto"/>
                                                                                                                                                                                                                                                                        <w:bottom w:val="none" w:sz="0" w:space="0" w:color="auto"/>
                                                                                                                                                                                                                                                                        <w:right w:val="none" w:sz="0" w:space="0" w:color="auto"/>
                                                                                                                                                                                                                                                                      </w:divBdr>
                                                                                                                                                                                                                                                                      <w:divsChild>
                                                                                                                                                                                                                                                                        <w:div w:id="1751392714">
                                                                                                                                                                                                                                                                          <w:marLeft w:val="0"/>
                                                                                                                                                                                                                                                                          <w:marRight w:val="0"/>
                                                                                                                                                                                                                                                                          <w:marTop w:val="0"/>
                                                                                                                                                                                                                                                                          <w:marBottom w:val="0"/>
                                                                                                                                                                                                                                                                          <w:divBdr>
                                                                                                                                                                                                                                                                            <w:top w:val="none" w:sz="0" w:space="0" w:color="auto"/>
                                                                                                                                                                                                                                                                            <w:left w:val="none" w:sz="0" w:space="0" w:color="auto"/>
                                                                                                                                                                                                                                                                            <w:bottom w:val="none" w:sz="0" w:space="0" w:color="auto"/>
                                                                                                                                                                                                                                                                            <w:right w:val="none" w:sz="0" w:space="0" w:color="auto"/>
                                                                                                                                                                                                                                                                          </w:divBdr>
                                                                                                                                                                                                                                                                          <w:divsChild>
                                                                                                                                                                                                                                                                            <w:div w:id="1083064554">
                                                                                                                                                                                                                                                                              <w:marLeft w:val="0"/>
                                                                                                                                                                                                                                                                              <w:marRight w:val="0"/>
                                                                                                                                                                                                                                                                              <w:marTop w:val="0"/>
                                                                                                                                                                                                                                                                              <w:marBottom w:val="0"/>
                                                                                                                                                                                                                                                                              <w:divBdr>
                                                                                                                                                                                                                                                                                <w:top w:val="none" w:sz="0" w:space="0" w:color="auto"/>
                                                                                                                                                                                                                                                                                <w:left w:val="none" w:sz="0" w:space="0" w:color="auto"/>
                                                                                                                                                                                                                                                                                <w:bottom w:val="none" w:sz="0" w:space="0" w:color="auto"/>
                                                                                                                                                                                                                                                                                <w:right w:val="none" w:sz="0" w:space="0" w:color="auto"/>
                                                                                                                                                                                                                                                                              </w:divBdr>
                                                                                                                                                                                                                                                                              <w:divsChild>
                                                                                                                                                                                                                                                                                <w:div w:id="1076126305">
                                                                                                                                                                                                                                                                                  <w:marLeft w:val="0"/>
                                                                                                                                                                                                                                                                                  <w:marRight w:val="0"/>
                                                                                                                                                                                                                                                                                  <w:marTop w:val="0"/>
                                                                                                                                                                                                                                                                                  <w:marBottom w:val="0"/>
                                                                                                                                                                                                                                                                                  <w:divBdr>
                                                                                                                                                                                                                                                                                    <w:top w:val="none" w:sz="0" w:space="0" w:color="auto"/>
                                                                                                                                                                                                                                                                                    <w:left w:val="none" w:sz="0" w:space="0" w:color="auto"/>
                                                                                                                                                                                                                                                                                    <w:bottom w:val="none" w:sz="0" w:space="0" w:color="auto"/>
                                                                                                                                                                                                                                                                                    <w:right w:val="none" w:sz="0" w:space="0" w:color="auto"/>
                                                                                                                                                                                                                                                                                  </w:divBdr>
                                                                                                                                                                                                                                                                                  <w:divsChild>
                                                                                                                                                                                                                                                                                    <w:div w:id="861743495">
                                                                                                                                                                                                                                                                                      <w:marLeft w:val="0"/>
                                                                                                                                                                                                                                                                                      <w:marRight w:val="0"/>
                                                                                                                                                                                                                                                                                      <w:marTop w:val="0"/>
                                                                                                                                                                                                                                                                                      <w:marBottom w:val="0"/>
                                                                                                                                                                                                                                                                                      <w:divBdr>
                                                                                                                                                                                                                                                                                        <w:top w:val="none" w:sz="0" w:space="0" w:color="auto"/>
                                                                                                                                                                                                                                                                                        <w:left w:val="none" w:sz="0" w:space="0" w:color="auto"/>
                                                                                                                                                                                                                                                                                        <w:bottom w:val="none" w:sz="0" w:space="0" w:color="auto"/>
                                                                                                                                                                                                                                                                                        <w:right w:val="none" w:sz="0" w:space="0" w:color="auto"/>
                                                                                                                                                                                                                                                                                      </w:divBdr>
                                                                                                                                                                                                                                                                                      <w:divsChild>
                                                                                                                                                                                                                                                                                        <w:div w:id="889340311">
                                                                                                                                                                                                                                                                                          <w:marLeft w:val="0"/>
                                                                                                                                                                                                                                                                                          <w:marRight w:val="0"/>
                                                                                                                                                                                                                                                                                          <w:marTop w:val="0"/>
                                                                                                                                                                                                                                                                                          <w:marBottom w:val="0"/>
                                                                                                                                                                                                                                                                                          <w:divBdr>
                                                                                                                                                                                                                                                                                            <w:top w:val="none" w:sz="0" w:space="0" w:color="auto"/>
                                                                                                                                                                                                                                                                                            <w:left w:val="none" w:sz="0" w:space="0" w:color="auto"/>
                                                                                                                                                                                                                                                                                            <w:bottom w:val="none" w:sz="0" w:space="0" w:color="auto"/>
                                                                                                                                                                                                                                                                                            <w:right w:val="none" w:sz="0" w:space="0" w:color="auto"/>
                                                                                                                                                                                                                                                                                          </w:divBdr>
                                                                                                                                                                                                                                                                                          <w:divsChild>
                                                                                                                                                                                                                                                                                            <w:div w:id="444428987">
                                                                                                                                                                                                                                                                                              <w:marLeft w:val="0"/>
                                                                                                                                                                                                                                                                                              <w:marRight w:val="0"/>
                                                                                                                                                                                                                                                                                              <w:marTop w:val="0"/>
                                                                                                                                                                                                                                                                                              <w:marBottom w:val="0"/>
                                                                                                                                                                                                                                                                                              <w:divBdr>
                                                                                                                                                                                                                                                                                                <w:top w:val="none" w:sz="0" w:space="0" w:color="auto"/>
                                                                                                                                                                                                                                                                                                <w:left w:val="none" w:sz="0" w:space="0" w:color="auto"/>
                                                                                                                                                                                                                                                                                                <w:bottom w:val="none" w:sz="0" w:space="0" w:color="auto"/>
                                                                                                                                                                                                                                                                                                <w:right w:val="none" w:sz="0" w:space="0" w:color="auto"/>
                                                                                                                                                                                                                                                                                              </w:divBdr>
                                                                                                                                                                                                                                                                                              <w:divsChild>
                                                                                                                                                                                                                                                                                                <w:div w:id="773017226">
                                                                                                                                                                                                                                                                                                  <w:marLeft w:val="0"/>
                                                                                                                                                                                                                                                                                                  <w:marRight w:val="0"/>
                                                                                                                                                                                                                                                                                                  <w:marTop w:val="0"/>
                                                                                                                                                                                                                                                                                                  <w:marBottom w:val="0"/>
                                                                                                                                                                                                                                                                                                  <w:divBdr>
                                                                                                                                                                                                                                                                                                    <w:top w:val="none" w:sz="0" w:space="0" w:color="auto"/>
                                                                                                                                                                                                                                                                                                    <w:left w:val="none" w:sz="0" w:space="0" w:color="auto"/>
                                                                                                                                                                                                                                                                                                    <w:bottom w:val="none" w:sz="0" w:space="0" w:color="auto"/>
                                                                                                                                                                                                                                                                                                    <w:right w:val="none" w:sz="0" w:space="0" w:color="auto"/>
                                                                                                                                                                                                                                                                                                  </w:divBdr>
                                                                                                                                                                                                                                                                                                  <w:divsChild>
                                                                                                                                                                                                                                                                                                    <w:div w:id="1650207898">
                                                                                                                                                                                                                                                                                                      <w:marLeft w:val="0"/>
                                                                                                                                                                                                                                                                                                      <w:marRight w:val="0"/>
                                                                                                                                                                                                                                                                                                      <w:marTop w:val="0"/>
                                                                                                                                                                                                                                                                                                      <w:marBottom w:val="0"/>
                                                                                                                                                                                                                                                                                                      <w:divBdr>
                                                                                                                                                                                                                                                                                                        <w:top w:val="none" w:sz="0" w:space="0" w:color="auto"/>
                                                                                                                                                                                                                                                                                                        <w:left w:val="none" w:sz="0" w:space="0" w:color="auto"/>
                                                                                                                                                                                                                                                                                                        <w:bottom w:val="none" w:sz="0" w:space="0" w:color="auto"/>
                                                                                                                                                                                                                                                                                                        <w:right w:val="none" w:sz="0" w:space="0" w:color="auto"/>
                                                                                                                                                                                                                                                                                                      </w:divBdr>
                                                                                                                                                                                                                                                                                                      <w:divsChild>
                                                                                                                                                                                                                                                                                                        <w:div w:id="1042513305">
                                                                                                                                                                                                                                                                                                          <w:marLeft w:val="0"/>
                                                                                                                                                                                                                                                                                                          <w:marRight w:val="0"/>
                                                                                                                                                                                                                                                                                                          <w:marTop w:val="0"/>
                                                                                                                                                                                                                                                                                                          <w:marBottom w:val="0"/>
                                                                                                                                                                                                                                                                                                          <w:divBdr>
                                                                                                                                                                                                                                                                                                            <w:top w:val="none" w:sz="0" w:space="0" w:color="auto"/>
                                                                                                                                                                                                                                                                                                            <w:left w:val="none" w:sz="0" w:space="0" w:color="auto"/>
                                                                                                                                                                                                                                                                                                            <w:bottom w:val="none" w:sz="0" w:space="0" w:color="auto"/>
                                                                                                                                                                                                                                                                                                            <w:right w:val="none" w:sz="0" w:space="0" w:color="auto"/>
                                                                                                                                                                                                                                                                                                          </w:divBdr>
                                                                                                                                                                                                                                                                                                          <w:divsChild>
                                                                                                                                                                                                                                                                                                            <w:div w:id="1070469346">
                                                                                                                                                                                                                                                                                                              <w:marLeft w:val="0"/>
                                                                                                                                                                                                                                                                                                              <w:marRight w:val="0"/>
                                                                                                                                                                                                                                                                                                              <w:marTop w:val="0"/>
                                                                                                                                                                                                                                                                                                              <w:marBottom w:val="0"/>
                                                                                                                                                                                                                                                                                                              <w:divBdr>
                                                                                                                                                                                                                                                                                                                <w:top w:val="none" w:sz="0" w:space="0" w:color="auto"/>
                                                                                                                                                                                                                                                                                                                <w:left w:val="none" w:sz="0" w:space="0" w:color="auto"/>
                                                                                                                                                                                                                                                                                                                <w:bottom w:val="none" w:sz="0" w:space="0" w:color="auto"/>
                                                                                                                                                                                                                                                                                                                <w:right w:val="none" w:sz="0" w:space="0" w:color="auto"/>
                                                                                                                                                                                                                                                                                                              </w:divBdr>
                                                                                                                                                                                                                                                                                                              <w:divsChild>
                                                                                                                                                                                                                                                                                                                <w:div w:id="1849758228">
                                                                                                                                                                                                                                                                                                                  <w:marLeft w:val="0"/>
                                                                                                                                                                                                                                                                                                                  <w:marRight w:val="0"/>
                                                                                                                                                                                                                                                                                                                  <w:marTop w:val="0"/>
                                                                                                                                                                                                                                                                                                                  <w:marBottom w:val="0"/>
                                                                                                                                                                                                                                                                                                                  <w:divBdr>
                                                                                                                                                                                                                                                                                                                    <w:top w:val="none" w:sz="0" w:space="0" w:color="auto"/>
                                                                                                                                                                                                                                                                                                                    <w:left w:val="none" w:sz="0" w:space="0" w:color="auto"/>
                                                                                                                                                                                                                                                                                                                    <w:bottom w:val="none" w:sz="0" w:space="0" w:color="auto"/>
                                                                                                                                                                                                                                                                                                                    <w:right w:val="none" w:sz="0" w:space="0" w:color="auto"/>
                                                                                                                                                                                                                                                                                                                  </w:divBdr>
                                                                                                                                                                                                                                                                                                                  <w:divsChild>
                                                                                                                                                                                                                                                                                                                    <w:div w:id="896403684">
                                                                                                                                                                                                                                                                                                                      <w:marLeft w:val="0"/>
                                                                                                                                                                                                                                                                                                                      <w:marRight w:val="0"/>
                                                                                                                                                                                                                                                                                                                      <w:marTop w:val="0"/>
                                                                                                                                                                                                                                                                                                                      <w:marBottom w:val="0"/>
                                                                                                                                                                                                                                                                                                                      <w:divBdr>
                                                                                                                                                                                                                                                                                                                        <w:top w:val="none" w:sz="0" w:space="0" w:color="auto"/>
                                                                                                                                                                                                                                                                                                                        <w:left w:val="none" w:sz="0" w:space="0" w:color="auto"/>
                                                                                                                                                                                                                                                                                                                        <w:bottom w:val="none" w:sz="0" w:space="0" w:color="auto"/>
                                                                                                                                                                                                                                                                                                                        <w:right w:val="none" w:sz="0" w:space="0" w:color="auto"/>
                                                                                                                                                                                                                                                                                                                      </w:divBdr>
                                                                                                                                                                                                                                                                                                                      <w:divsChild>
                                                                                                                                                                                                                                                                                                                        <w:div w:id="1668902275">
                                                                                                                                                                                                                                                                                                                          <w:marLeft w:val="0"/>
                                                                                                                                                                                                                                                                                                                          <w:marRight w:val="0"/>
                                                                                                                                                                                                                                                                                                                          <w:marTop w:val="0"/>
                                                                                                                                                                                                                                                                                                                          <w:marBottom w:val="0"/>
                                                                                                                                                                                                                                                                                                                          <w:divBdr>
                                                                                                                                                                                                                                                                                                                            <w:top w:val="none" w:sz="0" w:space="0" w:color="auto"/>
                                                                                                                                                                                                                                                                                                                            <w:left w:val="none" w:sz="0" w:space="0" w:color="auto"/>
                                                                                                                                                                                                                                                                                                                            <w:bottom w:val="none" w:sz="0" w:space="0" w:color="auto"/>
                                                                                                                                                                                                                                                                                                                            <w:right w:val="none" w:sz="0" w:space="0" w:color="auto"/>
                                                                                                                                                                                                                                                                                                                          </w:divBdr>
                                                                                                                                                                                                                                                                                                                          <w:divsChild>
                                                                                                                                                                                                                                                                                                                            <w:div w:id="1580284093">
                                                                                                                                                                                                                                                                                                                              <w:marLeft w:val="0"/>
                                                                                                                                                                                                                                                                                                                              <w:marRight w:val="0"/>
                                                                                                                                                                                                                                                                                                                              <w:marTop w:val="0"/>
                                                                                                                                                                                                                                                                                                                              <w:marBottom w:val="0"/>
                                                                                                                                                                                                                                                                                                                              <w:divBdr>
                                                                                                                                                                                                                                                                                                                                <w:top w:val="none" w:sz="0" w:space="0" w:color="auto"/>
                                                                                                                                                                                                                                                                                                                                <w:left w:val="none" w:sz="0" w:space="0" w:color="auto"/>
                                                                                                                                                                                                                                                                                                                                <w:bottom w:val="none" w:sz="0" w:space="0" w:color="auto"/>
                                                                                                                                                                                                                                                                                                                                <w:right w:val="none" w:sz="0" w:space="0" w:color="auto"/>
                                                                                                                                                                                                                                                                                                                              </w:divBdr>
                                                                                                                                                                                                                                                                                                                              <w:divsChild>
                                                                                                                                                                                                                                                                                                                                <w:div w:id="914124457">
                                                                                                                                                                                                                                                                                                                                  <w:marLeft w:val="0"/>
                                                                                                                                                                                                                                                                                                                                  <w:marRight w:val="0"/>
                                                                                                                                                                                                                                                                                                                                  <w:marTop w:val="0"/>
                                                                                                                                                                                                                                                                                                                                  <w:marBottom w:val="0"/>
                                                                                                                                                                                                                                                                                                                                  <w:divBdr>
                                                                                                                                                                                                                                                                                                                                    <w:top w:val="none" w:sz="0" w:space="0" w:color="auto"/>
                                                                                                                                                                                                                                                                                                                                    <w:left w:val="none" w:sz="0" w:space="0" w:color="auto"/>
                                                                                                                                                                                                                                                                                                                                    <w:bottom w:val="none" w:sz="0" w:space="0" w:color="auto"/>
                                                                                                                                                                                                                                                                                                                                    <w:right w:val="none" w:sz="0" w:space="0" w:color="auto"/>
                                                                                                                                                                                                                                                                                                                                  </w:divBdr>
                                                                                                                                                                                                                                                                                                                                  <w:divsChild>
                                                                                                                                                                                                                                                                                                                                    <w:div w:id="2127918166">
                                                                                                                                                                                                                                                                                                                                      <w:marLeft w:val="0"/>
                                                                                                                                                                                                                                                                                                                                      <w:marRight w:val="0"/>
                                                                                                                                                                                                                                                                                                                                      <w:marTop w:val="0"/>
                                                                                                                                                                                                                                                                                                                                      <w:marBottom w:val="0"/>
                                                                                                                                                                                                                                                                                                                                      <w:divBdr>
                                                                                                                                                                                                                                                                                                                                        <w:top w:val="none" w:sz="0" w:space="0" w:color="auto"/>
                                                                                                                                                                                                                                                                                                                                        <w:left w:val="none" w:sz="0" w:space="0" w:color="auto"/>
                                                                                                                                                                                                                                                                                                                                        <w:bottom w:val="none" w:sz="0" w:space="0" w:color="auto"/>
                                                                                                                                                                                                                                                                                                                                        <w:right w:val="none" w:sz="0" w:space="0" w:color="auto"/>
                                                                                                                                                                                                                                                                                                                                      </w:divBdr>
                                                                                                                                                                                                                                                                                                                                      <w:divsChild>
                                                                                                                                                                                                                                                                                                                                        <w:div w:id="2027363891">
                                                                                                                                                                                                                                                                                                                                          <w:marLeft w:val="0"/>
                                                                                                                                                                                                                                                                                                                                          <w:marRight w:val="0"/>
                                                                                                                                                                                                                                                                                                                                          <w:marTop w:val="0"/>
                                                                                                                                                                                                                                                                                                                                          <w:marBottom w:val="0"/>
                                                                                                                                                                                                                                                                                                                                          <w:divBdr>
                                                                                                                                                                                                                                                                                                                                            <w:top w:val="none" w:sz="0" w:space="0" w:color="auto"/>
                                                                                                                                                                                                                                                                                                                                            <w:left w:val="none" w:sz="0" w:space="0" w:color="auto"/>
                                                                                                                                                                                                                                                                                                                                            <w:bottom w:val="none" w:sz="0" w:space="0" w:color="auto"/>
                                                                                                                                                                                                                                                                                                                                            <w:right w:val="none" w:sz="0" w:space="0" w:color="auto"/>
                                                                                                                                                                                                                                                                                                                                          </w:divBdr>
                                                                                                                                                                                                                                                                                                                                          <w:divsChild>
                                                                                                                                                                                                                                                                                                                                            <w:div w:id="1277296901">
                                                                                                                                                                                                                                                                                                                                              <w:marLeft w:val="0"/>
                                                                                                                                                                                                                                                                                                                                              <w:marRight w:val="0"/>
                                                                                                                                                                                                                                                                                                                                              <w:marTop w:val="0"/>
                                                                                                                                                                                                                                                                                                                                              <w:marBottom w:val="0"/>
                                                                                                                                                                                                                                                                                                                                              <w:divBdr>
                                                                                                                                                                                                                                                                                                                                                <w:top w:val="none" w:sz="0" w:space="0" w:color="auto"/>
                                                                                                                                                                                                                                                                                                                                                <w:left w:val="none" w:sz="0" w:space="0" w:color="auto"/>
                                                                                                                                                                                                                                                                                                                                                <w:bottom w:val="none" w:sz="0" w:space="0" w:color="auto"/>
                                                                                                                                                                                                                                                                                                                                                <w:right w:val="none" w:sz="0" w:space="0" w:color="auto"/>
                                                                                                                                                                                                                                                                                                                                              </w:divBdr>
                                                                                                                                                                                                                                                                                                                                              <w:divsChild>
                                                                                                                                                                                                                                                                                                                                                <w:div w:id="1122113222">
                                                                                                                                                                                                                                                                                                                                                  <w:marLeft w:val="0"/>
                                                                                                                                                                                                                                                                                                                                                  <w:marRight w:val="0"/>
                                                                                                                                                                                                                                                                                                                                                  <w:marTop w:val="0"/>
                                                                                                                                                                                                                                                                                                                                                  <w:marBottom w:val="0"/>
                                                                                                                                                                                                                                                                                                                                                  <w:divBdr>
                                                                                                                                                                                                                                                                                                                                                    <w:top w:val="none" w:sz="0" w:space="0" w:color="auto"/>
                                                                                                                                                                                                                                                                                                                                                    <w:left w:val="none" w:sz="0" w:space="0" w:color="auto"/>
                                                                                                                                                                                                                                                                                                                                                    <w:bottom w:val="none" w:sz="0" w:space="0" w:color="auto"/>
                                                                                                                                                                                                                                                                                                                                                    <w:right w:val="none" w:sz="0" w:space="0" w:color="auto"/>
                                                                                                                                                                                                                                                                                                                                                  </w:divBdr>
                                                                                                                                                                                                                                                                                                                                                  <w:divsChild>
                                                                                                                                                                                                                                                                                                                                                    <w:div w:id="946934141">
                                                                                                                                                                                                                                                                                                                                                      <w:marLeft w:val="0"/>
                                                                                                                                                                                                                                                                                                                                                      <w:marRight w:val="0"/>
                                                                                                                                                                                                                                                                                                                                                      <w:marTop w:val="0"/>
                                                                                                                                                                                                                                                                                                                                                      <w:marBottom w:val="0"/>
                                                                                                                                                                                                                                                                                                                                                      <w:divBdr>
                                                                                                                                                                                                                                                                                                                                                        <w:top w:val="none" w:sz="0" w:space="0" w:color="auto"/>
                                                                                                                                                                                                                                                                                                                                                        <w:left w:val="none" w:sz="0" w:space="0" w:color="auto"/>
                                                                                                                                                                                                                                                                                                                                                        <w:bottom w:val="none" w:sz="0" w:space="0" w:color="auto"/>
                                                                                                                                                                                                                                                                                                                                                        <w:right w:val="none" w:sz="0" w:space="0" w:color="auto"/>
                                                                                                                                                                                                                                                                                                                                                      </w:divBdr>
                                                                                                                                                                                                                                                                                                                                                      <w:divsChild>
                                                                                                                                                                                                                                                                                                                                                        <w:div w:id="512115227">
                                                                                                                                                                                                                                                                                                                                                          <w:marLeft w:val="0"/>
                                                                                                                                                                                                                                                                                                                                                          <w:marRight w:val="0"/>
                                                                                                                                                                                                                                                                                                                                                          <w:marTop w:val="0"/>
                                                                                                                                                                                                                                                                                                                                                          <w:marBottom w:val="0"/>
                                                                                                                                                                                                                                                                                                                                                          <w:divBdr>
                                                                                                                                                                                                                                                                                                                                                            <w:top w:val="none" w:sz="0" w:space="0" w:color="auto"/>
                                                                                                                                                                                                                                                                                                                                                            <w:left w:val="none" w:sz="0" w:space="0" w:color="auto"/>
                                                                                                                                                                                                                                                                                                                                                            <w:bottom w:val="none" w:sz="0" w:space="0" w:color="auto"/>
                                                                                                                                                                                                                                                                                                                                                            <w:right w:val="none" w:sz="0" w:space="0" w:color="auto"/>
                                                                                                                                                                                                                                                                                                                                                          </w:divBdr>
                                                                                                                                                                                                                                                                                                                                                          <w:divsChild>
                                                                                                                                                                                                                                                                                                                                                            <w:div w:id="1036195756">
                                                                                                                                                                                                                                                                                                                                                              <w:marLeft w:val="0"/>
                                                                                                                                                                                                                                                                                                                                                              <w:marRight w:val="0"/>
                                                                                                                                                                                                                                                                                                                                                              <w:marTop w:val="0"/>
                                                                                                                                                                                                                                                                                                                                                              <w:marBottom w:val="0"/>
                                                                                                                                                                                                                                                                                                                                                              <w:divBdr>
                                                                                                                                                                                                                                                                                                                                                                <w:top w:val="none" w:sz="0" w:space="0" w:color="auto"/>
                                                                                                                                                                                                                                                                                                                                                                <w:left w:val="none" w:sz="0" w:space="0" w:color="auto"/>
                                                                                                                                                                                                                                                                                                                                                                <w:bottom w:val="none" w:sz="0" w:space="0" w:color="auto"/>
                                                                                                                                                                                                                                                                                                                                                                <w:right w:val="none" w:sz="0" w:space="0" w:color="auto"/>
                                                                                                                                                                                                                                                                                                                                                              </w:divBdr>
                                                                                                                                                                                                                                                                                                                                                              <w:divsChild>
                                                                                                                                                                                                                                                                                                                                                                <w:div w:id="235289337">
                                                                                                                                                                                                                                                                                                                                                                  <w:marLeft w:val="0"/>
                                                                                                                                                                                                                                                                                                                                                                  <w:marRight w:val="0"/>
                                                                                                                                                                                                                                                                                                                                                                  <w:marTop w:val="0"/>
                                                                                                                                                                                                                                                                                                                                                                  <w:marBottom w:val="0"/>
                                                                                                                                                                                                                                                                                                                                                                  <w:divBdr>
                                                                                                                                                                                                                                                                                                                                                                    <w:top w:val="none" w:sz="0" w:space="0" w:color="auto"/>
                                                                                                                                                                                                                                                                                                                                                                    <w:left w:val="none" w:sz="0" w:space="0" w:color="auto"/>
                                                                                                                                                                                                                                                                                                                                                                    <w:bottom w:val="none" w:sz="0" w:space="0" w:color="auto"/>
                                                                                                                                                                                                                                                                                                                                                                    <w:right w:val="none" w:sz="0" w:space="0" w:color="auto"/>
                                                                                                                                                                                                                                                                                                                                                                  </w:divBdr>
                                                                                                                                                                                                                                                                                                                                                                  <w:divsChild>
                                                                                                                                                                                                                                                                                                                                                                    <w:div w:id="769155377">
                                                                                                                                                                                                                                                                                                                                                                      <w:marLeft w:val="0"/>
                                                                                                                                                                                                                                                                                                                                                                      <w:marRight w:val="0"/>
                                                                                                                                                                                                                                                                                                                                                                      <w:marTop w:val="0"/>
                                                                                                                                                                                                                                                                                                                                                                      <w:marBottom w:val="0"/>
                                                                                                                                                                                                                                                                                                                                                                      <w:divBdr>
                                                                                                                                                                                                                                                                                                                                                                        <w:top w:val="none" w:sz="0" w:space="0" w:color="auto"/>
                                                                                                                                                                                                                                                                                                                                                                        <w:left w:val="none" w:sz="0" w:space="0" w:color="auto"/>
                                                                                                                                                                                                                                                                                                                                                                        <w:bottom w:val="none" w:sz="0" w:space="0" w:color="auto"/>
                                                                                                                                                                                                                                                                                                                                                                        <w:right w:val="none" w:sz="0" w:space="0" w:color="auto"/>
                                                                                                                                                                                                                                                                                                                                                                      </w:divBdr>
                                                                                                                                                                                                                                                                                                                                                                      <w:divsChild>
                                                                                                                                                                                                                                                                                                                                                                        <w:div w:id="452939935">
                                                                                                                                                                                                                                                                                                                                                                          <w:marLeft w:val="0"/>
                                                                                                                                                                                                                                                                                                                                                                          <w:marRight w:val="0"/>
                                                                                                                                                                                                                                                                                                                                                                          <w:marTop w:val="0"/>
                                                                                                                                                                                                                                                                                                                                                                          <w:marBottom w:val="0"/>
                                                                                                                                                                                                                                                                                                                                                                          <w:divBdr>
                                                                                                                                                                                                                                                                                                                                                                            <w:top w:val="none" w:sz="0" w:space="0" w:color="auto"/>
                                                                                                                                                                                                                                                                                                                                                                            <w:left w:val="none" w:sz="0" w:space="0" w:color="auto"/>
                                                                                                                                                                                                                                                                                                                                                                            <w:bottom w:val="none" w:sz="0" w:space="0" w:color="auto"/>
                                                                                                                                                                                                                                                                                                                                                                            <w:right w:val="none" w:sz="0" w:space="0" w:color="auto"/>
                                                                                                                                                                                                                                                                                                                                                                          </w:divBdr>
                                                                                                                                                                                                                                                                                                                                                                          <w:divsChild>
                                                                                                                                                                                                                                                                                                                                                                            <w:div w:id="1020282293">
                                                                                                                                                                                                                                                                                                                                                                              <w:marLeft w:val="0"/>
                                                                                                                                                                                                                                                                                                                                                                              <w:marRight w:val="0"/>
                                                                                                                                                                                                                                                                                                                                                                              <w:marTop w:val="0"/>
                                                                                                                                                                                                                                                                                                                                                                              <w:marBottom w:val="0"/>
                                                                                                                                                                                                                                                                                                                                                                              <w:divBdr>
                                                                                                                                                                                                                                                                                                                                                                                <w:top w:val="none" w:sz="0" w:space="0" w:color="auto"/>
                                                                                                                                                                                                                                                                                                                                                                                <w:left w:val="none" w:sz="0" w:space="0" w:color="auto"/>
                                                                                                                                                                                                                                                                                                                                                                                <w:bottom w:val="none" w:sz="0" w:space="0" w:color="auto"/>
                                                                                                                                                                                                                                                                                                                                                                                <w:right w:val="none" w:sz="0" w:space="0" w:color="auto"/>
                                                                                                                                                                                                                                                                                                                                                                              </w:divBdr>
                                                                                                                                                                                                                                                                                                                                                                              <w:divsChild>
                                                                                                                                                                                                                                                                                                                                                                                <w:div w:id="409276549">
                                                                                                                                                                                                                                                                                                                                                                                  <w:marLeft w:val="0"/>
                                                                                                                                                                                                                                                                                                                                                                                  <w:marRight w:val="0"/>
                                                                                                                                                                                                                                                                                                                                                                                  <w:marTop w:val="0"/>
                                                                                                                                                                                                                                                                                                                                                                                  <w:marBottom w:val="0"/>
                                                                                                                                                                                                                                                                                                                                                                                  <w:divBdr>
                                                                                                                                                                                                                                                                                                                                                                                    <w:top w:val="none" w:sz="0" w:space="0" w:color="auto"/>
                                                                                                                                                                                                                                                                                                                                                                                    <w:left w:val="none" w:sz="0" w:space="0" w:color="auto"/>
                                                                                                                                                                                                                                                                                                                                                                                    <w:bottom w:val="none" w:sz="0" w:space="0" w:color="auto"/>
                                                                                                                                                                                                                                                                                                                                                                                    <w:right w:val="none" w:sz="0" w:space="0" w:color="auto"/>
                                                                                                                                                                                                                                                                                                                                                                                  </w:divBdr>
                                                                                                                                                                                                                                                                                                                                                                                  <w:divsChild>
                                                                                                                                                                                                                                                                                                                                                                                    <w:div w:id="1707952236">
                                                                                                                                                                                                                                                                                                                                                                                      <w:marLeft w:val="0"/>
                                                                                                                                                                                                                                                                                                                                                                                      <w:marRight w:val="0"/>
                                                                                                                                                                                                                                                                                                                                                                                      <w:marTop w:val="0"/>
                                                                                                                                                                                                                                                                                                                                                                                      <w:marBottom w:val="0"/>
                                                                                                                                                                                                                                                                                                                                                                                      <w:divBdr>
                                                                                                                                                                                                                                                                                                                                                                                        <w:top w:val="none" w:sz="0" w:space="0" w:color="auto"/>
                                                                                                                                                                                                                                                                                                                                                                                        <w:left w:val="none" w:sz="0" w:space="0" w:color="auto"/>
                                                                                                                                                                                                                                                                                                                                                                                        <w:bottom w:val="none" w:sz="0" w:space="0" w:color="auto"/>
                                                                                                                                                                                                                                                                                                                                                                                        <w:right w:val="none" w:sz="0" w:space="0" w:color="auto"/>
                                                                                                                                                                                                                                                                                                                                                                                      </w:divBdr>
                                                                                                                                                                                                                                                                                                                                                                                      <w:divsChild>
                                                                                                                                                                                                                                                                                                                                                                                        <w:div w:id="744109609">
                                                                                                                                                                                                                                                                                                                                                                                          <w:marLeft w:val="0"/>
                                                                                                                                                                                                                                                                                                                                                                                          <w:marRight w:val="0"/>
                                                                                                                                                                                                                                                                                                                                                                                          <w:marTop w:val="0"/>
                                                                                                                                                                                                                                                                                                                                                                                          <w:marBottom w:val="0"/>
                                                                                                                                                                                                                                                                                                                                                                                          <w:divBdr>
                                                                                                                                                                                                                                                                                                                                                                                            <w:top w:val="none" w:sz="0" w:space="0" w:color="auto"/>
                                                                                                                                                                                                                                                                                                                                                                                            <w:left w:val="none" w:sz="0" w:space="0" w:color="auto"/>
                                                                                                                                                                                                                                                                                                                                                                                            <w:bottom w:val="none" w:sz="0" w:space="0" w:color="auto"/>
                                                                                                                                                                                                                                                                                                                                                                                            <w:right w:val="none" w:sz="0" w:space="0" w:color="auto"/>
                                                                                                                                                                                                                                                                                                                                                                                          </w:divBdr>
                                                                                                                                                                                                                                                                                                                                                                                          <w:divsChild>
                                                                                                                                                                                                                                                                                                                                                                                            <w:div w:id="479467759">
                                                                                                                                                                                                                                                                                                                                                                                              <w:marLeft w:val="0"/>
                                                                                                                                                                                                                                                                                                                                                                                              <w:marRight w:val="0"/>
                                                                                                                                                                                                                                                                                                                                                                                              <w:marTop w:val="0"/>
                                                                                                                                                                                                                                                                                                                                                                                              <w:marBottom w:val="0"/>
                                                                                                                                                                                                                                                                                                                                                                                              <w:divBdr>
                                                                                                                                                                                                                                                                                                                                                                                                <w:top w:val="none" w:sz="0" w:space="0" w:color="auto"/>
                                                                                                                                                                                                                                                                                                                                                                                                <w:left w:val="none" w:sz="0" w:space="0" w:color="auto"/>
                                                                                                                                                                                                                                                                                                                                                                                                <w:bottom w:val="none" w:sz="0" w:space="0" w:color="auto"/>
                                                                                                                                                                                                                                                                                                                                                                                                <w:right w:val="none" w:sz="0" w:space="0" w:color="auto"/>
                                                                                                                                                                                                                                                                                                                                                                                              </w:divBdr>
                                                                                                                                                                                                                                                                                                                                                                                              <w:divsChild>
                                                                                                                                                                                                                                                                                                                                                                                                <w:div w:id="1908569353">
                                                                                                                                                                                                                                                                                                                                                                                                  <w:marLeft w:val="0"/>
                                                                                                                                                                                                                                                                                                                                                                                                  <w:marRight w:val="0"/>
                                                                                                                                                                                                                                                                                                                                                                                                  <w:marTop w:val="0"/>
                                                                                                                                                                                                                                                                                                                                                                                                  <w:marBottom w:val="0"/>
                                                                                                                                                                                                                                                                                                                                                                                                  <w:divBdr>
                                                                                                                                                                                                                                                                                                                                                                                                    <w:top w:val="none" w:sz="0" w:space="0" w:color="auto"/>
                                                                                                                                                                                                                                                                                                                                                                                                    <w:left w:val="none" w:sz="0" w:space="0" w:color="auto"/>
                                                                                                                                                                                                                                                                                                                                                                                                    <w:bottom w:val="none" w:sz="0" w:space="0" w:color="auto"/>
                                                                                                                                                                                                                                                                                                                                                                                                    <w:right w:val="none" w:sz="0" w:space="0" w:color="auto"/>
                                                                                                                                                                                                                                                                                                                                                                                                  </w:divBdr>
                                                                                                                                                                                                                                                                                                                                                                                                  <w:divsChild>
                                                                                                                                                                                                                                                                                                                                                                                                    <w:div w:id="1373268009">
                                                                                                                                                                                                                                                                                                                                                                                                      <w:marLeft w:val="0"/>
                                                                                                                                                                                                                                                                                                                                                                                                      <w:marRight w:val="0"/>
                                                                                                                                                                                                                                                                                                                                                                                                      <w:marTop w:val="0"/>
                                                                                                                                                                                                                                                                                                                                                                                                      <w:marBottom w:val="0"/>
                                                                                                                                                                                                                                                                                                                                                                                                      <w:divBdr>
                                                                                                                                                                                                                                                                                                                                                                                                        <w:top w:val="none" w:sz="0" w:space="0" w:color="auto"/>
                                                                                                                                                                                                                                                                                                                                                                                                        <w:left w:val="none" w:sz="0" w:space="0" w:color="auto"/>
                                                                                                                                                                                                                                                                                                                                                                                                        <w:bottom w:val="none" w:sz="0" w:space="0" w:color="auto"/>
                                                                                                                                                                                                                                                                                                                                                                                                        <w:right w:val="none" w:sz="0" w:space="0" w:color="auto"/>
                                                                                                                                                                                                                                                                                                                                                                                                      </w:divBdr>
                                                                                                                                                                                                                                                                                                                                                                                                      <w:divsChild>
                                                                                                                                                                                                                                                                                                                                                                                                        <w:div w:id="2085763295">
                                                                                                                                                                                                                                                                                                                                                                                                          <w:marLeft w:val="0"/>
                                                                                                                                                                                                                                                                                                                                                                                                          <w:marRight w:val="0"/>
                                                                                                                                                                                                                                                                                                                                                                                                          <w:marTop w:val="0"/>
                                                                                                                                                                                                                                                                                                                                                                                                          <w:marBottom w:val="0"/>
                                                                                                                                                                                                                                                                                                                                                                                                          <w:divBdr>
                                                                                                                                                                                                                                                                                                                                                                                                            <w:top w:val="none" w:sz="0" w:space="0" w:color="auto"/>
                                                                                                                                                                                                                                                                                                                                                                                                            <w:left w:val="none" w:sz="0" w:space="0" w:color="auto"/>
                                                                                                                                                                                                                                                                                                                                                                                                            <w:bottom w:val="none" w:sz="0" w:space="0" w:color="auto"/>
                                                                                                                                                                                                                                                                                                                                                                                                            <w:right w:val="none" w:sz="0" w:space="0" w:color="auto"/>
                                                                                                                                                                                                                                                                                                                                                                                                          </w:divBdr>
                                                                                                                                                                                                                                                                                                                                                                                                          <w:divsChild>
                                                                                                                                                                                                                                                                                                                                                                                                            <w:div w:id="1332488228">
                                                                                                                                                                                                                                                                                                                                                                                                              <w:marLeft w:val="0"/>
                                                                                                                                                                                                                                                                                                                                                                                                              <w:marRight w:val="0"/>
                                                                                                                                                                                                                                                                                                                                                                                                              <w:marTop w:val="0"/>
                                                                                                                                                                                                                                                                                                                                                                                                              <w:marBottom w:val="0"/>
                                                                                                                                                                                                                                                                                                                                                                                                              <w:divBdr>
                                                                                                                                                                                                                                                                                                                                                                                                                <w:top w:val="none" w:sz="0" w:space="0" w:color="auto"/>
                                                                                                                                                                                                                                                                                                                                                                                                                <w:left w:val="none" w:sz="0" w:space="0" w:color="auto"/>
                                                                                                                                                                                                                                                                                                                                                                                                                <w:bottom w:val="none" w:sz="0" w:space="0" w:color="auto"/>
                                                                                                                                                                                                                                                                                                                                                                                                                <w:right w:val="none" w:sz="0" w:space="0" w:color="auto"/>
                                                                                                                                                                                                                                                                                                                                                                                                              </w:divBdr>
                                                                                                                                                                                                                                                                                                                                                                                                              <w:divsChild>
                                                                                                                                                                                                                                                                                                                                                                                                                <w:div w:id="524254737">
                                                                                                                                                                                                                                                                                                                                                                                                                  <w:marLeft w:val="0"/>
                                                                                                                                                                                                                                                                                                                                                                                                                  <w:marRight w:val="0"/>
                                                                                                                                                                                                                                                                                                                                                                                                                  <w:marTop w:val="0"/>
                                                                                                                                                                                                                                                                                                                                                                                                                  <w:marBottom w:val="0"/>
                                                                                                                                                                                                                                                                                                                                                                                                                  <w:divBdr>
                                                                                                                                                                                                                                                                                                                                                                                                                    <w:top w:val="none" w:sz="0" w:space="0" w:color="auto"/>
                                                                                                                                                                                                                                                                                                                                                                                                                    <w:left w:val="none" w:sz="0" w:space="0" w:color="auto"/>
                                                                                                                                                                                                                                                                                                                                                                                                                    <w:bottom w:val="none" w:sz="0" w:space="0" w:color="auto"/>
                                                                                                                                                                                                                                                                                                                                                                                                                    <w:right w:val="none" w:sz="0" w:space="0" w:color="auto"/>
                                                                                                                                                                                                                                                                                                                                                                                                                  </w:divBdr>
                                                                                                                                                                                                                                                                                                                                                                                                                  <w:divsChild>
                                                                                                                                                                                                                                                                                                                                                                                                                    <w:div w:id="749280306">
                                                                                                                                                                                                                                                                                                                                                                                                                      <w:marLeft w:val="0"/>
                                                                                                                                                                                                                                                                                                                                                                                                                      <w:marRight w:val="0"/>
                                                                                                                                                                                                                                                                                                                                                                                                                      <w:marTop w:val="0"/>
                                                                                                                                                                                                                                                                                                                                                                                                                      <w:marBottom w:val="0"/>
                                                                                                                                                                                                                                                                                                                                                                                                                      <w:divBdr>
                                                                                                                                                                                                                                                                                                                                                                                                                        <w:top w:val="none" w:sz="0" w:space="0" w:color="auto"/>
                                                                                                                                                                                                                                                                                                                                                                                                                        <w:left w:val="none" w:sz="0" w:space="0" w:color="auto"/>
                                                                                                                                                                                                                                                                                                                                                                                                                        <w:bottom w:val="none" w:sz="0" w:space="0" w:color="auto"/>
                                                                                                                                                                                                                                                                                                                                                                                                                        <w:right w:val="none" w:sz="0" w:space="0" w:color="auto"/>
                                                                                                                                                                                                                                                                                                                                                                                                                      </w:divBdr>
                                                                                                                                                                                                                                                                                                                                                                                                                      <w:divsChild>
                                                                                                                                                                                                                                                                                                                                                                                                                        <w:div w:id="1230311087">
                                                                                                                                                                                                                                                                                                                                                                                                                          <w:marLeft w:val="0"/>
                                                                                                                                                                                                                                                                                                                                                                                                                          <w:marRight w:val="0"/>
                                                                                                                                                                                                                                                                                                                                                                                                                          <w:marTop w:val="0"/>
                                                                                                                                                                                                                                                                                                                                                                                                                          <w:marBottom w:val="0"/>
                                                                                                                                                                                                                                                                                                                                                                                                                          <w:divBdr>
                                                                                                                                                                                                                                                                                                                                                                                                                            <w:top w:val="none" w:sz="0" w:space="0" w:color="auto"/>
                                                                                                                                                                                                                                                                                                                                                                                                                            <w:left w:val="none" w:sz="0" w:space="0" w:color="auto"/>
                                                                                                                                                                                                                                                                                                                                                                                                                            <w:bottom w:val="none" w:sz="0" w:space="0" w:color="auto"/>
                                                                                                                                                                                                                                                                                                                                                                                                                            <w:right w:val="none" w:sz="0" w:space="0" w:color="auto"/>
                                                                                                                                                                                                                                                                                                                                                                                                                          </w:divBdr>
                                                                                                                                                                                                                                                                                                                                                                                                                          <w:divsChild>
                                                                                                                                                                                                                                                                                                                                                                                                                            <w:div w:id="800806507">
                                                                                                                                                                                                                                                                                                                                                                                                                              <w:marLeft w:val="0"/>
                                                                                                                                                                                                                                                                                                                                                                                                                              <w:marRight w:val="0"/>
                                                                                                                                                                                                                                                                                                                                                                                                                              <w:marTop w:val="0"/>
                                                                                                                                                                                                                                                                                                                                                                                                                              <w:marBottom w:val="0"/>
                                                                                                                                                                                                                                                                                                                                                                                                                              <w:divBdr>
                                                                                                                                                                                                                                                                                                                                                                                                                                <w:top w:val="none" w:sz="0" w:space="0" w:color="auto"/>
                                                                                                                                                                                                                                                                                                                                                                                                                                <w:left w:val="none" w:sz="0" w:space="0" w:color="auto"/>
                                                                                                                                                                                                                                                                                                                                                                                                                                <w:bottom w:val="none" w:sz="0" w:space="0" w:color="auto"/>
                                                                                                                                                                                                                                                                                                                                                                                                                                <w:right w:val="none" w:sz="0" w:space="0" w:color="auto"/>
                                                                                                                                                                                                                                                                                                                                                                                                                              </w:divBdr>
                                                                                                                                                                                                                                                                                                                                                                                                                              <w:divsChild>
                                                                                                                                                                                                                                                                                                                                                                                                                                <w:div w:id="1839272028">
                                                                                                                                                                                                                                                                                                                                                                                                                                  <w:marLeft w:val="0"/>
                                                                                                                                                                                                                                                                                                                                                                                                                                  <w:marRight w:val="0"/>
                                                                                                                                                                                                                                                                                                                                                                                                                                  <w:marTop w:val="0"/>
                                                                                                                                                                                                                                                                                                                                                                                                                                  <w:marBottom w:val="0"/>
                                                                                                                                                                                                                                                                                                                                                                                                                                  <w:divBdr>
                                                                                                                                                                                                                                                                                                                                                                                                                                    <w:top w:val="none" w:sz="0" w:space="0" w:color="auto"/>
                                                                                                                                                                                                                                                                                                                                                                                                                                    <w:left w:val="none" w:sz="0" w:space="0" w:color="auto"/>
                                                                                                                                                                                                                                                                                                                                                                                                                                    <w:bottom w:val="none" w:sz="0" w:space="0" w:color="auto"/>
                                                                                                                                                                                                                                                                                                                                                                                                                                    <w:right w:val="none" w:sz="0" w:space="0" w:color="auto"/>
                                                                                                                                                                                                                                                                                                                                                                                                                                  </w:divBdr>
                                                                                                                                                                                                                                                                                                                                                                                                                                  <w:divsChild>
                                                                                                                                                                                                                                                                                                                                                                                                                                    <w:div w:id="628822710">
                                                                                                                                                                                                                                                                                                                                                                                                                                      <w:marLeft w:val="0"/>
                                                                                                                                                                                                                                                                                                                                                                                                                                      <w:marRight w:val="0"/>
                                                                                                                                                                                                                                                                                                                                                                                                                                      <w:marTop w:val="0"/>
                                                                                                                                                                                                                                                                                                                                                                                                                                      <w:marBottom w:val="0"/>
                                                                                                                                                                                                                                                                                                                                                                                                                                      <w:divBdr>
                                                                                                                                                                                                                                                                                                                                                                                                                                        <w:top w:val="none" w:sz="0" w:space="0" w:color="auto"/>
                                                                                                                                                                                                                                                                                                                                                                                                                                        <w:left w:val="none" w:sz="0" w:space="0" w:color="auto"/>
                                                                                                                                                                                                                                                                                                                                                                                                                                        <w:bottom w:val="none" w:sz="0" w:space="0" w:color="auto"/>
                                                                                                                                                                                                                                                                                                                                                                                                                                        <w:right w:val="none" w:sz="0" w:space="0" w:color="auto"/>
                                                                                                                                                                                                                                                                                                                                                                                                                                      </w:divBdr>
                                                                                                                                                                                                                                                                                                                                                                                                                                      <w:divsChild>
                                                                                                                                                                                                                                                                                                                                                                                                                                        <w:div w:id="828440931">
                                                                                                                                                                                                                                                                                                                                                                                                                                          <w:marLeft w:val="0"/>
                                                                                                                                                                                                                                                                                                                                                                                                                                          <w:marRight w:val="0"/>
                                                                                                                                                                                                                                                                                                                                                                                                                                          <w:marTop w:val="0"/>
                                                                                                                                                                                                                                                                                                                                                                                                                                          <w:marBottom w:val="0"/>
                                                                                                                                                                                                                                                                                                                                                                                                                                          <w:divBdr>
                                                                                                                                                                                                                                                                                                                                                                                                                                            <w:top w:val="none" w:sz="0" w:space="0" w:color="auto"/>
                                                                                                                                                                                                                                                                                                                                                                                                                                            <w:left w:val="none" w:sz="0" w:space="0" w:color="auto"/>
                                                                                                                                                                                                                                                                                                                                                                                                                                            <w:bottom w:val="none" w:sz="0" w:space="0" w:color="auto"/>
                                                                                                                                                                                                                                                                                                                                                                                                                                            <w:right w:val="none" w:sz="0" w:space="0" w:color="auto"/>
                                                                                                                                                                                                                                                                                                                                                                                                                                          </w:divBdr>
                                                                                                                                                                                                                                                                                                                                                                                                                                          <w:divsChild>
                                                                                                                                                                                                                                                                                                                                                                                                                                            <w:div w:id="1862088488">
                                                                                                                                                                                                                                                                                                                                                                                                                                              <w:marLeft w:val="0"/>
                                                                                                                                                                                                                                                                                                                                                                                                                                              <w:marRight w:val="0"/>
                                                                                                                                                                                                                                                                                                                                                                                                                                              <w:marTop w:val="0"/>
                                                                                                                                                                                                                                                                                                                                                                                                                                              <w:marBottom w:val="0"/>
                                                                                                                                                                                                                                                                                                                                                                                                                                              <w:divBdr>
                                                                                                                                                                                                                                                                                                                                                                                                                                                <w:top w:val="none" w:sz="0" w:space="0" w:color="auto"/>
                                                                                                                                                                                                                                                                                                                                                                                                                                                <w:left w:val="none" w:sz="0" w:space="0" w:color="auto"/>
                                                                                                                                                                                                                                                                                                                                                                                                                                                <w:bottom w:val="none" w:sz="0" w:space="0" w:color="auto"/>
                                                                                                                                                                                                                                                                                                                                                                                                                                                <w:right w:val="none" w:sz="0" w:space="0" w:color="auto"/>
                                                                                                                                                                                                                                                                                                                                                                                                                                              </w:divBdr>
                                                                                                                                                                                                                                                                                                                                                                                                                                              <w:divsChild>
                                                                                                                                                                                                                                                                                                                                                                                                                                                <w:div w:id="259526967">
                                                                                                                                                                                                                                                                                                                                                                                                                                                  <w:marLeft w:val="0"/>
                                                                                                                                                                                                                                                                                                                                                                                                                                                  <w:marRight w:val="0"/>
                                                                                                                                                                                                                                                                                                                                                                                                                                                  <w:marTop w:val="0"/>
                                                                                                                                                                                                                                                                                                                                                                                                                                                  <w:marBottom w:val="0"/>
                                                                                                                                                                                                                                                                                                                                                                                                                                                  <w:divBdr>
                                                                                                                                                                                                                                                                                                                                                                                                                                                    <w:top w:val="none" w:sz="0" w:space="0" w:color="auto"/>
                                                                                                                                                                                                                                                                                                                                                                                                                                                    <w:left w:val="none" w:sz="0" w:space="0" w:color="auto"/>
                                                                                                                                                                                                                                                                                                                                                                                                                                                    <w:bottom w:val="none" w:sz="0" w:space="0" w:color="auto"/>
                                                                                                                                                                                                                                                                                                                                                                                                                                                    <w:right w:val="none" w:sz="0" w:space="0" w:color="auto"/>
                                                                                                                                                                                                                                                                                                                                                                                                                                                  </w:divBdr>
                                                                                                                                                                                                                                                                                                                                                                                                                                                  <w:divsChild>
                                                                                                                                                                                                                                                                                                                                                                                                                                                    <w:div w:id="671686700">
                                                                                                                                                                                                                                                                                                                                                                                                                                                      <w:marLeft w:val="0"/>
                                                                                                                                                                                                                                                                                                                                                                                                                                                      <w:marRight w:val="0"/>
                                                                                                                                                                                                                                                                                                                                                                                                                                                      <w:marTop w:val="0"/>
                                                                                                                                                                                                                                                                                                                                                                                                                                                      <w:marBottom w:val="0"/>
                                                                                                                                                                                                                                                                                                                                                                                                                                                      <w:divBdr>
                                                                                                                                                                                                                                                                                                                                                                                                                                                        <w:top w:val="none" w:sz="0" w:space="0" w:color="auto"/>
                                                                                                                                                                                                                                                                                                                                                                                                                                                        <w:left w:val="none" w:sz="0" w:space="0" w:color="auto"/>
                                                                                                                                                                                                                                                                                                                                                                                                                                                        <w:bottom w:val="none" w:sz="0" w:space="0" w:color="auto"/>
                                                                                                                                                                                                                                                                                                                                                                                                                                                        <w:right w:val="none" w:sz="0" w:space="0" w:color="auto"/>
                                                                                                                                                                                                                                                                                                                                                                                                                                                      </w:divBdr>
                                                                                                                                                                                                                                                                                                                                                                                                                                                      <w:divsChild>
                                                                                                                                                                                                                                                                                                                                                                                                                                                        <w:div w:id="1286960494">
                                                                                                                                                                                                                                                                                                                                                                                                                                                          <w:marLeft w:val="0"/>
                                                                                                                                                                                                                                                                                                                                                                                                                                                          <w:marRight w:val="0"/>
                                                                                                                                                                                                                                                                                                                                                                                                                                                          <w:marTop w:val="0"/>
                                                                                                                                                                                                                                                                                                                                                                                                                                                          <w:marBottom w:val="0"/>
                                                                                                                                                                                                                                                                                                                                                                                                                                                          <w:divBdr>
                                                                                                                                                                                                                                                                                                                                                                                                                                                            <w:top w:val="none" w:sz="0" w:space="0" w:color="auto"/>
                                                                                                                                                                                                                                                                                                                                                                                                                                                            <w:left w:val="none" w:sz="0" w:space="0" w:color="auto"/>
                                                                                                                                                                                                                                                                                                                                                                                                                                                            <w:bottom w:val="none" w:sz="0" w:space="0" w:color="auto"/>
                                                                                                                                                                                                                                                                                                                                                                                                                                                            <w:right w:val="none" w:sz="0" w:space="0" w:color="auto"/>
                                                                                                                                                                                                                                                                                                                                                                                                                                                          </w:divBdr>
                                                                                                                                                                                                                                                                                                                                                                                                                                                          <w:divsChild>
                                                                                                                                                                                                                                                                                                                                                                                                                                                            <w:div w:id="430206060">
                                                                                                                                                                                                                                                                                                                                                                                                                                                              <w:marLeft w:val="0"/>
                                                                                                                                                                                                                                                                                                                                                                                                                                                              <w:marRight w:val="0"/>
                                                                                                                                                                                                                                                                                                                                                                                                                                                              <w:marTop w:val="0"/>
                                                                                                                                                                                                                                                                                                                                                                                                                                                              <w:marBottom w:val="0"/>
                                                                                                                                                                                                                                                                                                                                                                                                                                                              <w:divBdr>
                                                                                                                                                                                                                                                                                                                                                                                                                                                                <w:top w:val="none" w:sz="0" w:space="0" w:color="auto"/>
                                                                                                                                                                                                                                                                                                                                                                                                                                                                <w:left w:val="none" w:sz="0" w:space="0" w:color="auto"/>
                                                                                                                                                                                                                                                                                                                                                                                                                                                                <w:bottom w:val="none" w:sz="0" w:space="0" w:color="auto"/>
                                                                                                                                                                                                                                                                                                                                                                                                                                                                <w:right w:val="none" w:sz="0" w:space="0" w:color="auto"/>
                                                                                                                                                                                                                                                                                                                                                                                                                                                              </w:divBdr>
                                                                                                                                                                                                                                                                                                                                                                                                                                                              <w:divsChild>
                                                                                                                                                                                                                                                                                                                                                                                                                                                                <w:div w:id="1460219098">
                                                                                                                                                                                                                                                                                                                                                                                                                                                                  <w:marLeft w:val="0"/>
                                                                                                                                                                                                                                                                                                                                                                                                                                                                  <w:marRight w:val="0"/>
                                                                                                                                                                                                                                                                                                                                                                                                                                                                  <w:marTop w:val="0"/>
                                                                                                                                                                                                                                                                                                                                                                                                                                                                  <w:marBottom w:val="0"/>
                                                                                                                                                                                                                                                                                                                                                                                                                                                                  <w:divBdr>
                                                                                                                                                                                                                                                                                                                                                                                                                                                                    <w:top w:val="none" w:sz="0" w:space="0" w:color="auto"/>
                                                                                                                                                                                                                                                                                                                                                                                                                                                                    <w:left w:val="none" w:sz="0" w:space="0" w:color="auto"/>
                                                                                                                                                                                                                                                                                                                                                                                                                                                                    <w:bottom w:val="none" w:sz="0" w:space="0" w:color="auto"/>
                                                                                                                                                                                                                                                                                                                                                                                                                                                                    <w:right w:val="none" w:sz="0" w:space="0" w:color="auto"/>
                                                                                                                                                                                                                                                                                                                                                                                                                                                                  </w:divBdr>
                                                                                                                                                                                                                                                                                                                                                                                                                                                                  <w:divsChild>
                                                                                                                                                                                                                                                                                                                                                                                                                                                                    <w:div w:id="18091413">
                                                                                                                                                                                                                                                                                                                                                                                                                                                                      <w:marLeft w:val="0"/>
                                                                                                                                                                                                                                                                                                                                                                                                                                                                      <w:marRight w:val="0"/>
                                                                                                                                                                                                                                                                                                                                                                                                                                                                      <w:marTop w:val="0"/>
                                                                                                                                                                                                                                                                                                                                                                                                                                                                      <w:marBottom w:val="0"/>
                                                                                                                                                                                                                                                                                                                                                                                                                                                                      <w:divBdr>
                                                                                                                                                                                                                                                                                                                                                                                                                                                                        <w:top w:val="none" w:sz="0" w:space="0" w:color="auto"/>
                                                                                                                                                                                                                                                                                                                                                                                                                                                                        <w:left w:val="none" w:sz="0" w:space="0" w:color="auto"/>
                                                                                                                                                                                                                                                                                                                                                                                                                                                                        <w:bottom w:val="none" w:sz="0" w:space="0" w:color="auto"/>
                                                                                                                                                                                                                                                                                                                                                                                                                                                                        <w:right w:val="none" w:sz="0" w:space="0" w:color="auto"/>
                                                                                                                                                                                                                                                                                                                                                                                                                                                                      </w:divBdr>
                                                                                                                                                                                                                                                                                                                                                                                                                                                                      <w:divsChild>
                                                                                                                                                                                                                                                                                                                                                                                                                                                                        <w:div w:id="170069892">
                                                                                                                                                                                                                                                                                                                                                                                                                                                                          <w:marLeft w:val="0"/>
                                                                                                                                                                                                                                                                                                                                                                                                                                                                          <w:marRight w:val="0"/>
                                                                                                                                                                                                                                                                                                                                                                                                                                                                          <w:marTop w:val="0"/>
                                                                                                                                                                                                                                                                                                                                                                                                                                                                          <w:marBottom w:val="0"/>
                                                                                                                                                                                                                                                                                                                                                                                                                                                                          <w:divBdr>
                                                                                                                                                                                                                                                                                                                                                                                                                                                                            <w:top w:val="none" w:sz="0" w:space="0" w:color="auto"/>
                                                                                                                                                                                                                                                                                                                                                                                                                                                                            <w:left w:val="none" w:sz="0" w:space="0" w:color="auto"/>
                                                                                                                                                                                                                                                                                                                                                                                                                                                                            <w:bottom w:val="none" w:sz="0" w:space="0" w:color="auto"/>
                                                                                                                                                                                                                                                                                                                                                                                                                                                                            <w:right w:val="none" w:sz="0" w:space="0" w:color="auto"/>
                                                                                                                                                                                                                                                                                                                                                                                                                                                                          </w:divBdr>
                                                                                                                                                                                                                                                                                                                                                                                                                                                                          <w:divsChild>
                                                                                                                                                                                                                                                                                                                                                                                                                                                                            <w:div w:id="258605377">
                                                                                                                                                                                                                                                                                                                                                                                                                                                                              <w:marLeft w:val="0"/>
                                                                                                                                                                                                                                                                                                                                                                                                                                                                              <w:marRight w:val="0"/>
                                                                                                                                                                                                                                                                                                                                                                                                                                                                              <w:marTop w:val="0"/>
                                                                                                                                                                                                                                                                                                                                                                                                                                                                              <w:marBottom w:val="0"/>
                                                                                                                                                                                                                                                                                                                                                                                                                                                                              <w:divBdr>
                                                                                                                                                                                                                                                                                                                                                                                                                                                                                <w:top w:val="none" w:sz="0" w:space="0" w:color="auto"/>
                                                                                                                                                                                                                                                                                                                                                                                                                                                                                <w:left w:val="none" w:sz="0" w:space="0" w:color="auto"/>
                                                                                                                                                                                                                                                                                                                                                                                                                                                                                <w:bottom w:val="none" w:sz="0" w:space="0" w:color="auto"/>
                                                                                                                                                                                                                                                                                                                                                                                                                                                                                <w:right w:val="none" w:sz="0" w:space="0" w:color="auto"/>
                                                                                                                                                                                                                                                                                                                                                                                                                                                                              </w:divBdr>
                                                                                                                                                                                                                                                                                                                                                                                                                                                                              <w:divsChild>
                                                                                                                                                                                                                                                                                                                                                                                                                                                                                <w:div w:id="2114862160">
                                                                                                                                                                                                                                                                                                                                                                                                                                                                                  <w:marLeft w:val="0"/>
                                                                                                                                                                                                                                                                                                                                                                                                                                                                                  <w:marRight w:val="0"/>
                                                                                                                                                                                                                                                                                                                                                                                                                                                                                  <w:marTop w:val="0"/>
                                                                                                                                                                                                                                                                                                                                                                                                                                                                                  <w:marBottom w:val="0"/>
                                                                                                                                                                                                                                                                                                                                                                                                                                                                                  <w:divBdr>
                                                                                                                                                                                                                                                                                                                                                                                                                                                                                    <w:top w:val="none" w:sz="0" w:space="0" w:color="auto"/>
                                                                                                                                                                                                                                                                                                                                                                                                                                                                                    <w:left w:val="none" w:sz="0" w:space="0" w:color="auto"/>
                                                                                                                                                                                                                                                                                                                                                                                                                                                                                    <w:bottom w:val="none" w:sz="0" w:space="0" w:color="auto"/>
                                                                                                                                                                                                                                                                                                                                                                                                                                                                                    <w:right w:val="none" w:sz="0" w:space="0" w:color="auto"/>
                                                                                                                                                                                                                                                                                                                                                                                                                                                                                  </w:divBdr>
                                                                                                                                                                                                                                                                                                                                                                                                                                                                                  <w:divsChild>
                                                                                                                                                                                                                                                                                                                                                                                                                                                                                    <w:div w:id="281689256">
                                                                                                                                                                                                                                                                                                                                                                                                                                                                                      <w:marLeft w:val="0"/>
                                                                                                                                                                                                                                                                                                                                                                                                                                                                                      <w:marRight w:val="0"/>
                                                                                                                                                                                                                                                                                                                                                                                                                                                                                      <w:marTop w:val="0"/>
                                                                                                                                                                                                                                                                                                                                                                                                                                                                                      <w:marBottom w:val="0"/>
                                                                                                                                                                                                                                                                                                                                                                                                                                                                                      <w:divBdr>
                                                                                                                                                                                                                                                                                                                                                                                                                                                                                        <w:top w:val="none" w:sz="0" w:space="0" w:color="auto"/>
                                                                                                                                                                                                                                                                                                                                                                                                                                                                                        <w:left w:val="none" w:sz="0" w:space="0" w:color="auto"/>
                                                                                                                                                                                                                                                                                                                                                                                                                                                                                        <w:bottom w:val="none" w:sz="0" w:space="0" w:color="auto"/>
                                                                                                                                                                                                                                                                                                                                                                                                                                                                                        <w:right w:val="none" w:sz="0" w:space="0" w:color="auto"/>
                                                                                                                                                                                                                                                                                                                                                                                                                                                                                      </w:divBdr>
                                                                                                                                                                                                                                                                                                                                                                                                                                                                                      <w:divsChild>
                                                                                                                                                                                                                                                                                                                                                                                                                                                                                        <w:div w:id="964852794">
                                                                                                                                                                                                                                                                                                                                                                                                                                                                                          <w:marLeft w:val="0"/>
                                                                                                                                                                                                                                                                                                                                                                                                                                                                                          <w:marRight w:val="0"/>
                                                                                                                                                                                                                                                                                                                                                                                                                                                                                          <w:marTop w:val="0"/>
                                                                                                                                                                                                                                                                                                                                                                                                                                                                                          <w:marBottom w:val="0"/>
                                                                                                                                                                                                                                                                                                                                                                                                                                                                                          <w:divBdr>
                                                                                                                                                                                                                                                                                                                                                                                                                                                                                            <w:top w:val="none" w:sz="0" w:space="0" w:color="auto"/>
                                                                                                                                                                                                                                                                                                                                                                                                                                                                                            <w:left w:val="none" w:sz="0" w:space="0" w:color="auto"/>
                                                                                                                                                                                                                                                                                                                                                                                                                                                                                            <w:bottom w:val="none" w:sz="0" w:space="0" w:color="auto"/>
                                                                                                                                                                                                                                                                                                                                                                                                                                                                                            <w:right w:val="none" w:sz="0" w:space="0" w:color="auto"/>
                                                                                                                                                                                                                                                                                                                                                                                                                                                                                          </w:divBdr>
                                                                                                                                                                                                                                                                                                                                                                                                                                                                                          <w:divsChild>
                                                                                                                                                                                                                                                                                                                                                                                                                                                                                            <w:div w:id="1140883038">
                                                                                                                                                                                                                                                                                                                                                                                                                                                                                              <w:marLeft w:val="0"/>
                                                                                                                                                                                                                                                                                                                                                                                                                                                                                              <w:marRight w:val="0"/>
                                                                                                                                                                                                                                                                                                                                                                                                                                                                                              <w:marTop w:val="0"/>
                                                                                                                                                                                                                                                                                                                                                                                                                                                                                              <w:marBottom w:val="0"/>
                                                                                                                                                                                                                                                                                                                                                                                                                                                                                              <w:divBdr>
                                                                                                                                                                                                                                                                                                                                                                                                                                                                                                <w:top w:val="none" w:sz="0" w:space="0" w:color="auto"/>
                                                                                                                                                                                                                                                                                                                                                                                                                                                                                                <w:left w:val="none" w:sz="0" w:space="0" w:color="auto"/>
                                                                                                                                                                                                                                                                                                                                                                                                                                                                                                <w:bottom w:val="none" w:sz="0" w:space="0" w:color="auto"/>
                                                                                                                                                                                                                                                                                                                                                                                                                                                                                                <w:right w:val="none" w:sz="0" w:space="0" w:color="auto"/>
                                                                                                                                                                                                                                                                                                                                                                                                                                                                                              </w:divBdr>
                                                                                                                                                                                                                                                                                                                                                                                                                                                                                              <w:divsChild>
                                                                                                                                                                                                                                                                                                                                                                                                                                                                                                <w:div w:id="1647859592">
                                                                                                                                                                                                                                                                                                                                                                                                                                                                                                  <w:marLeft w:val="0"/>
                                                                                                                                                                                                                                                                                                                                                                                                                                                                                                  <w:marRight w:val="0"/>
                                                                                                                                                                                                                                                                                                                                                                                                                                                                                                  <w:marTop w:val="0"/>
                                                                                                                                                                                                                                                                                                                                                                                                                                                                                                  <w:marBottom w:val="0"/>
                                                                                                                                                                                                                                                                                                                                                                                                                                                                                                  <w:divBdr>
                                                                                                                                                                                                                                                                                                                                                                                                                                                                                                    <w:top w:val="none" w:sz="0" w:space="0" w:color="auto"/>
                                                                                                                                                                                                                                                                                                                                                                                                                                                                                                    <w:left w:val="none" w:sz="0" w:space="0" w:color="auto"/>
                                                                                                                                                                                                                                                                                                                                                                                                                                                                                                    <w:bottom w:val="none" w:sz="0" w:space="0" w:color="auto"/>
                                                                                                                                                                                                                                                                                                                                                                                                                                                                                                    <w:right w:val="none" w:sz="0" w:space="0" w:color="auto"/>
                                                                                                                                                                                                                                                                                                                                                                                                                                                                                                  </w:divBdr>
                                                                                                                                                                                                                                                                                                                                                                                                                                                                                                  <w:divsChild>
                                                                                                                                                                                                                                                                                                                                                                                                                                                                                                    <w:div w:id="301884882">
                                                                                                                                                                                                                                                                                                                                                                                                                                                                                                      <w:marLeft w:val="0"/>
                                                                                                                                                                                                                                                                                                                                                                                                                                                                                                      <w:marRight w:val="0"/>
                                                                                                                                                                                                                                                                                                                                                                                                                                                                                                      <w:marTop w:val="0"/>
                                                                                                                                                                                                                                                                                                                                                                                                                                                                                                      <w:marBottom w:val="0"/>
                                                                                                                                                                                                                                                                                                                                                                                                                                                                                                      <w:divBdr>
                                                                                                                                                                                                                                                                                                                                                                                                                                                                                                        <w:top w:val="none" w:sz="0" w:space="0" w:color="auto"/>
                                                                                                                                                                                                                                                                                                                                                                                                                                                                                                        <w:left w:val="none" w:sz="0" w:space="0" w:color="auto"/>
                                                                                                                                                                                                                                                                                                                                                                                                                                                                                                        <w:bottom w:val="none" w:sz="0" w:space="0" w:color="auto"/>
                                                                                                                                                                                                                                                                                                                                                                                                                                                                                                        <w:right w:val="none" w:sz="0" w:space="0" w:color="auto"/>
                                                                                                                                                                                                                                                                                                                                                                                                                                                                                                      </w:divBdr>
                                                                                                                                                                                                                                                                                                                                                                                                                                                                                                      <w:divsChild>
                                                                                                                                                                                                                                                                                                                                                                                                                                                                                                        <w:div w:id="151021840">
                                                                                                                                                                                                                                                                                                                                                                                                                                                                                                          <w:marLeft w:val="0"/>
                                                                                                                                                                                                                                                                                                                                                                                                                                                                                                          <w:marRight w:val="0"/>
                                                                                                                                                                                                                                                                                                                                                                                                                                                                                                          <w:marTop w:val="0"/>
                                                                                                                                                                                                                                                                                                                                                                                                                                                                                                          <w:marBottom w:val="0"/>
                                                                                                                                                                                                                                                                                                                                                                                                                                                                                                          <w:divBdr>
                                                                                                                                                                                                                                                                                                                                                                                                                                                                                                            <w:top w:val="none" w:sz="0" w:space="0" w:color="auto"/>
                                                                                                                                                                                                                                                                                                                                                                                                                                                                                                            <w:left w:val="none" w:sz="0" w:space="0" w:color="auto"/>
                                                                                                                                                                                                                                                                                                                                                                                                                                                                                                            <w:bottom w:val="none" w:sz="0" w:space="0" w:color="auto"/>
                                                                                                                                                                                                                                                                                                                                                                                                                                                                                                            <w:right w:val="none" w:sz="0" w:space="0" w:color="auto"/>
                                                                                                                                                                                                                                                                                                                                                                                                                                                                                                          </w:divBdr>
                                                                                                                                                                                                                                                                                                                                                                                                                                                                                                          <w:divsChild>
                                                                                                                                                                                                                                                                                                                                                                                                                                                                                                            <w:div w:id="415178720">
                                                                                                                                                                                                                                                                                                                                                                                                                                                                                                              <w:marLeft w:val="0"/>
                                                                                                                                                                                                                                                                                                                                                                                                                                                                                                              <w:marRight w:val="0"/>
                                                                                                                                                                                                                                                                                                                                                                                                                                                                                                              <w:marTop w:val="0"/>
                                                                                                                                                                                                                                                                                                                                                                                                                                                                                                              <w:marBottom w:val="0"/>
                                                                                                                                                                                                                                                                                                                                                                                                                                                                                                              <w:divBdr>
                                                                                                                                                                                                                                                                                                                                                                                                                                                                                                                <w:top w:val="none" w:sz="0" w:space="0" w:color="auto"/>
                                                                                                                                                                                                                                                                                                                                                                                                                                                                                                                <w:left w:val="none" w:sz="0" w:space="0" w:color="auto"/>
                                                                                                                                                                                                                                                                                                                                                                                                                                                                                                                <w:bottom w:val="none" w:sz="0" w:space="0" w:color="auto"/>
                                                                                                                                                                                                                                                                                                                                                                                                                                                                                                                <w:right w:val="none" w:sz="0" w:space="0" w:color="auto"/>
                                                                                                                                                                                                                                                                                                                                                                                                                                                                                                              </w:divBdr>
                                                                                                                                                                                                                                                                                                                                                                                                                                                                                                              <w:divsChild>
                                                                                                                                                                                                                                                                                                                                                                                                                                                                                                                <w:div w:id="1387680279">
                                                                                                                                                                                                                                                                                                                                                                                                                                                                                                                  <w:marLeft w:val="0"/>
                                                                                                                                                                                                                                                                                                                                                                                                                                                                                                                  <w:marRight w:val="0"/>
                                                                                                                                                                                                                                                                                                                                                                                                                                                                                                                  <w:marTop w:val="0"/>
                                                                                                                                                                                                                                                                                                                                                                                                                                                                                                                  <w:marBottom w:val="0"/>
                                                                                                                                                                                                                                                                                                                                                                                                                                                                                                                  <w:divBdr>
                                                                                                                                                                                                                                                                                                                                                                                                                                                                                                                    <w:top w:val="none" w:sz="0" w:space="0" w:color="auto"/>
                                                                                                                                                                                                                                                                                                                                                                                                                                                                                                                    <w:left w:val="none" w:sz="0" w:space="0" w:color="auto"/>
                                                                                                                                                                                                                                                                                                                                                                                                                                                                                                                    <w:bottom w:val="none" w:sz="0" w:space="0" w:color="auto"/>
                                                                                                                                                                                                                                                                                                                                                                                                                                                                                                                    <w:right w:val="none" w:sz="0" w:space="0" w:color="auto"/>
                                                                                                                                                                                                                                                                                                                                                                                                                                                                                                                  </w:divBdr>
                                                                                                                                                                                                                                                                                                                                                                                                                                                                                                                  <w:divsChild>
                                                                                                                                                                                                                                                                                                                                                                                                                                                                                                                    <w:div w:id="1428236622">
                                                                                                                                                                                                                                                                                                                                                                                                                                                                                                                      <w:marLeft w:val="0"/>
                                                                                                                                                                                                                                                                                                                                                                                                                                                                                                                      <w:marRight w:val="0"/>
                                                                                                                                                                                                                                                                                                                                                                                                                                                                                                                      <w:marTop w:val="0"/>
                                                                                                                                                                                                                                                                                                                                                                                                                                                                                                                      <w:marBottom w:val="0"/>
                                                                                                                                                                                                                                                                                                                                                                                                                                                                                                                      <w:divBdr>
                                                                                                                                                                                                                                                                                                                                                                                                                                                                                                                        <w:top w:val="none" w:sz="0" w:space="0" w:color="auto"/>
                                                                                                                                                                                                                                                                                                                                                                                                                                                                                                                        <w:left w:val="none" w:sz="0" w:space="0" w:color="auto"/>
                                                                                                                                                                                                                                                                                                                                                                                                                                                                                                                        <w:bottom w:val="none" w:sz="0" w:space="0" w:color="auto"/>
                                                                                                                                                                                                                                                                                                                                                                                                                                                                                                                        <w:right w:val="none" w:sz="0" w:space="0" w:color="auto"/>
                                                                                                                                                                                                                                                                                                                                                                                                                                                                                                                      </w:divBdr>
                                                                                                                                                                                                                                                                                                                                                                                                                                                                                                                      <w:divsChild>
                                                                                                                                                                                                                                                                                                                                                                                                                                                                                                                        <w:div w:id="1050045">
                                                                                                                                                                                                                                                                                                                                                                                                                                                                                                                          <w:marLeft w:val="0"/>
                                                                                                                                                                                                                                                                                                                                                                                                                                                                                                                          <w:marRight w:val="0"/>
                                                                                                                                                                                                                                                                                                                                                                                                                                                                                                                          <w:marTop w:val="0"/>
                                                                                                                                                                                                                                                                                                                                                                                                                                                                                                                          <w:marBottom w:val="0"/>
                                                                                                                                                                                                                                                                                                                                                                                                                                                                                                                          <w:divBdr>
                                                                                                                                                                                                                                                                                                                                                                                                                                                                                                                            <w:top w:val="none" w:sz="0" w:space="0" w:color="auto"/>
                                                                                                                                                                                                                                                                                                                                                                                                                                                                                                                            <w:left w:val="none" w:sz="0" w:space="0" w:color="auto"/>
                                                                                                                                                                                                                                                                                                                                                                                                                                                                                                                            <w:bottom w:val="none" w:sz="0" w:space="0" w:color="auto"/>
                                                                                                                                                                                                                                                                                                                                                                                                                                                                                                                            <w:right w:val="none" w:sz="0" w:space="0" w:color="auto"/>
                                                                                                                                                                                                                                                                                                                                                                                                                                                                                                                          </w:divBdr>
                                                                                                                                                                                                                                                                                                                                                                                                                                                                                                                          <w:divsChild>
                                                                                                                                                                                                                                                                                                                                                                                                                                                                                                                            <w:div w:id="692460408">
                                                                                                                                                                                                                                                                                                                                                                                                                                                                                                                              <w:marLeft w:val="0"/>
                                                                                                                                                                                                                                                                                                                                                                                                                                                                                                                              <w:marRight w:val="0"/>
                                                                                                                                                                                                                                                                                                                                                                                                                                                                                                                              <w:marTop w:val="0"/>
                                                                                                                                                                                                                                                                                                                                                                                                                                                                                                                              <w:marBottom w:val="0"/>
                                                                                                                                                                                                                                                                                                                                                                                                                                                                                                                              <w:divBdr>
                                                                                                                                                                                                                                                                                                                                                                                                                                                                                                                                <w:top w:val="none" w:sz="0" w:space="0" w:color="auto"/>
                                                                                                                                                                                                                                                                                                                                                                                                                                                                                                                                <w:left w:val="none" w:sz="0" w:space="0" w:color="auto"/>
                                                                                                                                                                                                                                                                                                                                                                                                                                                                                                                                <w:bottom w:val="none" w:sz="0" w:space="0" w:color="auto"/>
                                                                                                                                                                                                                                                                                                                                                                                                                                                                                                                                <w:right w:val="none" w:sz="0" w:space="0" w:color="auto"/>
                                                                                                                                                                                                                                                                                                                                                                                                                                                                                                                              </w:divBdr>
                                                                                                                                                                                                                                                                                                                                                                                                                                                                                                                              <w:divsChild>
                                                                                                                                                                                                                                                                                                                                                                                                                                                                                                                                <w:div w:id="302514904">
                                                                                                                                                                                                                                                                                                                                                                                                                                                                                                                                  <w:marLeft w:val="0"/>
                                                                                                                                                                                                                                                                                                                                                                                                                                                                                                                                  <w:marRight w:val="0"/>
                                                                                                                                                                                                                                                                                                                                                                                                                                                                                                                                  <w:marTop w:val="0"/>
                                                                                                                                                                                                                                                                                                                                                                                                                                                                                                                                  <w:marBottom w:val="0"/>
                                                                                                                                                                                                                                                                                                                                                                                                                                                                                                                                  <w:divBdr>
                                                                                                                                                                                                                                                                                                                                                                                                                                                                                                                                    <w:top w:val="none" w:sz="0" w:space="0" w:color="auto"/>
                                                                                                                                                                                                                                                                                                                                                                                                                                                                                                                                    <w:left w:val="none" w:sz="0" w:space="0" w:color="auto"/>
                                                                                                                                                                                                                                                                                                                                                                                                                                                                                                                                    <w:bottom w:val="none" w:sz="0" w:space="0" w:color="auto"/>
                                                                                                                                                                                                                                                                                                                                                                                                                                                                                                                                    <w:right w:val="none" w:sz="0" w:space="0" w:color="auto"/>
                                                                                                                                                                                                                                                                                                                                                                                                                                                                                                                                  </w:divBdr>
                                                                                                                                                                                                                                                                                                                                                                                                                                                                                                                                  <w:divsChild>
                                                                                                                                                                                                                                                                                                                                                                                                                                                                                                                                    <w:div w:id="592207582">
                                                                                                                                                                                                                                                                                                                                                                                                                                                                                                                                      <w:marLeft w:val="0"/>
                                                                                                                                                                                                                                                                                                                                                                                                                                                                                                                                      <w:marRight w:val="0"/>
                                                                                                                                                                                                                                                                                                                                                                                                                                                                                                                                      <w:marTop w:val="0"/>
                                                                                                                                                                                                                                                                                                                                                                                                                                                                                                                                      <w:marBottom w:val="0"/>
                                                                                                                                                                                                                                                                                                                                                                                                                                                                                                                                      <w:divBdr>
                                                                                                                                                                                                                                                                                                                                                                                                                                                                                                                                        <w:top w:val="none" w:sz="0" w:space="0" w:color="auto"/>
                                                                                                                                                                                                                                                                                                                                                                                                                                                                                                                                        <w:left w:val="none" w:sz="0" w:space="0" w:color="auto"/>
                                                                                                                                                                                                                                                                                                                                                                                                                                                                                                                                        <w:bottom w:val="none" w:sz="0" w:space="0" w:color="auto"/>
                                                                                                                                                                                                                                                                                                                                                                                                                                                                                                                                        <w:right w:val="none" w:sz="0" w:space="0" w:color="auto"/>
                                                                                                                                                                                                                                                                                                                                                                                                                                                                                                                                      </w:divBdr>
                                                                                                                                                                                                                                                                                                                                                                                                                                                                                                                                      <w:divsChild>
                                                                                                                                                                                                                                                                                                                                                                                                                                                                                                                                        <w:div w:id="1906141054">
                                                                                                                                                                                                                                                                                                                                                                                                                                                                                                                                          <w:marLeft w:val="0"/>
                                                                                                                                                                                                                                                                                                                                                                                                                                                                                                                                          <w:marRight w:val="0"/>
                                                                                                                                                                                                                                                                                                                                                                                                                                                                                                                                          <w:marTop w:val="0"/>
                                                                                                                                                                                                                                                                                                                                                                                                                                                                                                                                          <w:marBottom w:val="0"/>
                                                                                                                                                                                                                                                                                                                                                                                                                                                                                                                                          <w:divBdr>
                                                                                                                                                                                                                                                                                                                                                                                                                                                                                                                                            <w:top w:val="none" w:sz="0" w:space="0" w:color="auto"/>
                                                                                                                                                                                                                                                                                                                                                                                                                                                                                                                                            <w:left w:val="none" w:sz="0" w:space="0" w:color="auto"/>
                                                                                                                                                                                                                                                                                                                                                                                                                                                                                                                                            <w:bottom w:val="none" w:sz="0" w:space="0" w:color="auto"/>
                                                                                                                                                                                                                                                                                                                                                                                                                                                                                                                                            <w:right w:val="none" w:sz="0" w:space="0" w:color="auto"/>
                                                                                                                                                                                                                                                                                                                                                                                                                                                                                                                                          </w:divBdr>
                                                                                                                                                                                                                                                                                                                                                                                                                                                                                                                                          <w:divsChild>
                                                                                                                                                                                                                                                                                                                                                                                                                                                                                                                                            <w:div w:id="501091646">
                                                                                                                                                                                                                                                                                                                                                                                                                                                                                                                                              <w:marLeft w:val="0"/>
                                                                                                                                                                                                                                                                                                                                                                                                                                                                                                                                              <w:marRight w:val="0"/>
                                                                                                                                                                                                                                                                                                                                                                                                                                                                                                                                              <w:marTop w:val="0"/>
                                                                                                                                                                                                                                                                                                                                                                                                                                                                                                                                              <w:marBottom w:val="0"/>
                                                                                                                                                                                                                                                                                                                                                                                                                                                                                                                                              <w:divBdr>
                                                                                                                                                                                                                                                                                                                                                                                                                                                                                                                                                <w:top w:val="none" w:sz="0" w:space="0" w:color="auto"/>
                                                                                                                                                                                                                                                                                                                                                                                                                                                                                                                                                <w:left w:val="none" w:sz="0" w:space="0" w:color="auto"/>
                                                                                                                                                                                                                                                                                                                                                                                                                                                                                                                                                <w:bottom w:val="none" w:sz="0" w:space="0" w:color="auto"/>
                                                                                                                                                                                                                                                                                                                                                                                                                                                                                                                                                <w:right w:val="none" w:sz="0" w:space="0" w:color="auto"/>
                                                                                                                                                                                                                                                                                                                                                                                                                                                                                                                                              </w:divBdr>
                                                                                                                                                                                                                                                                                                                                                                                                                                                                                                                                              <w:divsChild>
                                                                                                                                                                                                                                                                                                                                                                                                                                                                                                                                                <w:div w:id="1965311005">
                                                                                                                                                                                                                                                                                                                                                                                                                                                                                                                                                  <w:marLeft w:val="0"/>
                                                                                                                                                                                                                                                                                                                                                                                                                                                                                                                                                  <w:marRight w:val="0"/>
                                                                                                                                                                                                                                                                                                                                                                                                                                                                                                                                                  <w:marTop w:val="0"/>
                                                                                                                                                                                                                                                                                                                                                                                                                                                                                                                                                  <w:marBottom w:val="0"/>
                                                                                                                                                                                                                                                                                                                                                                                                                                                                                                                                                  <w:divBdr>
                                                                                                                                                                                                                                                                                                                                                                                                                                                                                                                                                    <w:top w:val="none" w:sz="0" w:space="0" w:color="auto"/>
                                                                                                                                                                                                                                                                                                                                                                                                                                                                                                                                                    <w:left w:val="none" w:sz="0" w:space="0" w:color="auto"/>
                                                                                                                                                                                                                                                                                                                                                                                                                                                                                                                                                    <w:bottom w:val="none" w:sz="0" w:space="0" w:color="auto"/>
                                                                                                                                                                                                                                                                                                                                                                                                                                                                                                                                                    <w:right w:val="none" w:sz="0" w:space="0" w:color="auto"/>
                                                                                                                                                                                                                                                                                                                                                                                                                                                                                                                                                  </w:divBdr>
                                                                                                                                                                                                                                                                                                                                                                                                                                                                                                                                                  <w:divsChild>
                                                                                                                                                                                                                                                                                                                                                                                                                                                                                                                                                    <w:div w:id="1375813232">
                                                                                                                                                                                                                                                                                                                                                                                                                                                                                                                                                      <w:marLeft w:val="0"/>
                                                                                                                                                                                                                                                                                                                                                                                                                                                                                                                                                      <w:marRight w:val="0"/>
                                                                                                                                                                                                                                                                                                                                                                                                                                                                                                                                                      <w:marTop w:val="0"/>
                                                                                                                                                                                                                                                                                                                                                                                                                                                                                                                                                      <w:marBottom w:val="0"/>
                                                                                                                                                                                                                                                                                                                                                                                                                                                                                                                                                      <w:divBdr>
                                                                                                                                                                                                                                                                                                                                                                                                                                                                                                                                                        <w:top w:val="none" w:sz="0" w:space="0" w:color="auto"/>
                                                                                                                                                                                                                                                                                                                                                                                                                                                                                                                                                        <w:left w:val="none" w:sz="0" w:space="0" w:color="auto"/>
                                                                                                                                                                                                                                                                                                                                                                                                                                                                                                                                                        <w:bottom w:val="none" w:sz="0" w:space="0" w:color="auto"/>
                                                                                                                                                                                                                                                                                                                                                                                                                                                                                                                                                        <w:right w:val="none" w:sz="0" w:space="0" w:color="auto"/>
                                                                                                                                                                                                                                                                                                                                                                                                                                                                                                                                                      </w:divBdr>
                                                                                                                                                                                                                                                                                                                                                                                                                                                                                                                                                      <w:divsChild>
                                                                                                                                                                                                                                                                                                                                                                                                                                                                                                                                                        <w:div w:id="1021277765">
                                                                                                                                                                                                                                                                                                                                                                                                                                                                                                                                                          <w:marLeft w:val="0"/>
                                                                                                                                                                                                                                                                                                                                                                                                                                                                                                                                                          <w:marRight w:val="0"/>
                                                                                                                                                                                                                                                                                                                                                                                                                                                                                                                                                          <w:marTop w:val="0"/>
                                                                                                                                                                                                                                                                                                                                                                                                                                                                                                                                                          <w:marBottom w:val="0"/>
                                                                                                                                                                                                                                                                                                                                                                                                                                                                                                                                                          <w:divBdr>
                                                                                                                                                                                                                                                                                                                                                                                                                                                                                                                                                            <w:top w:val="none" w:sz="0" w:space="0" w:color="auto"/>
                                                                                                                                                                                                                                                                                                                                                                                                                                                                                                                                                            <w:left w:val="none" w:sz="0" w:space="0" w:color="auto"/>
                                                                                                                                                                                                                                                                                                                                                                                                                                                                                                                                                            <w:bottom w:val="none" w:sz="0" w:space="0" w:color="auto"/>
                                                                                                                                                                                                                                                                                                                                                                                                                                                                                                                                                            <w:right w:val="none" w:sz="0" w:space="0" w:color="auto"/>
                                                                                                                                                                                                                                                                                                                                                                                                                                                                                                                                                          </w:divBdr>
                                                                                                                                                                                                                                                                                                                                                                                                                                                                                                                                                          <w:divsChild>
                                                                                                                                                                                                                                                                                                                                                                                                                                                                                                                                                            <w:div w:id="138157147">
                                                                                                                                                                                                                                                                                                                                                                                                                                                                                                                                                              <w:marLeft w:val="0"/>
                                                                                                                                                                                                                                                                                                                                                                                                                                                                                                                                                              <w:marRight w:val="0"/>
                                                                                                                                                                                                                                                                                                                                                                                                                                                                                                                                                              <w:marTop w:val="0"/>
                                                                                                                                                                                                                                                                                                                                                                                                                                                                                                                                                              <w:marBottom w:val="0"/>
                                                                                                                                                                                                                                                                                                                                                                                                                                                                                                                                                              <w:divBdr>
                                                                                                                                                                                                                                                                                                                                                                                                                                                                                                                                                                <w:top w:val="none" w:sz="0" w:space="0" w:color="auto"/>
                                                                                                                                                                                                                                                                                                                                                                                                                                                                                                                                                                <w:left w:val="none" w:sz="0" w:space="0" w:color="auto"/>
                                                                                                                                                                                                                                                                                                                                                                                                                                                                                                                                                                <w:bottom w:val="none" w:sz="0" w:space="0" w:color="auto"/>
                                                                                                                                                                                                                                                                                                                                                                                                                                                                                                                                                                <w:right w:val="none" w:sz="0" w:space="0" w:color="auto"/>
                                                                                                                                                                                                                                                                                                                                                                                                                                                                                                                                                              </w:divBdr>
                                                                                                                                                                                                                                                                                                                                                                                                                                                                                                                                                              <w:divsChild>
                                                                                                                                                                                                                                                                                                                                                                                                                                                                                                                                                                <w:div w:id="2140148154">
                                                                                                                                                                                                                                                                                                                                                                                                                                                                                                                                                                  <w:marLeft w:val="0"/>
                                                                                                                                                                                                                                                                                                                                                                                                                                                                                                                                                                  <w:marRight w:val="0"/>
                                                                                                                                                                                                                                                                                                                                                                                                                                                                                                                                                                  <w:marTop w:val="0"/>
                                                                                                                                                                                                                                                                                                                                                                                                                                                                                                                                                                  <w:marBottom w:val="0"/>
                                                                                                                                                                                                                                                                                                                                                                                                                                                                                                                                                                  <w:divBdr>
                                                                                                                                                                                                                                                                                                                                                                                                                                                                                                                                                                    <w:top w:val="none" w:sz="0" w:space="0" w:color="auto"/>
                                                                                                                                                                                                                                                                                                                                                                                                                                                                                                                                                                    <w:left w:val="none" w:sz="0" w:space="0" w:color="auto"/>
                                                                                                                                                                                                                                                                                                                                                                                                                                                                                                                                                                    <w:bottom w:val="none" w:sz="0" w:space="0" w:color="auto"/>
                                                                                                                                                                                                                                                                                                                                                                                                                                                                                                                                                                    <w:right w:val="none" w:sz="0" w:space="0" w:color="auto"/>
                                                                                                                                                                                                                                                                                                                                                                                                                                                                                                                                                                  </w:divBdr>
                                                                                                                                                                                                                                                                                                                                                                                                                                                                                                                                                                  <w:divsChild>
                                                                                                                                                                                                                                                                                                                                                                                                                                                                                                                                                                    <w:div w:id="2024814812">
                                                                                                                                                                                                                                                                                                                                                                                                                                                                                                                                                                      <w:marLeft w:val="0"/>
                                                                                                                                                                                                                                                                                                                                                                                                                                                                                                                                                                      <w:marRight w:val="0"/>
                                                                                                                                                                                                                                                                                                                                                                                                                                                                                                                                                                      <w:marTop w:val="0"/>
                                                                                                                                                                                                                                                                                                                                                                                                                                                                                                                                                                      <w:marBottom w:val="0"/>
                                                                                                                                                                                                                                                                                                                                                                                                                                                                                                                                                                      <w:divBdr>
                                                                                                                                                                                                                                                                                                                                                                                                                                                                                                                                                                        <w:top w:val="none" w:sz="0" w:space="0" w:color="auto"/>
                                                                                                                                                                                                                                                                                                                                                                                                                                                                                                                                                                        <w:left w:val="none" w:sz="0" w:space="0" w:color="auto"/>
                                                                                                                                                                                                                                                                                                                                                                                                                                                                                                                                                                        <w:bottom w:val="none" w:sz="0" w:space="0" w:color="auto"/>
                                                                                                                                                                                                                                                                                                                                                                                                                                                                                                                                                                        <w:right w:val="none" w:sz="0" w:space="0" w:color="auto"/>
                                                                                                                                                                                                                                                                                                                                                                                                                                                                                                                                                                      </w:divBdr>
                                                                                                                                                                                                                                                                                                                                                                                                                                                                                                                                                                      <w:divsChild>
                                                                                                                                                                                                                                                                                                                                                                                                                                                                                                                                                                        <w:div w:id="65804416">
                                                                                                                                                                                                                                                                                                                                                                                                                                                                                                                                                                          <w:marLeft w:val="0"/>
                                                                                                                                                                                                                                                                                                                                                                                                                                                                                                                                                                          <w:marRight w:val="0"/>
                                                                                                                                                                                                                                                                                                                                                                                                                                                                                                                                                                          <w:marTop w:val="0"/>
                                                                                                                                                                                                                                                                                                                                                                                                                                                                                                                                                                          <w:marBottom w:val="0"/>
                                                                                                                                                                                                                                                                                                                                                                                                                                                                                                                                                                          <w:divBdr>
                                                                                                                                                                                                                                                                                                                                                                                                                                                                                                                                                                            <w:top w:val="none" w:sz="0" w:space="0" w:color="auto"/>
                                                                                                                                                                                                                                                                                                                                                                                                                                                                                                                                                                            <w:left w:val="none" w:sz="0" w:space="0" w:color="auto"/>
                                                                                                                                                                                                                                                                                                                                                                                                                                                                                                                                                                            <w:bottom w:val="none" w:sz="0" w:space="0" w:color="auto"/>
                                                                                                                                                                                                                                                                                                                                                                                                                                                                                                                                                                            <w:right w:val="none" w:sz="0" w:space="0" w:color="auto"/>
                                                                                                                                                                                                                                                                                                                                                                                                                                                                                                                                                                          </w:divBdr>
                                                                                                                                                                                                                                                                                                                                                                                                                                                                                                                                                                          <w:divsChild>
                                                                                                                                                                                                                                                                                                                                                                                                                                                                                                                                                                            <w:div w:id="949779513">
                                                                                                                                                                                                                                                                                                                                                                                                                                                                                                                                                                              <w:marLeft w:val="0"/>
                                                                                                                                                                                                                                                                                                                                                                                                                                                                                                                                                                              <w:marRight w:val="0"/>
                                                                                                                                                                                                                                                                                                                                                                                                                                                                                                                                                                              <w:marTop w:val="0"/>
                                                                                                                                                                                                                                                                                                                                                                                                                                                                                                                                                                              <w:marBottom w:val="0"/>
                                                                                                                                                                                                                                                                                                                                                                                                                                                                                                                                                                              <w:divBdr>
                                                                                                                                                                                                                                                                                                                                                                                                                                                                                                                                                                                <w:top w:val="none" w:sz="0" w:space="0" w:color="auto"/>
                                                                                                                                                                                                                                                                                                                                                                                                                                                                                                                                                                                <w:left w:val="none" w:sz="0" w:space="0" w:color="auto"/>
                                                                                                                                                                                                                                                                                                                                                                                                                                                                                                                                                                                <w:bottom w:val="none" w:sz="0" w:space="0" w:color="auto"/>
                                                                                                                                                                                                                                                                                                                                                                                                                                                                                                                                                                                <w:right w:val="none" w:sz="0" w:space="0" w:color="auto"/>
                                                                                                                                                                                                                                                                                                                                                                                                                                                                                                                                                                              </w:divBdr>
                                                                                                                                                                                                                                                                                                                                                                                                                                                                                                                                                                              <w:divsChild>
                                                                                                                                                                                                                                                                                                                                                                                                                                                                                                                                                                                <w:div w:id="1059784123">
                                                                                                                                                                                                                                                                                                                                                                                                                                                                                                                                                                                  <w:marLeft w:val="0"/>
                                                                                                                                                                                                                                                                                                                                                                                                                                                                                                                                                                                  <w:marRight w:val="0"/>
                                                                                                                                                                                                                                                                                                                                                                                                                                                                                                                                                                                  <w:marTop w:val="0"/>
                                                                                                                                                                                                                                                                                                                                                                                                                                                                                                                                                                                  <w:marBottom w:val="0"/>
                                                                                                                                                                                                                                                                                                                                                                                                                                                                                                                                                                                  <w:divBdr>
                                                                                                                                                                                                                                                                                                                                                                                                                                                                                                                                                                                    <w:top w:val="none" w:sz="0" w:space="0" w:color="auto"/>
                                                                                                                                                                                                                                                                                                                                                                                                                                                                                                                                                                                    <w:left w:val="none" w:sz="0" w:space="0" w:color="auto"/>
                                                                                                                                                                                                                                                                                                                                                                                                                                                                                                                                                                                    <w:bottom w:val="none" w:sz="0" w:space="0" w:color="auto"/>
                                                                                                                                                                                                                                                                                                                                                                                                                                                                                                                                                                                    <w:right w:val="none" w:sz="0" w:space="0" w:color="auto"/>
                                                                                                                                                                                                                                                                                                                                                                                                                                                                                                                                                                                  </w:divBdr>
                                                                                                                                                                                                                                                                                                                                                                                                                                                                                                                                                                                  <w:divsChild>
                                                                                                                                                                                                                                                                                                                                                                                                                                                                                                                                                                                    <w:div w:id="1139834696">
                                                                                                                                                                                                                                                                                                                                                                                                                                                                                                                                                                                      <w:marLeft w:val="0"/>
                                                                                                                                                                                                                                                                                                                                                                                                                                                                                                                                                                                      <w:marRight w:val="0"/>
                                                                                                                                                                                                                                                                                                                                                                                                                                                                                                                                                                                      <w:marTop w:val="0"/>
                                                                                                                                                                                                                                                                                                                                                                                                                                                                                                                                                                                      <w:marBottom w:val="0"/>
                                                                                                                                                                                                                                                                                                                                                                                                                                                                                                                                                                                      <w:divBdr>
                                                                                                                                                                                                                                                                                                                                                                                                                                                                                                                                                                                        <w:top w:val="none" w:sz="0" w:space="0" w:color="auto"/>
                                                                                                                                                                                                                                                                                                                                                                                                                                                                                                                                                                                        <w:left w:val="none" w:sz="0" w:space="0" w:color="auto"/>
                                                                                                                                                                                                                                                                                                                                                                                                                                                                                                                                                                                        <w:bottom w:val="none" w:sz="0" w:space="0" w:color="auto"/>
                                                                                                                                                                                                                                                                                                                                                                                                                                                                                                                                                                                        <w:right w:val="none" w:sz="0" w:space="0" w:color="auto"/>
                                                                                                                                                                                                                                                                                                                                                                                                                                                                                                                                                                                      </w:divBdr>
                                                                                                                                                                                                                                                                                                                                                                                                                                                                                                                                                                                      <w:divsChild>
                                                                                                                                                                                                                                                                                                                                                                                                                                                                                                                                                                                        <w:div w:id="224226020">
                                                                                                                                                                                                                                                                                                                                                                                                                                                                                                                                                                                          <w:marLeft w:val="0"/>
                                                                                                                                                                                                                                                                                                                                                                                                                                                                                                                                                                                          <w:marRight w:val="0"/>
                                                                                                                                                                                                                                                                                                                                                                                                                                                                                                                                                                                          <w:marTop w:val="0"/>
                                                                                                                                                                                                                                                                                                                                                                                                                                                                                                                                                                                          <w:marBottom w:val="0"/>
                                                                                                                                                                                                                                                                                                                                                                                                                                                                                                                                                                                          <w:divBdr>
                                                                                                                                                                                                                                                                                                                                                                                                                                                                                                                                                                                            <w:top w:val="none" w:sz="0" w:space="0" w:color="auto"/>
                                                                                                                                                                                                                                                                                                                                                                                                                                                                                                                                                                                            <w:left w:val="none" w:sz="0" w:space="0" w:color="auto"/>
                                                                                                                                                                                                                                                                                                                                                                                                                                                                                                                                                                                            <w:bottom w:val="none" w:sz="0" w:space="0" w:color="auto"/>
                                                                                                                                                                                                                                                                                                                                                                                                                                                                                                                                                                                            <w:right w:val="none" w:sz="0" w:space="0" w:color="auto"/>
                                                                                                                                                                                                                                                                                                                                                                                                                                                                                                                                                                                          </w:divBdr>
                                                                                                                                                                                                                                                                                                                                                                                                                                                                                                                                                                                          <w:divsChild>
                                                                                                                                                                                                                                                                                                                                                                                                                                                                                                                                                                                            <w:div w:id="2107731487">
                                                                                                                                                                                                                                                                                                                                                                                                                                                                                                                                                                                              <w:marLeft w:val="0"/>
                                                                                                                                                                                                                                                                                                                                                                                                                                                                                                                                                                                              <w:marRight w:val="0"/>
                                                                                                                                                                                                                                                                                                                                                                                                                                                                                                                                                                                              <w:marTop w:val="0"/>
                                                                                                                                                                                                                                                                                                                                                                                                                                                                                                                                                                                              <w:marBottom w:val="0"/>
                                                                                                                                                                                                                                                                                                                                                                                                                                                                                                                                                                                              <w:divBdr>
                                                                                                                                                                                                                                                                                                                                                                                                                                                                                                                                                                                                <w:top w:val="none" w:sz="0" w:space="0" w:color="auto"/>
                                                                                                                                                                                                                                                                                                                                                                                                                                                                                                                                                                                                <w:left w:val="none" w:sz="0" w:space="0" w:color="auto"/>
                                                                                                                                                                                                                                                                                                                                                                                                                                                                                                                                                                                                <w:bottom w:val="none" w:sz="0" w:space="0" w:color="auto"/>
                                                                                                                                                                                                                                                                                                                                                                                                                                                                                                                                                                                                <w:right w:val="none" w:sz="0" w:space="0" w:color="auto"/>
                                                                                                                                                                                                                                                                                                                                                                                                                                                                                                                                                                                              </w:divBdr>
                                                                                                                                                                                                                                                                                                                                                                                                                                                                                                                                                                                              <w:divsChild>
                                                                                                                                                                                                                                                                                                                                                                                                                                                                                                                                                                                                <w:div w:id="53746765">
                                                                                                                                                                                                                                                                                                                                                                                                                                                                                                                                                                                                  <w:marLeft w:val="0"/>
                                                                                                                                                                                                                                                                                                                                                                                                                                                                                                                                                                                                  <w:marRight w:val="0"/>
                                                                                                                                                                                                                                                                                                                                                                                                                                                                                                                                                                                                  <w:marTop w:val="0"/>
                                                                                                                                                                                                                                                                                                                                                                                                                                                                                                                                                                                                  <w:marBottom w:val="0"/>
                                                                                                                                                                                                                                                                                                                                                                                                                                                                                                                                                                                                  <w:divBdr>
                                                                                                                                                                                                                                                                                                                                                                                                                                                                                                                                                                                                    <w:top w:val="none" w:sz="0" w:space="0" w:color="auto"/>
                                                                                                                                                                                                                                                                                                                                                                                                                                                                                                                                                                                                    <w:left w:val="none" w:sz="0" w:space="0" w:color="auto"/>
                                                                                                                                                                                                                                                                                                                                                                                                                                                                                                                                                                                                    <w:bottom w:val="none" w:sz="0" w:space="0" w:color="auto"/>
                                                                                                                                                                                                                                                                                                                                                                                                                                                                                                                                                                                                    <w:right w:val="none" w:sz="0" w:space="0" w:color="auto"/>
                                                                                                                                                                                                                                                                                                                                                                                                                                                                                                                                                                                                  </w:divBdr>
                                                                                                                                                                                                                                                                                                                                                                                                                                                                                                                                                                                                  <w:divsChild>
                                                                                                                                                                                                                                                                                                                                                                                                                                                                                                                                                                                                    <w:div w:id="1077940907">
                                                                                                                                                                                                                                                                                                                                                                                                                                                                                                                                                                                                      <w:marLeft w:val="0"/>
                                                                                                                                                                                                                                                                                                                                                                                                                                                                                                                                                                                                      <w:marRight w:val="0"/>
                                                                                                                                                                                                                                                                                                                                                                                                                                                                                                                                                                                                      <w:marTop w:val="0"/>
                                                                                                                                                                                                                                                                                                                                                                                                                                                                                                                                                                                                      <w:marBottom w:val="0"/>
                                                                                                                                                                                                                                                                                                                                                                                                                                                                                                                                                                                                      <w:divBdr>
                                                                                                                                                                                                                                                                                                                                                                                                                                                                                                                                                                                                        <w:top w:val="none" w:sz="0" w:space="0" w:color="auto"/>
                                                                                                                                                                                                                                                                                                                                                                                                                                                                                                                                                                                                        <w:left w:val="none" w:sz="0" w:space="0" w:color="auto"/>
                                                                                                                                                                                                                                                                                                                                                                                                                                                                                                                                                                                                        <w:bottom w:val="none" w:sz="0" w:space="0" w:color="auto"/>
                                                                                                                                                                                                                                                                                                                                                                                                                                                                                                                                                                                                        <w:right w:val="none" w:sz="0" w:space="0" w:color="auto"/>
                                                                                                                                                                                                                                                                                                                                                                                                                                                                                                                                                                                                      </w:divBdr>
                                                                                                                                                                                                                                                                                                                                                                                                                                                                                                                                                                                                      <w:divsChild>
                                                                                                                                                                                                                                                                                                                                                                                                                                                                                                                                                                                                        <w:div w:id="258220168">
                                                                                                                                                                                                                                                                                                                                                                                                                                                                                                                                                                                                          <w:marLeft w:val="0"/>
                                                                                                                                                                                                                                                                                                                                                                                                                                                                                                                                                                                                          <w:marRight w:val="0"/>
                                                                                                                                                                                                                                                                                                                                                                                                                                                                                                                                                                                                          <w:marTop w:val="0"/>
                                                                                                                                                                                                                                                                                                                                                                                                                                                                                                                                                                                                          <w:marBottom w:val="0"/>
                                                                                                                                                                                                                                                                                                                                                                                                                                                                                                                                                                                                          <w:divBdr>
                                                                                                                                                                                                                                                                                                                                                                                                                                                                                                                                                                                                            <w:top w:val="none" w:sz="0" w:space="0" w:color="auto"/>
                                                                                                                                                                                                                                                                                                                                                                                                                                                                                                                                                                                                            <w:left w:val="none" w:sz="0" w:space="0" w:color="auto"/>
                                                                                                                                                                                                                                                                                                                                                                                                                                                                                                                                                                                                            <w:bottom w:val="none" w:sz="0" w:space="0" w:color="auto"/>
                                                                                                                                                                                                                                                                                                                                                                                                                                                                                                                                                                                                            <w:right w:val="none" w:sz="0" w:space="0" w:color="auto"/>
                                                                                                                                                                                                                                                                                                                                                                                                                                                                                                                                                                                                          </w:divBdr>
                                                                                                                                                                                                                                                                                                                                                                                                                                                                                                                                                                                                          <w:divsChild>
                                                                                                                                                                                                                                                                                                                                                                                                                                                                                                                                                                                                            <w:div w:id="1780563846">
                                                                                                                                                                                                                                                                                                                                                                                                                                                                                                                                                                                                              <w:marLeft w:val="0"/>
                                                                                                                                                                                                                                                                                                                                                                                                                                                                                                                                                                                                              <w:marRight w:val="0"/>
                                                                                                                                                                                                                                                                                                                                                                                                                                                                                                                                                                                                              <w:marTop w:val="0"/>
                                                                                                                                                                                                                                                                                                                                                                                                                                                                                                                                                                                                              <w:marBottom w:val="0"/>
                                                                                                                                                                                                                                                                                                                                                                                                                                                                                                                                                                                                              <w:divBdr>
                                                                                                                                                                                                                                                                                                                                                                                                                                                                                                                                                                                                                <w:top w:val="none" w:sz="0" w:space="0" w:color="auto"/>
                                                                                                                                                                                                                                                                                                                                                                                                                                                                                                                                                                                                                <w:left w:val="none" w:sz="0" w:space="0" w:color="auto"/>
                                                                                                                                                                                                                                                                                                                                                                                                                                                                                                                                                                                                                <w:bottom w:val="none" w:sz="0" w:space="0" w:color="auto"/>
                                                                                                                                                                                                                                                                                                                                                                                                                                                                                                                                                                                                                <w:right w:val="none" w:sz="0" w:space="0" w:color="auto"/>
                                                                                                                                                                                                                                                                                                                                                                                                                                                                                                                                                                                                              </w:divBdr>
                                                                                                                                                                                                                                                                                                                                                                                                                                                                                                                                                                                                              <w:divsChild>
                                                                                                                                                                                                                                                                                                                                                                                                                                                                                                                                                                                                                <w:div w:id="670520985">
                                                                                                                                                                                                                                                                                                                                                                                                                                                                                                                                                                                                                  <w:marLeft w:val="0"/>
                                                                                                                                                                                                                                                                                                                                                                                                                                                                                                                                                                                                                  <w:marRight w:val="0"/>
                                                                                                                                                                                                                                                                                                                                                                                                                                                                                                                                                                                                                  <w:marTop w:val="0"/>
                                                                                                                                                                                                                                                                                                                                                                                                                                                                                                                                                                                                                  <w:marBottom w:val="0"/>
                                                                                                                                                                                                                                                                                                                                                                                                                                                                                                                                                                                                                  <w:divBdr>
                                                                                                                                                                                                                                                                                                                                                                                                                                                                                                                                                                                                                    <w:top w:val="none" w:sz="0" w:space="0" w:color="auto"/>
                                                                                                                                                                                                                                                                                                                                                                                                                                                                                                                                                                                                                    <w:left w:val="none" w:sz="0" w:space="0" w:color="auto"/>
                                                                                                                                                                                                                                                                                                                                                                                                                                                                                                                                                                                                                    <w:bottom w:val="none" w:sz="0" w:space="0" w:color="auto"/>
                                                                                                                                                                                                                                                                                                                                                                                                                                                                                                                                                                                                                    <w:right w:val="none" w:sz="0" w:space="0" w:color="auto"/>
                                                                                                                                                                                                                                                                                                                                                                                                                                                                                                                                                                                                                  </w:divBdr>
                                                                                                                                                                                                                                                                                                                                                                                                                                                                                                                                                                                                                  <w:divsChild>
                                                                                                                                                                                                                                                                                                                                                                                                                                                                                                                                                                                                                    <w:div w:id="1313296513">
                                                                                                                                                                                                                                                                                                                                                                                                                                                                                                                                                                                                                      <w:marLeft w:val="0"/>
                                                                                                                                                                                                                                                                                                                                                                                                                                                                                                                                                                                                                      <w:marRight w:val="0"/>
                                                                                                                                                                                                                                                                                                                                                                                                                                                                                                                                                                                                                      <w:marTop w:val="0"/>
                                                                                                                                                                                                                                                                                                                                                                                                                                                                                                                                                                                                                      <w:marBottom w:val="0"/>
                                                                                                                                                                                                                                                                                                                                                                                                                                                                                                                                                                                                                      <w:divBdr>
                                                                                                                                                                                                                                                                                                                                                                                                                                                                                                                                                                                                                        <w:top w:val="none" w:sz="0" w:space="0" w:color="auto"/>
                                                                                                                                                                                                                                                                                                                                                                                                                                                                                                                                                                                                                        <w:left w:val="none" w:sz="0" w:space="0" w:color="auto"/>
                                                                                                                                                                                                                                                                                                                                                                                                                                                                                                                                                                                                                        <w:bottom w:val="none" w:sz="0" w:space="0" w:color="auto"/>
                                                                                                                                                                                                                                                                                                                                                                                                                                                                                                                                                                                                                        <w:right w:val="none" w:sz="0" w:space="0" w:color="auto"/>
                                                                                                                                                                                                                                                                                                                                                                                                                                                                                                                                                                                                                      </w:divBdr>
                                                                                                                                                                                                                                                                                                                                                                                                                                                                                                                                                                                                                      <w:divsChild>
                                                                                                                                                                                                                                                                                                                                                                                                                                                                                                                                                                                                                        <w:div w:id="1242787916">
                                                                                                                                                                                                                                                                                                                                                                                                                                                                                                                                                                                                                          <w:marLeft w:val="0"/>
                                                                                                                                                                                                                                                                                                                                                                                                                                                                                                                                                                                                                          <w:marRight w:val="0"/>
                                                                                                                                                                                                                                                                                                                                                                                                                                                                                                                                                                                                                          <w:marTop w:val="0"/>
                                                                                                                                                                                                                                                                                                                                                                                                                                                                                                                                                                                                                          <w:marBottom w:val="0"/>
                                                                                                                                                                                                                                                                                                                                                                                                                                                                                                                                                                                                                          <w:divBdr>
                                                                                                                                                                                                                                                                                                                                                                                                                                                                                                                                                                                                                            <w:top w:val="none" w:sz="0" w:space="0" w:color="auto"/>
                                                                                                                                                                                                                                                                                                                                                                                                                                                                                                                                                                                                                            <w:left w:val="none" w:sz="0" w:space="0" w:color="auto"/>
                                                                                                                                                                                                                                                                                                                                                                                                                                                                                                                                                                                                                            <w:bottom w:val="none" w:sz="0" w:space="0" w:color="auto"/>
                                                                                                                                                                                                                                                                                                                                                                                                                                                                                                                                                                                                                            <w:right w:val="none" w:sz="0" w:space="0" w:color="auto"/>
                                                                                                                                                                                                                                                                                                                                                                                                                                                                                                                                                                                                                          </w:divBdr>
                                                                                                                                                                                                                                                                                                                                                                                                                                                                                                                                                                                                                          <w:divsChild>
                                                                                                                                                                                                                                                                                                                                                                                                                                                                                                                                                                                                                            <w:div w:id="1233470682">
                                                                                                                                                                                                                                                                                                                                                                                                                                                                                                                                                                                                                              <w:marLeft w:val="0"/>
                                                                                                                                                                                                                                                                                                                                                                                                                                                                                                                                                                                                                              <w:marRight w:val="0"/>
                                                                                                                                                                                                                                                                                                                                                                                                                                                                                                                                                                                                                              <w:marTop w:val="0"/>
                                                                                                                                                                                                                                                                                                                                                                                                                                                                                                                                                                                                                              <w:marBottom w:val="0"/>
                                                                                                                                                                                                                                                                                                                                                                                                                                                                                                                                                                                                                              <w:divBdr>
                                                                                                                                                                                                                                                                                                                                                                                                                                                                                                                                                                                                                                <w:top w:val="none" w:sz="0" w:space="0" w:color="auto"/>
                                                                                                                                                                                                                                                                                                                                                                                                                                                                                                                                                                                                                                <w:left w:val="none" w:sz="0" w:space="0" w:color="auto"/>
                                                                                                                                                                                                                                                                                                                                                                                                                                                                                                                                                                                                                                <w:bottom w:val="none" w:sz="0" w:space="0" w:color="auto"/>
                                                                                                                                                                                                                                                                                                                                                                                                                                                                                                                                                                                                                                <w:right w:val="none" w:sz="0" w:space="0" w:color="auto"/>
                                                                                                                                                                                                                                                                                                                                                                                                                                                                                                                                                                                                                              </w:divBdr>
                                                                                                                                                                                                                                                                                                                                                                                                                                                                                                                                                                                                                              <w:divsChild>
                                                                                                                                                                                                                                                                                                                                                                                                                                                                                                                                                                                                                                <w:div w:id="1694650911">
                                                                                                                                                                                                                                                                                                                                                                                                                                                                                                                                                                                                                                  <w:marLeft w:val="0"/>
                                                                                                                                                                                                                                                                                                                                                                                                                                                                                                                                                                                                                                  <w:marRight w:val="0"/>
                                                                                                                                                                                                                                                                                                                                                                                                                                                                                                                                                                                                                                  <w:marTop w:val="0"/>
                                                                                                                                                                                                                                                                                                                                                                                                                                                                                                                                                                                                                                  <w:marBottom w:val="0"/>
                                                                                                                                                                                                                                                                                                                                                                                                                                                                                                                                                                                                                                  <w:divBdr>
                                                                                                                                                                                                                                                                                                                                                                                                                                                                                                                                                                                                                                    <w:top w:val="none" w:sz="0" w:space="0" w:color="auto"/>
                                                                                                                                                                                                                                                                                                                                                                                                                                                                                                                                                                                                                                    <w:left w:val="none" w:sz="0" w:space="0" w:color="auto"/>
                                                                                                                                                                                                                                                                                                                                                                                                                                                                                                                                                                                                                                    <w:bottom w:val="none" w:sz="0" w:space="0" w:color="auto"/>
                                                                                                                                                                                                                                                                                                                                                                                                                                                                                                                                                                                                                                    <w:right w:val="none" w:sz="0" w:space="0" w:color="auto"/>
                                                                                                                                                                                                                                                                                                                                                                                                                                                                                                                                                                                                                                  </w:divBdr>
                                                                                                                                                                                                                                                                                                                                                                                                                                                                                                                                                                                                                                  <w:divsChild>
                                                                                                                                                                                                                                                                                                                                                                                                                                                                                                                                                                                                                                    <w:div w:id="263270316">
                                                                                                                                                                                                                                                                                                                                                                                                                                                                                                                                                                                                                                      <w:marLeft w:val="0"/>
                                                                                                                                                                                                                                                                                                                                                                                                                                                                                                                                                                                                                                      <w:marRight w:val="0"/>
                                                                                                                                                                                                                                                                                                                                                                                                                                                                                                                                                                                                                                      <w:marTop w:val="0"/>
                                                                                                                                                                                                                                                                                                                                                                                                                                                                                                                                                                                                                                      <w:marBottom w:val="0"/>
                                                                                                                                                                                                                                                                                                                                                                                                                                                                                                                                                                                                                                      <w:divBdr>
                                                                                                                                                                                                                                                                                                                                                                                                                                                                                                                                                                                                                                        <w:top w:val="none" w:sz="0" w:space="0" w:color="auto"/>
                                                                                                                                                                                                                                                                                                                                                                                                                                                                                                                                                                                                                                        <w:left w:val="none" w:sz="0" w:space="0" w:color="auto"/>
                                                                                                                                                                                                                                                                                                                                                                                                                                                                                                                                                                                                                                        <w:bottom w:val="none" w:sz="0" w:space="0" w:color="auto"/>
                                                                                                                                                                                                                                                                                                                                                                                                                                                                                                                                                                                                                                        <w:right w:val="none" w:sz="0" w:space="0" w:color="auto"/>
                                                                                                                                                                                                                                                                                                                                                                                                                                                                                                                                                                                                                                      </w:divBdr>
                                                                                                                                                                                                                                                                                                                                                                                                                                                                                                                                                                                                                                      <w:divsChild>
                                                                                                                                                                                                                                                                                                                                                                                                                                                                                                                                                                                                                                        <w:div w:id="259338826">
                                                                                                                                                                                                                                                                                                                                                                                                                                                                                                                                                                                                                                          <w:marLeft w:val="0"/>
                                                                                                                                                                                                                                                                                                                                                                                                                                                                                                                                                                                                                                          <w:marRight w:val="0"/>
                                                                                                                                                                                                                                                                                                                                                                                                                                                                                                                                                                                                                                          <w:marTop w:val="0"/>
                                                                                                                                                                                                                                                                                                                                                                                                                                                                                                                                                                                                                                          <w:marBottom w:val="0"/>
                                                                                                                                                                                                                                                                                                                                                                                                                                                                                                                                                                                                                                          <w:divBdr>
                                                                                                                                                                                                                                                                                                                                                                                                                                                                                                                                                                                                                                            <w:top w:val="none" w:sz="0" w:space="0" w:color="auto"/>
                                                                                                                                                                                                                                                                                                                                                                                                                                                                                                                                                                                                                                            <w:left w:val="none" w:sz="0" w:space="0" w:color="auto"/>
                                                                                                                                                                                                                                                                                                                                                                                                                                                                                                                                                                                                                                            <w:bottom w:val="none" w:sz="0" w:space="0" w:color="auto"/>
                                                                                                                                                                                                                                                                                                                                                                                                                                                                                                                                                                                                                                            <w:right w:val="none" w:sz="0" w:space="0" w:color="auto"/>
                                                                                                                                                                                                                                                                                                                                                                                                                                                                                                                                                                                                                                          </w:divBdr>
                                                                                                                                                                                                                                                                                                                                                                                                                                                                                                                                                                                                                                          <w:divsChild>
                                                                                                                                                                                                                                                                                                                                                                                                                                                                                                                                                                                                                                            <w:div w:id="914554888">
                                                                                                                                                                                                                                                                                                                                                                                                                                                                                                                                                                                                                                              <w:marLeft w:val="0"/>
                                                                                                                                                                                                                                                                                                                                                                                                                                                                                                                                                                                                                                              <w:marRight w:val="0"/>
                                                                                                                                                                                                                                                                                                                                                                                                                                                                                                                                                                                                                                              <w:marTop w:val="0"/>
                                                                                                                                                                                                                                                                                                                                                                                                                                                                                                                                                                                                                                              <w:marBottom w:val="0"/>
                                                                                                                                                                                                                                                                                                                                                                                                                                                                                                                                                                                                                                              <w:divBdr>
                                                                                                                                                                                                                                                                                                                                                                                                                                                                                                                                                                                                                                                <w:top w:val="none" w:sz="0" w:space="0" w:color="auto"/>
                                                                                                                                                                                                                                                                                                                                                                                                                                                                                                                                                                                                                                                <w:left w:val="none" w:sz="0" w:space="0" w:color="auto"/>
                                                                                                                                                                                                                                                                                                                                                                                                                                                                                                                                                                                                                                                <w:bottom w:val="none" w:sz="0" w:space="0" w:color="auto"/>
                                                                                                                                                                                                                                                                                                                                                                                                                                                                                                                                                                                                                                                <w:right w:val="none" w:sz="0" w:space="0" w:color="auto"/>
                                                                                                                                                                                                                                                                                                                                                                                                                                                                                                                                                                                                                                              </w:divBdr>
                                                                                                                                                                                                                                                                                                                                                                                                                                                                                                                                                                                                                                              <w:divsChild>
                                                                                                                                                                                                                                                                                                                                                                                                                                                                                                                                                                                                                                                <w:div w:id="523439381">
                                                                                                                                                                                                                                                                                                                                                                                                                                                                                                                                                                                                                                                  <w:marLeft w:val="0"/>
                                                                                                                                                                                                                                                                                                                                                                                                                                                                                                                                                                                                                                                  <w:marRight w:val="0"/>
                                                                                                                                                                                                                                                                                                                                                                                                                                                                                                                                                                                                                                                  <w:marTop w:val="0"/>
                                                                                                                                                                                                                                                                                                                                                                                                                                                                                                                                                                                                                                                  <w:marBottom w:val="0"/>
                                                                                                                                                                                                                                                                                                                                                                                                                                                                                                                                                                                                                                                  <w:divBdr>
                                                                                                                                                                                                                                                                                                                                                                                                                                                                                                                                                                                                                                                    <w:top w:val="none" w:sz="0" w:space="0" w:color="auto"/>
                                                                                                                                                                                                                                                                                                                                                                                                                                                                                                                                                                                                                                                    <w:left w:val="none" w:sz="0" w:space="0" w:color="auto"/>
                                                                                                                                                                                                                                                                                                                                                                                                                                                                                                                                                                                                                                                    <w:bottom w:val="none" w:sz="0" w:space="0" w:color="auto"/>
                                                                                                                                                                                                                                                                                                                                                                                                                                                                                                                                                                                                                                                    <w:right w:val="none" w:sz="0" w:space="0" w:color="auto"/>
                                                                                                                                                                                                                                                                                                                                                                                                                                                                                                                                                                                                                                                  </w:divBdr>
                                                                                                                                                                                                                                                                                                                                                                                                                                                                                                                                                                                                                                                  <w:divsChild>
                                                                                                                                                                                                                                                                                                                                                                                                                                                                                                                                                                                                                                                    <w:div w:id="772021302">
                                                                                                                                                                                                                                                                                                                                                                                                                                                                                                                                                                                                                                                      <w:marLeft w:val="0"/>
                                                                                                                                                                                                                                                                                                                                                                                                                                                                                                                                                                                                                                                      <w:marRight w:val="0"/>
                                                                                                                                                                                                                                                                                                                                                                                                                                                                                                                                                                                                                                                      <w:marTop w:val="0"/>
                                                                                                                                                                                                                                                                                                                                                                                                                                                                                                                                                                                                                                                      <w:marBottom w:val="0"/>
                                                                                                                                                                                                                                                                                                                                                                                                                                                                                                                                                                                                                                                      <w:divBdr>
                                                                                                                                                                                                                                                                                                                                                                                                                                                                                                                                                                                                                                                        <w:top w:val="none" w:sz="0" w:space="0" w:color="auto"/>
                                                                                                                                                                                                                                                                                                                                                                                                                                                                                                                                                                                                                                                        <w:left w:val="none" w:sz="0" w:space="0" w:color="auto"/>
                                                                                                                                                                                                                                                                                                                                                                                                                                                                                                                                                                                                                                                        <w:bottom w:val="none" w:sz="0" w:space="0" w:color="auto"/>
                                                                                                                                                                                                                                                                                                                                                                                                                                                                                                                                                                                                                                                        <w:right w:val="none" w:sz="0" w:space="0" w:color="auto"/>
                                                                                                                                                                                                                                                                                                                                                                                                                                                                                                                                                                                                                                                      </w:divBdr>
                                                                                                                                                                                                                                                                                                                                                                                                                                                                                                                                                                                                                                                      <w:divsChild>
                                                                                                                                                                                                                                                                                                                                                                                                                                                                                                                                                                                                                                                        <w:div w:id="945968213">
                                                                                                                                                                                                                                                                                                                                                                                                                                                                                                                                                                                                                                                          <w:marLeft w:val="0"/>
                                                                                                                                                                                                                                                                                                                                                                                                                                                                                                                                                                                                                                                          <w:marRight w:val="0"/>
                                                                                                                                                                                                                                                                                                                                                                                                                                                                                                                                                                                                                                                          <w:marTop w:val="0"/>
                                                                                                                                                                                                                                                                                                                                                                                                                                                                                                                                                                                                                                                          <w:marBottom w:val="0"/>
                                                                                                                                                                                                                                                                                                                                                                                                                                                                                                                                                                                                                                                          <w:divBdr>
                                                                                                                                                                                                                                                                                                                                                                                                                                                                                                                                                                                                                                                            <w:top w:val="none" w:sz="0" w:space="0" w:color="auto"/>
                                                                                                                                                                                                                                                                                                                                                                                                                                                                                                                                                                                                                                                            <w:left w:val="none" w:sz="0" w:space="0" w:color="auto"/>
                                                                                                                                                                                                                                                                                                                                                                                                                                                                                                                                                                                                                                                            <w:bottom w:val="none" w:sz="0" w:space="0" w:color="auto"/>
                                                                                                                                                                                                                                                                                                                                                                                                                                                                                                                                                                                                                                                            <w:right w:val="none" w:sz="0" w:space="0" w:color="auto"/>
                                                                                                                                                                                                                                                                                                                                                                                                                                                                                                                                                                                                                                                          </w:divBdr>
                                                                                                                                                                                                                                                                                                                                                                                                                                                                                                                                                                                                                                                          <w:divsChild>
                                                                                                                                                                                                                                                                                                                                                                                                                                                                                                                                                                                                                                                            <w:div w:id="1979720992">
                                                                                                                                                                                                                                                                                                                                                                                                                                                                                                                                                                                                                                                              <w:marLeft w:val="0"/>
                                                                                                                                                                                                                                                                                                                                                                                                                                                                                                                                                                                                                                                              <w:marRight w:val="0"/>
                                                                                                                                                                                                                                                                                                                                                                                                                                                                                                                                                                                                                                                              <w:marTop w:val="0"/>
                                                                                                                                                                                                                                                                                                                                                                                                                                                                                                                                                                                                                                                              <w:marBottom w:val="0"/>
                                                                                                                                                                                                                                                                                                                                                                                                                                                                                                                                                                                                                                                              <w:divBdr>
                                                                                                                                                                                                                                                                                                                                                                                                                                                                                                                                                                                                                                                                <w:top w:val="none" w:sz="0" w:space="0" w:color="auto"/>
                                                                                                                                                                                                                                                                                                                                                                                                                                                                                                                                                                                                                                                                <w:left w:val="none" w:sz="0" w:space="0" w:color="auto"/>
                                                                                                                                                                                                                                                                                                                                                                                                                                                                                                                                                                                                                                                                <w:bottom w:val="none" w:sz="0" w:space="0" w:color="auto"/>
                                                                                                                                                                                                                                                                                                                                                                                                                                                                                                                                                                                                                                                                <w:right w:val="none" w:sz="0" w:space="0" w:color="auto"/>
                                                                                                                                                                                                                                                                                                                                                                                                                                                                                                                                                                                                                                                              </w:divBdr>
                                                                                                                                                                                                                                                                                                                                                                                                                                                                                                                                                                                                                                                              <w:divsChild>
                                                                                                                                                                                                                                                                                                                                                                                                                                                                                                                                                                                                                                                                <w:div w:id="261452308">
                                                                                                                                                                                                                                                                                                                                                                                                                                                                                                                                                                                                                                                                  <w:marLeft w:val="0"/>
                                                                                                                                                                                                                                                                                                                                                                                                                                                                                                                                                                                                                                                                  <w:marRight w:val="0"/>
                                                                                                                                                                                                                                                                                                                                                                                                                                                                                                                                                                                                                                                                  <w:marTop w:val="0"/>
                                                                                                                                                                                                                                                                                                                                                                                                                                                                                                                                                                                                                                                                  <w:marBottom w:val="0"/>
                                                                                                                                                                                                                                                                                                                                                                                                                                                                                                                                                                                                                                                                  <w:divBdr>
                                                                                                                                                                                                                                                                                                                                                                                                                                                                                                                                                                                                                                                                    <w:top w:val="none" w:sz="0" w:space="0" w:color="auto"/>
                                                                                                                                                                                                                                                                                                                                                                                                                                                                                                                                                                                                                                                                    <w:left w:val="none" w:sz="0" w:space="0" w:color="auto"/>
                                                                                                                                                                                                                                                                                                                                                                                                                                                                                                                                                                                                                                                                    <w:bottom w:val="none" w:sz="0" w:space="0" w:color="auto"/>
                                                                                                                                                                                                                                                                                                                                                                                                                                                                                                                                                                                                                                                                    <w:right w:val="none" w:sz="0" w:space="0" w:color="auto"/>
                                                                                                                                                                                                                                                                                                                                                                                                                                                                                                                                                                                                                                                                  </w:divBdr>
                                                                                                                                                                                                                                                                                                                                                                                                                                                                                                                                                                                                                                                                  <w:divsChild>
                                                                                                                                                                                                                                                                                                                                                                                                                                                                                                                                                                                                                                                                    <w:div w:id="1739592199">
                                                                                                                                                                                                                                                                                                                                                                                                                                                                                                                                                                                                                                                                      <w:marLeft w:val="0"/>
                                                                                                                                                                                                                                                                                                                                                                                                                                                                                                                                                                                                                                                                      <w:marRight w:val="0"/>
                                                                                                                                                                                                                                                                                                                                                                                                                                                                                                                                                                                                                                                                      <w:marTop w:val="0"/>
                                                                                                                                                                                                                                                                                                                                                                                                                                                                                                                                                                                                                                                                      <w:marBottom w:val="0"/>
                                                                                                                                                                                                                                                                                                                                                                                                                                                                                                                                                                                                                                                                      <w:divBdr>
                                                                                                                                                                                                                                                                                                                                                                                                                                                                                                                                                                                                                                                                        <w:top w:val="none" w:sz="0" w:space="0" w:color="auto"/>
                                                                                                                                                                                                                                                                                                                                                                                                                                                                                                                                                                                                                                                                        <w:left w:val="none" w:sz="0" w:space="0" w:color="auto"/>
                                                                                                                                                                                                                                                                                                                                                                                                                                                                                                                                                                                                                                                                        <w:bottom w:val="none" w:sz="0" w:space="0" w:color="auto"/>
                                                                                                                                                                                                                                                                                                                                                                                                                                                                                                                                                                                                                                                                        <w:right w:val="none" w:sz="0" w:space="0" w:color="auto"/>
                                                                                                                                                                                                                                                                                                                                                                                                                                                                                                                                                                                                                                                                      </w:divBdr>
                                                                                                                                                                                                                                                                                                                                                                                                                                                                                                                                                                                                                                                                      <w:divsChild>
                                                                                                                                                                                                                                                                                                                                                                                                                                                                                                                                                                                                                                                                        <w:div w:id="291058649">
                                                                                                                                                                                                                                                                                                                                                                                                                                                                                                                                                                                                                                                                          <w:marLeft w:val="0"/>
                                                                                                                                                                                                                                                                                                                                                                                                                                                                                                                                                                                                                                                                          <w:marRight w:val="0"/>
                                                                                                                                                                                                                                                                                                                                                                                                                                                                                                                                                                                                                                                                          <w:marTop w:val="0"/>
                                                                                                                                                                                                                                                                                                                                                                                                                                                                                                                                                                                                                                                                          <w:marBottom w:val="0"/>
                                                                                                                                                                                                                                                                                                                                                                                                                                                                                                                                                                                                                                                                          <w:divBdr>
                                                                                                                                                                                                                                                                                                                                                                                                                                                                                                                                                                                                                                                                            <w:top w:val="none" w:sz="0" w:space="0" w:color="auto"/>
                                                                                                                                                                                                                                                                                                                                                                                                                                                                                                                                                                                                                                                                            <w:left w:val="none" w:sz="0" w:space="0" w:color="auto"/>
                                                                                                                                                                                                                                                                                                                                                                                                                                                                                                                                                                                                                                                                            <w:bottom w:val="none" w:sz="0" w:space="0" w:color="auto"/>
                                                                                                                                                                                                                                                                                                                                                                                                                                                                                                                                                                                                                                                                            <w:right w:val="none" w:sz="0" w:space="0" w:color="auto"/>
                                                                                                                                                                                                                                                                                                                                                                                                                                                                                                                                                                                                                                                                          </w:divBdr>
                                                                                                                                                                                                                                                                                                                                                                                                                                                                                                                                                                                                                                                                          <w:divsChild>
                                                                                                                                                                                                                                                                                                                                                                                                                                                                                                                                                                                                                                                                            <w:div w:id="895898596">
                                                                                                                                                                                                                                                                                                                                                                                                                                                                                                                                                                                                                                                                              <w:marLeft w:val="0"/>
                                                                                                                                                                                                                                                                                                                                                                                                                                                                                                                                                                                                                                                                              <w:marRight w:val="0"/>
                                                                                                                                                                                                                                                                                                                                                                                                                                                                                                                                                                                                                                                                              <w:marTop w:val="0"/>
                                                                                                                                                                                                                                                                                                                                                                                                                                                                                                                                                                                                                                                                              <w:marBottom w:val="0"/>
                                                                                                                                                                                                                                                                                                                                                                                                                                                                                                                                                                                                                                                                              <w:divBdr>
                                                                                                                                                                                                                                                                                                                                                                                                                                                                                                                                                                                                                                                                                <w:top w:val="none" w:sz="0" w:space="0" w:color="auto"/>
                                                                                                                                                                                                                                                                                                                                                                                                                                                                                                                                                                                                                                                                                <w:left w:val="none" w:sz="0" w:space="0" w:color="auto"/>
                                                                                                                                                                                                                                                                                                                                                                                                                                                                                                                                                                                                                                                                                <w:bottom w:val="none" w:sz="0" w:space="0" w:color="auto"/>
                                                                                                                                                                                                                                                                                                                                                                                                                                                                                                                                                                                                                                                                                <w:right w:val="none" w:sz="0" w:space="0" w:color="auto"/>
                                                                                                                                                                                                                                                                                                                                                                                                                                                                                                                                                                                                                                                                              </w:divBdr>
                                                                                                                                                                                                                                                                                                                                                                                                                                                                                                                                                                                                                                                                              <w:divsChild>
                                                                                                                                                                                                                                                                                                                                                                                                                                                                                                                                                                                                                                                                                <w:div w:id="1933263">
                                                                                                                                                                                                                                                                                                                                                                                                                                                                                                                                                                                                                                                                                  <w:marLeft w:val="0"/>
                                                                                                                                                                                                                                                                                                                                                                                                                                                                                                                                                                                                                                                                                  <w:marRight w:val="0"/>
                                                                                                                                                                                                                                                                                                                                                                                                                                                                                                                                                                                                                                                                                  <w:marTop w:val="0"/>
                                                                                                                                                                                                                                                                                                                                                                                                                                                                                                                                                                                                                                                                                  <w:marBottom w:val="0"/>
                                                                                                                                                                                                                                                                                                                                                                                                                                                                                                                                                                                                                                                                                  <w:divBdr>
                                                                                                                                                                                                                                                                                                                                                                                                                                                                                                                                                                                                                                                                                    <w:top w:val="none" w:sz="0" w:space="0" w:color="auto"/>
                                                                                                                                                                                                                                                                                                                                                                                                                                                                                                                                                                                                                                                                                    <w:left w:val="none" w:sz="0" w:space="0" w:color="auto"/>
                                                                                                                                                                                                                                                                                                                                                                                                                                                                                                                                                                                                                                                                                    <w:bottom w:val="none" w:sz="0" w:space="0" w:color="auto"/>
                                                                                                                                                                                                                                                                                                                                                                                                                                                                                                                                                                                                                                                                                    <w:right w:val="none" w:sz="0" w:space="0" w:color="auto"/>
                                                                                                                                                                                                                                                                                                                                                                                                                                                                                                                                                                                                                                                                                  </w:divBdr>
                                                                                                                                                                                                                                                                                                                                                                                                                                                                                                                                                                                                                                                                                  <w:divsChild>
                                                                                                                                                                                                                                                                                                                                                                                                                                                                                                                                                                                                                                                                                    <w:div w:id="1934897323">
                                                                                                                                                                                                                                                                                                                                                                                                                                                                                                                                                                                                                                                                                      <w:marLeft w:val="0"/>
                                                                                                                                                                                                                                                                                                                                                                                                                                                                                                                                                                                                                                                                                      <w:marRight w:val="0"/>
                                                                                                                                                                                                                                                                                                                                                                                                                                                                                                                                                                                                                                                                                      <w:marTop w:val="0"/>
                                                                                                                                                                                                                                                                                                                                                                                                                                                                                                                                                                                                                                                                                      <w:marBottom w:val="0"/>
                                                                                                                                                                                                                                                                                                                                                                                                                                                                                                                                                                                                                                                                                      <w:divBdr>
                                                                                                                                                                                                                                                                                                                                                                                                                                                                                                                                                                                                                                                                                        <w:top w:val="none" w:sz="0" w:space="0" w:color="auto"/>
                                                                                                                                                                                                                                                                                                                                                                                                                                                                                                                                                                                                                                                                                        <w:left w:val="none" w:sz="0" w:space="0" w:color="auto"/>
                                                                                                                                                                                                                                                                                                                                                                                                                                                                                                                                                                                                                                                                                        <w:bottom w:val="none" w:sz="0" w:space="0" w:color="auto"/>
                                                                                                                                                                                                                                                                                                                                                                                                                                                                                                                                                                                                                                                                                        <w:right w:val="none" w:sz="0" w:space="0" w:color="auto"/>
                                                                                                                                                                                                                                                                                                                                                                                                                                                                                                                                                                                                                                                                                      </w:divBdr>
                                                                                                                                                                                                                                                                                                                                                                                                                                                                                                                                                                                                                                                                                      <w:divsChild>
                                                                                                                                                                                                                                                                                                                                                                                                                                                                                                                                                                                                                                                                                        <w:div w:id="1495296637">
                                                                                                                                                                                                                                                                                                                                                                                                                                                                                                                                                                                                                                                                                          <w:marLeft w:val="0"/>
                                                                                                                                                                                                                                                                                                                                                                                                                                                                                                                                                                                                                                                                                          <w:marRight w:val="0"/>
                                                                                                                                                                                                                                                                                                                                                                                                                                                                                                                                                                                                                                                                                          <w:marTop w:val="0"/>
                                                                                                                                                                                                                                                                                                                                                                                                                                                                                                                                                                                                                                                                                          <w:marBottom w:val="0"/>
                                                                                                                                                                                                                                                                                                                                                                                                                                                                                                                                                                                                                                                                                          <w:divBdr>
                                                                                                                                                                                                                                                                                                                                                                                                                                                                                                                                                                                                                                                                                            <w:top w:val="none" w:sz="0" w:space="0" w:color="auto"/>
                                                                                                                                                                                                                                                                                                                                                                                                                                                                                                                                                                                                                                                                                            <w:left w:val="none" w:sz="0" w:space="0" w:color="auto"/>
                                                                                                                                                                                                                                                                                                                                                                                                                                                                                                                                                                                                                                                                                            <w:bottom w:val="none" w:sz="0" w:space="0" w:color="auto"/>
                                                                                                                                                                                                                                                                                                                                                                                                                                                                                                                                                                                                                                                                                            <w:right w:val="none" w:sz="0" w:space="0" w:color="auto"/>
                                                                                                                                                                                                                                                                                                                                                                                                                                                                                                                                                                                                                                                                                          </w:divBdr>
                                                                                                                                                                                                                                                                                                                                                                                                                                                                                                                                                                                                                                                                                          <w:divsChild>
                                                                                                                                                                                                                                                                                                                                                                                                                                                                                                                                                                                                                                                                                            <w:div w:id="1983342194">
                                                                                                                                                                                                                                                                                                                                                                                                                                                                                                                                                                                                                                                                                              <w:marLeft w:val="0"/>
                                                                                                                                                                                                                                                                                                                                                                                                                                                                                                                                                                                                                                                                                              <w:marRight w:val="0"/>
                                                                                                                                                                                                                                                                                                                                                                                                                                                                                                                                                                                                                                                                                              <w:marTop w:val="0"/>
                                                                                                                                                                                                                                                                                                                                                                                                                                                                                                                                                                                                                                                                                              <w:marBottom w:val="0"/>
                                                                                                                                                                                                                                                                                                                                                                                                                                                                                                                                                                                                                                                                                              <w:divBdr>
                                                                                                                                                                                                                                                                                                                                                                                                                                                                                                                                                                                                                                                                                                <w:top w:val="none" w:sz="0" w:space="0" w:color="auto"/>
                                                                                                                                                                                                                                                                                                                                                                                                                                                                                                                                                                                                                                                                                                <w:left w:val="none" w:sz="0" w:space="0" w:color="auto"/>
                                                                                                                                                                                                                                                                                                                                                                                                                                                                                                                                                                                                                                                                                                <w:bottom w:val="none" w:sz="0" w:space="0" w:color="auto"/>
                                                                                                                                                                                                                                                                                                                                                                                                                                                                                                                                                                                                                                                                                                <w:right w:val="none" w:sz="0" w:space="0" w:color="auto"/>
                                                                                                                                                                                                                                                                                                                                                                                                                                                                                                                                                                                                                                                                                              </w:divBdr>
                                                                                                                                                                                                                                                                                                                                                                                                                                                                                                                                                                                                                                                                                              <w:divsChild>
                                                                                                                                                                                                                                                                                                                                                                                                                                                                                                                                                                                                                                                                                                <w:div w:id="1410695075">
                                                                                                                                                                                                                                                                                                                                                                                                                                                                                                                                                                                                                                                                                                  <w:marLeft w:val="0"/>
                                                                                                                                                                                                                                                                                                                                                                                                                                                                                                                                                                                                                                                                                                  <w:marRight w:val="0"/>
                                                                                                                                                                                                                                                                                                                                                                                                                                                                                                                                                                                                                                                                                                  <w:marTop w:val="0"/>
                                                                                                                                                                                                                                                                                                                                                                                                                                                                                                                                                                                                                                                                                                  <w:marBottom w:val="0"/>
                                                                                                                                                                                                                                                                                                                                                                                                                                                                                                                                                                                                                                                                                                  <w:divBdr>
                                                                                                                                                                                                                                                                                                                                                                                                                                                                                                                                                                                                                                                                                                    <w:top w:val="none" w:sz="0" w:space="0" w:color="auto"/>
                                                                                                                                                                                                                                                                                                                                                                                                                                                                                                                                                                                                                                                                                                    <w:left w:val="none" w:sz="0" w:space="0" w:color="auto"/>
                                                                                                                                                                                                                                                                                                                                                                                                                                                                                                                                                                                                                                                                                                    <w:bottom w:val="none" w:sz="0" w:space="0" w:color="auto"/>
                                                                                                                                                                                                                                                                                                                                                                                                                                                                                                                                                                                                                                                                                                    <w:right w:val="none" w:sz="0" w:space="0" w:color="auto"/>
                                                                                                                                                                                                                                                                                                                                                                                                                                                                                                                                                                                                                                                                                                  </w:divBdr>
                                                                                                                                                                                                                                                                                                                                                                                                                                                                                                                                                                                                                                                                                                  <w:divsChild>
                                                                                                                                                                                                                                                                                                                                                                                                                                                                                                                                                                                                                                                                                                    <w:div w:id="65953804">
                                                                                                                                                                                                                                                                                                                                                                                                                                                                                                                                                                                                                                                                                                      <w:marLeft w:val="0"/>
                                                                                                                                                                                                                                                                                                                                                                                                                                                                                                                                                                                                                                                                                                      <w:marRight w:val="0"/>
                                                                                                                                                                                                                                                                                                                                                                                                                                                                                                                                                                                                                                                                                                      <w:marTop w:val="0"/>
                                                                                                                                                                                                                                                                                                                                                                                                                                                                                                                                                                                                                                                                                                      <w:marBottom w:val="0"/>
                                                                                                                                                                                                                                                                                                                                                                                                                                                                                                                                                                                                                                                                                                      <w:divBdr>
                                                                                                                                                                                                                                                                                                                                                                                                                                                                                                                                                                                                                                                                                                        <w:top w:val="none" w:sz="0" w:space="0" w:color="auto"/>
                                                                                                                                                                                                                                                                                                                                                                                                                                                                                                                                                                                                                                                                                                        <w:left w:val="none" w:sz="0" w:space="0" w:color="auto"/>
                                                                                                                                                                                                                                                                                                                                                                                                                                                                                                                                                                                                                                                                                                        <w:bottom w:val="none" w:sz="0" w:space="0" w:color="auto"/>
                                                                                                                                                                                                                                                                                                                                                                                                                                                                                                                                                                                                                                                                                                        <w:right w:val="none" w:sz="0" w:space="0" w:color="auto"/>
                                                                                                                                                                                                                                                                                                                                                                                                                                                                                                                                                                                                                                                                                                      </w:divBdr>
                                                                                                                                                                                                                                                                                                                                                                                                                                                                                                                                                                                                                                                                                                      <w:divsChild>
                                                                                                                                                                                                                                                                                                                                                                                                                                                                                                                                                                                                                                                                                                        <w:div w:id="1314020665">
                                                                                                                                                                                                                                                                                                                                                                                                                                                                                                                                                                                                                                                                                                          <w:marLeft w:val="0"/>
                                                                                                                                                                                                                                                                                                                                                                                                                                                                                                                                                                                                                                                                                                          <w:marRight w:val="0"/>
                                                                                                                                                                                                                                                                                                                                                                                                                                                                                                                                                                                                                                                                                                          <w:marTop w:val="0"/>
                                                                                                                                                                                                                                                                                                                                                                                                                                                                                                                                                                                                                                                                                                          <w:marBottom w:val="0"/>
                                                                                                                                                                                                                                                                                                                                                                                                                                                                                                                                                                                                                                                                                                          <w:divBdr>
                                                                                                                                                                                                                                                                                                                                                                                                                                                                                                                                                                                                                                                                                                            <w:top w:val="none" w:sz="0" w:space="0" w:color="auto"/>
                                                                                                                                                                                                                                                                                                                                                                                                                                                                                                                                                                                                                                                                                                            <w:left w:val="none" w:sz="0" w:space="0" w:color="auto"/>
                                                                                                                                                                                                                                                                                                                                                                                                                                                                                                                                                                                                                                                                                                            <w:bottom w:val="none" w:sz="0" w:space="0" w:color="auto"/>
                                                                                                                                                                                                                                                                                                                                                                                                                                                                                                                                                                                                                                                                                                            <w:right w:val="none" w:sz="0" w:space="0" w:color="auto"/>
                                                                                                                                                                                                                                                                                                                                                                                                                                                                                                                                                                                                                                                                                                          </w:divBdr>
                                                                                                                                                                                                                                                                                                                                                                                                                                                                                                                                                                                                                                                                                                          <w:divsChild>
                                                                                                                                                                                                                                                                                                                                                                                                                                                                                                                                                                                                                                                                                                            <w:div w:id="1668171831">
                                                                                                                                                                                                                                                                                                                                                                                                                                                                                                                                                                                                                                                                                                              <w:marLeft w:val="0"/>
                                                                                                                                                                                                                                                                                                                                                                                                                                                                                                                                                                                                                                                                                                              <w:marRight w:val="0"/>
                                                                                                                                                                                                                                                                                                                                                                                                                                                                                                                                                                                                                                                                                                              <w:marTop w:val="0"/>
                                                                                                                                                                                                                                                                                                                                                                                                                                                                                                                                                                                                                                                                                                              <w:marBottom w:val="0"/>
                                                                                                                                                                                                                                                                                                                                                                                                                                                                                                                                                                                                                                                                                                              <w:divBdr>
                                                                                                                                                                                                                                                                                                                                                                                                                                                                                                                                                                                                                                                                                                                <w:top w:val="none" w:sz="0" w:space="0" w:color="auto"/>
                                                                                                                                                                                                                                                                                                                                                                                                                                                                                                                                                                                                                                                                                                                <w:left w:val="none" w:sz="0" w:space="0" w:color="auto"/>
                                                                                                                                                                                                                                                                                                                                                                                                                                                                                                                                                                                                                                                                                                                <w:bottom w:val="none" w:sz="0" w:space="0" w:color="auto"/>
                                                                                                                                                                                                                                                                                                                                                                                                                                                                                                                                                                                                                                                                                                                <w:right w:val="none" w:sz="0" w:space="0" w:color="auto"/>
                                                                                                                                                                                                                                                                                                                                                                                                                                                                                                                                                                                                                                                                                                              </w:divBdr>
                                                                                                                                                                                                                                                                                                                                                                                                                                                                                                                                                                                                                                                                                                              <w:divsChild>
                                                                                                                                                                                                                                                                                                                                                                                                                                                                                                                                                                                                                                                                                                                <w:div w:id="1068529396">
                                                                                                                                                                                                                                                                                                                                                                                                                                                                                                                                                                                                                                                                                                                  <w:marLeft w:val="0"/>
                                                                                                                                                                                                                                                                                                                                                                                                                                                                                                                                                                                                                                                                                                                  <w:marRight w:val="0"/>
                                                                                                                                                                                                                                                                                                                                                                                                                                                                                                                                                                                                                                                                                                                  <w:marTop w:val="0"/>
                                                                                                                                                                                                                                                                                                                                                                                                                                                                                                                                                                                                                                                                                                                  <w:marBottom w:val="0"/>
                                                                                                                                                                                                                                                                                                                                                                                                                                                                                                                                                                                                                                                                                                                  <w:divBdr>
                                                                                                                                                                                                                                                                                                                                                                                                                                                                                                                                                                                                                                                                                                                    <w:top w:val="none" w:sz="0" w:space="0" w:color="auto"/>
                                                                                                                                                                                                                                                                                                                                                                                                                                                                                                                                                                                                                                                                                                                    <w:left w:val="none" w:sz="0" w:space="0" w:color="auto"/>
                                                                                                                                                                                                                                                                                                                                                                                                                                                                                                                                                                                                                                                                                                                    <w:bottom w:val="none" w:sz="0" w:space="0" w:color="auto"/>
                                                                                                                                                                                                                                                                                                                                                                                                                                                                                                                                                                                                                                                                                                                    <w:right w:val="none" w:sz="0" w:space="0" w:color="auto"/>
                                                                                                                                                                                                                                                                                                                                                                                                                                                                                                                                                                                                                                                                                                                  </w:divBdr>
                                                                                                                                                                                                                                                                                                                                                                                                                                                                                                                                                                                                                                                                                                                  <w:divsChild>
                                                                                                                                                                                                                                                                                                                                                                                                                                                                                                                                                                                                                                                                                                                    <w:div w:id="2140099374">
                                                                                                                                                                                                                                                                                                                                                                                                                                                                                                                                                                                                                                                                                                                      <w:marLeft w:val="0"/>
                                                                                                                                                                                                                                                                                                                                                                                                                                                                                                                                                                                                                                                                                                                      <w:marRight w:val="0"/>
                                                                                                                                                                                                                                                                                                                                                                                                                                                                                                                                                                                                                                                                                                                      <w:marTop w:val="0"/>
                                                                                                                                                                                                                                                                                                                                                                                                                                                                                                                                                                                                                                                                                                                      <w:marBottom w:val="0"/>
                                                                                                                                                                                                                                                                                                                                                                                                                                                                                                                                                                                                                                                                                                                      <w:divBdr>
                                                                                                                                                                                                                                                                                                                                                                                                                                                                                                                                                                                                                                                                                                                        <w:top w:val="none" w:sz="0" w:space="0" w:color="auto"/>
                                                                                                                                                                                                                                                                                                                                                                                                                                                                                                                                                                                                                                                                                                                        <w:left w:val="none" w:sz="0" w:space="0" w:color="auto"/>
                                                                                                                                                                                                                                                                                                                                                                                                                                                                                                                                                                                                                                                                                                                        <w:bottom w:val="none" w:sz="0" w:space="0" w:color="auto"/>
                                                                                                                                                                                                                                                                                                                                                                                                                                                                                                                                                                                                                                                                                                                        <w:right w:val="none" w:sz="0" w:space="0" w:color="auto"/>
                                                                                                                                                                                                                                                                                                                                                                                                                                                                                                                                                                                                                                                                                                                      </w:divBdr>
                                                                                                                                                                                                                                                                                                                                                                                                                                                                                                                                                                                                                                                                                                                      <w:divsChild>
                                                                                                                                                                                                                                                                                                                                                                                                                                                                                                                                                                                                                                                                                                                        <w:div w:id="2022657718">
                                                                                                                                                                                                                                                                                                                                                                                                                                                                                                                                                                                                                                                                                                                          <w:marLeft w:val="0"/>
                                                                                                                                                                                                                                                                                                                                                                                                                                                                                                                                                                                                                                                                                                                          <w:marRight w:val="0"/>
                                                                                                                                                                                                                                                                                                                                                                                                                                                                                                                                                                                                                                                                                                                          <w:marTop w:val="0"/>
                                                                                                                                                                                                                                                                                                                                                                                                                                                                                                                                                                                                                                                                                                                          <w:marBottom w:val="0"/>
                                                                                                                                                                                                                                                                                                                                                                                                                                                                                                                                                                                                                                                                                                                          <w:divBdr>
                                                                                                                                                                                                                                                                                                                                                                                                                                                                                                                                                                                                                                                                                                                            <w:top w:val="none" w:sz="0" w:space="0" w:color="auto"/>
                                                                                                                                                                                                                                                                                                                                                                                                                                                                                                                                                                                                                                                                                                                            <w:left w:val="none" w:sz="0" w:space="0" w:color="auto"/>
                                                                                                                                                                                                                                                                                                                                                                                                                                                                                                                                                                                                                                                                                                                            <w:bottom w:val="none" w:sz="0" w:space="0" w:color="auto"/>
                                                                                                                                                                                                                                                                                                                                                                                                                                                                                                                                                                                                                                                                                                                            <w:right w:val="none" w:sz="0" w:space="0" w:color="auto"/>
                                                                                                                                                                                                                                                                                                                                                                                                                                                                                                                                                                                                                                                                                                                          </w:divBdr>
                                                                                                                                                                                                                                                                                                                                                                                                                                                                                                                                                                                                                                                                                                                          <w:divsChild>
                                                                                                                                                                                                                                                                                                                                                                                                                                                                                                                                                                                                                                                                                                                            <w:div w:id="769854614">
                                                                                                                                                                                                                                                                                                                                                                                                                                                                                                                                                                                                                                                                                                                              <w:marLeft w:val="0"/>
                                                                                                                                                                                                                                                                                                                                                                                                                                                                                                                                                                                                                                                                                                                              <w:marRight w:val="0"/>
                                                                                                                                                                                                                                                                                                                                                                                                                                                                                                                                                                                                                                                                                                                              <w:marTop w:val="0"/>
                                                                                                                                                                                                                                                                                                                                                                                                                                                                                                                                                                                                                                                                                                                              <w:marBottom w:val="0"/>
                                                                                                                                                                                                                                                                                                                                                                                                                                                                                                                                                                                                                                                                                                                              <w:divBdr>
                                                                                                                                                                                                                                                                                                                                                                                                                                                                                                                                                                                                                                                                                                                                <w:top w:val="none" w:sz="0" w:space="0" w:color="auto"/>
                                                                                                                                                                                                                                                                                                                                                                                                                                                                                                                                                                                                                                                                                                                                <w:left w:val="none" w:sz="0" w:space="0" w:color="auto"/>
                                                                                                                                                                                                                                                                                                                                                                                                                                                                                                                                                                                                                                                                                                                                <w:bottom w:val="none" w:sz="0" w:space="0" w:color="auto"/>
                                                                                                                                                                                                                                                                                                                                                                                                                                                                                                                                                                                                                                                                                                                                <w:right w:val="none" w:sz="0" w:space="0" w:color="auto"/>
                                                                                                                                                                                                                                                                                                                                                                                                                                                                                                                                                                                                                                                                                                                              </w:divBdr>
                                                                                                                                                                                                                                                                                                                                                                                                                                                                                                                                                                                                                                                                                                                              <w:divsChild>
                                                                                                                                                                                                                                                                                                                                                                                                                                                                                                                                                                                                                                                                                                                                <w:div w:id="202329419">
                                                                                                                                                                                                                                                                                                                                                                                                                                                                                                                                                                                                                                                                                                                                  <w:marLeft w:val="0"/>
                                                                                                                                                                                                                                                                                                                                                                                                                                                                                                                                                                                                                                                                                                                                  <w:marRight w:val="0"/>
                                                                                                                                                                                                                                                                                                                                                                                                                                                                                                                                                                                                                                                                                                                                  <w:marTop w:val="0"/>
                                                                                                                                                                                                                                                                                                                                                                                                                                                                                                                                                                                                                                                                                                                                  <w:marBottom w:val="0"/>
                                                                                                                                                                                                                                                                                                                                                                                                                                                                                                                                                                                                                                                                                                                                  <w:divBdr>
                                                                                                                                                                                                                                                                                                                                                                                                                                                                                                                                                                                                                                                                                                                                    <w:top w:val="none" w:sz="0" w:space="0" w:color="auto"/>
                                                                                                                                                                                                                                                                                                                                                                                                                                                                                                                                                                                                                                                                                                                                    <w:left w:val="none" w:sz="0" w:space="0" w:color="auto"/>
                                                                                                                                                                                                                                                                                                                                                                                                                                                                                                                                                                                                                                                                                                                                    <w:bottom w:val="none" w:sz="0" w:space="0" w:color="auto"/>
                                                                                                                                                                                                                                                                                                                                                                                                                                                                                                                                                                                                                                                                                                                                    <w:right w:val="none" w:sz="0" w:space="0" w:color="auto"/>
                                                                                                                                                                                                                                                                                                                                                                                                                                                                                                                                                                                                                                                                                                                                  </w:divBdr>
                                                                                                                                                                                                                                                                                                                                                                                                                                                                                                                                                                                                                                                                                                                                  <w:divsChild>
                                                                                                                                                                                                                                                                                                                                                                                                                                                                                                                                                                                                                                                                                                                                    <w:div w:id="983660775">
                                                                                                                                                                                                                                                                                                                                                                                                                                                                                                                                                                                                                                                                                                                                      <w:marLeft w:val="0"/>
                                                                                                                                                                                                                                                                                                                                                                                                                                                                                                                                                                                                                                                                                                                                      <w:marRight w:val="0"/>
                                                                                                                                                                                                                                                                                                                                                                                                                                                                                                                                                                                                                                                                                                                                      <w:marTop w:val="0"/>
                                                                                                                                                                                                                                                                                                                                                                                                                                                                                                                                                                                                                                                                                                                                      <w:marBottom w:val="0"/>
                                                                                                                                                                                                                                                                                                                                                                                                                                                                                                                                                                                                                                                                                                                                      <w:divBdr>
                                                                                                                                                                                                                                                                                                                                                                                                                                                                                                                                                                                                                                                                                                                                        <w:top w:val="none" w:sz="0" w:space="0" w:color="auto"/>
                                                                                                                                                                                                                                                                                                                                                                                                                                                                                                                                                                                                                                                                                                                                        <w:left w:val="none" w:sz="0" w:space="0" w:color="auto"/>
                                                                                                                                                                                                                                                                                                                                                                                                                                                                                                                                                                                                                                                                                                                                        <w:bottom w:val="none" w:sz="0" w:space="0" w:color="auto"/>
                                                                                                                                                                                                                                                                                                                                                                                                                                                                                                                                                                                                                                                                                                                                        <w:right w:val="none" w:sz="0" w:space="0" w:color="auto"/>
                                                                                                                                                                                                                                                                                                                                                                                                                                                                                                                                                                                                                                                                                                                                      </w:divBdr>
                                                                                                                                                                                                                                                                                                                                                                                                                                                                                                                                                                                                                                                                                                                                      <w:divsChild>
                                                                                                                                                                                                                                                                                                                                                                                                                                                                                                                                                                                                                                                                                                                                        <w:div w:id="1809085934">
                                                                                                                                                                                                                                                                                                                                                                                                                                                                                                                                                                                                                                                                                                                                          <w:marLeft w:val="0"/>
                                                                                                                                                                                                                                                                                                                                                                                                                                                                                                                                                                                                                                                                                                                                          <w:marRight w:val="0"/>
                                                                                                                                                                                                                                                                                                                                                                                                                                                                                                                                                                                                                                                                                                                                          <w:marTop w:val="0"/>
                                                                                                                                                                                                                                                                                                                                                                                                                                                                                                                                                                                                                                                                                                                                          <w:marBottom w:val="0"/>
                                                                                                                                                                                                                                                                                                                                                                                                                                                                                                                                                                                                                                                                                                                                          <w:divBdr>
                                                                                                                                                                                                                                                                                                                                                                                                                                                                                                                                                                                                                                                                                                                                            <w:top w:val="none" w:sz="0" w:space="0" w:color="auto"/>
                                                                                                                                                                                                                                                                                                                                                                                                                                                                                                                                                                                                                                                                                                                                            <w:left w:val="none" w:sz="0" w:space="0" w:color="auto"/>
                                                                                                                                                                                                                                                                                                                                                                                                                                                                                                                                                                                                                                                                                                                                            <w:bottom w:val="none" w:sz="0" w:space="0" w:color="auto"/>
                                                                                                                                                                                                                                                                                                                                                                                                                                                                                                                                                                                                                                                                                                                                            <w:right w:val="none" w:sz="0" w:space="0" w:color="auto"/>
                                                                                                                                                                                                                                                                                                                                                                                                                                                                                                                                                                                                                                                                                                                                          </w:divBdr>
                                                                                                                                                                                                                                                                                                                                                                                                                                                                                                                                                                                                                                                                                                                                          <w:divsChild>
                                                                                                                                                                                                                                                                                                                                                                                                                                                                                                                                                                                                                                                                                                                                            <w:div w:id="1949309090">
                                                                                                                                                                                                                                                                                                                                                                                                                                                                                                                                                                                                                                                                                                                                              <w:marLeft w:val="0"/>
                                                                                                                                                                                                                                                                                                                                                                                                                                                                                                                                                                                                                                                                                                                                              <w:marRight w:val="0"/>
                                                                                                                                                                                                                                                                                                                                                                                                                                                                                                                                                                                                                                                                                                                                              <w:marTop w:val="0"/>
                                                                                                                                                                                                                                                                                                                                                                                                                                                                                                                                                                                                                                                                                                                                              <w:marBottom w:val="0"/>
                                                                                                                                                                                                                                                                                                                                                                                                                                                                                                                                                                                                                                                                                                                                              <w:divBdr>
                                                                                                                                                                                                                                                                                                                                                                                                                                                                                                                                                                                                                                                                                                                                                <w:top w:val="none" w:sz="0" w:space="0" w:color="auto"/>
                                                                                                                                                                                                                                                                                                                                                                                                                                                                                                                                                                                                                                                                                                                                                <w:left w:val="none" w:sz="0" w:space="0" w:color="auto"/>
                                                                                                                                                                                                                                                                                                                                                                                                                                                                                                                                                                                                                                                                                                                                                <w:bottom w:val="none" w:sz="0" w:space="0" w:color="auto"/>
                                                                                                                                                                                                                                                                                                                                                                                                                                                                                                                                                                                                                                                                                                                                                <w:right w:val="none" w:sz="0" w:space="0" w:color="auto"/>
                                                                                                                                                                                                                                                                                                                                                                                                                                                                                                                                                                                                                                                                                                                                              </w:divBdr>
                                                                                                                                                                                                                                                                                                                                                                                                                                                                                                                                                                                                                                                                                                                                              <w:divsChild>
                                                                                                                                                                                                                                                                                                                                                                                                                                                                                                                                                                                                                                                                                                                                                <w:div w:id="780610224">
                                                                                                                                                                                                                                                                                                                                                                                                                                                                                                                                                                                                                                                                                                                                                  <w:marLeft w:val="0"/>
                                                                                                                                                                                                                                                                                                                                                                                                                                                                                                                                                                                                                                                                                                                                                  <w:marRight w:val="0"/>
                                                                                                                                                                                                                                                                                                                                                                                                                                                                                                                                                                                                                                                                                                                                                  <w:marTop w:val="0"/>
                                                                                                                                                                                                                                                                                                                                                                                                                                                                                                                                                                                                                                                                                                                                                  <w:marBottom w:val="0"/>
                                                                                                                                                                                                                                                                                                                                                                                                                                                                                                                                                                                                                                                                                                                                                  <w:divBdr>
                                                                                                                                                                                                                                                                                                                                                                                                                                                                                                                                                                                                                                                                                                                                                    <w:top w:val="none" w:sz="0" w:space="0" w:color="auto"/>
                                                                                                                                                                                                                                                                                                                                                                                                                                                                                                                                                                                                                                                                                                                                                    <w:left w:val="none" w:sz="0" w:space="0" w:color="auto"/>
                                                                                                                                                                                                                                                                                                                                                                                                                                                                                                                                                                                                                                                                                                                                                    <w:bottom w:val="none" w:sz="0" w:space="0" w:color="auto"/>
                                                                                                                                                                                                                                                                                                                                                                                                                                                                                                                                                                                                                                                                                                                                                    <w:right w:val="none" w:sz="0" w:space="0" w:color="auto"/>
                                                                                                                                                                                                                                                                                                                                                                                                                                                                                                                                                                                                                                                                                                                                                  </w:divBdr>
                                                                                                                                                                                                                                                                                                                                                                                                                                                                                                                                                                                                                                                                                                                                                  <w:divsChild>
                                                                                                                                                                                                                                                                                                                                                                                                                                                                                                                                                                                                                                                                                                                                                    <w:div w:id="1695613008">
                                                                                                                                                                                                                                                                                                                                                                                                                                                                                                                                                                                                                                                                                                                                                      <w:marLeft w:val="0"/>
                                                                                                                                                                                                                                                                                                                                                                                                                                                                                                                                                                                                                                                                                                                                                      <w:marRight w:val="0"/>
                                                                                                                                                                                                                                                                                                                                                                                                                                                                                                                                                                                                                                                                                                                                                      <w:marTop w:val="0"/>
                                                                                                                                                                                                                                                                                                                                                                                                                                                                                                                                                                                                                                                                                                                                                      <w:marBottom w:val="0"/>
                                                                                                                                                                                                                                                                                                                                                                                                                                                                                                                                                                                                                                                                                                                                                      <w:divBdr>
                                                                                                                                                                                                                                                                                                                                                                                                                                                                                                                                                                                                                                                                                                                                                        <w:top w:val="none" w:sz="0" w:space="0" w:color="auto"/>
                                                                                                                                                                                                                                                                                                                                                                                                                                                                                                                                                                                                                                                                                                                                                        <w:left w:val="none" w:sz="0" w:space="0" w:color="auto"/>
                                                                                                                                                                                                                                                                                                                                                                                                                                                                                                                                                                                                                                                                                                                                                        <w:bottom w:val="none" w:sz="0" w:space="0" w:color="auto"/>
                                                                                                                                                                                                                                                                                                                                                                                                                                                                                                                                                                                                                                                                                                                                                        <w:right w:val="none" w:sz="0" w:space="0" w:color="auto"/>
                                                                                                                                                                                                                                                                                                                                                                                                                                                                                                                                                                                                                                                                                                                                                      </w:divBdr>
                                                                                                                                                                                                                                                                                                                                                                                                                                                                                                                                                                                                                                                                                                                                                      <w:divsChild>
                                                                                                                                                                                                                                                                                                                                                                                                                                                                                                                                                                                                                                                                                                                                                        <w:div w:id="195049539">
                                                                                                                                                                                                                                                                                                                                                                                                                                                                                                                                                                                                                                                                                                                                                          <w:marLeft w:val="0"/>
                                                                                                                                                                                                                                                                                                                                                                                                                                                                                                                                                                                                                                                                                                                                                          <w:marRight w:val="0"/>
                                                                                                                                                                                                                                                                                                                                                                                                                                                                                                                                                                                                                                                                                                                                                          <w:marTop w:val="0"/>
                                                                                                                                                                                                                                                                                                                                                                                                                                                                                                                                                                                                                                                                                                                                                          <w:marBottom w:val="0"/>
                                                                                                                                                                                                                                                                                                                                                                                                                                                                                                                                                                                                                                                                                                                                                          <w:divBdr>
                                                                                                                                                                                                                                                                                                                                                                                                                                                                                                                                                                                                                                                                                                                                                            <w:top w:val="none" w:sz="0" w:space="0" w:color="auto"/>
                                                                                                                                                                                                                                                                                                                                                                                                                                                                                                                                                                                                                                                                                                                                                            <w:left w:val="none" w:sz="0" w:space="0" w:color="auto"/>
                                                                                                                                                                                                                                                                                                                                                                                                                                                                                                                                                                                                                                                                                                                                                            <w:bottom w:val="none" w:sz="0" w:space="0" w:color="auto"/>
                                                                                                                                                                                                                                                                                                                                                                                                                                                                                                                                                                                                                                                                                                                                                            <w:right w:val="none" w:sz="0" w:space="0" w:color="auto"/>
                                                                                                                                                                                                                                                                                                                                                                                                                                                                                                                                                                                                                                                                                                                                                          </w:divBdr>
                                                                                                                                                                                                                                                                                                                                                                                                                                                                                                                                                                                                                                                                                                                                                          <w:divsChild>
                                                                                                                                                                                                                                                                                                                                                                                                                                                                                                                                                                                                                                                                                                                                                            <w:div w:id="343091475">
                                                                                                                                                                                                                                                                                                                                                                                                                                                                                                                                                                                                                                                                                                                                                              <w:marLeft w:val="0"/>
                                                                                                                                                                                                                                                                                                                                                                                                                                                                                                                                                                                                                                                                                                                                                              <w:marRight w:val="0"/>
                                                                                                                                                                                                                                                                                                                                                                                                                                                                                                                                                                                                                                                                                                                                                              <w:marTop w:val="0"/>
                                                                                                                                                                                                                                                                                                                                                                                                                                                                                                                                                                                                                                                                                                                                                              <w:marBottom w:val="0"/>
                                                                                                                                                                                                                                                                                                                                                                                                                                                                                                                                                                                                                                                                                                                                                              <w:divBdr>
                                                                                                                                                                                                                                                                                                                                                                                                                                                                                                                                                                                                                                                                                                                                                                <w:top w:val="none" w:sz="0" w:space="0" w:color="auto"/>
                                                                                                                                                                                                                                                                                                                                                                                                                                                                                                                                                                                                                                                                                                                                                                <w:left w:val="none" w:sz="0" w:space="0" w:color="auto"/>
                                                                                                                                                                                                                                                                                                                                                                                                                                                                                                                                                                                                                                                                                                                                                                <w:bottom w:val="none" w:sz="0" w:space="0" w:color="auto"/>
                                                                                                                                                                                                                                                                                                                                                                                                                                                                                                                                                                                                                                                                                                                                                                <w:right w:val="none" w:sz="0" w:space="0" w:color="auto"/>
                                                                                                                                                                                                                                                                                                                                                                                                                                                                                                                                                                                                                                                                                                                                                              </w:divBdr>
                                                                                                                                                                                                                                                                                                                                                                                                                                                                                                                                                                                                                                                                                                                                                              <w:divsChild>
                                                                                                                                                                                                                                                                                                                                                                                                                                                                                                                                                                                                                                                                                                                                                                <w:div w:id="697849139">
                                                                                                                                                                                                                                                                                                                                                                                                                                                                                                                                                                                                                                                                                                                                                                  <w:marLeft w:val="0"/>
                                                                                                                                                                                                                                                                                                                                                                                                                                                                                                                                                                                                                                                                                                                                                                  <w:marRight w:val="0"/>
                                                                                                                                                                                                                                                                                                                                                                                                                                                                                                                                                                                                                                                                                                                                                                  <w:marTop w:val="0"/>
                                                                                                                                                                                                                                                                                                                                                                                                                                                                                                                                                                                                                                                                                                                                                                  <w:marBottom w:val="0"/>
                                                                                                                                                                                                                                                                                                                                                                                                                                                                                                                                                                                                                                                                                                                                                                  <w:divBdr>
                                                                                                                                                                                                                                                                                                                                                                                                                                                                                                                                                                                                                                                                                                                                                                    <w:top w:val="none" w:sz="0" w:space="0" w:color="auto"/>
                                                                                                                                                                                                                                                                                                                                                                                                                                                                                                                                                                                                                                                                                                                                                                    <w:left w:val="none" w:sz="0" w:space="0" w:color="auto"/>
                                                                                                                                                                                                                                                                                                                                                                                                                                                                                                                                                                                                                                                                                                                                                                    <w:bottom w:val="none" w:sz="0" w:space="0" w:color="auto"/>
                                                                                                                                                                                                                                                                                                                                                                                                                                                                                                                                                                                                                                                                                                                                                                    <w:right w:val="none" w:sz="0" w:space="0" w:color="auto"/>
                                                                                                                                                                                                                                                                                                                                                                                                                                                                                                                                                                                                                                                                                                                                                                  </w:divBdr>
                                                                                                                                                                                                                                                                                                                                                                                                                                                                                                                                                                                                                                                                                                                                                                  <w:divsChild>
                                                                                                                                                                                                                                                                                                                                                                                                                                                                                                                                                                                                                                                                                                                                                                    <w:div w:id="715394772">
                                                                                                                                                                                                                                                                                                                                                                                                                                                                                                                                                                                                                                                                                                                                                                      <w:marLeft w:val="0"/>
                                                                                                                                                                                                                                                                                                                                                                                                                                                                                                                                                                                                                                                                                                                                                                      <w:marRight w:val="0"/>
                                                                                                                                                                                                                                                                                                                                                                                                                                                                                                                                                                                                                                                                                                                                                                      <w:marTop w:val="0"/>
                                                                                                                                                                                                                                                                                                                                                                                                                                                                                                                                                                                                                                                                                                                                                                      <w:marBottom w:val="0"/>
                                                                                                                                                                                                                                                                                                                                                                                                                                                                                                                                                                                                                                                                                                                                                                      <w:divBdr>
                                                                                                                                                                                                                                                                                                                                                                                                                                                                                                                                                                                                                                                                                                                                                                        <w:top w:val="none" w:sz="0" w:space="0" w:color="auto"/>
                                                                                                                                                                                                                                                                                                                                                                                                                                                                                                                                                                                                                                                                                                                                                                        <w:left w:val="none" w:sz="0" w:space="0" w:color="auto"/>
                                                                                                                                                                                                                                                                                                                                                                                                                                                                                                                                                                                                                                                                                                                                                                        <w:bottom w:val="none" w:sz="0" w:space="0" w:color="auto"/>
                                                                                                                                                                                                                                                                                                                                                                                                                                                                                                                                                                                                                                                                                                                                                                        <w:right w:val="none" w:sz="0" w:space="0" w:color="auto"/>
                                                                                                                                                                                                                                                                                                                                                                                                                                                                                                                                                                                                                                                                                                                                                                      </w:divBdr>
                                                                                                                                                                                                                                                                                                                                                                                                                                                                                                                                                                                                                                                                                                                                                                      <w:divsChild>
                                                                                                                                                                                                                                                                                                                                                                                                                                                                                                                                                                                                                                                                                                                                                                        <w:div w:id="328480465">
                                                                                                                                                                                                                                                                                                                                                                                                                                                                                                                                                                                                                                                                                                                                                                          <w:marLeft w:val="0"/>
                                                                                                                                                                                                                                                                                                                                                                                                                                                                                                                                                                                                                                                                                                                                                                          <w:marRight w:val="0"/>
                                                                                                                                                                                                                                                                                                                                                                                                                                                                                                                                                                                                                                                                                                                                                                          <w:marTop w:val="0"/>
                                                                                                                                                                                                                                                                                                                                                                                                                                                                                                                                                                                                                                                                                                                                                                          <w:marBottom w:val="0"/>
                                                                                                                                                                                                                                                                                                                                                                                                                                                                                                                                                                                                                                                                                                                                                                          <w:divBdr>
                                                                                                                                                                                                                                                                                                                                                                                                                                                                                                                                                                                                                                                                                                                                                                            <w:top w:val="none" w:sz="0" w:space="0" w:color="auto"/>
                                                                                                                                                                                                                                                                                                                                                                                                                                                                                                                                                                                                                                                                                                                                                                            <w:left w:val="none" w:sz="0" w:space="0" w:color="auto"/>
                                                                                                                                                                                                                                                                                                                                                                                                                                                                                                                                                                                                                                                                                                                                                                            <w:bottom w:val="none" w:sz="0" w:space="0" w:color="auto"/>
                                                                                                                                                                                                                                                                                                                                                                                                                                                                                                                                                                                                                                                                                                                                                                            <w:right w:val="none" w:sz="0" w:space="0" w:color="auto"/>
                                                                                                                                                                                                                                                                                                                                                                                                                                                                                                                                                                                                                                                                                                                                                                          </w:divBdr>
                                                                                                                                                                                                                                                                                                                                                                                                                                                                                                                                                                                                                                                                                                                                                                          <w:divsChild>
                                                                                                                                                                                                                                                                                                                                                                                                                                                                                                                                                                                                                                                                                                                                                                            <w:div w:id="1654215324">
                                                                                                                                                                                                                                                                                                                                                                                                                                                                                                                                                                                                                                                                                                                                                                              <w:marLeft w:val="0"/>
                                                                                                                                                                                                                                                                                                                                                                                                                                                                                                                                                                                                                                                                                                                                                                              <w:marRight w:val="0"/>
                                                                                                                                                                                                                                                                                                                                                                                                                                                                                                                                                                                                                                                                                                                                                                              <w:marTop w:val="0"/>
                                                                                                                                                                                                                                                                                                                                                                                                                                                                                                                                                                                                                                                                                                                                                                              <w:marBottom w:val="0"/>
                                                                                                                                                                                                                                                                                                                                                                                                                                                                                                                                                                                                                                                                                                                                                                              <w:divBdr>
                                                                                                                                                                                                                                                                                                                                                                                                                                                                                                                                                                                                                                                                                                                                                                                <w:top w:val="none" w:sz="0" w:space="0" w:color="auto"/>
                                                                                                                                                                                                                                                                                                                                                                                                                                                                                                                                                                                                                                                                                                                                                                                <w:left w:val="none" w:sz="0" w:space="0" w:color="auto"/>
                                                                                                                                                                                                                                                                                                                                                                                                                                                                                                                                                                                                                                                                                                                                                                                <w:bottom w:val="none" w:sz="0" w:space="0" w:color="auto"/>
                                                                                                                                                                                                                                                                                                                                                                                                                                                                                                                                                                                                                                                                                                                                                                                <w:right w:val="none" w:sz="0" w:space="0" w:color="auto"/>
                                                                                                                                                                                                                                                                                                                                                                                                                                                                                                                                                                                                                                                                                                                                                                              </w:divBdr>
                                                                                                                                                                                                                                                                                                                                                                                                                                                                                                                                                                                                                                                                                                                                                                              <w:divsChild>
                                                                                                                                                                                                                                                                                                                                                                                                                                                                                                                                                                                                                                                                                                                                                                                <w:div w:id="819425108">
                                                                                                                                                                                                                                                                                                                                                                                                                                                                                                                                                                                                                                                                                                                                                                                  <w:marLeft w:val="0"/>
                                                                                                                                                                                                                                                                                                                                                                                                                                                                                                                                                                                                                                                                                                                                                                                  <w:marRight w:val="0"/>
                                                                                                                                                                                                                                                                                                                                                                                                                                                                                                                                                                                                                                                                                                                                                                                  <w:marTop w:val="0"/>
                                                                                                                                                                                                                                                                                                                                                                                                                                                                                                                                                                                                                                                                                                                                                                                  <w:marBottom w:val="0"/>
                                                                                                                                                                                                                                                                                                                                                                                                                                                                                                                                                                                                                                                                                                                                                                                  <w:divBdr>
                                                                                                                                                                                                                                                                                                                                                                                                                                                                                                                                                                                                                                                                                                                                                                                    <w:top w:val="none" w:sz="0" w:space="0" w:color="auto"/>
                                                                                                                                                                                                                                                                                                                                                                                                                                                                                                                                                                                                                                                                                                                                                                                    <w:left w:val="none" w:sz="0" w:space="0" w:color="auto"/>
                                                                                                                                                                                                                                                                                                                                                                                                                                                                                                                                                                                                                                                                                                                                                                                    <w:bottom w:val="none" w:sz="0" w:space="0" w:color="auto"/>
                                                                                                                                                                                                                                                                                                                                                                                                                                                                                                                                                                                                                                                                                                                                                                                    <w:right w:val="none" w:sz="0" w:space="0" w:color="auto"/>
                                                                                                                                                                                                                                                                                                                                                                                                                                                                                                                                                                                                                                                                                                                                                                                  </w:divBdr>
                                                                                                                                                                                                                                                                                                                                                                                                                                                                                                                                                                                                                                                                                                                                                                                  <w:divsChild>
                                                                                                                                                                                                                                                                                                                                                                                                                                                                                                                                                                                                                                                                                                                                                                                    <w:div w:id="234358070">
                                                                                                                                                                                                                                                                                                                                                                                                                                                                                                                                                                                                                                                                                                                                                                                      <w:marLeft w:val="0"/>
                                                                                                                                                                                                                                                                                                                                                                                                                                                                                                                                                                                                                                                                                                                                                                                      <w:marRight w:val="0"/>
                                                                                                                                                                                                                                                                                                                                                                                                                                                                                                                                                                                                                                                                                                                                                                                      <w:marTop w:val="0"/>
                                                                                                                                                                                                                                                                                                                                                                                                                                                                                                                                                                                                                                                                                                                                                                                      <w:marBottom w:val="0"/>
                                                                                                                                                                                                                                                                                                                                                                                                                                                                                                                                                                                                                                                                                                                                                                                      <w:divBdr>
                                                                                                                                                                                                                                                                                                                                                                                                                                                                                                                                                                                                                                                                                                                                                                                        <w:top w:val="none" w:sz="0" w:space="0" w:color="auto"/>
                                                                                                                                                                                                                                                                                                                                                                                                                                                                                                                                                                                                                                                                                                                                                                                        <w:left w:val="none" w:sz="0" w:space="0" w:color="auto"/>
                                                                                                                                                                                                                                                                                                                                                                                                                                                                                                                                                                                                                                                                                                                                                                                        <w:bottom w:val="none" w:sz="0" w:space="0" w:color="auto"/>
                                                                                                                                                                                                                                                                                                                                                                                                                                                                                                                                                                                                                                                                                                                                                                                        <w:right w:val="none" w:sz="0" w:space="0" w:color="auto"/>
                                                                                                                                                                                                                                                                                                                                                                                                                                                                                                                                                                                                                                                                                                                                                                                      </w:divBdr>
                                                                                                                                                                                                                                                                                                                                                                                                                                                                                                                                                                                                                                                                                                                                                                                      <w:divsChild>
                                                                                                                                                                                                                                                                                                                                                                                                                                                                                                                                                                                                                                                                                                                                                                                        <w:div w:id="1740782000">
                                                                                                                                                                                                                                                                                                                                                                                                                                                                                                                                                                                                                                                                                                                                                                                          <w:marLeft w:val="0"/>
                                                                                                                                                                                                                                                                                                                                                                                                                                                                                                                                                                                                                                                                                                                                                                                          <w:marRight w:val="0"/>
                                                                                                                                                                                                                                                                                                                                                                                                                                                                                                                                                                                                                                                                                                                                                                                          <w:marTop w:val="0"/>
                                                                                                                                                                                                                                                                                                                                                                                                                                                                                                                                                                                                                                                                                                                                                                                          <w:marBottom w:val="0"/>
                                                                                                                                                                                                                                                                                                                                                                                                                                                                                                                                                                                                                                                                                                                                                                                          <w:divBdr>
                                                                                                                                                                                                                                                                                                                                                                                                                                                                                                                                                                                                                                                                                                                                                                                            <w:top w:val="none" w:sz="0" w:space="0" w:color="auto"/>
                                                                                                                                                                                                                                                                                                                                                                                                                                                                                                                                                                                                                                                                                                                                                                                            <w:left w:val="none" w:sz="0" w:space="0" w:color="auto"/>
                                                                                                                                                                                                                                                                                                                                                                                                                                                                                                                                                                                                                                                                                                                                                                                            <w:bottom w:val="none" w:sz="0" w:space="0" w:color="auto"/>
                                                                                                                                                                                                                                                                                                                                                                                                                                                                                                                                                                                                                                                                                                                                                                                            <w:right w:val="none" w:sz="0" w:space="0" w:color="auto"/>
                                                                                                                                                                                                                                                                                                                                                                                                                                                                                                                                                                                                                                                                                                                                                                                          </w:divBdr>
                                                                                                                                                                                                                                                                                                                                                                                                                                                                                                                                                                                                                                                                                                                                                                                          <w:divsChild>
                                                                                                                                                                                                                                                                                                                                                                                                                                                                                                                                                                                                                                                                                                                                                                                            <w:div w:id="438061528">
                                                                                                                                                                                                                                                                                                                                                                                                                                                                                                                                                                                                                                                                                                                                                                                              <w:marLeft w:val="0"/>
                                                                                                                                                                                                                                                                                                                                                                                                                                                                                                                                                                                                                                                                                                                                                                                              <w:marRight w:val="0"/>
                                                                                                                                                                                                                                                                                                                                                                                                                                                                                                                                                                                                                                                                                                                                                                                              <w:marTop w:val="0"/>
                                                                                                                                                                                                                                                                                                                                                                                                                                                                                                                                                                                                                                                                                                                                                                                              <w:marBottom w:val="0"/>
                                                                                                                                                                                                                                                                                                                                                                                                                                                                                                                                                                                                                                                                                                                                                                                              <w:divBdr>
                                                                                                                                                                                                                                                                                                                                                                                                                                                                                                                                                                                                                                                                                                                                                                                                <w:top w:val="none" w:sz="0" w:space="0" w:color="auto"/>
                                                                                                                                                                                                                                                                                                                                                                                                                                                                                                                                                                                                                                                                                                                                                                                                <w:left w:val="none" w:sz="0" w:space="0" w:color="auto"/>
                                                                                                                                                                                                                                                                                                                                                                                                                                                                                                                                                                                                                                                                                                                                                                                                <w:bottom w:val="none" w:sz="0" w:space="0" w:color="auto"/>
                                                                                                                                                                                                                                                                                                                                                                                                                                                                                                                                                                                                                                                                                                                                                                                                <w:right w:val="none" w:sz="0" w:space="0" w:color="auto"/>
                                                                                                                                                                                                                                                                                                                                                                                                                                                                                                                                                                                                                                                                                                                                                                                              </w:divBdr>
                                                                                                                                                                                                                                                                                                                                                                                                                                                                                                                                                                                                                                                                                                                                                                                              <w:divsChild>
                                                                                                                                                                                                                                                                                                                                                                                                                                                                                                                                                                                                                                                                                                                                                                                                <w:div w:id="1342202064">
                                                                                                                                                                                                                                                                                                                                                                                                                                                                                                                                                                                                                                                                                                                                                                                                  <w:marLeft w:val="0"/>
                                                                                                                                                                                                                                                                                                                                                                                                                                                                                                                                                                                                                                                                                                                                                                                                  <w:marRight w:val="0"/>
                                                                                                                                                                                                                                                                                                                                                                                                                                                                                                                                                                                                                                                                                                                                                                                                  <w:marTop w:val="0"/>
                                                                                                                                                                                                                                                                                                                                                                                                                                                                                                                                                                                                                                                                                                                                                                                                  <w:marBottom w:val="0"/>
                                                                                                                                                                                                                                                                                                                                                                                                                                                                                                                                                                                                                                                                                                                                                                                                  <w:divBdr>
                                                                                                                                                                                                                                                                                                                                                                                                                                                                                                                                                                                                                                                                                                                                                                                                    <w:top w:val="none" w:sz="0" w:space="0" w:color="auto"/>
                                                                                                                                                                                                                                                                                                                                                                                                                                                                                                                                                                                                                                                                                                                                                                                                    <w:left w:val="none" w:sz="0" w:space="0" w:color="auto"/>
                                                                                                                                                                                                                                                                                                                                                                                                                                                                                                                                                                                                                                                                                                                                                                                                    <w:bottom w:val="none" w:sz="0" w:space="0" w:color="auto"/>
                                                                                                                                                                                                                                                                                                                                                                                                                                                                                                                                                                                                                                                                                                                                                                                                    <w:right w:val="none" w:sz="0" w:space="0" w:color="auto"/>
                                                                                                                                                                                                                                                                                                                                                                                                                                                                                                                                                                                                                                                                                                                                                                                                  </w:divBdr>
                                                                                                                                                                                                                                                                                                                                                                                                                                                                                                                                                                                                                                                                                                                                                                                                  <w:divsChild>
                                                                                                                                                                                                                                                                                                                                                                                                                                                                                                                                                                                                                                                                                                                                                                                                    <w:div w:id="564800156">
                                                                                                                                                                                                                                                                                                                                                                                                                                                                                                                                                                                                                                                                                                                                                                                                      <w:marLeft w:val="0"/>
                                                                                                                                                                                                                                                                                                                                                                                                                                                                                                                                                                                                                                                                                                                                                                                                      <w:marRight w:val="0"/>
                                                                                                                                                                                                                                                                                                                                                                                                                                                                                                                                                                                                                                                                                                                                                                                                      <w:marTop w:val="0"/>
                                                                                                                                                                                                                                                                                                                                                                                                                                                                                                                                                                                                                                                                                                                                                                                                      <w:marBottom w:val="0"/>
                                                                                                                                                                                                                                                                                                                                                                                                                                                                                                                                                                                                                                                                                                                                                                                                      <w:divBdr>
                                                                                                                                                                                                                                                                                                                                                                                                                                                                                                                                                                                                                                                                                                                                                                                                        <w:top w:val="none" w:sz="0" w:space="0" w:color="auto"/>
                                                                                                                                                                                                                                                                                                                                                                                                                                                                                                                                                                                                                                                                                                                                                                                                        <w:left w:val="none" w:sz="0" w:space="0" w:color="auto"/>
                                                                                                                                                                                                                                                                                                                                                                                                                                                                                                                                                                                                                                                                                                                                                                                                        <w:bottom w:val="none" w:sz="0" w:space="0" w:color="auto"/>
                                                                                                                                                                                                                                                                                                                                                                                                                                                                                                                                                                                                                                                                                                                                                                                                        <w:right w:val="none" w:sz="0" w:space="0" w:color="auto"/>
                                                                                                                                                                                                                                                                                                                                                                                                                                                                                                                                                                                                                                                                                                                                                                                                      </w:divBdr>
                                                                                                                                                                                                                                                                                                                                                                                                                                                                                                                                                                                                                                                                                                                                                                                                      <w:divsChild>
                                                                                                                                                                                                                                                                                                                                                                                                                                                                                                                                                                                                                                                                                                                                                                                                        <w:div w:id="1590772971">
                                                                                                                                                                                                                                                                                                                                                                                                                                                                                                                                                                                                                                                                                                                                                                                                          <w:marLeft w:val="0"/>
                                                                                                                                                                                                                                                                                                                                                                                                                                                                                                                                                                                                                                                                                                                                                                                                          <w:marRight w:val="0"/>
                                                                                                                                                                                                                                                                                                                                                                                                                                                                                                                                                                                                                                                                                                                                                                                                          <w:marTop w:val="0"/>
                                                                                                                                                                                                                                                                                                                                                                                                                                                                                                                                                                                                                                                                                                                                                                                                          <w:marBottom w:val="0"/>
                                                                                                                                                                                                                                                                                                                                                                                                                                                                                                                                                                                                                                                                                                                                                                                                          <w:divBdr>
                                                                                                                                                                                                                                                                                                                                                                                                                                                                                                                                                                                                                                                                                                                                                                                                            <w:top w:val="none" w:sz="0" w:space="0" w:color="auto"/>
                                                                                                                                                                                                                                                                                                                                                                                                                                                                                                                                                                                                                                                                                                                                                                                                            <w:left w:val="none" w:sz="0" w:space="0" w:color="auto"/>
                                                                                                                                                                                                                                                                                                                                                                                                                                                                                                                                                                                                                                                                                                                                                                                                            <w:bottom w:val="none" w:sz="0" w:space="0" w:color="auto"/>
                                                                                                                                                                                                                                                                                                                                                                                                                                                                                                                                                                                                                                                                                                                                                                                                            <w:right w:val="none" w:sz="0" w:space="0" w:color="auto"/>
                                                                                                                                                                                                                                                                                                                                                                                                                                                                                                                                                                                                                                                                                                                                                                                                          </w:divBdr>
                                                                                                                                                                                                                                                                                                                                                                                                                                                                                                                                                                                                                                                                                                                                                                                                          <w:divsChild>
                                                                                                                                                                                                                                                                                                                                                                                                                                                                                                                                                                                                                                                                                                                                                                                                            <w:div w:id="193088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27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Clara.Podmore@mrc-epid.ca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13FA4-3E1D-41DF-BA34-579992E10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31</Pages>
  <Words>44925</Words>
  <Characters>256077</Characters>
  <Application>Microsoft Office Word</Application>
  <DocSecurity>0</DocSecurity>
  <Lines>2133</Lines>
  <Paragraphs>600</Paragraphs>
  <ScaleCrop>false</ScaleCrop>
  <HeadingPairs>
    <vt:vector size="2" baseType="variant">
      <vt:variant>
        <vt:lpstr>Title</vt:lpstr>
      </vt:variant>
      <vt:variant>
        <vt:i4>1</vt:i4>
      </vt:variant>
    </vt:vector>
  </HeadingPairs>
  <TitlesOfParts>
    <vt:vector size="1" baseType="lpstr">
      <vt:lpstr/>
    </vt:vector>
  </TitlesOfParts>
  <Company>MRC</Company>
  <LinksUpToDate>false</LinksUpToDate>
  <CharactersWithSpaces>300402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Clara Kelliny</dc:creator>
  <cp:lastModifiedBy>Clara Podmore</cp:lastModifiedBy>
  <cp:revision>4</cp:revision>
  <cp:lastPrinted>2016-01-06T14:12:00Z</cp:lastPrinted>
  <dcterms:created xsi:type="dcterms:W3CDTF">2016-01-06T16:05:00Z</dcterms:created>
  <dcterms:modified xsi:type="dcterms:W3CDTF">2016-01-06T16:22:00Z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clara.podmore@gmail.com@www.mendeley.com</vt:lpwstr>
  </property>
  <property fmtid="{D5CDD505-2E9C-101B-9397-08002B2CF9AE}" pid="4" name="Mendeley Citation Style_1">
    <vt:lpwstr>http://www.zotero.org/styles/diabetes-care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http://www.zotero.org/styles/diabetes-care</vt:lpwstr>
  </property>
  <property fmtid="{D5CDD505-2E9C-101B-9397-08002B2CF9AE}" pid="16" name="Mendeley Recent Style Name 5_1">
    <vt:lpwstr>Diabetes Care</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(author-date)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7th edition</vt:lpwstr>
  </property>
  <property fmtid="{D5CDD505-2E9C-101B-9397-08002B2CF9AE}" pid="25" name="_DocHome">
    <vt:i4>194368291</vt:i4>
  </property>
</Properties>
</file>