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1AC1" w:rsidRPr="0001242C" w:rsidRDefault="00D51AC1" w:rsidP="00711F9C">
      <w:pPr>
        <w:pStyle w:val="Title"/>
        <w:spacing w:line="276" w:lineRule="auto"/>
      </w:pPr>
      <w:r w:rsidRPr="00042208">
        <w:rPr>
          <w:rFonts w:cs="Calibri"/>
        </w:rPr>
        <w:t>Training a model for estimating leukocyte composition using whole blood DNA methylation and cell counts as reference</w:t>
      </w:r>
    </w:p>
    <w:p w:rsidR="00D51AC1" w:rsidRPr="0001242C" w:rsidRDefault="00D51AC1" w:rsidP="00711F9C">
      <w:pPr>
        <w:rPr>
          <w:sz w:val="24"/>
          <w:szCs w:val="24"/>
          <w:lang w:val="de-DE"/>
        </w:rPr>
      </w:pPr>
      <w:r w:rsidRPr="0001242C">
        <w:rPr>
          <w:rFonts w:cs="LMRoman12-Regular"/>
          <w:sz w:val="24"/>
          <w:szCs w:val="24"/>
          <w:lang w:val="de-DE"/>
        </w:rPr>
        <w:t>Jonathan A. Heiss,</w:t>
      </w:r>
      <w:r w:rsidRPr="0001242C">
        <w:rPr>
          <w:rFonts w:cs="LMRoman12-Regular"/>
          <w:sz w:val="24"/>
          <w:szCs w:val="24"/>
          <w:vertAlign w:val="superscript"/>
          <w:lang w:val="de-DE"/>
        </w:rPr>
        <w:t>1</w:t>
      </w:r>
      <w:r w:rsidRPr="0001242C">
        <w:rPr>
          <w:sz w:val="24"/>
          <w:szCs w:val="24"/>
          <w:lang w:val="de-DE"/>
        </w:rPr>
        <w:t xml:space="preserve"> </w:t>
      </w:r>
      <w:r w:rsidRPr="0001242C">
        <w:rPr>
          <w:rFonts w:cs="LMRoman12-Regular"/>
          <w:sz w:val="24"/>
          <w:szCs w:val="24"/>
          <w:lang w:val="de-DE"/>
        </w:rPr>
        <w:t>Lutz P. Breitling,</w:t>
      </w:r>
      <w:r w:rsidRPr="0001242C">
        <w:rPr>
          <w:rFonts w:cs="LMRoman12-Regular"/>
          <w:sz w:val="24"/>
          <w:szCs w:val="24"/>
          <w:vertAlign w:val="superscript"/>
          <w:lang w:val="de-DE"/>
        </w:rPr>
        <w:t>1</w:t>
      </w:r>
      <w:r>
        <w:rPr>
          <w:rFonts w:cs="LMRoman12-Regular"/>
          <w:sz w:val="24"/>
          <w:szCs w:val="24"/>
          <w:vertAlign w:val="superscript"/>
          <w:lang w:val="de-DE"/>
        </w:rPr>
        <w:t>,2</w:t>
      </w:r>
      <w:r w:rsidRPr="0001242C">
        <w:rPr>
          <w:sz w:val="24"/>
          <w:szCs w:val="24"/>
          <w:lang w:val="de-DE"/>
        </w:rPr>
        <w:t xml:space="preserve"> </w:t>
      </w:r>
      <w:r w:rsidRPr="0001242C">
        <w:rPr>
          <w:rFonts w:cs="LMRoman12-Regular"/>
          <w:sz w:val="24"/>
          <w:szCs w:val="24"/>
          <w:lang w:val="de-DE"/>
        </w:rPr>
        <w:t xml:space="preserve">Benjamin </w:t>
      </w:r>
      <w:r>
        <w:rPr>
          <w:rFonts w:cs="LMRoman12-Regular"/>
          <w:sz w:val="24"/>
          <w:szCs w:val="24"/>
          <w:lang w:val="de-DE"/>
        </w:rPr>
        <w:t xml:space="preserve">C. </w:t>
      </w:r>
      <w:r w:rsidRPr="0001242C">
        <w:rPr>
          <w:rFonts w:cs="LMRoman12-Regular"/>
          <w:sz w:val="24"/>
          <w:szCs w:val="24"/>
          <w:lang w:val="de-DE"/>
        </w:rPr>
        <w:t>Lehne,</w:t>
      </w:r>
      <w:r>
        <w:rPr>
          <w:rFonts w:cs="LMRoman12-Regular"/>
          <w:sz w:val="24"/>
          <w:szCs w:val="24"/>
          <w:vertAlign w:val="superscript"/>
          <w:lang w:val="de-DE"/>
        </w:rPr>
        <w:t>3</w:t>
      </w:r>
      <w:r w:rsidRPr="0001242C">
        <w:rPr>
          <w:rFonts w:cs="LMRoman12-Regular"/>
          <w:sz w:val="24"/>
          <w:szCs w:val="24"/>
          <w:lang w:val="de-DE"/>
        </w:rPr>
        <w:t xml:space="preserve"> </w:t>
      </w:r>
      <w:r w:rsidRPr="0015665A">
        <w:rPr>
          <w:sz w:val="24"/>
          <w:szCs w:val="24"/>
          <w:lang w:val="de-DE"/>
        </w:rPr>
        <w:t>Jaspal S. Kooner,</w:t>
      </w:r>
      <w:r>
        <w:rPr>
          <w:sz w:val="24"/>
          <w:szCs w:val="24"/>
          <w:vertAlign w:val="superscript"/>
          <w:lang w:val="de-DE"/>
        </w:rPr>
        <w:t>4,5,6</w:t>
      </w:r>
      <w:r>
        <w:rPr>
          <w:lang w:val="de-DE"/>
        </w:rPr>
        <w:t xml:space="preserve"> </w:t>
      </w:r>
      <w:r w:rsidRPr="0001242C">
        <w:rPr>
          <w:rFonts w:cs="LMRoman12-Regular"/>
          <w:sz w:val="24"/>
          <w:szCs w:val="24"/>
          <w:lang w:val="de-DE"/>
        </w:rPr>
        <w:t>John C. Chambers,</w:t>
      </w:r>
      <w:r>
        <w:rPr>
          <w:sz w:val="24"/>
          <w:szCs w:val="24"/>
          <w:vertAlign w:val="superscript"/>
          <w:lang w:val="de-DE"/>
        </w:rPr>
        <w:t>3</w:t>
      </w:r>
      <w:r w:rsidRPr="0001242C">
        <w:rPr>
          <w:sz w:val="24"/>
          <w:szCs w:val="24"/>
          <w:vertAlign w:val="superscript"/>
          <w:lang w:val="de-DE"/>
        </w:rPr>
        <w:t>,</w:t>
      </w:r>
      <w:r>
        <w:rPr>
          <w:sz w:val="24"/>
          <w:szCs w:val="24"/>
          <w:vertAlign w:val="superscript"/>
          <w:lang w:val="de-DE"/>
        </w:rPr>
        <w:t>4,5</w:t>
      </w:r>
      <w:r w:rsidRPr="0001242C">
        <w:rPr>
          <w:sz w:val="24"/>
          <w:szCs w:val="24"/>
          <w:vertAlign w:val="superscript"/>
          <w:lang w:val="de-DE"/>
        </w:rPr>
        <w:t xml:space="preserve"> </w:t>
      </w:r>
      <w:r w:rsidRPr="0001242C">
        <w:rPr>
          <w:rFonts w:cs="LMRoman12-Regular"/>
          <w:sz w:val="24"/>
          <w:szCs w:val="24"/>
          <w:lang w:val="de-DE"/>
        </w:rPr>
        <w:t>Hermann Brenner</w:t>
      </w:r>
      <w:r>
        <w:rPr>
          <w:sz w:val="24"/>
          <w:szCs w:val="24"/>
          <w:vertAlign w:val="superscript"/>
          <w:lang w:val="de-DE"/>
        </w:rPr>
        <w:t>1,7</w:t>
      </w:r>
      <w:r w:rsidRPr="0001242C">
        <w:rPr>
          <w:sz w:val="24"/>
          <w:szCs w:val="24"/>
          <w:vertAlign w:val="superscript"/>
          <w:lang w:val="de-DE"/>
        </w:rPr>
        <w:t>,</w:t>
      </w:r>
      <w:r>
        <w:rPr>
          <w:sz w:val="24"/>
          <w:szCs w:val="24"/>
          <w:vertAlign w:val="superscript"/>
          <w:lang w:val="de-DE"/>
        </w:rPr>
        <w:t>8</w:t>
      </w:r>
    </w:p>
    <w:p w:rsidR="00D51AC1" w:rsidRPr="0001242C" w:rsidRDefault="00D51AC1" w:rsidP="00552DDD">
      <w:pPr>
        <w:spacing w:line="360" w:lineRule="auto"/>
        <w:rPr>
          <w:sz w:val="24"/>
          <w:szCs w:val="24"/>
          <w:lang w:val="de-DE"/>
        </w:rPr>
      </w:pPr>
    </w:p>
    <w:p w:rsidR="00D51AC1" w:rsidRDefault="00D51AC1" w:rsidP="00552DDD">
      <w:pPr>
        <w:rPr>
          <w:rFonts w:cs="LMRoman12-Regular"/>
          <w:sz w:val="24"/>
          <w:szCs w:val="24"/>
        </w:rPr>
      </w:pPr>
      <w:r w:rsidRPr="0001242C">
        <w:rPr>
          <w:sz w:val="24"/>
          <w:szCs w:val="24"/>
          <w:vertAlign w:val="superscript"/>
        </w:rPr>
        <w:t>1</w:t>
      </w:r>
      <w:r w:rsidRPr="0001242C">
        <w:rPr>
          <w:rFonts w:cs="LMRoman12-Regular"/>
          <w:sz w:val="24"/>
          <w:szCs w:val="24"/>
        </w:rPr>
        <w:t>Division of Clinical Epidemiology and Aging Research, German Cancer Research Center (DKFZ), Heidelberg, Germany</w:t>
      </w:r>
    </w:p>
    <w:p w:rsidR="00D51AC1" w:rsidRPr="00552DDD" w:rsidRDefault="00D51AC1" w:rsidP="00552DDD">
      <w:pPr>
        <w:rPr>
          <w:rFonts w:cs="LMRoman12-Regular"/>
          <w:sz w:val="24"/>
          <w:szCs w:val="24"/>
        </w:rPr>
      </w:pPr>
      <w:r w:rsidRPr="00552DDD">
        <w:rPr>
          <w:sz w:val="24"/>
          <w:szCs w:val="24"/>
          <w:vertAlign w:val="superscript"/>
        </w:rPr>
        <w:t>2</w:t>
      </w:r>
      <w:r w:rsidRPr="00552DDD">
        <w:rPr>
          <w:sz w:val="24"/>
          <w:szCs w:val="24"/>
        </w:rPr>
        <w:t>Pneumology and Respiratory Critical Care Medicine, Thorax</w:t>
      </w:r>
      <w:r>
        <w:rPr>
          <w:sz w:val="24"/>
          <w:szCs w:val="24"/>
        </w:rPr>
        <w:t xml:space="preserve"> Clinic, University of Heidelberg, </w:t>
      </w:r>
      <w:r w:rsidRPr="00552DDD">
        <w:rPr>
          <w:sz w:val="24"/>
          <w:szCs w:val="24"/>
        </w:rPr>
        <w:t>Heidelberg, Germany</w:t>
      </w:r>
    </w:p>
    <w:p w:rsidR="00D51AC1" w:rsidRPr="0001242C" w:rsidRDefault="00D51AC1" w:rsidP="00552DDD">
      <w:pPr>
        <w:rPr>
          <w:rFonts w:cs="LMRoman12-Regular"/>
          <w:sz w:val="24"/>
          <w:szCs w:val="24"/>
        </w:rPr>
      </w:pPr>
      <w:r>
        <w:rPr>
          <w:sz w:val="24"/>
          <w:szCs w:val="24"/>
          <w:vertAlign w:val="superscript"/>
        </w:rPr>
        <w:t>3</w:t>
      </w:r>
      <w:r w:rsidRPr="0001242C">
        <w:rPr>
          <w:rFonts w:cs="LMRoman12-Regular"/>
          <w:sz w:val="24"/>
          <w:szCs w:val="24"/>
        </w:rPr>
        <w:t>Department of Epidemiology and Biostatistics, Imperial College London, London,</w:t>
      </w:r>
      <w:r>
        <w:rPr>
          <w:rFonts w:cs="LMRoman12-Regular"/>
          <w:sz w:val="24"/>
          <w:szCs w:val="24"/>
        </w:rPr>
        <w:t xml:space="preserve"> </w:t>
      </w:r>
      <w:r w:rsidRPr="0001242C">
        <w:rPr>
          <w:rFonts w:cs="LMRoman12-Regular"/>
          <w:sz w:val="24"/>
          <w:szCs w:val="24"/>
        </w:rPr>
        <w:t>UK</w:t>
      </w:r>
    </w:p>
    <w:p w:rsidR="00D51AC1" w:rsidRPr="0001242C" w:rsidRDefault="00D51AC1" w:rsidP="00552DDD">
      <w:pPr>
        <w:rPr>
          <w:rFonts w:cs="LMRoman12-Regular"/>
          <w:sz w:val="24"/>
          <w:szCs w:val="24"/>
        </w:rPr>
      </w:pPr>
      <w:r>
        <w:rPr>
          <w:sz w:val="24"/>
          <w:szCs w:val="24"/>
          <w:vertAlign w:val="superscript"/>
        </w:rPr>
        <w:t>4</w:t>
      </w:r>
      <w:r w:rsidRPr="0001242C">
        <w:rPr>
          <w:rFonts w:cs="LMRoman12-Regular"/>
          <w:sz w:val="24"/>
          <w:szCs w:val="24"/>
        </w:rPr>
        <w:t>Ealing Hospital NHS Trust, Middlesex, UK</w:t>
      </w:r>
    </w:p>
    <w:p w:rsidR="00D51AC1" w:rsidRPr="0001242C" w:rsidRDefault="00D51AC1" w:rsidP="00552DDD">
      <w:pPr>
        <w:rPr>
          <w:rFonts w:cs="LMRoman12-Regular"/>
          <w:sz w:val="24"/>
          <w:szCs w:val="24"/>
        </w:rPr>
      </w:pPr>
      <w:r>
        <w:rPr>
          <w:sz w:val="24"/>
          <w:szCs w:val="24"/>
          <w:vertAlign w:val="superscript"/>
        </w:rPr>
        <w:t>5</w:t>
      </w:r>
      <w:r w:rsidRPr="0001242C">
        <w:rPr>
          <w:rFonts w:cs="LMRoman12-Regular"/>
          <w:sz w:val="24"/>
          <w:szCs w:val="24"/>
        </w:rPr>
        <w:t>Imperial College Healthcare NHS Trust, London, UK</w:t>
      </w:r>
    </w:p>
    <w:p w:rsidR="00D51AC1" w:rsidRPr="0001242C" w:rsidRDefault="00D51AC1" w:rsidP="00552DDD">
      <w:pPr>
        <w:rPr>
          <w:rFonts w:cs="LMRoman12-Regular"/>
          <w:sz w:val="24"/>
          <w:szCs w:val="24"/>
        </w:rPr>
      </w:pPr>
      <w:r>
        <w:rPr>
          <w:rFonts w:cs="LMRoman12-Regular"/>
          <w:sz w:val="24"/>
          <w:szCs w:val="24"/>
          <w:vertAlign w:val="superscript"/>
        </w:rPr>
        <w:t>6</w:t>
      </w:r>
      <w:r w:rsidRPr="00347D3D">
        <w:rPr>
          <w:rFonts w:cs="LMRoman12-Regular"/>
          <w:sz w:val="24"/>
          <w:szCs w:val="24"/>
        </w:rPr>
        <w:t>National Heart and Lung Institute, Imperial College London, Hammersmith Hospital, London, UK</w:t>
      </w:r>
    </w:p>
    <w:p w:rsidR="00D51AC1" w:rsidRPr="0001242C" w:rsidRDefault="00D51AC1" w:rsidP="00552DDD">
      <w:pPr>
        <w:rPr>
          <w:rFonts w:cs="LMRoman12-Regular"/>
          <w:sz w:val="24"/>
          <w:szCs w:val="24"/>
        </w:rPr>
      </w:pPr>
      <w:r>
        <w:rPr>
          <w:sz w:val="24"/>
          <w:szCs w:val="24"/>
          <w:vertAlign w:val="superscript"/>
        </w:rPr>
        <w:t>7</w:t>
      </w:r>
      <w:r w:rsidRPr="0001242C">
        <w:rPr>
          <w:rFonts w:cs="LMRoman12-Regular"/>
          <w:sz w:val="24"/>
          <w:szCs w:val="24"/>
        </w:rPr>
        <w:t>Division of Preventive Oncology, National Center for Tumor Diseases (NCT) and German Cancer Research Center (DKFZ), Heidelberg, Germany</w:t>
      </w:r>
    </w:p>
    <w:p w:rsidR="00D51AC1" w:rsidRPr="0001242C" w:rsidRDefault="00D51AC1" w:rsidP="00552DDD">
      <w:pPr>
        <w:rPr>
          <w:rFonts w:cs="LMRoman12-Regular"/>
          <w:sz w:val="24"/>
          <w:szCs w:val="24"/>
        </w:rPr>
      </w:pPr>
      <w:r>
        <w:rPr>
          <w:sz w:val="24"/>
          <w:szCs w:val="24"/>
          <w:vertAlign w:val="superscript"/>
        </w:rPr>
        <w:t>8</w:t>
      </w:r>
      <w:r w:rsidRPr="0001242C">
        <w:rPr>
          <w:rFonts w:cs="LMRoman12-Regular"/>
          <w:sz w:val="24"/>
          <w:szCs w:val="24"/>
        </w:rPr>
        <w:t>German Cancer Consortium (DKTK), German Cancer Research Center (DKFZ), Heidelberg, Germany</w:t>
      </w:r>
    </w:p>
    <w:p w:rsidR="00D51AC1" w:rsidRPr="0001242C" w:rsidRDefault="00D51AC1" w:rsidP="00711F9C">
      <w:pPr>
        <w:rPr>
          <w:rStyle w:val="Hyperlink"/>
          <w:rFonts w:cs="LMRoman12-Regular"/>
          <w:sz w:val="24"/>
          <w:szCs w:val="24"/>
        </w:rPr>
      </w:pPr>
      <w:r w:rsidRPr="0001242C">
        <w:rPr>
          <w:rFonts w:cs="LMRoman12-Regular"/>
          <w:sz w:val="24"/>
          <w:szCs w:val="24"/>
        </w:rPr>
        <w:t xml:space="preserve">Address correspondence to Jonathan Alexander </w:t>
      </w:r>
      <w:proofErr w:type="spellStart"/>
      <w:r w:rsidRPr="0001242C">
        <w:rPr>
          <w:rFonts w:cs="LMRoman12-Regular"/>
          <w:sz w:val="24"/>
          <w:szCs w:val="24"/>
        </w:rPr>
        <w:t>Heiss</w:t>
      </w:r>
      <w:proofErr w:type="spellEnd"/>
      <w:r w:rsidRPr="0001242C">
        <w:rPr>
          <w:rFonts w:cs="LMRoman12-Regular"/>
          <w:sz w:val="24"/>
          <w:szCs w:val="24"/>
        </w:rPr>
        <w:t xml:space="preserve">, Division of Clinical Epidemiology and Aging Research, German Cancer Research Center (DKFZ), </w:t>
      </w:r>
      <w:proofErr w:type="spellStart"/>
      <w:r w:rsidRPr="0001242C">
        <w:rPr>
          <w:rFonts w:cs="LMRoman12-Regular"/>
          <w:sz w:val="24"/>
          <w:szCs w:val="24"/>
        </w:rPr>
        <w:t>Im</w:t>
      </w:r>
      <w:proofErr w:type="spellEnd"/>
      <w:r w:rsidRPr="0001242C">
        <w:rPr>
          <w:rFonts w:cs="LMRoman12-Regular"/>
          <w:sz w:val="24"/>
          <w:szCs w:val="24"/>
        </w:rPr>
        <w:t xml:space="preserve"> </w:t>
      </w:r>
      <w:proofErr w:type="spellStart"/>
      <w:r w:rsidRPr="0001242C">
        <w:rPr>
          <w:rFonts w:cs="LMRoman12-Regular"/>
          <w:sz w:val="24"/>
          <w:szCs w:val="24"/>
        </w:rPr>
        <w:t>Neuenheimer</w:t>
      </w:r>
      <w:proofErr w:type="spellEnd"/>
      <w:r w:rsidRPr="0001242C">
        <w:rPr>
          <w:rFonts w:cs="LMRoman12-Regular"/>
          <w:sz w:val="24"/>
          <w:szCs w:val="24"/>
        </w:rPr>
        <w:t xml:space="preserve"> Feld 581, 69120 Heidelberg, Germany. </w:t>
      </w:r>
      <w:proofErr w:type="gramStart"/>
      <w:r w:rsidRPr="0001242C">
        <w:rPr>
          <w:rFonts w:cs="LMRoman12-Regular"/>
          <w:sz w:val="24"/>
          <w:szCs w:val="24"/>
        </w:rPr>
        <w:t>Telephone 49-6221-421304.</w:t>
      </w:r>
      <w:proofErr w:type="gramEnd"/>
      <w:r w:rsidRPr="0001242C">
        <w:rPr>
          <w:rFonts w:cs="LMRoman12-Regular"/>
          <w:sz w:val="24"/>
          <w:szCs w:val="24"/>
        </w:rPr>
        <w:t xml:space="preserve"> Email: </w:t>
      </w:r>
      <w:hyperlink r:id="rId8" w:history="1">
        <w:r w:rsidRPr="0001242C">
          <w:rPr>
            <w:rStyle w:val="Hyperlink"/>
            <w:rFonts w:cs="LMRoman12-Regular"/>
            <w:sz w:val="24"/>
            <w:szCs w:val="24"/>
          </w:rPr>
          <w:t>jonathan.heiss@dkfz-heidelberg.de</w:t>
        </w:r>
      </w:hyperlink>
    </w:p>
    <w:p w:rsidR="00D51AC1" w:rsidRDefault="00D51AC1" w:rsidP="00711F9C">
      <w:pPr>
        <w:rPr>
          <w:sz w:val="24"/>
          <w:szCs w:val="24"/>
        </w:rPr>
      </w:pPr>
    </w:p>
    <w:p w:rsidR="00D51AC1" w:rsidRDefault="00D51AC1" w:rsidP="00711F9C">
      <w:pPr>
        <w:spacing w:line="480" w:lineRule="auto"/>
        <w:rPr>
          <w:rFonts w:ascii="Helvetica" w:eastAsiaTheme="majorEastAsia" w:hAnsi="Helvetica" w:cstheme="majorBidi"/>
          <w:b/>
          <w:bCs/>
          <w:color w:val="365F91" w:themeColor="accent1" w:themeShade="BF"/>
          <w:sz w:val="24"/>
          <w:szCs w:val="24"/>
        </w:rPr>
      </w:pPr>
      <w:r>
        <w:rPr>
          <w:rFonts w:ascii="Helvetica" w:hAnsi="Helvetica"/>
          <w:sz w:val="24"/>
          <w:szCs w:val="24"/>
        </w:rPr>
        <w:br w:type="page"/>
      </w:r>
    </w:p>
    <w:p w:rsidR="00D51AC1" w:rsidRPr="0001242C" w:rsidRDefault="00D51AC1" w:rsidP="00711F9C">
      <w:pPr>
        <w:pStyle w:val="Heading1"/>
        <w:spacing w:line="480" w:lineRule="auto"/>
        <w:rPr>
          <w:rFonts w:asciiTheme="minorHAnsi" w:hAnsiTheme="minorHAnsi"/>
          <w:sz w:val="24"/>
          <w:szCs w:val="24"/>
        </w:rPr>
      </w:pPr>
      <w:r w:rsidRPr="0001242C">
        <w:rPr>
          <w:rFonts w:asciiTheme="minorHAnsi" w:hAnsiTheme="minorHAnsi"/>
          <w:sz w:val="24"/>
          <w:szCs w:val="24"/>
        </w:rPr>
        <w:lastRenderedPageBreak/>
        <w:t>Abstract</w:t>
      </w:r>
    </w:p>
    <w:p w:rsidR="00D51AC1" w:rsidRDefault="00D51AC1" w:rsidP="00711F9C">
      <w:pPr>
        <w:spacing w:line="480" w:lineRule="auto"/>
        <w:rPr>
          <w:sz w:val="24"/>
          <w:szCs w:val="24"/>
        </w:rPr>
      </w:pPr>
      <w:r>
        <w:rPr>
          <w:b/>
          <w:sz w:val="24"/>
          <w:szCs w:val="24"/>
        </w:rPr>
        <w:t>Aims</w:t>
      </w:r>
      <w:r w:rsidRPr="00371814">
        <w:rPr>
          <w:b/>
          <w:sz w:val="24"/>
          <w:szCs w:val="24"/>
        </w:rPr>
        <w:t>:</w:t>
      </w:r>
      <w:r>
        <w:rPr>
          <w:sz w:val="24"/>
          <w:szCs w:val="24"/>
        </w:rPr>
        <w:t xml:space="preserve"> Whole blood </w:t>
      </w:r>
      <w:r w:rsidRPr="0001242C">
        <w:rPr>
          <w:sz w:val="24"/>
          <w:szCs w:val="24"/>
        </w:rPr>
        <w:t>DNA methylation depend</w:t>
      </w:r>
      <w:r>
        <w:rPr>
          <w:sz w:val="24"/>
          <w:szCs w:val="24"/>
        </w:rPr>
        <w:t>s</w:t>
      </w:r>
      <w:r w:rsidRPr="0001242C">
        <w:rPr>
          <w:sz w:val="24"/>
          <w:szCs w:val="24"/>
        </w:rPr>
        <w:t xml:space="preserve"> on the underlying leukocyte composition and confounding hereby is a major concern in epigenome-wide association studies. Cell counts are often missing or may not be feasible in large</w:t>
      </w:r>
      <w:r>
        <w:rPr>
          <w:sz w:val="24"/>
          <w:szCs w:val="24"/>
        </w:rPr>
        <w:t>-</w:t>
      </w:r>
      <w:r w:rsidRPr="0001242C">
        <w:rPr>
          <w:sz w:val="24"/>
          <w:szCs w:val="24"/>
        </w:rPr>
        <w:t xml:space="preserve">scale studies. </w:t>
      </w:r>
      <w:r>
        <w:rPr>
          <w:sz w:val="24"/>
          <w:szCs w:val="24"/>
        </w:rPr>
        <w:t xml:space="preserve">Computational approaches can estimate leukocyte composition </w:t>
      </w:r>
      <w:proofErr w:type="gramStart"/>
      <w:r w:rsidRPr="0001242C">
        <w:rPr>
          <w:sz w:val="24"/>
          <w:szCs w:val="24"/>
        </w:rPr>
        <w:t>from  DNA</w:t>
      </w:r>
      <w:proofErr w:type="gramEnd"/>
      <w:r w:rsidRPr="0001242C">
        <w:rPr>
          <w:sz w:val="24"/>
          <w:szCs w:val="24"/>
        </w:rPr>
        <w:t xml:space="preserve"> methylation based on reference datasets of purified leukocytes. We explore</w:t>
      </w:r>
      <w:r>
        <w:rPr>
          <w:sz w:val="24"/>
          <w:szCs w:val="24"/>
        </w:rPr>
        <w:t>d</w:t>
      </w:r>
      <w:r w:rsidRPr="0001242C">
        <w:rPr>
          <w:sz w:val="24"/>
          <w:szCs w:val="24"/>
        </w:rPr>
        <w:t xml:space="preserve"> the possibility to train</w:t>
      </w:r>
      <w:r>
        <w:rPr>
          <w:sz w:val="24"/>
          <w:szCs w:val="24"/>
        </w:rPr>
        <w:t xml:space="preserve"> such</w:t>
      </w:r>
      <w:r w:rsidRPr="0001242C">
        <w:rPr>
          <w:sz w:val="24"/>
          <w:szCs w:val="24"/>
        </w:rPr>
        <w:t xml:space="preserve"> a model on whole blood DNA methylation and cell counts </w:t>
      </w:r>
      <w:r>
        <w:rPr>
          <w:sz w:val="24"/>
          <w:szCs w:val="24"/>
        </w:rPr>
        <w:t xml:space="preserve">only </w:t>
      </w:r>
      <w:r w:rsidRPr="0001242C">
        <w:rPr>
          <w:sz w:val="24"/>
          <w:szCs w:val="24"/>
        </w:rPr>
        <w:t>without the need for purification.</w:t>
      </w:r>
    </w:p>
    <w:p w:rsidR="00D51AC1" w:rsidRDefault="00D51AC1" w:rsidP="00711F9C">
      <w:pPr>
        <w:spacing w:line="480" w:lineRule="auto"/>
        <w:rPr>
          <w:sz w:val="24"/>
          <w:szCs w:val="24"/>
        </w:rPr>
      </w:pPr>
      <w:r>
        <w:rPr>
          <w:b/>
          <w:sz w:val="24"/>
          <w:szCs w:val="24"/>
        </w:rPr>
        <w:t>Materials &amp; m</w:t>
      </w:r>
      <w:r w:rsidRPr="00003D52">
        <w:rPr>
          <w:b/>
          <w:sz w:val="24"/>
          <w:szCs w:val="24"/>
        </w:rPr>
        <w:t>ethods:</w:t>
      </w:r>
      <w:r>
        <w:rPr>
          <w:sz w:val="24"/>
          <w:szCs w:val="24"/>
        </w:rPr>
        <w:t xml:space="preserve"> Using</w:t>
      </w:r>
      <w:r w:rsidRPr="0001242C">
        <w:rPr>
          <w:sz w:val="24"/>
          <w:szCs w:val="24"/>
        </w:rPr>
        <w:t xml:space="preserve"> </w:t>
      </w:r>
      <w:r>
        <w:rPr>
          <w:sz w:val="24"/>
          <w:szCs w:val="24"/>
        </w:rPr>
        <w:t xml:space="preserve">whole blood </w:t>
      </w:r>
      <w:r w:rsidRPr="0001242C">
        <w:rPr>
          <w:sz w:val="24"/>
          <w:szCs w:val="24"/>
        </w:rPr>
        <w:t>DNA methylation measurements and corresponding 5-part cell counts from 2,445 participants from the LOLIPOP</w:t>
      </w:r>
      <w:r>
        <w:rPr>
          <w:sz w:val="24"/>
          <w:szCs w:val="24"/>
        </w:rPr>
        <w:t xml:space="preserve"> study,</w:t>
      </w:r>
      <w:r w:rsidRPr="0001242C">
        <w:rPr>
          <w:sz w:val="24"/>
          <w:szCs w:val="24"/>
        </w:rPr>
        <w:t xml:space="preserve"> </w:t>
      </w:r>
      <w:r>
        <w:rPr>
          <w:sz w:val="24"/>
          <w:szCs w:val="24"/>
        </w:rPr>
        <w:t>a</w:t>
      </w:r>
      <w:r w:rsidRPr="0001242C">
        <w:rPr>
          <w:sz w:val="24"/>
          <w:szCs w:val="24"/>
        </w:rPr>
        <w:t xml:space="preserve"> model was trained on a subset of 175 subjects and evaluated on the remaining</w:t>
      </w:r>
      <w:r>
        <w:rPr>
          <w:sz w:val="24"/>
          <w:szCs w:val="24"/>
        </w:rPr>
        <w:t xml:space="preserve"> ones.</w:t>
      </w:r>
    </w:p>
    <w:p w:rsidR="00D51AC1" w:rsidRDefault="00D51AC1" w:rsidP="00711F9C">
      <w:pPr>
        <w:spacing w:line="480" w:lineRule="auto"/>
        <w:rPr>
          <w:sz w:val="24"/>
          <w:szCs w:val="24"/>
        </w:rPr>
      </w:pPr>
      <w:r w:rsidRPr="00003D52">
        <w:rPr>
          <w:b/>
          <w:sz w:val="24"/>
          <w:szCs w:val="24"/>
        </w:rPr>
        <w:t>Results:</w:t>
      </w:r>
      <w:r>
        <w:rPr>
          <w:sz w:val="24"/>
          <w:szCs w:val="24"/>
        </w:rPr>
        <w:t xml:space="preserve"> </w:t>
      </w:r>
      <w:r w:rsidRPr="0001242C">
        <w:rPr>
          <w:sz w:val="24"/>
          <w:szCs w:val="24"/>
        </w:rPr>
        <w:t>Correlations between cell counts and estimated cell proportions in LOLIPOP were high (neutrophils 0.</w:t>
      </w:r>
      <w:r>
        <w:rPr>
          <w:sz w:val="24"/>
          <w:szCs w:val="24"/>
        </w:rPr>
        <w:t>85</w:t>
      </w:r>
      <w:r w:rsidRPr="0001242C">
        <w:rPr>
          <w:sz w:val="24"/>
          <w:szCs w:val="24"/>
        </w:rPr>
        <w:t>, eosinophils 0.88, basophils 0.0</w:t>
      </w:r>
      <w:r>
        <w:rPr>
          <w:sz w:val="24"/>
          <w:szCs w:val="24"/>
        </w:rPr>
        <w:t>2</w:t>
      </w:r>
      <w:r w:rsidRPr="0001242C">
        <w:rPr>
          <w:sz w:val="24"/>
          <w:szCs w:val="24"/>
        </w:rPr>
        <w:t>, ly</w:t>
      </w:r>
      <w:r>
        <w:rPr>
          <w:sz w:val="24"/>
          <w:szCs w:val="24"/>
        </w:rPr>
        <w:t xml:space="preserve">mphocytes 0.84, </w:t>
      </w:r>
      <w:proofErr w:type="gramStart"/>
      <w:r>
        <w:rPr>
          <w:sz w:val="24"/>
          <w:szCs w:val="24"/>
        </w:rPr>
        <w:t>monocytes</w:t>
      </w:r>
      <w:proofErr w:type="gramEnd"/>
      <w:r>
        <w:rPr>
          <w:sz w:val="24"/>
          <w:szCs w:val="24"/>
        </w:rPr>
        <w:t xml:space="preserve"> 0.55) and</w:t>
      </w:r>
      <w:r w:rsidRPr="0001242C">
        <w:rPr>
          <w:sz w:val="24"/>
          <w:szCs w:val="24"/>
        </w:rPr>
        <w:t xml:space="preserve"> </w:t>
      </w:r>
      <w:r>
        <w:rPr>
          <w:sz w:val="24"/>
          <w:szCs w:val="24"/>
        </w:rPr>
        <w:t>e</w:t>
      </w:r>
      <w:r w:rsidRPr="0001242C">
        <w:rPr>
          <w:sz w:val="24"/>
          <w:szCs w:val="24"/>
        </w:rPr>
        <w:t>stimated cell proportions explained more variance in whole blood DNA methylation levels than cell counts.</w:t>
      </w:r>
    </w:p>
    <w:p w:rsidR="00D51AC1" w:rsidRPr="0001242C" w:rsidRDefault="00D51AC1" w:rsidP="00003D52">
      <w:pPr>
        <w:rPr>
          <w:sz w:val="24"/>
          <w:szCs w:val="24"/>
        </w:rPr>
      </w:pPr>
      <w:r w:rsidRPr="0001242C">
        <w:rPr>
          <w:sz w:val="24"/>
          <w:szCs w:val="24"/>
        </w:rPr>
        <w:t xml:space="preserve">Keywords: Leukocyte composition, White blood cell distribution, Estimation of cell proportions, DNA methylation, </w:t>
      </w:r>
      <w:proofErr w:type="spellStart"/>
      <w:r w:rsidRPr="0001242C">
        <w:rPr>
          <w:sz w:val="24"/>
          <w:szCs w:val="24"/>
        </w:rPr>
        <w:t>Infinium</w:t>
      </w:r>
      <w:proofErr w:type="spellEnd"/>
      <w:r w:rsidRPr="0001242C">
        <w:rPr>
          <w:sz w:val="24"/>
          <w:szCs w:val="24"/>
        </w:rPr>
        <w:t xml:space="preserve"> 450K, LOLIPOP, KAROLA</w:t>
      </w:r>
    </w:p>
    <w:p w:rsidR="00D51AC1" w:rsidRDefault="00D51AC1" w:rsidP="00324CAE">
      <w:pPr>
        <w:pStyle w:val="Heading1"/>
        <w:spacing w:line="480" w:lineRule="auto"/>
        <w:rPr>
          <w:sz w:val="24"/>
          <w:szCs w:val="24"/>
        </w:rPr>
      </w:pPr>
      <w:r w:rsidRPr="001F6C69">
        <w:rPr>
          <w:sz w:val="24"/>
          <w:szCs w:val="24"/>
        </w:rPr>
        <w:t>Introduction</w:t>
      </w:r>
    </w:p>
    <w:p w:rsidR="00D51AC1" w:rsidRPr="006A2FF4" w:rsidRDefault="00D51AC1" w:rsidP="00324CAE">
      <w:pPr>
        <w:autoSpaceDE w:val="0"/>
        <w:autoSpaceDN w:val="0"/>
        <w:adjustRightInd w:val="0"/>
        <w:spacing w:after="0" w:line="480" w:lineRule="auto"/>
        <w:rPr>
          <w:rFonts w:cs="LMRoman12-Regular"/>
          <w:sz w:val="24"/>
          <w:szCs w:val="24"/>
        </w:rPr>
      </w:pPr>
      <w:r w:rsidRPr="006A2FF4">
        <w:rPr>
          <w:rFonts w:cs="LMRoman12-Regular"/>
          <w:sz w:val="24"/>
          <w:szCs w:val="24"/>
        </w:rPr>
        <w:t>Blood samples are the most commonly available source of DNA in epidemiological studies, and DNA extracted from whole blood samples is often used in epigenome-wide association studies (EWAS). DNA methylation (</w:t>
      </w:r>
      <w:proofErr w:type="spellStart"/>
      <w:r w:rsidRPr="006A2FF4">
        <w:rPr>
          <w:rFonts w:cs="LMRoman12-Regular"/>
          <w:sz w:val="24"/>
          <w:szCs w:val="24"/>
        </w:rPr>
        <w:t>DNAm</w:t>
      </w:r>
      <w:proofErr w:type="spellEnd"/>
      <w:r w:rsidRPr="006A2FF4">
        <w:rPr>
          <w:rFonts w:cs="LMRoman12-Regular"/>
          <w:sz w:val="24"/>
          <w:szCs w:val="24"/>
        </w:rPr>
        <w:t>) has been linked to lifestyle factors such as smoking</w:t>
      </w:r>
      <w:r>
        <w:rPr>
          <w:rFonts w:cs="LMRoman12-Regular"/>
          <w:sz w:val="24"/>
          <w:szCs w:val="24"/>
        </w:rPr>
        <w:t xml:space="preserve"> </w:t>
      </w:r>
      <w:r>
        <w:rPr>
          <w:rFonts w:cs="LMRoman12-Regular"/>
          <w:noProof/>
          <w:sz w:val="24"/>
          <w:szCs w:val="24"/>
        </w:rPr>
        <w:t>[1]</w:t>
      </w:r>
      <w:r>
        <w:rPr>
          <w:rFonts w:cs="LMRoman12-Regular"/>
          <w:sz w:val="24"/>
          <w:szCs w:val="24"/>
        </w:rPr>
        <w:t xml:space="preserve">, chronic diseases such as diabetes </w:t>
      </w:r>
      <w:r>
        <w:rPr>
          <w:rFonts w:cs="LMRoman12-Regular"/>
          <w:noProof/>
          <w:sz w:val="24"/>
          <w:szCs w:val="24"/>
        </w:rPr>
        <w:t>[2]</w:t>
      </w:r>
      <w:r>
        <w:rPr>
          <w:rFonts w:cs="LMRoman12-Regular"/>
          <w:sz w:val="24"/>
          <w:szCs w:val="24"/>
        </w:rPr>
        <w:t xml:space="preserve">, </w:t>
      </w:r>
      <w:r w:rsidRPr="006A2FF4">
        <w:rPr>
          <w:rFonts w:cs="LMRoman12-Regular"/>
          <w:sz w:val="24"/>
          <w:szCs w:val="24"/>
        </w:rPr>
        <w:t xml:space="preserve"> and was shown to predict all-cause and cardiovascular mortality</w:t>
      </w:r>
      <w:r>
        <w:rPr>
          <w:rFonts w:cs="LMRoman12-Regular"/>
          <w:sz w:val="24"/>
          <w:szCs w:val="24"/>
        </w:rPr>
        <w:t xml:space="preserve"> </w:t>
      </w:r>
      <w:r>
        <w:rPr>
          <w:rFonts w:cs="LMRoman12-Regular"/>
          <w:noProof/>
          <w:sz w:val="24"/>
          <w:szCs w:val="24"/>
        </w:rPr>
        <w:t>[3]</w:t>
      </w:r>
      <w:r>
        <w:rPr>
          <w:rFonts w:cs="LMRoman12-Regular"/>
          <w:sz w:val="24"/>
          <w:szCs w:val="24"/>
        </w:rPr>
        <w:t>.</w:t>
      </w:r>
      <w:r w:rsidRPr="006A2FF4">
        <w:rPr>
          <w:rFonts w:cs="LMRoman12-Regular"/>
          <w:sz w:val="24"/>
          <w:szCs w:val="24"/>
        </w:rPr>
        <w:t xml:space="preserve"> Leukocytes show subtype specific </w:t>
      </w:r>
      <w:proofErr w:type="spellStart"/>
      <w:r w:rsidRPr="006A2FF4">
        <w:rPr>
          <w:rFonts w:cs="LMRoman12-Regular"/>
          <w:sz w:val="24"/>
          <w:szCs w:val="24"/>
        </w:rPr>
        <w:t>DNAm</w:t>
      </w:r>
      <w:proofErr w:type="spellEnd"/>
      <w:r w:rsidRPr="006A2FF4">
        <w:rPr>
          <w:rFonts w:cs="LMRoman12-Regular"/>
          <w:sz w:val="24"/>
          <w:szCs w:val="24"/>
        </w:rPr>
        <w:t xml:space="preserve"> profiles and whole blood </w:t>
      </w:r>
      <w:proofErr w:type="spellStart"/>
      <w:r w:rsidRPr="006A2FF4">
        <w:rPr>
          <w:rFonts w:cs="LMRoman12-Regular"/>
          <w:sz w:val="24"/>
          <w:szCs w:val="24"/>
        </w:rPr>
        <w:t>DNAm</w:t>
      </w:r>
      <w:proofErr w:type="spellEnd"/>
      <w:r w:rsidRPr="006A2FF4">
        <w:rPr>
          <w:rFonts w:cs="LMRoman12-Regular"/>
          <w:sz w:val="24"/>
          <w:szCs w:val="24"/>
        </w:rPr>
        <w:t xml:space="preserve"> depends </w:t>
      </w:r>
      <w:r w:rsidRPr="006A2FF4">
        <w:rPr>
          <w:rFonts w:cs="LMRoman12-Regular"/>
          <w:sz w:val="24"/>
          <w:szCs w:val="24"/>
        </w:rPr>
        <w:lastRenderedPageBreak/>
        <w:t>on the underlying leukocyte composition (LC)</w:t>
      </w:r>
      <w:r w:rsidRPr="006A2FF4" w:rsidDel="00324CAE">
        <w:rPr>
          <w:rFonts w:cs="LMRoman12-Regular"/>
          <w:sz w:val="24"/>
          <w:szCs w:val="24"/>
        </w:rPr>
        <w:t xml:space="preserve"> </w:t>
      </w:r>
      <w:r>
        <w:rPr>
          <w:rFonts w:cs="LMRoman12-Regular"/>
          <w:noProof/>
          <w:sz w:val="24"/>
          <w:szCs w:val="24"/>
        </w:rPr>
        <w:t>[4]</w:t>
      </w:r>
      <w:r w:rsidRPr="006A2FF4">
        <w:rPr>
          <w:rFonts w:cs="LMRoman12-Regular"/>
          <w:sz w:val="24"/>
          <w:szCs w:val="24"/>
        </w:rPr>
        <w:t xml:space="preserve">. A major concern in EWAS based on whole blood </w:t>
      </w:r>
      <w:proofErr w:type="spellStart"/>
      <w:r w:rsidRPr="006A2FF4">
        <w:rPr>
          <w:rFonts w:cs="LMRoman12-Regular"/>
          <w:sz w:val="24"/>
          <w:szCs w:val="24"/>
        </w:rPr>
        <w:t>DNAm</w:t>
      </w:r>
      <w:proofErr w:type="spellEnd"/>
      <w:r w:rsidRPr="006A2FF4">
        <w:rPr>
          <w:rFonts w:cs="LMRoman12-Regular"/>
          <w:sz w:val="24"/>
          <w:szCs w:val="24"/>
        </w:rPr>
        <w:t xml:space="preserve"> is that discovered associations may not arise from genuine </w:t>
      </w:r>
      <w:proofErr w:type="spellStart"/>
      <w:r w:rsidRPr="006A2FF4">
        <w:rPr>
          <w:rFonts w:cs="LMRoman12-Regular"/>
          <w:sz w:val="24"/>
          <w:szCs w:val="24"/>
        </w:rPr>
        <w:t>DNAm</w:t>
      </w:r>
      <w:proofErr w:type="spellEnd"/>
      <w:r w:rsidRPr="006A2FF4">
        <w:rPr>
          <w:rFonts w:cs="LMRoman12-Regular"/>
          <w:sz w:val="24"/>
          <w:szCs w:val="24"/>
        </w:rPr>
        <w:t xml:space="preserve"> changes but may rather reflect shifts in LC. </w:t>
      </w:r>
      <w:r>
        <w:rPr>
          <w:rFonts w:cs="LMRoman12-Regular"/>
          <w:sz w:val="24"/>
          <w:szCs w:val="24"/>
        </w:rPr>
        <w:t xml:space="preserve">E.g., cases of ovarian and head-and-neck cancer differed in their LC compared to cancer-free controls and adjusting for LC in regression models changed the association between case/control status and whole blood </w:t>
      </w:r>
      <w:proofErr w:type="spellStart"/>
      <w:r>
        <w:rPr>
          <w:rFonts w:cs="LMRoman12-Regular"/>
          <w:sz w:val="24"/>
          <w:szCs w:val="24"/>
        </w:rPr>
        <w:t>DNAm</w:t>
      </w:r>
      <w:proofErr w:type="spellEnd"/>
      <w:r>
        <w:rPr>
          <w:rFonts w:cs="LMRoman12-Regular"/>
          <w:sz w:val="24"/>
          <w:szCs w:val="24"/>
        </w:rPr>
        <w:t xml:space="preserve"> </w:t>
      </w:r>
      <w:r>
        <w:rPr>
          <w:rFonts w:cs="LMRoman12-Regular"/>
          <w:noProof/>
          <w:sz w:val="24"/>
          <w:szCs w:val="24"/>
        </w:rPr>
        <w:t>[5]</w:t>
      </w:r>
      <w:r>
        <w:rPr>
          <w:rFonts w:cs="LMRoman12-Regular"/>
          <w:sz w:val="24"/>
          <w:szCs w:val="24"/>
        </w:rPr>
        <w:t>. Automated cell counting requires fresh blood samples and is therefore not</w:t>
      </w:r>
      <w:r w:rsidRPr="006A2FF4">
        <w:rPr>
          <w:rFonts w:cs="LMRoman12-Regular"/>
          <w:sz w:val="24"/>
          <w:szCs w:val="24"/>
        </w:rPr>
        <w:t xml:space="preserve"> an option for large</w:t>
      </w:r>
      <w:r>
        <w:rPr>
          <w:rFonts w:cs="LMRoman12-Regular"/>
          <w:sz w:val="24"/>
          <w:szCs w:val="24"/>
        </w:rPr>
        <w:t>-</w:t>
      </w:r>
      <w:r w:rsidRPr="006A2FF4">
        <w:rPr>
          <w:rFonts w:cs="LMRoman12-Regular"/>
          <w:sz w:val="24"/>
          <w:szCs w:val="24"/>
        </w:rPr>
        <w:t>scale studies with banked samples collected over many years, especially cohort studies with thousands of participants and blood samples possibly decades old.</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Houseman et al. developed an algorithm to infer cell proportions of whole blood </w:t>
      </w:r>
      <w:proofErr w:type="spellStart"/>
      <w:r w:rsidRPr="006A2FF4">
        <w:rPr>
          <w:rFonts w:cs="LMRoman12-Regular"/>
          <w:sz w:val="24"/>
          <w:szCs w:val="24"/>
        </w:rPr>
        <w:t>DNAm</w:t>
      </w:r>
      <w:proofErr w:type="spellEnd"/>
      <w:r w:rsidRPr="006A2FF4">
        <w:rPr>
          <w:rFonts w:cs="LMRoman12-Regular"/>
          <w:sz w:val="24"/>
          <w:szCs w:val="24"/>
        </w:rPr>
        <w:t xml:space="preserve"> profiles measured on the Illumina </w:t>
      </w:r>
      <w:proofErr w:type="spellStart"/>
      <w:r w:rsidRPr="006A2FF4">
        <w:rPr>
          <w:rFonts w:cs="LMRoman12-Regular"/>
          <w:sz w:val="24"/>
          <w:szCs w:val="24"/>
        </w:rPr>
        <w:t>Infinium</w:t>
      </w:r>
      <w:proofErr w:type="spellEnd"/>
      <w:r w:rsidRPr="006A2FF4">
        <w:rPr>
          <w:rFonts w:cs="LMRoman12-Regular"/>
          <w:sz w:val="24"/>
          <w:szCs w:val="24"/>
        </w:rPr>
        <w:t xml:space="preserve"> 27K platform based on a reference set of purified leukocyte types</w:t>
      </w:r>
      <w:r>
        <w:rPr>
          <w:rFonts w:cs="LMRoman12-Regular"/>
          <w:sz w:val="24"/>
          <w:szCs w:val="24"/>
        </w:rPr>
        <w:t xml:space="preserve"> </w:t>
      </w:r>
      <w:r>
        <w:rPr>
          <w:rFonts w:cs="LMRoman12-Regular"/>
          <w:noProof/>
          <w:sz w:val="24"/>
          <w:szCs w:val="24"/>
        </w:rPr>
        <w:t>[6]</w:t>
      </w:r>
      <w:r>
        <w:rPr>
          <w:rFonts w:cs="LMRoman12-Regular"/>
          <w:sz w:val="24"/>
          <w:szCs w:val="24"/>
        </w:rPr>
        <w:t>.</w:t>
      </w:r>
      <w:r w:rsidRPr="006A2FF4">
        <w:rPr>
          <w:rFonts w:cs="LMRoman12-Regular"/>
          <w:sz w:val="24"/>
          <w:szCs w:val="24"/>
        </w:rPr>
        <w:t xml:space="preserve"> The algorithm was adapted by Jaffe and Irizarry</w:t>
      </w:r>
      <w:r>
        <w:rPr>
          <w:rFonts w:cs="LMRoman12-Regular"/>
          <w:sz w:val="24"/>
          <w:szCs w:val="24"/>
        </w:rPr>
        <w:t xml:space="preserve"> </w:t>
      </w:r>
      <w:r>
        <w:rPr>
          <w:rFonts w:cs="LMRoman12-Regular"/>
          <w:noProof/>
          <w:sz w:val="24"/>
          <w:szCs w:val="24"/>
        </w:rPr>
        <w:t>[7]</w:t>
      </w:r>
      <w:r w:rsidRPr="006A2FF4">
        <w:rPr>
          <w:rFonts w:cs="LMRoman12-Regular"/>
          <w:sz w:val="24"/>
          <w:szCs w:val="24"/>
        </w:rPr>
        <w:t xml:space="preserve"> to the newer 450K platform based again on a dataset of purified cell types provided by </w:t>
      </w:r>
      <w:proofErr w:type="spellStart"/>
      <w:r w:rsidRPr="006A2FF4">
        <w:rPr>
          <w:rFonts w:cs="LMRoman12-Regular"/>
          <w:sz w:val="24"/>
          <w:szCs w:val="24"/>
        </w:rPr>
        <w:t>Reinius</w:t>
      </w:r>
      <w:proofErr w:type="spellEnd"/>
      <w:r w:rsidRPr="006A2FF4">
        <w:rPr>
          <w:rFonts w:cs="LMRoman12-Regular"/>
          <w:sz w:val="24"/>
          <w:szCs w:val="24"/>
        </w:rPr>
        <w:t xml:space="preserve"> et al.</w:t>
      </w:r>
      <w:r>
        <w:rPr>
          <w:rFonts w:cs="LMRoman12-Regular"/>
          <w:sz w:val="24"/>
          <w:szCs w:val="24"/>
        </w:rPr>
        <w:t xml:space="preserve"> </w:t>
      </w:r>
      <w:r>
        <w:rPr>
          <w:rFonts w:cs="LMRoman12-Regular"/>
          <w:noProof/>
          <w:sz w:val="24"/>
          <w:szCs w:val="24"/>
        </w:rPr>
        <w:t>[4]</w:t>
      </w:r>
      <w:r w:rsidRPr="006A2FF4">
        <w:rPr>
          <w:rFonts w:cs="LMRoman12-Regular"/>
          <w:sz w:val="24"/>
          <w:szCs w:val="24"/>
        </w:rPr>
        <w:t xml:space="preserve"> and is implemented in the </w:t>
      </w:r>
      <w:proofErr w:type="spellStart"/>
      <w:r w:rsidRPr="00F838AD">
        <w:rPr>
          <w:rFonts w:cs="LMMono12-Regular"/>
          <w:i/>
          <w:sz w:val="24"/>
          <w:szCs w:val="24"/>
        </w:rPr>
        <w:t>minfi</w:t>
      </w:r>
      <w:proofErr w:type="spellEnd"/>
      <w:r w:rsidRPr="006A2FF4">
        <w:rPr>
          <w:rFonts w:cs="LMMono12-Regular"/>
          <w:sz w:val="24"/>
          <w:szCs w:val="24"/>
        </w:rPr>
        <w:t xml:space="preserve"> </w:t>
      </w:r>
      <w:r w:rsidRPr="006A2FF4">
        <w:rPr>
          <w:rFonts w:cs="LMRoman12-Regular"/>
          <w:sz w:val="24"/>
          <w:szCs w:val="24"/>
        </w:rPr>
        <w:t>R package</w:t>
      </w:r>
      <w:r>
        <w:rPr>
          <w:rFonts w:cs="LMRoman12-Regular"/>
          <w:sz w:val="24"/>
          <w:szCs w:val="24"/>
        </w:rPr>
        <w:t xml:space="preserve"> </w:t>
      </w:r>
      <w:r>
        <w:rPr>
          <w:rFonts w:cs="LMRoman12-Regular"/>
          <w:noProof/>
          <w:sz w:val="24"/>
          <w:szCs w:val="24"/>
        </w:rPr>
        <w:t>[8]</w:t>
      </w:r>
      <w:r>
        <w:rPr>
          <w:rFonts w:cs="LMRoman12-Regular"/>
          <w:sz w:val="24"/>
          <w:szCs w:val="24"/>
        </w:rPr>
        <w:t>.</w:t>
      </w:r>
      <w:r w:rsidRPr="006A2FF4">
        <w:rPr>
          <w:rFonts w:cs="LMRoman12-Regular"/>
          <w:sz w:val="24"/>
          <w:szCs w:val="24"/>
        </w:rPr>
        <w:t xml:space="preserve"> </w:t>
      </w:r>
      <w:r>
        <w:rPr>
          <w:rFonts w:cs="LMRoman12-Regular"/>
          <w:sz w:val="24"/>
          <w:szCs w:val="24"/>
        </w:rPr>
        <w:t xml:space="preserve">Recently, accuracy of the </w:t>
      </w:r>
      <w:proofErr w:type="spellStart"/>
      <w:r w:rsidRPr="00466971">
        <w:rPr>
          <w:rFonts w:cs="LMRoman12-Regular"/>
          <w:i/>
          <w:sz w:val="24"/>
          <w:szCs w:val="24"/>
        </w:rPr>
        <w:t>minfi</w:t>
      </w:r>
      <w:proofErr w:type="spellEnd"/>
      <w:r>
        <w:rPr>
          <w:rFonts w:cs="LMRoman12-Regular"/>
          <w:sz w:val="24"/>
          <w:szCs w:val="24"/>
        </w:rPr>
        <w:t xml:space="preserve"> model was improved by Koestler et al. by using a new algorithm for the selection of markers included in the model </w:t>
      </w:r>
      <w:r>
        <w:rPr>
          <w:rFonts w:cs="LMRoman12-Regular"/>
          <w:noProof/>
          <w:sz w:val="24"/>
          <w:szCs w:val="24"/>
        </w:rPr>
        <w:t>[9]</w:t>
      </w:r>
      <w:r>
        <w:rPr>
          <w:rFonts w:cs="LMRoman12-Regular"/>
          <w:sz w:val="24"/>
          <w:szCs w:val="24"/>
        </w:rPr>
        <w:t xml:space="preserve">. </w:t>
      </w:r>
      <w:r w:rsidRPr="006A2FF4">
        <w:rPr>
          <w:rFonts w:cs="LMRoman12-Regular"/>
          <w:sz w:val="24"/>
          <w:szCs w:val="24"/>
        </w:rPr>
        <w:t>For both 27K and 450K platforms it is common to use estimated cell proportions from these models to adjust for confounding by LC in statistical analysis</w:t>
      </w:r>
      <w:r>
        <w:rPr>
          <w:rFonts w:cs="LMRoman12-Regular"/>
          <w:sz w:val="24"/>
          <w:szCs w:val="24"/>
        </w:rPr>
        <w:t xml:space="preserve"> </w:t>
      </w:r>
      <w:r>
        <w:rPr>
          <w:rFonts w:cs="LMRoman12-Regular"/>
          <w:noProof/>
          <w:sz w:val="24"/>
          <w:szCs w:val="24"/>
        </w:rPr>
        <w:t>[2, 5, 10, 11]</w:t>
      </w:r>
      <w:r>
        <w:rPr>
          <w:rFonts w:cs="LMRoman12-Regular"/>
          <w:sz w:val="24"/>
          <w:szCs w:val="24"/>
        </w:rPr>
        <w:t>.</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However, reports about the accuracy of these estimates vary widely</w:t>
      </w:r>
      <w:r>
        <w:rPr>
          <w:rFonts w:cs="LMRoman12-Regular"/>
          <w:sz w:val="24"/>
          <w:szCs w:val="24"/>
        </w:rPr>
        <w:t xml:space="preserve"> </w:t>
      </w:r>
      <w:r>
        <w:rPr>
          <w:rFonts w:cs="LMRoman12-Regular"/>
          <w:noProof/>
          <w:sz w:val="24"/>
          <w:szCs w:val="24"/>
        </w:rPr>
        <w:t>[9, 12-15]</w:t>
      </w:r>
      <w:r>
        <w:rPr>
          <w:rFonts w:cs="LMRoman12-Regular"/>
          <w:sz w:val="24"/>
          <w:szCs w:val="24"/>
        </w:rPr>
        <w:t>.</w:t>
      </w:r>
      <w:r w:rsidRPr="006A2FF4">
        <w:rPr>
          <w:rFonts w:cs="LMRoman12-Regular"/>
          <w:sz w:val="24"/>
          <w:szCs w:val="24"/>
        </w:rPr>
        <w:t xml:space="preserve"> Whole blood </w:t>
      </w:r>
      <w:proofErr w:type="spellStart"/>
      <w:r w:rsidRPr="006A2FF4">
        <w:rPr>
          <w:rFonts w:cs="LMRoman12-Regular"/>
          <w:sz w:val="24"/>
          <w:szCs w:val="24"/>
        </w:rPr>
        <w:t>DNAm</w:t>
      </w:r>
      <w:proofErr w:type="spellEnd"/>
      <w:r w:rsidRPr="006A2FF4">
        <w:rPr>
          <w:rFonts w:cs="LMRoman12-Regular"/>
          <w:sz w:val="24"/>
          <w:szCs w:val="24"/>
        </w:rPr>
        <w:t xml:space="preserve"> levels can be thought of as a weighted average of leukocyte</w:t>
      </w:r>
      <w:r>
        <w:rPr>
          <w:rFonts w:cs="LMRoman12-Regular"/>
          <w:sz w:val="24"/>
          <w:szCs w:val="24"/>
        </w:rPr>
        <w:t>-</w:t>
      </w:r>
      <w:r w:rsidRPr="006A2FF4">
        <w:rPr>
          <w:rFonts w:cs="LMRoman12-Regular"/>
          <w:sz w:val="24"/>
          <w:szCs w:val="24"/>
        </w:rPr>
        <w:t xml:space="preserve">specific methylation levels, which is the foundation for using purified cells as reference. While this </w:t>
      </w:r>
      <w:r>
        <w:rPr>
          <w:rFonts w:cs="LMRoman12-Regular"/>
          <w:sz w:val="24"/>
          <w:szCs w:val="24"/>
        </w:rPr>
        <w:t xml:space="preserve">linear </w:t>
      </w:r>
      <w:r w:rsidRPr="006A2FF4">
        <w:rPr>
          <w:rFonts w:cs="LMRoman12-Regular"/>
          <w:sz w:val="24"/>
          <w:szCs w:val="24"/>
        </w:rPr>
        <w:t xml:space="preserve">relation will hold approximately for measurements of methylation levels from the mentioned platforms, which </w:t>
      </w:r>
      <w:r w:rsidRPr="006A2FF4">
        <w:rPr>
          <w:rFonts w:cs="LMRoman12-Regular"/>
          <w:sz w:val="24"/>
          <w:szCs w:val="24"/>
        </w:rPr>
        <w:lastRenderedPageBreak/>
        <w:t xml:space="preserve">are commonly referred to as </w:t>
      </w:r>
      <m:oMath>
        <m:r>
          <w:rPr>
            <w:rFonts w:ascii="Cambria Math" w:hAnsi="Cambria Math" w:cs="LMRoman12-Regular"/>
            <w:sz w:val="24"/>
            <w:szCs w:val="24"/>
          </w:rPr>
          <m:t>β</m:t>
        </m:r>
      </m:oMath>
      <w:r w:rsidRPr="006A2FF4">
        <w:rPr>
          <w:rFonts w:cs="LMRoman12-Regular"/>
          <w:sz w:val="24"/>
          <w:szCs w:val="24"/>
        </w:rPr>
        <w:t xml:space="preserve">-values, it might be distorted by background noise, an issue common to microarray technology: if we were to compare the </w:t>
      </w:r>
      <m:oMath>
        <m:r>
          <w:rPr>
            <w:rFonts w:ascii="Cambria Math" w:hAnsi="Cambria Math" w:cs="LMRoman12-Regular"/>
            <w:sz w:val="24"/>
            <w:szCs w:val="24"/>
          </w:rPr>
          <m:t>β</m:t>
        </m:r>
      </m:oMath>
      <w:r w:rsidRPr="006A2FF4">
        <w:rPr>
          <w:rFonts w:cs="LMRoman12-Regular"/>
          <w:sz w:val="24"/>
          <w:szCs w:val="24"/>
        </w:rPr>
        <w:t xml:space="preserve">-values of a whole blood sample with the weighted average of </w:t>
      </w:r>
      <m:oMath>
        <m:r>
          <w:rPr>
            <w:rFonts w:ascii="Cambria Math" w:hAnsi="Cambria Math" w:cs="LMRoman12-Regular"/>
            <w:sz w:val="24"/>
            <w:szCs w:val="24"/>
          </w:rPr>
          <m:t>β</m:t>
        </m:r>
      </m:oMath>
      <w:r w:rsidRPr="006A2FF4">
        <w:rPr>
          <w:rFonts w:cs="LMRoman12-Regular"/>
          <w:sz w:val="24"/>
          <w:szCs w:val="24"/>
        </w:rPr>
        <w:t xml:space="preserve">-values of its cell fractions, they would differ due to background noise. Training a model on whole blood </w:t>
      </w:r>
      <m:oMath>
        <m:r>
          <w:rPr>
            <w:rFonts w:ascii="Cambria Math" w:hAnsi="Cambria Math" w:cs="LMRoman12-Regular"/>
            <w:sz w:val="24"/>
            <w:szCs w:val="24"/>
          </w:rPr>
          <m:t>β</m:t>
        </m:r>
      </m:oMath>
      <w:r w:rsidRPr="006A2FF4">
        <w:rPr>
          <w:rFonts w:cs="LMRoman12-Regular"/>
          <w:sz w:val="24"/>
          <w:szCs w:val="24"/>
        </w:rPr>
        <w:t xml:space="preserve">-values might better account for </w:t>
      </w:r>
      <w:r>
        <w:rPr>
          <w:rFonts w:cs="LMRoman12-Regular"/>
          <w:sz w:val="24"/>
          <w:szCs w:val="24"/>
        </w:rPr>
        <w:t>background noise</w:t>
      </w:r>
      <w:r w:rsidRPr="006A2FF4">
        <w:rPr>
          <w:rFonts w:cs="LMRoman12-Regular"/>
          <w:sz w:val="24"/>
          <w:szCs w:val="24"/>
        </w:rPr>
        <w:t>. Our aim was to explore the possibility to train a model for LC estimation on a reference dataset of whole blood samples.</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pStyle w:val="Heading1"/>
        <w:spacing w:line="480" w:lineRule="auto"/>
        <w:rPr>
          <w:rFonts w:asciiTheme="minorHAnsi" w:hAnsiTheme="minorHAnsi" w:cs="LMRoman12-Regular"/>
          <w:sz w:val="24"/>
          <w:szCs w:val="24"/>
        </w:rPr>
      </w:pPr>
      <w:r w:rsidRPr="006A2FF4">
        <w:rPr>
          <w:rFonts w:asciiTheme="minorHAnsi" w:hAnsiTheme="minorHAnsi"/>
          <w:sz w:val="24"/>
          <w:szCs w:val="24"/>
        </w:rPr>
        <w:t>Methods</w:t>
      </w:r>
    </w:p>
    <w:p w:rsidR="00D51AC1" w:rsidRPr="006A2FF4" w:rsidRDefault="00D51AC1" w:rsidP="00711F9C">
      <w:pPr>
        <w:autoSpaceDE w:val="0"/>
        <w:autoSpaceDN w:val="0"/>
        <w:adjustRightInd w:val="0"/>
        <w:spacing w:after="0" w:line="480" w:lineRule="auto"/>
        <w:rPr>
          <w:rFonts w:cs="Arial"/>
          <w:b/>
          <w:bCs/>
          <w:sz w:val="24"/>
          <w:szCs w:val="24"/>
        </w:rPr>
      </w:pPr>
      <w:r w:rsidRPr="006A2FF4">
        <w:rPr>
          <w:rFonts w:cs="Arial"/>
          <w:b/>
          <w:bCs/>
          <w:sz w:val="24"/>
          <w:szCs w:val="24"/>
        </w:rPr>
        <w:t>Study populations</w:t>
      </w:r>
    </w:p>
    <w:p w:rsidR="00D51AC1" w:rsidRPr="006A2FF4" w:rsidRDefault="00D51AC1" w:rsidP="00711F9C">
      <w:pPr>
        <w:autoSpaceDE w:val="0"/>
        <w:autoSpaceDN w:val="0"/>
        <w:adjustRightInd w:val="0"/>
        <w:spacing w:after="0" w:line="480" w:lineRule="auto"/>
        <w:rPr>
          <w:rFonts w:cs="Arial"/>
          <w:sz w:val="24"/>
          <w:szCs w:val="24"/>
        </w:rPr>
      </w:pPr>
      <w:r w:rsidRPr="006A2FF4">
        <w:rPr>
          <w:rFonts w:cs="Arial"/>
          <w:sz w:val="24"/>
          <w:szCs w:val="24"/>
        </w:rPr>
        <w:t xml:space="preserve">DNA methylation profiles of whole blood samples </w:t>
      </w:r>
      <w:r>
        <w:rPr>
          <w:rFonts w:cs="Arial"/>
          <w:sz w:val="24"/>
          <w:szCs w:val="24"/>
        </w:rPr>
        <w:t>and corresponding</w:t>
      </w:r>
      <w:r w:rsidRPr="006A2FF4">
        <w:rPr>
          <w:rFonts w:cs="Arial"/>
          <w:sz w:val="24"/>
          <w:szCs w:val="24"/>
        </w:rPr>
        <w:t xml:space="preserve"> 5-part blood cell counts from 2,445 participants from a nested case-control study within the London Life Sciences Prospective Population Study (LOLIPOP) cohort were available. Details about this nested case-control study have been reported elsewhere</w:t>
      </w:r>
      <w:r>
        <w:rPr>
          <w:rFonts w:cs="Arial"/>
          <w:sz w:val="24"/>
          <w:szCs w:val="24"/>
        </w:rPr>
        <w:t xml:space="preserve"> </w:t>
      </w:r>
      <w:r>
        <w:rPr>
          <w:rFonts w:cs="Arial"/>
          <w:noProof/>
          <w:sz w:val="24"/>
          <w:szCs w:val="24"/>
        </w:rPr>
        <w:t>[2]</w:t>
      </w:r>
      <w:r>
        <w:rPr>
          <w:rFonts w:cs="Arial"/>
          <w:sz w:val="24"/>
          <w:szCs w:val="24"/>
        </w:rPr>
        <w:t>.</w:t>
      </w:r>
      <w:r w:rsidRPr="006A2FF4">
        <w:rPr>
          <w:rFonts w:cs="Arial"/>
          <w:sz w:val="24"/>
          <w:szCs w:val="24"/>
        </w:rPr>
        <w:t xml:space="preserve"> In brief, all participants in this study from London, UK, were of Indian Asian descent, most were male (n=1,646, 67%) and mean age and standard deviation at enrollment were 50.9</w:t>
      </w:r>
      <w:r w:rsidRPr="006A2FF4">
        <w:rPr>
          <w:rFonts w:eastAsia="LatinModernMath-Regular" w:cs="Arial"/>
          <w:sz w:val="24"/>
          <w:szCs w:val="24"/>
        </w:rPr>
        <w:t>±</w:t>
      </w:r>
      <w:r w:rsidRPr="006A2FF4">
        <w:rPr>
          <w:rFonts w:cs="Arial"/>
          <w:sz w:val="24"/>
          <w:szCs w:val="24"/>
        </w:rPr>
        <w:t xml:space="preserve">10.1 years. Blood samples were taken at baseline. Cases with incident type </w:t>
      </w:r>
      <w:proofErr w:type="gramStart"/>
      <w:r w:rsidRPr="006A2FF4">
        <w:rPr>
          <w:rFonts w:cs="Arial"/>
          <w:sz w:val="24"/>
          <w:szCs w:val="24"/>
        </w:rPr>
        <w:t>2 diabetes</w:t>
      </w:r>
      <w:proofErr w:type="gramEnd"/>
      <w:r w:rsidRPr="006A2FF4">
        <w:rPr>
          <w:rFonts w:cs="Arial"/>
          <w:sz w:val="24"/>
          <w:szCs w:val="24"/>
        </w:rPr>
        <w:t xml:space="preserve"> were identified at the 8-year follow-up and controls were matched for sex and age. Written informed consent was obtained from all participants. A second dataset of 37 subjects, recruited in context of the KAROLA study, was used as external validation. Details on the KAROLA study have been reported elsewhere</w:t>
      </w:r>
      <w:r>
        <w:rPr>
          <w:rFonts w:cs="Arial"/>
          <w:sz w:val="24"/>
          <w:szCs w:val="24"/>
        </w:rPr>
        <w:t xml:space="preserve"> </w:t>
      </w:r>
      <w:r>
        <w:rPr>
          <w:rFonts w:cs="Arial"/>
          <w:noProof/>
          <w:sz w:val="24"/>
          <w:szCs w:val="24"/>
        </w:rPr>
        <w:t>[16]</w:t>
      </w:r>
      <w:r>
        <w:rPr>
          <w:rFonts w:cs="Arial"/>
          <w:sz w:val="24"/>
          <w:szCs w:val="24"/>
        </w:rPr>
        <w:t>.</w:t>
      </w:r>
      <w:r w:rsidRPr="006A2FF4">
        <w:rPr>
          <w:rFonts w:cs="Arial"/>
          <w:sz w:val="24"/>
          <w:szCs w:val="24"/>
        </w:rPr>
        <w:t xml:space="preserve"> In brief, participants with a stable coronary heart disease were recruited several weeks up to three months after myocardial infarction or coronary artery revascularization at two cooperating rehabilitation clinics in Southern Germany in 2009-2011. Participants were Caucasian, most </w:t>
      </w:r>
      <w:r w:rsidRPr="006A2FF4">
        <w:rPr>
          <w:rFonts w:cs="Arial"/>
          <w:sz w:val="24"/>
          <w:szCs w:val="24"/>
        </w:rPr>
        <w:lastRenderedPageBreak/>
        <w:t>were male (n=31) and mean age and standard deviation at enrollment were 63.2</w:t>
      </w:r>
      <w:r w:rsidRPr="006A2FF4">
        <w:rPr>
          <w:rFonts w:eastAsia="LatinModernMath-Regular" w:cs="Arial"/>
          <w:sz w:val="24"/>
          <w:szCs w:val="24"/>
        </w:rPr>
        <w:t>±</w:t>
      </w:r>
      <w:r w:rsidRPr="006A2FF4">
        <w:rPr>
          <w:rFonts w:cs="Arial"/>
          <w:sz w:val="24"/>
          <w:szCs w:val="24"/>
        </w:rPr>
        <w:t>6.7 years. Blood samples were taken at baseline. Written informed consent was obtained from all participants.</w:t>
      </w:r>
    </w:p>
    <w:p w:rsidR="00D51AC1" w:rsidRPr="006A2FF4" w:rsidRDefault="00D51AC1" w:rsidP="00711F9C">
      <w:pPr>
        <w:autoSpaceDE w:val="0"/>
        <w:autoSpaceDN w:val="0"/>
        <w:adjustRightInd w:val="0"/>
        <w:spacing w:after="0" w:line="480" w:lineRule="auto"/>
        <w:rPr>
          <w:rFonts w:cs="Arial"/>
          <w:sz w:val="24"/>
          <w:szCs w:val="24"/>
        </w:rPr>
      </w:pPr>
    </w:p>
    <w:p w:rsidR="00D51AC1" w:rsidRPr="006A2FF4" w:rsidRDefault="00D51AC1" w:rsidP="00711F9C">
      <w:pPr>
        <w:autoSpaceDE w:val="0"/>
        <w:autoSpaceDN w:val="0"/>
        <w:adjustRightInd w:val="0"/>
        <w:spacing w:after="0" w:line="480" w:lineRule="auto"/>
        <w:rPr>
          <w:rFonts w:cs="LMRoman12-Bold"/>
          <w:b/>
          <w:bCs/>
          <w:sz w:val="24"/>
          <w:szCs w:val="24"/>
        </w:rPr>
      </w:pPr>
      <w:r w:rsidRPr="006A2FF4">
        <w:rPr>
          <w:rFonts w:cs="LMRoman12-Bold"/>
          <w:b/>
          <w:bCs/>
          <w:sz w:val="24"/>
          <w:szCs w:val="24"/>
        </w:rPr>
        <w:t>Laboratory measurements</w:t>
      </w: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DNA methylation</w:t>
      </w:r>
      <w:r>
        <w:rPr>
          <w:rFonts w:cs="LMRoman12-Regular"/>
          <w:sz w:val="24"/>
          <w:szCs w:val="24"/>
        </w:rPr>
        <w:t xml:space="preserve"> of whole blood samples</w:t>
      </w:r>
      <w:r w:rsidRPr="006A2FF4">
        <w:rPr>
          <w:rFonts w:cs="LMRoman12-Regular"/>
          <w:sz w:val="24"/>
          <w:szCs w:val="24"/>
        </w:rPr>
        <w:t xml:space="preserve"> was measured on the Illumina </w:t>
      </w:r>
      <w:proofErr w:type="spellStart"/>
      <w:r w:rsidRPr="006A2FF4">
        <w:rPr>
          <w:rFonts w:cs="LMRoman12-Regular"/>
          <w:sz w:val="24"/>
          <w:szCs w:val="24"/>
        </w:rPr>
        <w:t>Infinium</w:t>
      </w:r>
      <w:proofErr w:type="spellEnd"/>
      <w:r w:rsidRPr="006A2FF4">
        <w:rPr>
          <w:rFonts w:cs="LMRoman12-Regular"/>
          <w:sz w:val="24"/>
          <w:szCs w:val="24"/>
        </w:rPr>
        <w:t xml:space="preserve"> 450K platform that queries the methylation levels of 485,512 </w:t>
      </w:r>
      <w:proofErr w:type="spellStart"/>
      <w:r w:rsidRPr="006A2FF4">
        <w:rPr>
          <w:rFonts w:cs="LMRoman12-Regular"/>
          <w:sz w:val="24"/>
          <w:szCs w:val="24"/>
        </w:rPr>
        <w:t>CpG</w:t>
      </w:r>
      <w:proofErr w:type="spellEnd"/>
      <w:r w:rsidRPr="006A2FF4">
        <w:rPr>
          <w:rFonts w:cs="LMRoman12-Regular"/>
          <w:sz w:val="24"/>
          <w:szCs w:val="24"/>
        </w:rPr>
        <w:t xml:space="preserve"> sites. Data were normalized using the R package </w:t>
      </w:r>
      <w:r w:rsidRPr="00F838AD">
        <w:rPr>
          <w:rFonts w:cs="LMMono12-Regular"/>
          <w:i/>
          <w:sz w:val="24"/>
          <w:szCs w:val="24"/>
        </w:rPr>
        <w:t>normalize450K</w:t>
      </w:r>
      <w:r>
        <w:rPr>
          <w:rFonts w:cs="LMMono12-Regular"/>
          <w:i/>
          <w:sz w:val="24"/>
          <w:szCs w:val="24"/>
        </w:rPr>
        <w:t xml:space="preserve"> </w:t>
      </w:r>
      <w:r>
        <w:rPr>
          <w:rFonts w:cs="LMMono12-Regular"/>
          <w:noProof/>
          <w:sz w:val="24"/>
          <w:szCs w:val="24"/>
        </w:rPr>
        <w:t>[17]</w:t>
      </w:r>
      <w:r w:rsidRPr="006525B7">
        <w:rPr>
          <w:rFonts w:cs="LMRoman12-Regular"/>
          <w:sz w:val="24"/>
          <w:szCs w:val="24"/>
        </w:rPr>
        <w:t xml:space="preserve"> </w:t>
      </w:r>
      <w:r w:rsidRPr="006A2FF4">
        <w:rPr>
          <w:rFonts w:cs="LMRoman12-Regular"/>
          <w:sz w:val="24"/>
          <w:szCs w:val="24"/>
        </w:rPr>
        <w:t xml:space="preserve">and methylation levels were expressed as </w:t>
      </w:r>
      <w:r w:rsidRPr="006A2FF4">
        <w:rPr>
          <w:rFonts w:ascii="Cambria Math" w:eastAsia="LatinModernMath-Regular" w:hAnsi="Cambria Math" w:cs="Cambria Math"/>
          <w:sz w:val="24"/>
          <w:szCs w:val="24"/>
        </w:rPr>
        <w:t>𝛽</w:t>
      </w:r>
      <w:r w:rsidRPr="006A2FF4">
        <w:rPr>
          <w:rFonts w:cs="LMRoman12-Regular"/>
          <w:sz w:val="24"/>
          <w:szCs w:val="24"/>
        </w:rPr>
        <w:t xml:space="preserve">-values. Cell counts included proportions of neutrophils (NE), eosinophils (EO), basophils (BA), lymphocytes (LY) and monocytes (MO). Cell counts in LOLIPOP were performed using a </w:t>
      </w:r>
      <w:proofErr w:type="spellStart"/>
      <w:r w:rsidRPr="006A2FF4">
        <w:rPr>
          <w:rFonts w:cs="LMRoman12-Regular"/>
          <w:sz w:val="24"/>
          <w:szCs w:val="24"/>
        </w:rPr>
        <w:t>Sysmex</w:t>
      </w:r>
      <w:proofErr w:type="spellEnd"/>
      <w:r w:rsidRPr="006A2FF4">
        <w:rPr>
          <w:rFonts w:cs="LMRoman12-Regular"/>
          <w:sz w:val="24"/>
          <w:szCs w:val="24"/>
        </w:rPr>
        <w:t xml:space="preserve"> XE-2100 hematology </w:t>
      </w:r>
      <w:proofErr w:type="gramStart"/>
      <w:r w:rsidRPr="006A2FF4">
        <w:rPr>
          <w:rFonts w:cs="LMRoman12-Regular"/>
          <w:sz w:val="24"/>
          <w:szCs w:val="24"/>
        </w:rPr>
        <w:t>analyzer,</w:t>
      </w:r>
      <w:proofErr w:type="gramEnd"/>
      <w:r w:rsidRPr="006A2FF4">
        <w:rPr>
          <w:rFonts w:cs="LMRoman12-Regular"/>
          <w:sz w:val="24"/>
          <w:szCs w:val="24"/>
        </w:rPr>
        <w:t xml:space="preserve"> cell counts in KAROLA were performed using a Beckman Coulter LH 750 or an Abbott CELL-DYN Sapphire hematology analyzer. Average cell proportions and standard deviations stratified by cell counting device are given in </w:t>
      </w:r>
      <w:r w:rsidRPr="00663F03">
        <w:rPr>
          <w:rFonts w:cs="LMRoman12-Regular"/>
          <w:b/>
          <w:sz w:val="24"/>
          <w:szCs w:val="24"/>
        </w:rPr>
        <w:t>Table 1</w:t>
      </w:r>
      <w:r w:rsidRPr="006A2FF4">
        <w:rPr>
          <w:rFonts w:cs="LMRoman12-Regular"/>
          <w:sz w:val="24"/>
          <w:szCs w:val="24"/>
        </w:rPr>
        <w:t xml:space="preserve"> and were rather similar in both study populations, with neutrophils (close to 55%) and lymphocytes (30-35%) being the by far most common cell types.</w:t>
      </w:r>
    </w:p>
    <w:p w:rsidR="00D51AC1" w:rsidRPr="006A2FF4" w:rsidRDefault="00D51AC1" w:rsidP="00711F9C">
      <w:pPr>
        <w:spacing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Bold"/>
          <w:b/>
          <w:bCs/>
          <w:sz w:val="24"/>
          <w:szCs w:val="24"/>
        </w:rPr>
      </w:pPr>
      <w:r w:rsidRPr="006A2FF4">
        <w:rPr>
          <w:rFonts w:cs="LMRoman12-Bold"/>
          <w:b/>
          <w:bCs/>
          <w:sz w:val="24"/>
          <w:szCs w:val="24"/>
        </w:rPr>
        <w:t>Statistical analyses</w:t>
      </w: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First, we wanted to estimate how many of the 485,512 probes on the 450K chip </w:t>
      </w:r>
      <w:r>
        <w:rPr>
          <w:rFonts w:cs="LMRoman12-Regular"/>
          <w:sz w:val="24"/>
          <w:szCs w:val="24"/>
        </w:rPr>
        <w:t xml:space="preserve">were </w:t>
      </w:r>
      <w:r w:rsidRPr="006A2FF4">
        <w:rPr>
          <w:rFonts w:cs="LMRoman12-Regular"/>
          <w:sz w:val="24"/>
          <w:szCs w:val="24"/>
        </w:rPr>
        <w:t>associated with LC. As cell proportions are compositional data</w:t>
      </w:r>
      <w:r>
        <w:rPr>
          <w:rFonts w:cs="LMRoman12-Regular"/>
          <w:sz w:val="24"/>
          <w:szCs w:val="24"/>
        </w:rPr>
        <w:t xml:space="preserve"> (they represent relative quantities)</w:t>
      </w:r>
      <w:r>
        <w:rPr>
          <w:rFonts w:cs="LMRoman12-Regular"/>
          <w:noProof/>
          <w:sz w:val="24"/>
          <w:szCs w:val="24"/>
        </w:rPr>
        <w:t xml:space="preserve"> [18]</w:t>
      </w:r>
      <w:r w:rsidRPr="006A2FF4">
        <w:rPr>
          <w:rFonts w:cs="LMRoman12-Regular"/>
          <w:sz w:val="24"/>
          <w:szCs w:val="24"/>
        </w:rPr>
        <w:t xml:space="preserve">, cell types were not tested individually for their association with methylation levels, instead two linear models were trained for each probe, one including only an intercept, sex and batch (indicating the 96-well plate on which the sample was run) as independent variables (model </w:t>
      </w:r>
      <w:r w:rsidRPr="006A2FF4">
        <w:rPr>
          <w:rFonts w:cs="LMRoman12-Bold"/>
          <w:b/>
          <w:bCs/>
          <w:sz w:val="24"/>
          <w:szCs w:val="24"/>
        </w:rPr>
        <w:t>A</w:t>
      </w:r>
      <w:r w:rsidRPr="006A2FF4">
        <w:rPr>
          <w:rFonts w:cs="LMRoman12-Regular"/>
          <w:sz w:val="24"/>
          <w:szCs w:val="24"/>
        </w:rPr>
        <w:t xml:space="preserve">), </w:t>
      </w:r>
      <w:r w:rsidRPr="006A2FF4">
        <w:rPr>
          <w:rFonts w:cs="LMRoman12-Regular"/>
          <w:sz w:val="24"/>
          <w:szCs w:val="24"/>
        </w:rPr>
        <w:lastRenderedPageBreak/>
        <w:t xml:space="preserve">the other including also cell counts of EO, BA, LY and MO (model </w:t>
      </w:r>
      <w:r w:rsidRPr="006A2FF4">
        <w:rPr>
          <w:rFonts w:cs="LMRoman12-Bold"/>
          <w:b/>
          <w:bCs/>
          <w:sz w:val="24"/>
          <w:szCs w:val="24"/>
        </w:rPr>
        <w:t>B</w:t>
      </w:r>
      <w:r w:rsidRPr="006A2FF4">
        <w:rPr>
          <w:rFonts w:cs="LMRoman12-Regular"/>
          <w:sz w:val="24"/>
          <w:szCs w:val="24"/>
        </w:rPr>
        <w:t xml:space="preserve">). NE were not included as this proportion can be calculated from the other cell types (proportions sum up to 1) and including all cell types would falsely increase the degree of freedom and hence underestimate the number of probes associated with LC. As we were not interested in the regression coefficients in this step it does not matter which cell type is left out, but there might be slight differences due to rounding errors. NE </w:t>
      </w:r>
      <w:proofErr w:type="gramStart"/>
      <w:r w:rsidRPr="006A2FF4">
        <w:rPr>
          <w:rFonts w:cs="LMRoman12-Regular"/>
          <w:sz w:val="24"/>
          <w:szCs w:val="24"/>
        </w:rPr>
        <w:t>were</w:t>
      </w:r>
      <w:proofErr w:type="gramEnd"/>
      <w:r w:rsidRPr="006A2FF4">
        <w:rPr>
          <w:rFonts w:cs="LMRoman12-Regular"/>
          <w:sz w:val="24"/>
          <w:szCs w:val="24"/>
        </w:rPr>
        <w:t xml:space="preserve"> left out, as this resulted in a model specification with the lowest variance inflation factors among the remaining variables, a useful property for later analysis steps. ANOVA was used to test the significance of the gain in </w:t>
      </w:r>
      <m:oMath>
        <m:r>
          <w:rPr>
            <w:rFonts w:ascii="Cambria Math" w:hAnsi="Cambria Math" w:cs="LMRoman12-Regular"/>
            <w:sz w:val="24"/>
            <w:szCs w:val="24"/>
          </w:rPr>
          <m:t>R²</m:t>
        </m:r>
      </m:oMath>
      <w:r w:rsidRPr="006A2FF4">
        <w:rPr>
          <w:rFonts w:eastAsia="LatinModernMath-Regular" w:cs="LatinModernMath-Regular"/>
          <w:sz w:val="24"/>
          <w:szCs w:val="24"/>
        </w:rPr>
        <w:t xml:space="preserve"> </w:t>
      </w:r>
      <w:r w:rsidRPr="006A2FF4">
        <w:rPr>
          <w:rFonts w:cs="LMRoman12-Regular"/>
          <w:sz w:val="24"/>
          <w:szCs w:val="24"/>
        </w:rPr>
        <w:t xml:space="preserve">by including cell counts. Based on the distribution of p-values </w:t>
      </w:r>
      <w:r>
        <w:rPr>
          <w:rFonts w:cs="LMRoman12-Regular"/>
          <w:sz w:val="24"/>
          <w:szCs w:val="24"/>
        </w:rPr>
        <w:t xml:space="preserve">from all 485,512 probes </w:t>
      </w:r>
      <w:r w:rsidRPr="006A2FF4">
        <w:rPr>
          <w:rFonts w:cs="LMRoman12-Regular"/>
          <w:sz w:val="24"/>
          <w:szCs w:val="24"/>
        </w:rPr>
        <w:t xml:space="preserve">the fraction of probes that </w:t>
      </w:r>
      <w:r>
        <w:rPr>
          <w:rFonts w:cs="LMRoman12-Regular"/>
          <w:sz w:val="24"/>
          <w:szCs w:val="24"/>
        </w:rPr>
        <w:t>were</w:t>
      </w:r>
      <w:r w:rsidRPr="006A2FF4">
        <w:rPr>
          <w:rFonts w:cs="LMRoman12-Regular"/>
          <w:sz w:val="24"/>
          <w:szCs w:val="24"/>
        </w:rPr>
        <w:t xml:space="preserve"> associated with LC was estimated using the function </w:t>
      </w:r>
      <w:r w:rsidRPr="00EA442B">
        <w:rPr>
          <w:rFonts w:cs="LMMono12-Regular"/>
          <w:i/>
          <w:sz w:val="24"/>
          <w:szCs w:val="24"/>
        </w:rPr>
        <w:t>pi0.est</w:t>
      </w:r>
      <w:r w:rsidRPr="006A2FF4">
        <w:rPr>
          <w:rFonts w:cs="LMMono12-Regular"/>
          <w:sz w:val="24"/>
          <w:szCs w:val="24"/>
        </w:rPr>
        <w:t xml:space="preserve"> </w:t>
      </w:r>
      <w:r w:rsidRPr="006A2FF4">
        <w:rPr>
          <w:rFonts w:cs="LMRoman12-Regular"/>
          <w:sz w:val="24"/>
          <w:szCs w:val="24"/>
        </w:rPr>
        <w:t xml:space="preserve">from the </w:t>
      </w:r>
      <w:proofErr w:type="spellStart"/>
      <w:r w:rsidRPr="006A2FF4">
        <w:rPr>
          <w:rFonts w:cs="LMMono12-Regular"/>
          <w:i/>
          <w:sz w:val="24"/>
          <w:szCs w:val="24"/>
        </w:rPr>
        <w:t>siggenes</w:t>
      </w:r>
      <w:proofErr w:type="spellEnd"/>
      <w:r w:rsidRPr="006A2FF4">
        <w:rPr>
          <w:rFonts w:cs="LMMono12-Regular"/>
          <w:sz w:val="24"/>
          <w:szCs w:val="24"/>
        </w:rPr>
        <w:t xml:space="preserve"> </w:t>
      </w:r>
      <w:r w:rsidRPr="006A2FF4">
        <w:rPr>
          <w:rFonts w:cs="LMRoman12-Regular"/>
          <w:sz w:val="24"/>
          <w:szCs w:val="24"/>
        </w:rPr>
        <w:t>package</w:t>
      </w:r>
      <w:r>
        <w:rPr>
          <w:rFonts w:cs="LMRoman12-Regular"/>
          <w:sz w:val="24"/>
          <w:szCs w:val="24"/>
        </w:rPr>
        <w:t xml:space="preserve"> </w:t>
      </w:r>
      <w:r>
        <w:rPr>
          <w:rFonts w:cs="LMRoman12-Regular"/>
          <w:noProof/>
          <w:sz w:val="24"/>
          <w:szCs w:val="24"/>
        </w:rPr>
        <w:t>[19, 20]</w:t>
      </w:r>
      <w:r>
        <w:rPr>
          <w:rFonts w:cs="LMRoman12-Regular"/>
          <w:sz w:val="24"/>
          <w:szCs w:val="24"/>
        </w:rPr>
        <w:t>.</w:t>
      </w:r>
      <w:r w:rsidRPr="006A2FF4">
        <w:rPr>
          <w:rFonts w:cs="LMRoman12-Regular"/>
          <w:sz w:val="24"/>
          <w:szCs w:val="24"/>
        </w:rPr>
        <w:t xml:space="preserve"> Of course</w:t>
      </w:r>
      <w:r>
        <w:rPr>
          <w:rFonts w:cs="LMRoman12-Regular"/>
          <w:sz w:val="24"/>
          <w:szCs w:val="24"/>
        </w:rPr>
        <w:t>,</w:t>
      </w:r>
      <w:r w:rsidRPr="006A2FF4">
        <w:rPr>
          <w:rFonts w:cs="LMRoman12-Regular"/>
          <w:sz w:val="24"/>
          <w:szCs w:val="24"/>
        </w:rPr>
        <w:t xml:space="preserve"> this estimate will reflect only associations with main cell types. Although the included cell types can be divided further into subtypes that also show distinctive epigenetic profiles</w:t>
      </w:r>
      <w:r>
        <w:rPr>
          <w:rFonts w:cs="LMRoman12-Regular"/>
          <w:sz w:val="24"/>
          <w:szCs w:val="24"/>
        </w:rPr>
        <w:t xml:space="preserve"> </w:t>
      </w:r>
      <w:r>
        <w:rPr>
          <w:rFonts w:cs="LMRoman12-Regular"/>
          <w:noProof/>
          <w:sz w:val="24"/>
          <w:szCs w:val="24"/>
        </w:rPr>
        <w:t>[4]</w:t>
      </w:r>
      <w:r>
        <w:rPr>
          <w:rFonts w:cs="LMRoman12-Regular"/>
          <w:sz w:val="24"/>
          <w:szCs w:val="24"/>
        </w:rPr>
        <w:t>,</w:t>
      </w:r>
      <w:r w:rsidRPr="006A2FF4">
        <w:rPr>
          <w:rFonts w:cs="LMRoman12-Regular"/>
          <w:sz w:val="24"/>
          <w:szCs w:val="24"/>
        </w:rPr>
        <w:t xml:space="preserve"> our estimate will still give an impression of the possible magnitude of confounding. All 2,445 LOLIPOP samples were used in this step.</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9-Regular"/>
          <w:sz w:val="24"/>
          <w:szCs w:val="24"/>
        </w:rPr>
      </w:pPr>
      <w:r w:rsidRPr="006A2FF4">
        <w:rPr>
          <w:rFonts w:cs="LMRoman12-Regular"/>
          <w:sz w:val="24"/>
          <w:szCs w:val="24"/>
        </w:rPr>
        <w:t xml:space="preserve">Next we tested if we could estimate the LC using whole blood </w:t>
      </w:r>
      <w:proofErr w:type="spellStart"/>
      <w:r>
        <w:rPr>
          <w:rFonts w:cs="LMRoman12-Regular"/>
          <w:sz w:val="24"/>
          <w:szCs w:val="24"/>
        </w:rPr>
        <w:t>DNAmand</w:t>
      </w:r>
      <w:proofErr w:type="spellEnd"/>
      <w:r>
        <w:rPr>
          <w:rFonts w:cs="LMRoman12-Regular"/>
          <w:sz w:val="24"/>
          <w:szCs w:val="24"/>
        </w:rPr>
        <w:t xml:space="preserve"> cell counts</w:t>
      </w:r>
      <w:r w:rsidRPr="006A2FF4">
        <w:rPr>
          <w:rFonts w:cs="LMRoman12-Regular"/>
          <w:sz w:val="24"/>
          <w:szCs w:val="24"/>
        </w:rPr>
        <w:t xml:space="preserve"> as reference. Two 96-well plates with a total of 175 samples from LOLIPOP were used for model training and the remaining samples as test set. Samples from the KAROLA study served as external validation without refitting of the model. We chose a small size for the training set in order to see if building a new reference set from scratch is a viable option. However</w:t>
      </w:r>
      <w:r>
        <w:rPr>
          <w:rFonts w:cs="LMRoman12-Regular"/>
          <w:sz w:val="24"/>
          <w:szCs w:val="24"/>
        </w:rPr>
        <w:t>,</w:t>
      </w:r>
      <w:r w:rsidRPr="006A2FF4">
        <w:rPr>
          <w:rFonts w:cs="LMRoman12-Regular"/>
          <w:sz w:val="24"/>
          <w:szCs w:val="24"/>
        </w:rPr>
        <w:t xml:space="preserve"> we also trained a model on half the LOLIPOP samples to see if accuracy would differ. For all probes on the 450K chip partial correlation coefficients of methylation levels with cell proportions were </w:t>
      </w:r>
      <w:r w:rsidRPr="006A2FF4">
        <w:rPr>
          <w:rFonts w:cs="LMRoman12-Regular"/>
          <w:sz w:val="24"/>
          <w:szCs w:val="24"/>
        </w:rPr>
        <w:lastRenderedPageBreak/>
        <w:t>computed for EO, BA, LY and MO, each coefficient adjusted for the other cell types and sex and batch. NE proportions were not included as covariate. For each of the four cell types the 10 probes with the highest absolute partial correlation coefficients were selected</w:t>
      </w:r>
      <w:r>
        <w:rPr>
          <w:rFonts w:cs="LMRoman12-Regular"/>
          <w:sz w:val="24"/>
          <w:szCs w:val="24"/>
        </w:rPr>
        <w:t xml:space="preserve"> (a list of these markers is provided in the supplement)</w:t>
      </w:r>
      <w:r w:rsidRPr="006A2FF4">
        <w:rPr>
          <w:rFonts w:cs="LMRoman12-Regular"/>
          <w:sz w:val="24"/>
          <w:szCs w:val="24"/>
        </w:rPr>
        <w:t xml:space="preserve">. Methylation levels of these 40 markers were regressed on the same set of variables as before (EO, BA, LY, MO, sex and batch; deviation coding was used for the categorical variables) and intercepts </w:t>
      </w:r>
      <m:oMath>
        <m:sSub>
          <m:sSubPr>
            <m:ctrlPr>
              <w:rPr>
                <w:rFonts w:ascii="Cambria Math" w:hAnsi="Cambria Math" w:cs="LMRoman12-Regular"/>
                <w:i/>
                <w:sz w:val="24"/>
                <w:szCs w:val="24"/>
              </w:rPr>
            </m:ctrlPr>
          </m:sSubPr>
          <m:e>
            <m:r>
              <w:rPr>
                <w:rFonts w:ascii="Cambria Math" w:hAnsi="Cambria Math" w:cs="LMRoman12-Regular"/>
                <w:sz w:val="24"/>
                <w:szCs w:val="24"/>
              </w:rPr>
              <m:t>α</m:t>
            </m:r>
          </m:e>
          <m:sub>
            <m:r>
              <w:rPr>
                <w:rFonts w:ascii="Cambria Math" w:hAnsi="Cambria Math" w:cs="LMRoman12-Regular"/>
                <w:sz w:val="24"/>
                <w:szCs w:val="24"/>
              </w:rPr>
              <m:t>i</m:t>
            </m:r>
          </m:sub>
        </m:sSub>
      </m:oMath>
      <w:r w:rsidRPr="006A2FF4">
        <w:rPr>
          <w:rFonts w:eastAsia="LatinModernMath-Regular" w:cs="LatinModernMath-Regular"/>
          <w:sz w:val="24"/>
          <w:szCs w:val="24"/>
        </w:rPr>
        <w:t xml:space="preserve"> </w:t>
      </w:r>
      <w:r w:rsidRPr="006A2FF4">
        <w:rPr>
          <w:rFonts w:cs="LMRoman12-Regular"/>
          <w:sz w:val="24"/>
          <w:szCs w:val="24"/>
        </w:rPr>
        <w:t xml:space="preserve">and regression coefficients </w:t>
      </w:r>
      <m:oMath>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i</m:t>
            </m:r>
          </m:sub>
          <m:sup>
            <m:r>
              <m:rPr>
                <m:nor/>
              </m:rPr>
              <w:rPr>
                <w:rFonts w:cs="LMRoman12-Regular"/>
                <w:sz w:val="24"/>
                <w:szCs w:val="24"/>
              </w:rPr>
              <m:t>EO</m:t>
            </m:r>
          </m:sup>
        </m:sSubSup>
        <m:r>
          <w:rPr>
            <w:rFonts w:ascii="Cambria Math" w:hAnsi="Cambria Math" w:cs="LMRoman12-Regular"/>
            <w:sz w:val="24"/>
            <w:szCs w:val="24"/>
          </w:rPr>
          <m:t>,</m:t>
        </m:r>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i</m:t>
            </m:r>
          </m:sub>
          <m:sup>
            <m:r>
              <m:rPr>
                <m:nor/>
              </m:rPr>
              <w:rPr>
                <w:rFonts w:cs="LMRoman12-Regular"/>
                <w:sz w:val="24"/>
                <w:szCs w:val="24"/>
              </w:rPr>
              <m:t>BA</m:t>
            </m:r>
          </m:sup>
        </m:sSubSup>
        <m:r>
          <w:rPr>
            <w:rFonts w:ascii="Cambria Math" w:hAnsi="Cambria Math" w:cs="LMRoman12-Regular"/>
            <w:sz w:val="24"/>
            <w:szCs w:val="24"/>
          </w:rPr>
          <m:t>,</m:t>
        </m:r>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i</m:t>
            </m:r>
          </m:sub>
          <m:sup>
            <m:r>
              <m:rPr>
                <m:nor/>
              </m:rPr>
              <w:rPr>
                <w:rFonts w:cs="LMRoman12-Regular"/>
                <w:sz w:val="24"/>
                <w:szCs w:val="24"/>
              </w:rPr>
              <m:t>LY</m:t>
            </m:r>
          </m:sup>
        </m:sSubSup>
        <m:r>
          <w:rPr>
            <w:rFonts w:ascii="Cambria Math" w:hAnsi="Cambria Math" w:cs="LMRoman12-Regular"/>
            <w:sz w:val="24"/>
            <w:szCs w:val="24"/>
          </w:rPr>
          <m:t>,</m:t>
        </m:r>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i</m:t>
            </m:r>
          </m:sub>
          <m:sup>
            <m:r>
              <m:rPr>
                <m:nor/>
              </m:rPr>
              <w:rPr>
                <w:rFonts w:cs="LMRoman12-Regular"/>
                <w:sz w:val="24"/>
                <w:szCs w:val="24"/>
              </w:rPr>
              <m:t>MO</m:t>
            </m:r>
          </m:sup>
        </m:sSubSup>
      </m:oMath>
      <w:r w:rsidRPr="006A2FF4">
        <w:rPr>
          <w:rFonts w:eastAsiaTheme="minorEastAsia" w:cs="LMRoman12-Regular"/>
          <w:sz w:val="24"/>
          <w:szCs w:val="24"/>
        </w:rPr>
        <w:t xml:space="preserve"> for </w:t>
      </w:r>
      <m:oMath>
        <m:r>
          <w:rPr>
            <w:rFonts w:ascii="Cambria Math" w:hAnsi="Cambria Math" w:cs="LMRoman12-Regular"/>
            <w:sz w:val="24"/>
            <w:szCs w:val="24"/>
          </w:rPr>
          <m:t>i=1,...</m:t>
        </m:r>
        <m:r>
          <m:rPr>
            <m:sty m:val="p"/>
          </m:rPr>
          <w:rPr>
            <w:rFonts w:ascii="Cambria Math" w:hAnsi="Cambria Math" w:cs="LMRoman12-Regular"/>
            <w:sz w:val="24"/>
            <w:szCs w:val="24"/>
          </w:rPr>
          <m:t>,40</m:t>
        </m:r>
      </m:oMath>
      <w:r w:rsidRPr="006A2FF4">
        <w:rPr>
          <w:rFonts w:cs="LMRoman9-Regular"/>
          <w:sz w:val="24"/>
          <w:szCs w:val="24"/>
        </w:rPr>
        <w:t xml:space="preserve"> were </w:t>
      </w:r>
      <w:r w:rsidRPr="006A2FF4">
        <w:rPr>
          <w:rFonts w:cs="LMRoman12-Regular"/>
          <w:sz w:val="24"/>
          <w:szCs w:val="24"/>
        </w:rPr>
        <w:t>recorded to construct a matrix as follows.</w:t>
      </w:r>
    </w:p>
    <w:p w:rsidR="00D51AC1" w:rsidRPr="006A2FF4" w:rsidRDefault="00D51AC1" w:rsidP="00711F9C">
      <w:pPr>
        <w:spacing w:line="480" w:lineRule="auto"/>
        <w:rPr>
          <w:rFonts w:cs="LMRoman12-Regular"/>
          <w:sz w:val="24"/>
          <w:szCs w:val="24"/>
        </w:rPr>
      </w:pPr>
    </w:p>
    <w:p w:rsidR="00D51AC1" w:rsidRPr="006A2FF4" w:rsidRDefault="00264585" w:rsidP="00711F9C">
      <w:pPr>
        <w:spacing w:line="480" w:lineRule="auto"/>
        <w:rPr>
          <w:rFonts w:cs="LMRoman12-Regular"/>
          <w:sz w:val="24"/>
          <w:szCs w:val="24"/>
        </w:rPr>
      </w:pPr>
      <m:oMathPara>
        <m:oMath>
          <m:m>
            <m:mPr>
              <m:plcHide m:val="1"/>
              <m:mcs>
                <m:mc>
                  <m:mcPr>
                    <m:count m:val="2"/>
                    <m:mcJc m:val="center"/>
                  </m:mcPr>
                </m:mc>
              </m:mcs>
              <m:ctrlPr>
                <w:rPr>
                  <w:rFonts w:ascii="Cambria Math" w:hAnsi="Cambria Math" w:cs="LMRoman12-Regular"/>
                  <w:sz w:val="24"/>
                  <w:szCs w:val="24"/>
                </w:rPr>
              </m:ctrlPr>
            </m:mPr>
            <m:mr>
              <m:e/>
              <m:e>
                <m:r>
                  <w:rPr>
                    <w:rFonts w:ascii="Cambria Math" w:hAnsi="Cambria Math" w:cs="LMRoman12-Regular"/>
                    <w:sz w:val="24"/>
                    <w:szCs w:val="24"/>
                  </w:rPr>
                  <m:t>M=</m:t>
                </m:r>
                <m:d>
                  <m:dPr>
                    <m:begChr m:val="["/>
                    <m:endChr m:val="]"/>
                    <m:ctrlPr>
                      <w:rPr>
                        <w:rFonts w:ascii="Cambria Math" w:hAnsi="Cambria Math" w:cs="LMRoman12-Regular"/>
                        <w:i/>
                        <w:sz w:val="24"/>
                        <w:szCs w:val="24"/>
                      </w:rPr>
                    </m:ctrlPr>
                  </m:dPr>
                  <m:e>
                    <m:m>
                      <m:mPr>
                        <m:plcHide m:val="1"/>
                        <m:mcs>
                          <m:mc>
                            <m:mcPr>
                              <m:count m:val="5"/>
                              <m:mcJc m:val="center"/>
                            </m:mcPr>
                          </m:mc>
                        </m:mcs>
                        <m:ctrlPr>
                          <w:rPr>
                            <w:rFonts w:ascii="Cambria Math" w:hAnsi="Cambria Math" w:cs="LMRoman12-Regular"/>
                            <w:sz w:val="24"/>
                            <w:szCs w:val="24"/>
                          </w:rPr>
                        </m:ctrlPr>
                      </m:mPr>
                      <m:mr>
                        <m:e>
                          <m:sSub>
                            <m:sSubPr>
                              <m:ctrlPr>
                                <w:rPr>
                                  <w:rFonts w:ascii="Cambria Math" w:hAnsi="Cambria Math" w:cs="LMRoman12-Regular"/>
                                  <w:sz w:val="24"/>
                                  <w:szCs w:val="24"/>
                                </w:rPr>
                              </m:ctrlPr>
                            </m:sSubPr>
                            <m:e>
                              <m:r>
                                <w:rPr>
                                  <w:rFonts w:ascii="Cambria Math" w:hAnsi="Cambria Math" w:cs="LMRoman12-Regular"/>
                                  <w:sz w:val="24"/>
                                  <w:szCs w:val="24"/>
                                </w:rPr>
                                <m:t>α</m:t>
                              </m:r>
                            </m:e>
                            <m:sub>
                              <m:r>
                                <w:rPr>
                                  <w:rFonts w:ascii="Cambria Math" w:hAnsi="Cambria Math" w:cs="LMRoman12-Regular"/>
                                  <w:sz w:val="24"/>
                                  <w:szCs w:val="24"/>
                                </w:rPr>
                                <m:t>1</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1</m:t>
                              </m:r>
                            </m:sub>
                            <m:sup>
                              <m:r>
                                <m:rPr>
                                  <m:nor/>
                                </m:rPr>
                                <w:rPr>
                                  <w:rFonts w:cs="LMRoman12-Regular"/>
                                  <w:sz w:val="24"/>
                                  <w:szCs w:val="24"/>
                                </w:rPr>
                                <m:t>EO</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1</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1</m:t>
                              </m:r>
                            </m:sub>
                            <m:sup>
                              <m:r>
                                <m:rPr>
                                  <m:nor/>
                                </m:rPr>
                                <w:rPr>
                                  <w:rFonts w:cs="LMRoman12-Regular"/>
                                  <w:sz w:val="24"/>
                                  <w:szCs w:val="24"/>
                                </w:rPr>
                                <m:t>BA</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1</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1</m:t>
                              </m:r>
                            </m:sub>
                            <m:sup>
                              <m:r>
                                <m:rPr>
                                  <m:nor/>
                                </m:rPr>
                                <w:rPr>
                                  <w:rFonts w:cs="LMRoman12-Regular"/>
                                  <w:sz w:val="24"/>
                                  <w:szCs w:val="24"/>
                                </w:rPr>
                                <m:t>LY</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1</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1</m:t>
                              </m:r>
                            </m:sub>
                            <m:sup>
                              <m:r>
                                <m:rPr>
                                  <m:nor/>
                                </m:rPr>
                                <w:rPr>
                                  <w:rFonts w:cs="LMRoman12-Regular"/>
                                  <w:sz w:val="24"/>
                                  <w:szCs w:val="24"/>
                                </w:rPr>
                                <m:t>MO</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1</m:t>
                              </m:r>
                            </m:sub>
                          </m:sSub>
                        </m:e>
                      </m:mr>
                      <m:mr>
                        <m:e>
                          <m:r>
                            <w:rPr>
                              <w:rFonts w:ascii="Cambria Math" w:hAnsi="Cambria Math" w:cs="LMRoman12-Regular"/>
                              <w:sz w:val="24"/>
                              <w:szCs w:val="24"/>
                            </w:rPr>
                            <m:t>⋮</m:t>
                          </m:r>
                        </m:e>
                        <m:e>
                          <m:r>
                            <w:rPr>
                              <w:rFonts w:ascii="Cambria Math" w:hAnsi="Cambria Math" w:cs="LMRoman12-Regular"/>
                              <w:sz w:val="24"/>
                              <w:szCs w:val="24"/>
                            </w:rPr>
                            <m:t>⋮</m:t>
                          </m:r>
                        </m:e>
                        <m:e>
                          <m:r>
                            <w:rPr>
                              <w:rFonts w:ascii="Cambria Math" w:hAnsi="Cambria Math" w:cs="LMRoman12-Regular"/>
                              <w:sz w:val="24"/>
                              <w:szCs w:val="24"/>
                            </w:rPr>
                            <m:t>⋮</m:t>
                          </m:r>
                        </m:e>
                        <m:e>
                          <m:r>
                            <w:rPr>
                              <w:rFonts w:ascii="Cambria Math" w:hAnsi="Cambria Math" w:cs="LMRoman12-Regular"/>
                              <w:sz w:val="24"/>
                              <w:szCs w:val="24"/>
                            </w:rPr>
                            <m:t>⋮</m:t>
                          </m:r>
                        </m:e>
                        <m:e>
                          <m:r>
                            <w:rPr>
                              <w:rFonts w:ascii="Cambria Math" w:hAnsi="Cambria Math" w:cs="LMRoman12-Regular"/>
                              <w:sz w:val="24"/>
                              <w:szCs w:val="24"/>
                            </w:rPr>
                            <m:t>⋮</m:t>
                          </m:r>
                        </m:e>
                      </m:mr>
                      <m:mr>
                        <m:e>
                          <m:sSub>
                            <m:sSubPr>
                              <m:ctrlPr>
                                <w:rPr>
                                  <w:rFonts w:ascii="Cambria Math" w:hAnsi="Cambria Math" w:cs="LMRoman12-Regular"/>
                                  <w:sz w:val="24"/>
                                  <w:szCs w:val="24"/>
                                </w:rPr>
                              </m:ctrlPr>
                            </m:sSubPr>
                            <m:e>
                              <m:r>
                                <w:rPr>
                                  <w:rFonts w:ascii="Cambria Math" w:hAnsi="Cambria Math" w:cs="LMRoman12-Regular"/>
                                  <w:sz w:val="24"/>
                                  <w:szCs w:val="24"/>
                                </w:rPr>
                                <m:t>α</m:t>
                              </m:r>
                            </m:e>
                            <m:sub>
                              <m:r>
                                <w:rPr>
                                  <w:rFonts w:ascii="Cambria Math" w:hAnsi="Cambria Math" w:cs="LMRoman12-Regular"/>
                                  <w:sz w:val="24"/>
                                  <w:szCs w:val="24"/>
                                </w:rPr>
                                <m:t>40</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40</m:t>
                              </m:r>
                            </m:sub>
                            <m:sup>
                              <m:r>
                                <m:rPr>
                                  <m:nor/>
                                </m:rPr>
                                <w:rPr>
                                  <w:rFonts w:cs="LMRoman12-Regular"/>
                                  <w:sz w:val="24"/>
                                  <w:szCs w:val="24"/>
                                </w:rPr>
                                <m:t>EO</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40</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40</m:t>
                              </m:r>
                            </m:sub>
                            <m:sup>
                              <m:r>
                                <m:rPr>
                                  <m:nor/>
                                </m:rPr>
                                <w:rPr>
                                  <w:rFonts w:cs="LMRoman12-Regular"/>
                                  <w:sz w:val="24"/>
                                  <w:szCs w:val="24"/>
                                </w:rPr>
                                <m:t>BA</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40</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40</m:t>
                              </m:r>
                            </m:sub>
                            <m:sup>
                              <m:r>
                                <m:rPr>
                                  <m:nor/>
                                </m:rPr>
                                <w:rPr>
                                  <w:rFonts w:cs="LMRoman12-Regular"/>
                                  <w:sz w:val="24"/>
                                  <w:szCs w:val="24"/>
                                </w:rPr>
                                <m:t>LY</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40</m:t>
                              </m:r>
                            </m:sub>
                          </m:sSub>
                        </m:e>
                        <m:e>
                          <m:sSubSup>
                            <m:sSubSupPr>
                              <m:ctrlPr>
                                <w:rPr>
                                  <w:rFonts w:ascii="Cambria Math" w:hAnsi="Cambria Math" w:cs="LMRoman12-Regular"/>
                                  <w:sz w:val="24"/>
                                  <w:szCs w:val="24"/>
                                </w:rPr>
                              </m:ctrlPr>
                            </m:sSubSupPr>
                            <m:e>
                              <m:r>
                                <w:rPr>
                                  <w:rFonts w:ascii="Cambria Math" w:hAnsi="Cambria Math" w:cs="LMRoman12-Regular"/>
                                  <w:sz w:val="24"/>
                                  <w:szCs w:val="24"/>
                                </w:rPr>
                                <m:t>β</m:t>
                              </m:r>
                            </m:e>
                            <m:sub>
                              <m:r>
                                <w:rPr>
                                  <w:rFonts w:ascii="Cambria Math" w:hAnsi="Cambria Math" w:cs="LMRoman12-Regular"/>
                                  <w:sz w:val="24"/>
                                  <w:szCs w:val="24"/>
                                </w:rPr>
                                <m:t>40</m:t>
                              </m:r>
                            </m:sub>
                            <m:sup>
                              <m:r>
                                <m:rPr>
                                  <m:nor/>
                                </m:rPr>
                                <w:rPr>
                                  <w:rFonts w:cs="LMRoman12-Regular"/>
                                  <w:sz w:val="24"/>
                                  <w:szCs w:val="24"/>
                                </w:rPr>
                                <m:t>MO</m:t>
                              </m:r>
                            </m:sup>
                          </m:sSubSup>
                          <m:r>
                            <w:rPr>
                              <w:rFonts w:ascii="Cambria Math" w:hAnsi="Cambria Math" w:cs="LMRoman12-Regular"/>
                              <w:sz w:val="24"/>
                              <w:szCs w:val="24"/>
                            </w:rPr>
                            <m:t>-</m:t>
                          </m:r>
                          <m:sSub>
                            <m:sSubPr>
                              <m:ctrlPr>
                                <w:rPr>
                                  <w:rFonts w:ascii="Cambria Math" w:hAnsi="Cambria Math" w:cs="LMRoman12-Regular"/>
                                  <w:sz w:val="24"/>
                                  <w:szCs w:val="24"/>
                                </w:rPr>
                              </m:ctrlPr>
                            </m:sSubPr>
                            <m:e>
                              <m:r>
                                <w:rPr>
                                  <w:rFonts w:ascii="Cambria Math" w:hAnsi="Cambria Math" w:cs="LMRoman12-Regular"/>
                                  <w:sz w:val="24"/>
                                  <w:szCs w:val="24"/>
                                </w:rPr>
                                <m:t>α</m:t>
                              </m:r>
                              <m:ctrlPr>
                                <w:rPr>
                                  <w:rFonts w:ascii="Cambria Math" w:hAnsi="Cambria Math" w:cs="LMRoman12-Regular"/>
                                  <w:i/>
                                  <w:sz w:val="24"/>
                                  <w:szCs w:val="24"/>
                                </w:rPr>
                              </m:ctrlPr>
                            </m:e>
                            <m:sub>
                              <m:r>
                                <w:rPr>
                                  <w:rFonts w:ascii="Cambria Math" w:hAnsi="Cambria Math" w:cs="LMRoman12-Regular"/>
                                  <w:sz w:val="24"/>
                                  <w:szCs w:val="24"/>
                                </w:rPr>
                                <m:t>40</m:t>
                              </m:r>
                            </m:sub>
                          </m:sSub>
                        </m:e>
                      </m:mr>
                    </m:m>
                  </m:e>
                </m:d>
              </m:e>
            </m:mr>
          </m:m>
        </m:oMath>
      </m:oMathPara>
    </w:p>
    <w:p w:rsidR="00D51AC1" w:rsidRPr="006A2FF4" w:rsidRDefault="00D51AC1" w:rsidP="00711F9C">
      <w:pPr>
        <w:spacing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Using </w:t>
      </w:r>
      <m:oMath>
        <m:r>
          <w:rPr>
            <w:rFonts w:ascii="Cambria Math" w:hAnsi="Cambria Math" w:cs="LMRoman12-Regular"/>
            <w:sz w:val="24"/>
            <w:szCs w:val="24"/>
          </w:rPr>
          <m:t>M</m:t>
        </m:r>
      </m:oMath>
      <w:r w:rsidRPr="006A2FF4">
        <w:rPr>
          <w:rFonts w:eastAsia="LatinModernMath-Regular" w:cs="LatinModernMath-Regular"/>
          <w:sz w:val="24"/>
          <w:szCs w:val="24"/>
        </w:rPr>
        <w:t xml:space="preserve"> </w:t>
      </w:r>
      <w:r w:rsidRPr="006A2FF4">
        <w:rPr>
          <w:rFonts w:cs="LMRoman12-Regular"/>
          <w:sz w:val="24"/>
          <w:szCs w:val="24"/>
        </w:rPr>
        <w:t>and the methylation levels of the 40 markers, quadratic programming was applied as described by Houseman et al.</w:t>
      </w:r>
      <w:r>
        <w:rPr>
          <w:rFonts w:cs="LMRoman12-Regular"/>
          <w:sz w:val="24"/>
          <w:szCs w:val="24"/>
        </w:rPr>
        <w:t xml:space="preserve"> </w:t>
      </w:r>
      <w:r>
        <w:rPr>
          <w:rFonts w:cs="LMRoman12-Regular"/>
          <w:noProof/>
          <w:sz w:val="24"/>
          <w:szCs w:val="24"/>
        </w:rPr>
        <w:t>[6]</w:t>
      </w:r>
      <w:r>
        <w:rPr>
          <w:rFonts w:cs="LMRoman12-Regular"/>
          <w:sz w:val="24"/>
          <w:szCs w:val="24"/>
        </w:rPr>
        <w:t>,</w:t>
      </w:r>
      <w:r w:rsidRPr="006A2FF4">
        <w:rPr>
          <w:rFonts w:cs="LMRoman12-Regular"/>
          <w:sz w:val="24"/>
          <w:szCs w:val="24"/>
        </w:rPr>
        <w:t xml:space="preserve"> with the additional constraint that estimated proportions must sum to 1, to estimate the LC in the test</w:t>
      </w:r>
      <w:r>
        <w:rPr>
          <w:rFonts w:cs="LMRoman12-Regular"/>
          <w:sz w:val="24"/>
          <w:szCs w:val="24"/>
        </w:rPr>
        <w:t xml:space="preserve"> and validation</w:t>
      </w:r>
      <w:r w:rsidRPr="006A2FF4">
        <w:rPr>
          <w:rFonts w:cs="LMRoman12-Regular"/>
          <w:sz w:val="24"/>
          <w:szCs w:val="24"/>
        </w:rPr>
        <w:t xml:space="preserve"> set. We report Pearson correlation coefficients of measured and estimated cell proportions as this is the most relevant metric supposed that these estimates are included as covariates in linear models. 95% confidence intervals for correlations were obtained by bootstrapping.</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Furthermore we estimated the proportion of variance of whole blood </w:t>
      </w:r>
      <w:proofErr w:type="spellStart"/>
      <w:r w:rsidRPr="006A2FF4">
        <w:rPr>
          <w:rFonts w:cs="LMRoman12-Regular"/>
          <w:sz w:val="24"/>
          <w:szCs w:val="24"/>
        </w:rPr>
        <w:t>DNAm</w:t>
      </w:r>
      <w:proofErr w:type="spellEnd"/>
      <w:r w:rsidRPr="006A2FF4">
        <w:rPr>
          <w:rFonts w:cs="LMRoman12-Regular"/>
          <w:sz w:val="24"/>
          <w:szCs w:val="24"/>
        </w:rPr>
        <w:t xml:space="preserve"> levels that could be explained by cell counts or cell proportion estimates. For each </w:t>
      </w:r>
      <w:r>
        <w:rPr>
          <w:rFonts w:cs="LMRoman12-Regular"/>
          <w:sz w:val="24"/>
          <w:szCs w:val="24"/>
        </w:rPr>
        <w:t xml:space="preserve">of the 485,512 </w:t>
      </w:r>
      <w:r w:rsidRPr="006A2FF4">
        <w:rPr>
          <w:rFonts w:cs="LMRoman12-Regular"/>
          <w:sz w:val="24"/>
          <w:szCs w:val="24"/>
        </w:rPr>
        <w:t>probe</w:t>
      </w:r>
      <w:r>
        <w:rPr>
          <w:rFonts w:cs="LMRoman12-Regular"/>
          <w:sz w:val="24"/>
          <w:szCs w:val="24"/>
        </w:rPr>
        <w:t>s</w:t>
      </w:r>
      <w:r w:rsidRPr="006A2FF4">
        <w:rPr>
          <w:rFonts w:cs="LMRoman12-Regular"/>
          <w:sz w:val="24"/>
          <w:szCs w:val="24"/>
        </w:rPr>
        <w:t xml:space="preserve"> we fitted three linear models using the data from the LOLIPOP test set. The first two models had </w:t>
      </w:r>
      <w:r w:rsidRPr="006A2FF4">
        <w:rPr>
          <w:rFonts w:cs="LMRoman12-Regular"/>
          <w:sz w:val="24"/>
          <w:szCs w:val="24"/>
        </w:rPr>
        <w:lastRenderedPageBreak/>
        <w:t xml:space="preserve">the same specification as models </w:t>
      </w:r>
      <w:r w:rsidRPr="006A2FF4">
        <w:rPr>
          <w:rFonts w:cs="LMRoman12-Bold"/>
          <w:b/>
          <w:bCs/>
          <w:sz w:val="24"/>
          <w:szCs w:val="24"/>
        </w:rPr>
        <w:t xml:space="preserve">A </w:t>
      </w:r>
      <w:r w:rsidRPr="006A2FF4">
        <w:rPr>
          <w:rFonts w:cs="LMRoman12-Regular"/>
          <w:sz w:val="24"/>
          <w:szCs w:val="24"/>
        </w:rPr>
        <w:t xml:space="preserve">and </w:t>
      </w:r>
      <w:proofErr w:type="gramStart"/>
      <w:r w:rsidRPr="006A2FF4">
        <w:rPr>
          <w:rFonts w:cs="LMRoman12-Bold"/>
          <w:b/>
          <w:bCs/>
          <w:sz w:val="24"/>
          <w:szCs w:val="24"/>
        </w:rPr>
        <w:t xml:space="preserve">B </w:t>
      </w:r>
      <w:r w:rsidRPr="006A2FF4">
        <w:rPr>
          <w:rFonts w:cs="LMRoman12-Regular"/>
          <w:sz w:val="24"/>
          <w:szCs w:val="24"/>
        </w:rPr>
        <w:t xml:space="preserve"> and</w:t>
      </w:r>
      <w:proofErr w:type="gramEnd"/>
      <w:r w:rsidRPr="006A2FF4">
        <w:rPr>
          <w:rFonts w:cs="LMRoman12-Regular"/>
          <w:sz w:val="24"/>
          <w:szCs w:val="24"/>
        </w:rPr>
        <w:t xml:space="preserve"> in a third model cell counts in model </w:t>
      </w:r>
      <w:r w:rsidRPr="006A2FF4">
        <w:rPr>
          <w:rFonts w:cs="LMRoman12-Bold"/>
          <w:b/>
          <w:bCs/>
          <w:sz w:val="24"/>
          <w:szCs w:val="24"/>
        </w:rPr>
        <w:t xml:space="preserve">B </w:t>
      </w:r>
      <w:r w:rsidRPr="006A2FF4">
        <w:rPr>
          <w:rFonts w:cs="LMRoman12-Regular"/>
          <w:sz w:val="24"/>
          <w:szCs w:val="24"/>
        </w:rPr>
        <w:t xml:space="preserve">were replaced by their corresponding estimates (model </w:t>
      </w:r>
      <w:r w:rsidRPr="006A2FF4">
        <w:rPr>
          <w:rFonts w:cs="LMRoman12-Bold"/>
          <w:b/>
          <w:bCs/>
          <w:sz w:val="24"/>
          <w:szCs w:val="24"/>
        </w:rPr>
        <w:t>C</w:t>
      </w:r>
      <w:r w:rsidRPr="006A2FF4">
        <w:rPr>
          <w:rFonts w:cs="LMRoman12-Regular"/>
          <w:sz w:val="24"/>
          <w:szCs w:val="24"/>
        </w:rPr>
        <w:t xml:space="preserve">). We computed the increase of </w:t>
      </w:r>
      <m:oMath>
        <m:sSup>
          <m:sSupPr>
            <m:ctrlPr>
              <w:rPr>
                <w:rFonts w:ascii="Cambria Math" w:hAnsi="Cambria Math" w:cs="LMRoman12-Regular"/>
                <w:i/>
                <w:sz w:val="24"/>
                <w:szCs w:val="24"/>
              </w:rPr>
            </m:ctrlPr>
          </m:sSupPr>
          <m:e>
            <m:r>
              <w:rPr>
                <w:rFonts w:ascii="Cambria Math" w:hAnsi="Cambria Math" w:cs="LMRoman12-Regular"/>
                <w:sz w:val="24"/>
                <w:szCs w:val="24"/>
              </w:rPr>
              <m:t>R</m:t>
            </m:r>
          </m:e>
          <m:sup>
            <m:r>
              <w:rPr>
                <w:rFonts w:ascii="Cambria Math" w:hAnsi="Cambria Math" w:cs="LMRoman12-Regular"/>
                <w:sz w:val="24"/>
                <w:szCs w:val="24"/>
              </w:rPr>
              <m:t>2</m:t>
            </m:r>
          </m:sup>
        </m:sSup>
      </m:oMath>
      <w:r w:rsidRPr="006A2FF4">
        <w:rPr>
          <w:rFonts w:eastAsia="LatinModernMath-Regular" w:cs="LatinModernMath-Regular"/>
          <w:sz w:val="24"/>
          <w:szCs w:val="24"/>
        </w:rPr>
        <w:t xml:space="preserve"> </w:t>
      </w:r>
      <w:r w:rsidRPr="006A2FF4">
        <w:rPr>
          <w:rFonts w:cs="LMRoman12-Regular"/>
          <w:sz w:val="24"/>
          <w:szCs w:val="24"/>
        </w:rPr>
        <w:t xml:space="preserve">from model </w:t>
      </w:r>
      <w:r w:rsidRPr="006A2FF4">
        <w:rPr>
          <w:rFonts w:cs="LMRoman12-Bold"/>
          <w:b/>
          <w:bCs/>
          <w:sz w:val="24"/>
          <w:szCs w:val="24"/>
        </w:rPr>
        <w:t xml:space="preserve">A </w:t>
      </w:r>
      <w:r w:rsidRPr="006A2FF4">
        <w:rPr>
          <w:rFonts w:cs="LMRoman12-Regular"/>
          <w:sz w:val="24"/>
          <w:szCs w:val="24"/>
        </w:rPr>
        <w:t xml:space="preserve">to </w:t>
      </w:r>
      <w:r w:rsidRPr="006A2FF4">
        <w:rPr>
          <w:rFonts w:cs="LMRoman12-Bold"/>
          <w:b/>
          <w:bCs/>
          <w:sz w:val="24"/>
          <w:szCs w:val="24"/>
        </w:rPr>
        <w:t xml:space="preserve">B </w:t>
      </w:r>
      <w:r w:rsidRPr="006A2FF4">
        <w:rPr>
          <w:rFonts w:cs="LMRoman12-Regular"/>
          <w:sz w:val="24"/>
          <w:szCs w:val="24"/>
        </w:rPr>
        <w:t xml:space="preserve">and </w:t>
      </w:r>
      <w:r w:rsidRPr="006A2FF4">
        <w:rPr>
          <w:rFonts w:cs="LMRoman12-Bold"/>
          <w:b/>
          <w:bCs/>
          <w:sz w:val="24"/>
          <w:szCs w:val="24"/>
        </w:rPr>
        <w:t xml:space="preserve">A </w:t>
      </w:r>
      <w:r w:rsidRPr="006A2FF4">
        <w:rPr>
          <w:rFonts w:cs="LMRoman12-Regular"/>
          <w:sz w:val="24"/>
          <w:szCs w:val="24"/>
        </w:rPr>
        <w:t xml:space="preserve">to </w:t>
      </w:r>
      <w:r w:rsidRPr="006A2FF4">
        <w:rPr>
          <w:rFonts w:cs="LMRoman12-Bold"/>
          <w:b/>
          <w:bCs/>
          <w:sz w:val="24"/>
          <w:szCs w:val="24"/>
        </w:rPr>
        <w:t>C</w:t>
      </w:r>
      <w:r w:rsidRPr="006A2FF4">
        <w:rPr>
          <w:rFonts w:cs="LMRoman12-Regular"/>
          <w:sz w:val="24"/>
          <w:szCs w:val="24"/>
        </w:rPr>
        <w:t>, representing the proportion of variance that could be explained by cell counts and cell proportion estimates, respectively.</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Default="00D51AC1" w:rsidP="00711F9C">
      <w:pPr>
        <w:autoSpaceDE w:val="0"/>
        <w:autoSpaceDN w:val="0"/>
        <w:adjustRightInd w:val="0"/>
        <w:spacing w:after="0" w:line="480" w:lineRule="auto"/>
        <w:rPr>
          <w:rFonts w:cs="LMRoman12-Regular"/>
          <w:sz w:val="24"/>
          <w:szCs w:val="24"/>
        </w:rPr>
      </w:pPr>
      <w:r>
        <w:rPr>
          <w:rFonts w:cs="LMRoman12-Regular"/>
          <w:sz w:val="24"/>
          <w:szCs w:val="24"/>
        </w:rPr>
        <w:t xml:space="preserve">Recently, Koestler et al. reported an improved accuracy of cell proportion estimates by using a new algorithm for the selection of markers for their model </w:t>
      </w:r>
      <w:r>
        <w:rPr>
          <w:rFonts w:cs="LMRoman12-Regular"/>
          <w:noProof/>
          <w:sz w:val="24"/>
          <w:szCs w:val="24"/>
        </w:rPr>
        <w:t>[9]</w:t>
      </w:r>
      <w:r>
        <w:rPr>
          <w:rFonts w:cs="LMRoman12-Regular"/>
          <w:sz w:val="24"/>
          <w:szCs w:val="24"/>
        </w:rPr>
        <w:t>. W</w:t>
      </w:r>
      <w:r w:rsidRPr="006A2FF4">
        <w:rPr>
          <w:rFonts w:cs="LMRoman12-Regular"/>
          <w:sz w:val="24"/>
          <w:szCs w:val="24"/>
        </w:rPr>
        <w:t>e</w:t>
      </w:r>
      <w:r>
        <w:rPr>
          <w:rFonts w:cs="LMRoman12-Regular"/>
          <w:sz w:val="24"/>
          <w:szCs w:val="24"/>
        </w:rPr>
        <w:t xml:space="preserve"> built a model according to the description provided by Koestler et al. (using the list of 300 markers provided by Koestler et al. and the data provided by </w:t>
      </w:r>
      <w:proofErr w:type="spellStart"/>
      <w:r>
        <w:rPr>
          <w:rFonts w:cs="LMRoman12-Regular"/>
          <w:sz w:val="24"/>
          <w:szCs w:val="24"/>
        </w:rPr>
        <w:t>Reinius</w:t>
      </w:r>
      <w:proofErr w:type="spellEnd"/>
      <w:r>
        <w:rPr>
          <w:rFonts w:cs="LMRoman12-Regular"/>
          <w:sz w:val="24"/>
          <w:szCs w:val="24"/>
        </w:rPr>
        <w:t xml:space="preserve"> et al. </w:t>
      </w:r>
      <w:r>
        <w:rPr>
          <w:rFonts w:cs="LMRoman12-Regular"/>
          <w:noProof/>
          <w:sz w:val="24"/>
          <w:szCs w:val="24"/>
        </w:rPr>
        <w:t>[4]</w:t>
      </w:r>
      <w:r>
        <w:rPr>
          <w:rFonts w:cs="LMRoman12-Regular"/>
          <w:sz w:val="24"/>
          <w:szCs w:val="24"/>
        </w:rPr>
        <w:t xml:space="preserve">) </w:t>
      </w:r>
      <w:r w:rsidRPr="006A2FF4">
        <w:rPr>
          <w:rFonts w:cs="LMRoman12-Regular"/>
          <w:sz w:val="24"/>
          <w:szCs w:val="24"/>
        </w:rPr>
        <w:t xml:space="preserve">for comparison with our custom model. The output from </w:t>
      </w:r>
      <w:r>
        <w:rPr>
          <w:rFonts w:cs="LMRoman12-Regular"/>
          <w:sz w:val="24"/>
          <w:szCs w:val="24"/>
        </w:rPr>
        <w:t xml:space="preserve">the </w:t>
      </w:r>
      <w:r w:rsidRPr="004F57AA">
        <w:rPr>
          <w:rFonts w:cs="LMRoman12-Regular"/>
          <w:sz w:val="24"/>
          <w:szCs w:val="24"/>
        </w:rPr>
        <w:t xml:space="preserve">Koestler </w:t>
      </w:r>
      <w:r>
        <w:rPr>
          <w:rFonts w:cs="LMRoman12-Regular"/>
          <w:sz w:val="24"/>
          <w:szCs w:val="24"/>
        </w:rPr>
        <w:t xml:space="preserve">model </w:t>
      </w:r>
      <w:r w:rsidRPr="006A2FF4">
        <w:rPr>
          <w:rFonts w:cs="LMRoman12-Regular"/>
          <w:sz w:val="24"/>
          <w:szCs w:val="24"/>
        </w:rPr>
        <w:t xml:space="preserve">provides proportions for granulocytes (GR), CD8+ T-cells, CD4+ T-cells, natural killer cells, CD19+ B lymphocytes and monocytes. To compare measured and estimated proportions, the estimated proportions for CD8+ T-cells, CD4+ T-cells, natural killer cells and </w:t>
      </w:r>
      <w:r>
        <w:rPr>
          <w:rFonts w:cs="LMRoman12-Regular"/>
          <w:sz w:val="24"/>
          <w:szCs w:val="24"/>
        </w:rPr>
        <w:t xml:space="preserve">CD19+ </w:t>
      </w:r>
      <w:r w:rsidRPr="006A2FF4">
        <w:rPr>
          <w:rFonts w:cs="LMRoman12-Regular"/>
          <w:sz w:val="24"/>
          <w:szCs w:val="24"/>
        </w:rPr>
        <w:t>B lymphocytes were collapsed into a lymphocyte type, and the measured proportions for neutrophils, eosinophils and basophils were collapsed into a granulocyte type. We also created a granulocyte type from estimated cell proportions from our custom model. Again we computed Pearson correlation coefficients between measured and estimated cell proportions.</w:t>
      </w:r>
    </w:p>
    <w:p w:rsidR="00D51AC1"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An implementation of our model can be found in the R package </w:t>
      </w:r>
      <w:r w:rsidRPr="006A2FF4">
        <w:rPr>
          <w:rFonts w:cs="LMMono12-Regular"/>
          <w:i/>
          <w:sz w:val="24"/>
          <w:szCs w:val="24"/>
        </w:rPr>
        <w:t>normalize450K</w:t>
      </w:r>
      <w:r w:rsidRPr="006A2FF4">
        <w:rPr>
          <w:rFonts w:cs="LMRoman12-Regular"/>
          <w:sz w:val="24"/>
          <w:szCs w:val="24"/>
        </w:rPr>
        <w:t>.</w:t>
      </w:r>
      <w:r>
        <w:rPr>
          <w:rFonts w:cs="LMRoman12-Regular"/>
          <w:sz w:val="24"/>
          <w:szCs w:val="24"/>
        </w:rPr>
        <w:t xml:space="preserve"> </w:t>
      </w:r>
      <w:r w:rsidRPr="006A2FF4">
        <w:rPr>
          <w:rFonts w:cs="LMRoman12-Regular"/>
          <w:sz w:val="24"/>
          <w:szCs w:val="24"/>
        </w:rPr>
        <w:t>Exemplary R code to perform parts of this analysis on a publicly available dataset (GEO Accession GSE53840) is provided in the supplement</w:t>
      </w:r>
      <w:r>
        <w:rPr>
          <w:rFonts w:cs="LMRoman12-Regular"/>
          <w:sz w:val="24"/>
          <w:szCs w:val="24"/>
        </w:rPr>
        <w:t xml:space="preserve"> and can be easily adapted to other datasets</w:t>
      </w:r>
      <w:r w:rsidRPr="006A2FF4">
        <w:rPr>
          <w:rFonts w:cs="LMRoman12-Regular"/>
          <w:sz w:val="24"/>
          <w:szCs w:val="24"/>
        </w:rPr>
        <w:t>.</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2027B6" w:rsidRDefault="00D51AC1" w:rsidP="002027B6">
      <w:pPr>
        <w:pStyle w:val="Heading2"/>
        <w:spacing w:line="480" w:lineRule="auto"/>
      </w:pPr>
      <w:r w:rsidRPr="002027B6">
        <w:rPr>
          <w:b w:val="0"/>
          <w:bCs w:val="0"/>
        </w:rPr>
        <w:lastRenderedPageBreak/>
        <w:t>Results</w:t>
      </w: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Using the distribution of p-values from ANOVA comparisons of the two linear models with and without cell counts as independent variables (see </w:t>
      </w:r>
      <w:r w:rsidRPr="00663F03">
        <w:rPr>
          <w:rFonts w:cs="LMRoman12-Regular"/>
          <w:b/>
          <w:sz w:val="24"/>
          <w:szCs w:val="24"/>
        </w:rPr>
        <w:t>Figure 1</w:t>
      </w:r>
      <w:r w:rsidRPr="006A2FF4">
        <w:rPr>
          <w:rFonts w:cs="LMRoman12-Regular"/>
          <w:sz w:val="24"/>
          <w:szCs w:val="24"/>
        </w:rPr>
        <w:t xml:space="preserve">), we estimated that </w:t>
      </w:r>
      <w:r w:rsidRPr="006A2FF4">
        <w:rPr>
          <w:rFonts w:ascii="Cambria Math" w:eastAsia="LatinModernMath-Regular" w:hAnsi="Cambria Math" w:cs="Cambria Math"/>
          <w:sz w:val="24"/>
          <w:szCs w:val="24"/>
        </w:rPr>
        <w:t>∼</w:t>
      </w:r>
      <w:r>
        <w:rPr>
          <w:rFonts w:cs="LMRoman12-Regular"/>
          <w:sz w:val="24"/>
          <w:szCs w:val="24"/>
        </w:rPr>
        <w:t>69</w:t>
      </w:r>
      <w:r w:rsidRPr="006A2FF4">
        <w:rPr>
          <w:rFonts w:cs="LMRoman12-Regular"/>
          <w:sz w:val="24"/>
          <w:szCs w:val="24"/>
        </w:rPr>
        <w:t xml:space="preserve">% of the probes on the 450K chip </w:t>
      </w:r>
      <w:r>
        <w:rPr>
          <w:rFonts w:cs="LMRoman12-Regular"/>
          <w:sz w:val="24"/>
          <w:szCs w:val="24"/>
        </w:rPr>
        <w:t>were</w:t>
      </w:r>
      <w:r w:rsidRPr="006A2FF4">
        <w:rPr>
          <w:rFonts w:cs="LMRoman12-Regular"/>
          <w:sz w:val="24"/>
          <w:szCs w:val="24"/>
        </w:rPr>
        <w:t xml:space="preserve"> associated with leukocyte composition.</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3712F">
      <w:pPr>
        <w:autoSpaceDE w:val="0"/>
        <w:autoSpaceDN w:val="0"/>
        <w:adjustRightInd w:val="0"/>
        <w:spacing w:after="0" w:line="480" w:lineRule="auto"/>
        <w:rPr>
          <w:rFonts w:cs="LMRoman12-Regular"/>
          <w:sz w:val="24"/>
          <w:szCs w:val="24"/>
        </w:rPr>
      </w:pPr>
      <w:r w:rsidRPr="006A2FF4">
        <w:rPr>
          <w:rFonts w:cs="LMRoman12-Regular"/>
          <w:sz w:val="24"/>
          <w:szCs w:val="24"/>
        </w:rPr>
        <w:t xml:space="preserve">Pearson correlation coefficients between measured and estimated cell proportions from our custom model </w:t>
      </w:r>
      <w:r>
        <w:rPr>
          <w:rFonts w:cs="LMRoman12-Regular"/>
          <w:sz w:val="24"/>
          <w:szCs w:val="24"/>
        </w:rPr>
        <w:t xml:space="preserve">using 40 markers are listed in </w:t>
      </w:r>
      <w:r w:rsidRPr="0074060A">
        <w:rPr>
          <w:rFonts w:cs="LMRoman12-Regular"/>
          <w:b/>
          <w:sz w:val="24"/>
          <w:szCs w:val="24"/>
        </w:rPr>
        <w:t>Table 2</w:t>
      </w:r>
      <w:r w:rsidRPr="0074060A">
        <w:rPr>
          <w:rFonts w:cs="LMRoman12-Regular"/>
          <w:sz w:val="24"/>
          <w:szCs w:val="24"/>
        </w:rPr>
        <w:t>,</w:t>
      </w:r>
      <w:r>
        <w:rPr>
          <w:rFonts w:cs="LMRoman12-Regular"/>
          <w:sz w:val="24"/>
          <w:szCs w:val="24"/>
        </w:rPr>
        <w:t xml:space="preserve"> </w:t>
      </w:r>
      <w:r w:rsidRPr="006A2FF4">
        <w:rPr>
          <w:rFonts w:cs="LMRoman12-Regular"/>
          <w:sz w:val="24"/>
          <w:szCs w:val="24"/>
        </w:rPr>
        <w:t>stratified by the device used for cell counting</w:t>
      </w:r>
      <w:r>
        <w:rPr>
          <w:rFonts w:cs="LMRoman12-Regular"/>
          <w:sz w:val="24"/>
          <w:szCs w:val="24"/>
        </w:rPr>
        <w:t xml:space="preserve"> (additional scatterplots are provided in </w:t>
      </w:r>
      <w:r w:rsidRPr="00D82AB1">
        <w:rPr>
          <w:rFonts w:cs="LMRoman12-Regular"/>
          <w:b/>
          <w:sz w:val="24"/>
          <w:szCs w:val="24"/>
        </w:rPr>
        <w:t>Figure S1</w:t>
      </w:r>
      <w:r>
        <w:rPr>
          <w:rFonts w:cs="LMRoman12-Regular"/>
          <w:sz w:val="24"/>
          <w:szCs w:val="24"/>
        </w:rPr>
        <w:t>)</w:t>
      </w:r>
      <w:r w:rsidRPr="006A2FF4">
        <w:rPr>
          <w:rFonts w:cs="LMRoman12-Regular"/>
          <w:sz w:val="24"/>
          <w:szCs w:val="24"/>
        </w:rPr>
        <w:t>. Correlations for neutrophils and lymphocytes were high for all devices, but somewhat higher in KAROLA than in LOLIPOP. Correlations for basophils were close to or even less than zero for all devices. Correlations for eosinophils were high for the XE-2100 and CELL-DYN hematology analyzers, but only moderate for LH 750, whereas in case of monocytes a high correlation was found</w:t>
      </w:r>
      <w:r w:rsidRPr="005D0C93">
        <w:rPr>
          <w:rFonts w:cs="LMRoman12-Regular"/>
          <w:sz w:val="24"/>
          <w:szCs w:val="24"/>
        </w:rPr>
        <w:t xml:space="preserve"> </w:t>
      </w:r>
      <w:r w:rsidRPr="006A2FF4">
        <w:rPr>
          <w:rFonts w:cs="LMRoman12-Regular"/>
          <w:sz w:val="24"/>
          <w:szCs w:val="24"/>
        </w:rPr>
        <w:t xml:space="preserve">only for LH 750. Using half the LOLIPOP samples to train the model did not improve results. </w:t>
      </w:r>
      <w:r>
        <w:rPr>
          <w:rFonts w:cs="LMRoman12-Regular"/>
          <w:sz w:val="24"/>
          <w:szCs w:val="24"/>
        </w:rPr>
        <w:t>Likewise, in another sensitivity analysis, results for a model utilizing 100 markers for each cell type were overall very similar, only correlations for monocytes were lower (</w:t>
      </w:r>
      <w:r w:rsidRPr="00663F03">
        <w:rPr>
          <w:rFonts w:cs="LMRoman12-Regular"/>
          <w:b/>
          <w:sz w:val="24"/>
          <w:szCs w:val="24"/>
        </w:rPr>
        <w:t>Table S1</w:t>
      </w:r>
      <w:r>
        <w:rPr>
          <w:rFonts w:cs="LMRoman12-Regular"/>
          <w:sz w:val="24"/>
          <w:szCs w:val="24"/>
        </w:rPr>
        <w:t xml:space="preserve">). </w:t>
      </w:r>
      <w:r w:rsidRPr="00663F03">
        <w:rPr>
          <w:rFonts w:cs="LMRoman12-Regular"/>
          <w:b/>
          <w:sz w:val="24"/>
          <w:szCs w:val="24"/>
        </w:rPr>
        <w:t>Table 3</w:t>
      </w:r>
      <w:r w:rsidRPr="006A2FF4">
        <w:rPr>
          <w:rFonts w:cs="LMRoman12-Regular"/>
          <w:sz w:val="24"/>
          <w:szCs w:val="24"/>
        </w:rPr>
        <w:t xml:space="preserve"> lists corresponding numbers for the </w:t>
      </w:r>
      <w:r w:rsidRPr="004F57AA">
        <w:rPr>
          <w:rFonts w:cs="LMMono12-Regular"/>
          <w:sz w:val="24"/>
          <w:szCs w:val="24"/>
        </w:rPr>
        <w:t xml:space="preserve">Koestler </w:t>
      </w:r>
      <w:r w:rsidRPr="006A2FF4">
        <w:rPr>
          <w:rFonts w:cs="LMRoman12-Regular"/>
          <w:sz w:val="24"/>
          <w:szCs w:val="24"/>
        </w:rPr>
        <w:t>model. Overall results were very similar to our model with the exception of monocytes for CELL-DYN.</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D31985" w:rsidRDefault="00D51AC1" w:rsidP="00711F9C">
      <w:pPr>
        <w:autoSpaceDE w:val="0"/>
        <w:autoSpaceDN w:val="0"/>
        <w:adjustRightInd w:val="0"/>
        <w:spacing w:after="0" w:line="480" w:lineRule="auto"/>
        <w:rPr>
          <w:rFonts w:eastAsiaTheme="minorEastAsia" w:cs="LMRoman12-Regular"/>
          <w:sz w:val="24"/>
          <w:szCs w:val="24"/>
        </w:rPr>
      </w:pPr>
      <w:r w:rsidRPr="00663F03">
        <w:rPr>
          <w:rFonts w:cs="LMRoman12-Regular"/>
          <w:b/>
          <w:sz w:val="24"/>
          <w:szCs w:val="24"/>
        </w:rPr>
        <w:t>Figure 2</w:t>
      </w:r>
      <w:r w:rsidRPr="006A2FF4">
        <w:rPr>
          <w:rFonts w:cs="LMRoman12-Regular"/>
          <w:sz w:val="24"/>
          <w:szCs w:val="24"/>
        </w:rPr>
        <w:t xml:space="preserve"> shows the proportion of variance </w:t>
      </w:r>
      <w:r>
        <w:rPr>
          <w:rFonts w:cs="LMRoman12-Regular"/>
          <w:sz w:val="24"/>
          <w:szCs w:val="24"/>
        </w:rPr>
        <w:t xml:space="preserve">of </w:t>
      </w:r>
      <w:r>
        <w:rPr>
          <w:rFonts w:eastAsiaTheme="minorEastAsia" w:cs="LMRoman12-Regular"/>
          <w:sz w:val="24"/>
          <w:szCs w:val="24"/>
        </w:rPr>
        <w:t xml:space="preserve">whole blood </w:t>
      </w:r>
      <w:proofErr w:type="spellStart"/>
      <w:r>
        <w:rPr>
          <w:rFonts w:eastAsiaTheme="minorEastAsia" w:cs="LMRoman12-Regular"/>
          <w:sz w:val="24"/>
          <w:szCs w:val="24"/>
        </w:rPr>
        <w:t>DNAm</w:t>
      </w:r>
      <w:proofErr w:type="spellEnd"/>
      <w:r>
        <w:rPr>
          <w:rFonts w:eastAsiaTheme="minorEastAsia" w:cs="LMRoman12-Regular"/>
          <w:sz w:val="24"/>
          <w:szCs w:val="24"/>
        </w:rPr>
        <w:t xml:space="preserve"> levels </w:t>
      </w:r>
      <w:r w:rsidRPr="006A2FF4">
        <w:rPr>
          <w:rFonts w:cs="LMRoman12-Regular"/>
          <w:sz w:val="24"/>
          <w:szCs w:val="24"/>
        </w:rPr>
        <w:t xml:space="preserve">explained by cell counts and cell proportions estimates, respectively, for the top 10,000 probes </w:t>
      </w:r>
      <w:r>
        <w:rPr>
          <w:rFonts w:cs="LMRoman12-Regular"/>
          <w:sz w:val="24"/>
          <w:szCs w:val="24"/>
        </w:rPr>
        <w:t>when ranked by</w:t>
      </w:r>
      <w:r w:rsidRPr="006A2FF4">
        <w:rPr>
          <w:rFonts w:cs="LMRoman12-Regular"/>
          <w:sz w:val="24"/>
          <w:szCs w:val="24"/>
        </w:rPr>
        <w:t xml:space="preserve"> the </w:t>
      </w:r>
      <w:r w:rsidRPr="006A2FF4">
        <w:rPr>
          <w:rFonts w:cs="LMRoman12-Regular"/>
          <w:sz w:val="24"/>
          <w:szCs w:val="24"/>
        </w:rPr>
        <w:lastRenderedPageBreak/>
        <w:t>former metric. Despite this unfair selection of probes, cell proportion estimates explained more va</w:t>
      </w:r>
      <w:r>
        <w:rPr>
          <w:rFonts w:cs="LMRoman12-Regular"/>
          <w:sz w:val="24"/>
          <w:szCs w:val="24"/>
        </w:rPr>
        <w:t>riance than cell counts in all instances (on average 16</w:t>
      </w:r>
      <w:r w:rsidRPr="006A2FF4">
        <w:rPr>
          <w:rFonts w:cs="LMRoman12-Regular"/>
          <w:sz w:val="24"/>
          <w:szCs w:val="24"/>
        </w:rPr>
        <w:t xml:space="preserve"> percentage points more).</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D173BB" w:rsidRDefault="00D51AC1" w:rsidP="00D173BB">
      <w:pPr>
        <w:pStyle w:val="Heading2"/>
        <w:spacing w:line="480" w:lineRule="auto"/>
      </w:pPr>
      <w:r w:rsidRPr="002027B6">
        <w:t>Discussion</w:t>
      </w:r>
    </w:p>
    <w:p w:rsidR="00D51AC1" w:rsidRPr="006A2FF4" w:rsidRDefault="00D51AC1" w:rsidP="00D173BB">
      <w:pPr>
        <w:autoSpaceDE w:val="0"/>
        <w:autoSpaceDN w:val="0"/>
        <w:adjustRightInd w:val="0"/>
        <w:spacing w:after="0" w:line="480" w:lineRule="auto"/>
        <w:rPr>
          <w:rFonts w:cs="LMRoman12-Regular"/>
          <w:sz w:val="24"/>
          <w:szCs w:val="24"/>
        </w:rPr>
      </w:pPr>
      <w:r w:rsidRPr="006A2FF4">
        <w:rPr>
          <w:rFonts w:cs="LMRoman12-Regular"/>
          <w:sz w:val="24"/>
          <w:szCs w:val="24"/>
        </w:rPr>
        <w:t xml:space="preserve">We explored the possibility to build a model for estimating LC based on a reference dataset of </w:t>
      </w:r>
      <w:proofErr w:type="spellStart"/>
      <w:r w:rsidRPr="006A2FF4">
        <w:rPr>
          <w:rFonts w:cs="LMRoman12-Regular"/>
          <w:sz w:val="24"/>
          <w:szCs w:val="24"/>
        </w:rPr>
        <w:t>DNAm</w:t>
      </w:r>
      <w:proofErr w:type="spellEnd"/>
      <w:r w:rsidRPr="006A2FF4">
        <w:rPr>
          <w:rFonts w:cs="LMRoman12-Regular"/>
          <w:sz w:val="24"/>
          <w:szCs w:val="24"/>
        </w:rPr>
        <w:t xml:space="preserve"> profiles of whole blood samples and cell counts. We found that such a model can provide accurate estimates with performance on a par with a model trained on a dataset of purified cell lines. Our model also provides proportions for eosinophils, a cell type relevant for inflammation that is not included in the </w:t>
      </w:r>
      <w:proofErr w:type="spellStart"/>
      <w:r w:rsidRPr="006A2FF4">
        <w:rPr>
          <w:rFonts w:cs="LMMono12-Regular"/>
          <w:i/>
          <w:sz w:val="24"/>
          <w:szCs w:val="24"/>
        </w:rPr>
        <w:t>minfi</w:t>
      </w:r>
      <w:proofErr w:type="spellEnd"/>
      <w:r w:rsidRPr="004F57AA">
        <w:rPr>
          <w:rFonts w:cs="LMMono12-Regular"/>
          <w:sz w:val="24"/>
          <w:szCs w:val="24"/>
        </w:rPr>
        <w:t>/Koestler</w:t>
      </w:r>
      <w:r w:rsidRPr="006A2FF4">
        <w:rPr>
          <w:rFonts w:cs="LMMono12-Regular"/>
          <w:sz w:val="24"/>
          <w:szCs w:val="24"/>
        </w:rPr>
        <w:t xml:space="preserve"> </w:t>
      </w:r>
      <w:r w:rsidRPr="006A2FF4">
        <w:rPr>
          <w:rFonts w:cs="LMRoman12-Regular"/>
          <w:sz w:val="24"/>
          <w:szCs w:val="24"/>
        </w:rPr>
        <w:t>model.</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Estimating the LC based on whole blood </w:t>
      </w:r>
      <w:proofErr w:type="spellStart"/>
      <w:r w:rsidRPr="006A2FF4">
        <w:rPr>
          <w:rFonts w:cs="LMRoman12-Regular"/>
          <w:sz w:val="24"/>
          <w:szCs w:val="24"/>
        </w:rPr>
        <w:t>DNAm</w:t>
      </w:r>
      <w:proofErr w:type="spellEnd"/>
      <w:r w:rsidRPr="006A2FF4">
        <w:rPr>
          <w:rFonts w:cs="LMRoman12-Regular"/>
          <w:sz w:val="24"/>
          <w:szCs w:val="24"/>
        </w:rPr>
        <w:t xml:space="preserve"> has several advantages. It has virtually no costs (assuming that DNA methylation data is already available) and provides estimates even for blood samples stored under conditions that no longer allow cell counts by other means</w:t>
      </w:r>
      <w:r>
        <w:rPr>
          <w:rFonts w:cs="LMRoman12-Regular"/>
          <w:sz w:val="24"/>
          <w:szCs w:val="24"/>
        </w:rPr>
        <w:t xml:space="preserve"> </w:t>
      </w:r>
      <w:r>
        <w:rPr>
          <w:rFonts w:cs="LMRoman12-Regular"/>
          <w:noProof/>
          <w:sz w:val="24"/>
          <w:szCs w:val="24"/>
        </w:rPr>
        <w:t>[21]</w:t>
      </w:r>
      <w:r>
        <w:rPr>
          <w:rFonts w:cs="LMRoman12-Regular"/>
          <w:sz w:val="24"/>
          <w:szCs w:val="24"/>
        </w:rPr>
        <w:t>.</w:t>
      </w:r>
      <w:r w:rsidRPr="006A2FF4">
        <w:rPr>
          <w:rFonts w:cs="LMRoman12-Regular"/>
          <w:sz w:val="24"/>
          <w:szCs w:val="24"/>
        </w:rPr>
        <w:t xml:space="preserve"> However, reports about the accuracy of these estimates vary widely. The </w:t>
      </w:r>
      <w:r w:rsidRPr="004F57AA">
        <w:rPr>
          <w:rFonts w:cs="LMMono12-Regular"/>
          <w:sz w:val="24"/>
          <w:szCs w:val="24"/>
        </w:rPr>
        <w:t xml:space="preserve">Koestler </w:t>
      </w:r>
      <w:r w:rsidRPr="006A2FF4">
        <w:rPr>
          <w:rFonts w:cs="LMRoman12-Regular"/>
          <w:sz w:val="24"/>
          <w:szCs w:val="24"/>
        </w:rPr>
        <w:t>model provided accurate predictions for granulocytes, lymphocytes and monocytes in our datasets</w:t>
      </w:r>
      <w:r>
        <w:rPr>
          <w:rFonts w:cs="LMRoman12-Regular"/>
          <w:sz w:val="24"/>
          <w:szCs w:val="24"/>
        </w:rPr>
        <w:t xml:space="preserve"> (Table 3)</w:t>
      </w:r>
      <w:r w:rsidRPr="006A2FF4">
        <w:rPr>
          <w:rFonts w:cs="LMRoman12-Regular"/>
          <w:sz w:val="24"/>
          <w:szCs w:val="24"/>
        </w:rPr>
        <w:t xml:space="preserve">. Koestler et al. validated the </w:t>
      </w:r>
      <w:r>
        <w:rPr>
          <w:rFonts w:cs="LMRoman12-Regular"/>
          <w:sz w:val="24"/>
          <w:szCs w:val="24"/>
        </w:rPr>
        <w:t xml:space="preserve">original </w:t>
      </w:r>
      <w:r w:rsidRPr="006A2FF4">
        <w:rPr>
          <w:rFonts w:cs="LMRoman12-Regular"/>
          <w:sz w:val="24"/>
          <w:szCs w:val="24"/>
        </w:rPr>
        <w:t>Houseman model</w:t>
      </w:r>
      <w:r>
        <w:rPr>
          <w:rFonts w:cs="LMRoman12-Regular"/>
          <w:sz w:val="24"/>
          <w:szCs w:val="24"/>
        </w:rPr>
        <w:t xml:space="preserve"> </w:t>
      </w:r>
      <w:r>
        <w:rPr>
          <w:rFonts w:cs="LMRoman12-Regular"/>
          <w:noProof/>
          <w:sz w:val="24"/>
          <w:szCs w:val="24"/>
        </w:rPr>
        <w:t>[6]</w:t>
      </w:r>
      <w:r w:rsidRPr="006A2FF4">
        <w:rPr>
          <w:rFonts w:cs="LMRoman12-Regular"/>
          <w:sz w:val="24"/>
          <w:szCs w:val="24"/>
        </w:rPr>
        <w:t xml:space="preserve"> in a set of 94 peripheral blood mononuclear cell samples and found a correlation of 0.61 and 0.60 between measured and estimated proportions of lymphocytes and monocytes, respectively</w:t>
      </w:r>
      <w:r>
        <w:rPr>
          <w:rFonts w:cs="LMRoman12-Regular"/>
          <w:sz w:val="24"/>
          <w:szCs w:val="24"/>
        </w:rPr>
        <w:t xml:space="preserve"> </w:t>
      </w:r>
      <w:r>
        <w:rPr>
          <w:rFonts w:cs="LMRoman12-Regular"/>
          <w:noProof/>
          <w:sz w:val="24"/>
          <w:szCs w:val="24"/>
        </w:rPr>
        <w:t>[12]</w:t>
      </w:r>
      <w:r>
        <w:rPr>
          <w:rFonts w:cs="LMRoman12-Regular"/>
          <w:sz w:val="24"/>
          <w:szCs w:val="24"/>
        </w:rPr>
        <w:t>.</w:t>
      </w:r>
      <w:r w:rsidRPr="006A2FF4">
        <w:rPr>
          <w:rFonts w:cs="LMRoman12-Regular"/>
          <w:sz w:val="24"/>
          <w:szCs w:val="24"/>
        </w:rPr>
        <w:t xml:space="preserve"> </w:t>
      </w:r>
      <w:proofErr w:type="spellStart"/>
      <w:r w:rsidRPr="006A2FF4">
        <w:rPr>
          <w:rFonts w:cs="LMRoman12-Regular"/>
          <w:sz w:val="24"/>
          <w:szCs w:val="24"/>
        </w:rPr>
        <w:t>Yousefi</w:t>
      </w:r>
      <w:proofErr w:type="spellEnd"/>
      <w:r w:rsidRPr="006A2FF4">
        <w:rPr>
          <w:rFonts w:cs="LMRoman12-Regular"/>
          <w:sz w:val="24"/>
          <w:szCs w:val="24"/>
        </w:rPr>
        <w:t xml:space="preserve"> et al. tested the </w:t>
      </w:r>
      <w:proofErr w:type="spellStart"/>
      <w:r w:rsidRPr="00246F34">
        <w:rPr>
          <w:rFonts w:cs="LMMono12-Regular"/>
          <w:i/>
          <w:sz w:val="24"/>
          <w:szCs w:val="24"/>
        </w:rPr>
        <w:t>minfi</w:t>
      </w:r>
      <w:proofErr w:type="spellEnd"/>
      <w:r w:rsidRPr="006A2FF4">
        <w:rPr>
          <w:rFonts w:cs="LMMono12-Regular"/>
          <w:sz w:val="24"/>
          <w:szCs w:val="24"/>
        </w:rPr>
        <w:t xml:space="preserve"> </w:t>
      </w:r>
      <w:r w:rsidRPr="006A2FF4">
        <w:rPr>
          <w:rFonts w:cs="LMRoman12-Regular"/>
          <w:sz w:val="24"/>
          <w:szCs w:val="24"/>
        </w:rPr>
        <w:t xml:space="preserve">model and found </w:t>
      </w:r>
      <w:r>
        <w:rPr>
          <w:rFonts w:cs="LMRoman12-Regular"/>
          <w:sz w:val="24"/>
          <w:szCs w:val="24"/>
        </w:rPr>
        <w:t xml:space="preserve">low and high </w:t>
      </w:r>
      <w:r w:rsidRPr="006A2FF4">
        <w:rPr>
          <w:rFonts w:cs="LMRoman12-Regular"/>
          <w:sz w:val="24"/>
          <w:szCs w:val="24"/>
        </w:rPr>
        <w:t>Spearman correlations for 45 whole blood samples from 12-year old children (GR 0.77, LY 0.75, MO 0.26), but there was no correlation at all for 111 samples from newborns (GR -0.05, LY -0.03, MO -0.01)</w:t>
      </w:r>
      <w:r>
        <w:rPr>
          <w:rFonts w:cs="LMRoman12-Regular"/>
          <w:sz w:val="24"/>
          <w:szCs w:val="24"/>
        </w:rPr>
        <w:t xml:space="preserve"> </w:t>
      </w:r>
      <w:r>
        <w:rPr>
          <w:rFonts w:cs="LMRoman12-Regular"/>
          <w:noProof/>
          <w:sz w:val="24"/>
          <w:szCs w:val="24"/>
        </w:rPr>
        <w:t>[14]</w:t>
      </w:r>
      <w:r>
        <w:rPr>
          <w:rFonts w:cs="LMRoman12-Regular"/>
          <w:sz w:val="24"/>
          <w:szCs w:val="24"/>
        </w:rPr>
        <w:t>.</w:t>
      </w:r>
      <w:r w:rsidRPr="006A2FF4">
        <w:rPr>
          <w:rFonts w:cs="LMRoman12-Regular"/>
          <w:sz w:val="24"/>
          <w:szCs w:val="24"/>
        </w:rPr>
        <w:t xml:space="preserve"> This is likely due to the age distribution of the study populations</w:t>
      </w:r>
      <w:r>
        <w:rPr>
          <w:rFonts w:cs="LMRoman12-Regular"/>
          <w:sz w:val="24"/>
          <w:szCs w:val="24"/>
        </w:rPr>
        <w:t>:</w:t>
      </w:r>
      <w:r w:rsidRPr="006A2FF4">
        <w:rPr>
          <w:rFonts w:cs="LMRoman12-Regular"/>
          <w:sz w:val="24"/>
          <w:szCs w:val="24"/>
        </w:rPr>
        <w:t xml:space="preserve"> </w:t>
      </w:r>
      <w:r>
        <w:rPr>
          <w:rFonts w:cs="LMRoman12-Regular"/>
          <w:sz w:val="24"/>
          <w:szCs w:val="24"/>
        </w:rPr>
        <w:t>t</w:t>
      </w:r>
      <w:r w:rsidRPr="006A2FF4">
        <w:rPr>
          <w:rFonts w:cs="LMRoman12-Regular"/>
          <w:sz w:val="24"/>
          <w:szCs w:val="24"/>
        </w:rPr>
        <w:t xml:space="preserve">he </w:t>
      </w:r>
      <w:proofErr w:type="spellStart"/>
      <w:r w:rsidRPr="00246F34">
        <w:rPr>
          <w:rFonts w:cs="LMMono12-Regular"/>
          <w:i/>
          <w:sz w:val="24"/>
          <w:szCs w:val="24"/>
        </w:rPr>
        <w:t>minfi</w:t>
      </w:r>
      <w:proofErr w:type="spellEnd"/>
      <w:r w:rsidRPr="006A2FF4">
        <w:rPr>
          <w:rFonts w:cs="LMMono12-Regular"/>
          <w:sz w:val="24"/>
          <w:szCs w:val="24"/>
        </w:rPr>
        <w:t xml:space="preserve"> </w:t>
      </w:r>
      <w:r w:rsidRPr="006A2FF4">
        <w:rPr>
          <w:rFonts w:cs="LMRoman12-Regular"/>
          <w:sz w:val="24"/>
          <w:szCs w:val="24"/>
        </w:rPr>
        <w:t xml:space="preserve">model is trained on a sample of six males </w:t>
      </w:r>
      <w:r w:rsidRPr="006A2FF4">
        <w:rPr>
          <w:rFonts w:cs="LMRoman12-Regular"/>
          <w:sz w:val="24"/>
          <w:szCs w:val="24"/>
        </w:rPr>
        <w:lastRenderedPageBreak/>
        <w:t>with mean age 38</w:t>
      </w:r>
      <w:r w:rsidRPr="006A2FF4">
        <w:rPr>
          <w:rFonts w:eastAsia="LatinModernMath-Regular" w:cs="LatinModernMath-Regular"/>
          <w:sz w:val="24"/>
          <w:szCs w:val="24"/>
        </w:rPr>
        <w:t>±</w:t>
      </w:r>
      <w:r w:rsidRPr="006A2FF4">
        <w:rPr>
          <w:rFonts w:cs="LMRoman12-Regular"/>
          <w:sz w:val="24"/>
          <w:szCs w:val="24"/>
        </w:rPr>
        <w:t>13.6 years</w:t>
      </w:r>
      <w:r>
        <w:rPr>
          <w:rFonts w:cs="LMRoman12-Regular"/>
          <w:sz w:val="24"/>
          <w:szCs w:val="24"/>
        </w:rPr>
        <w:t xml:space="preserve"> </w:t>
      </w:r>
      <w:r>
        <w:rPr>
          <w:rFonts w:cs="LMRoman12-Regular"/>
          <w:noProof/>
          <w:sz w:val="24"/>
          <w:szCs w:val="24"/>
        </w:rPr>
        <w:t>[4]</w:t>
      </w:r>
      <w:r>
        <w:rPr>
          <w:rFonts w:cs="LMRoman12-Regular"/>
          <w:sz w:val="24"/>
          <w:szCs w:val="24"/>
        </w:rPr>
        <w:t>,</w:t>
      </w:r>
      <w:r w:rsidRPr="006A2FF4">
        <w:rPr>
          <w:rFonts w:cs="LMRoman12-Regular"/>
          <w:sz w:val="24"/>
          <w:szCs w:val="24"/>
        </w:rPr>
        <w:t xml:space="preserve"> which is more similar to the sample of adults from LOLIPOP and KAROLA than to the sample of children and newborns. This is of great importance, as such LC estimates are already used in study populations of newborns</w:t>
      </w:r>
      <w:r>
        <w:rPr>
          <w:rFonts w:cs="LMRoman12-Regular"/>
          <w:sz w:val="24"/>
          <w:szCs w:val="24"/>
        </w:rPr>
        <w:t xml:space="preserve"> </w:t>
      </w:r>
      <w:r>
        <w:rPr>
          <w:rFonts w:cs="LMRoman12-Regular"/>
          <w:noProof/>
          <w:sz w:val="24"/>
          <w:szCs w:val="24"/>
        </w:rPr>
        <w:t>[10, 11]</w:t>
      </w:r>
      <w:r w:rsidRPr="006A2FF4">
        <w:rPr>
          <w:rFonts w:cs="LMRoman12-Regular"/>
          <w:sz w:val="24"/>
          <w:szCs w:val="24"/>
        </w:rPr>
        <w:t xml:space="preserve"> </w:t>
      </w:r>
      <w:r>
        <w:rPr>
          <w:rFonts w:cs="LMRoman12-Regular"/>
          <w:sz w:val="24"/>
          <w:szCs w:val="24"/>
        </w:rPr>
        <w:t xml:space="preserve">(the most recent release of the </w:t>
      </w:r>
      <w:proofErr w:type="spellStart"/>
      <w:r w:rsidRPr="00541283">
        <w:rPr>
          <w:rFonts w:cs="LMRoman12-Regular"/>
          <w:i/>
          <w:sz w:val="24"/>
          <w:szCs w:val="24"/>
        </w:rPr>
        <w:t>minfi</w:t>
      </w:r>
      <w:proofErr w:type="spellEnd"/>
      <w:r>
        <w:rPr>
          <w:rFonts w:cs="LMRoman12-Regular"/>
          <w:sz w:val="24"/>
          <w:szCs w:val="24"/>
        </w:rPr>
        <w:t xml:space="preserve"> package now supports a dedicated reference dataset for cord blood </w:t>
      </w:r>
      <w:r>
        <w:rPr>
          <w:rFonts w:cs="LMRoman12-Regular"/>
          <w:noProof/>
          <w:sz w:val="24"/>
          <w:szCs w:val="24"/>
        </w:rPr>
        <w:t>[22]</w:t>
      </w:r>
      <w:r>
        <w:rPr>
          <w:rFonts w:cs="LMRoman12-Regular"/>
          <w:sz w:val="24"/>
          <w:szCs w:val="24"/>
        </w:rPr>
        <w:t xml:space="preserve">). </w:t>
      </w:r>
      <w:r w:rsidRPr="006A2FF4">
        <w:rPr>
          <w:rFonts w:cs="LMRoman12-Regular"/>
          <w:sz w:val="24"/>
          <w:szCs w:val="24"/>
        </w:rPr>
        <w:t xml:space="preserve">In another dataset of whole blood samples from 22 pairs of monozygotic twins including counts of minor cell types, predictions of the </w:t>
      </w:r>
      <w:proofErr w:type="spellStart"/>
      <w:r w:rsidRPr="00BC7068">
        <w:rPr>
          <w:rFonts w:cs="LMMono12-Regular"/>
          <w:i/>
          <w:sz w:val="24"/>
          <w:szCs w:val="24"/>
        </w:rPr>
        <w:t>minfi</w:t>
      </w:r>
      <w:proofErr w:type="spellEnd"/>
      <w:r w:rsidRPr="006A2FF4">
        <w:rPr>
          <w:rFonts w:cs="LMMono12-Regular"/>
          <w:sz w:val="24"/>
          <w:szCs w:val="24"/>
        </w:rPr>
        <w:t xml:space="preserve"> </w:t>
      </w:r>
      <w:r w:rsidRPr="006A2FF4">
        <w:rPr>
          <w:rFonts w:cs="LMRoman12-Regular"/>
          <w:sz w:val="24"/>
          <w:szCs w:val="24"/>
        </w:rPr>
        <w:t>model were again excellent (GR 0.75, CD4+ T cells 0.75, CD8+ T cells 0.66, B lymphocytes 0.93, natural killer cells 0.82, MO 0.59), but little information was provided about the study population</w:t>
      </w:r>
      <w:r>
        <w:rPr>
          <w:rFonts w:cs="LMRoman12-Regular"/>
          <w:sz w:val="24"/>
          <w:szCs w:val="24"/>
        </w:rPr>
        <w:t xml:space="preserve"> </w:t>
      </w:r>
      <w:r>
        <w:rPr>
          <w:rFonts w:cs="LMRoman12-Regular"/>
          <w:noProof/>
          <w:sz w:val="24"/>
          <w:szCs w:val="24"/>
        </w:rPr>
        <w:t>[15]</w:t>
      </w:r>
      <w:r>
        <w:rPr>
          <w:rFonts w:cs="LMRoman12-Regular"/>
          <w:sz w:val="24"/>
          <w:szCs w:val="24"/>
        </w:rPr>
        <w:t>.</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Default="00D51AC1" w:rsidP="00711F9C">
      <w:pPr>
        <w:autoSpaceDE w:val="0"/>
        <w:autoSpaceDN w:val="0"/>
        <w:adjustRightInd w:val="0"/>
        <w:spacing w:after="0" w:line="480" w:lineRule="auto"/>
        <w:rPr>
          <w:rFonts w:cs="LMRoman12-Regular"/>
          <w:sz w:val="24"/>
          <w:szCs w:val="24"/>
        </w:rPr>
      </w:pPr>
      <w:r w:rsidRPr="006A2FF4">
        <w:rPr>
          <w:rFonts w:cs="LMRoman12-Regular"/>
          <w:sz w:val="24"/>
          <w:szCs w:val="24"/>
        </w:rPr>
        <w:t xml:space="preserve">We hypothesized that a model trained on whole blood samples might perform better. While whole blood </w:t>
      </w:r>
      <w:proofErr w:type="spellStart"/>
      <w:r w:rsidRPr="006A2FF4">
        <w:rPr>
          <w:rFonts w:cs="LMRoman12-Regular"/>
          <w:sz w:val="24"/>
          <w:szCs w:val="24"/>
        </w:rPr>
        <w:t>DNAm</w:t>
      </w:r>
      <w:proofErr w:type="spellEnd"/>
      <w:r w:rsidRPr="006A2FF4">
        <w:rPr>
          <w:rFonts w:cs="LMRoman12-Regular"/>
          <w:sz w:val="24"/>
          <w:szCs w:val="24"/>
        </w:rPr>
        <w:t xml:space="preserve"> can be thought of as a weighted average of subtype</w:t>
      </w:r>
      <w:r>
        <w:rPr>
          <w:rFonts w:cs="LMRoman12-Regular"/>
          <w:sz w:val="24"/>
          <w:szCs w:val="24"/>
        </w:rPr>
        <w:t>-</w:t>
      </w:r>
      <w:r w:rsidRPr="006A2FF4">
        <w:rPr>
          <w:rFonts w:cs="LMRoman12-Regular"/>
          <w:sz w:val="24"/>
          <w:szCs w:val="24"/>
        </w:rPr>
        <w:t xml:space="preserve">specific methylation levels, this is not true for the background noise that is always present for microarray technology, and a model trained on whole blood </w:t>
      </w:r>
      <w:proofErr w:type="spellStart"/>
      <w:r>
        <w:rPr>
          <w:rFonts w:cs="LMRoman12-Regular"/>
          <w:sz w:val="24"/>
          <w:szCs w:val="24"/>
        </w:rPr>
        <w:t>DNAm</w:t>
      </w:r>
      <w:proofErr w:type="spellEnd"/>
      <w:r w:rsidRPr="006A2FF4">
        <w:rPr>
          <w:rFonts w:cs="LMRoman12-Regular"/>
          <w:sz w:val="24"/>
          <w:szCs w:val="24"/>
        </w:rPr>
        <w:t xml:space="preserve"> might account better for this</w:t>
      </w:r>
      <w:r>
        <w:rPr>
          <w:rFonts w:cs="LMRoman12-Regular"/>
          <w:sz w:val="24"/>
          <w:szCs w:val="24"/>
        </w:rPr>
        <w:t xml:space="preserve"> issue</w:t>
      </w:r>
      <w:r w:rsidRPr="006A2FF4">
        <w:rPr>
          <w:rFonts w:cs="LMRoman12-Regular"/>
          <w:sz w:val="24"/>
          <w:szCs w:val="24"/>
        </w:rPr>
        <w:t xml:space="preserve">. Another possible issue with purification of cell types is that the process </w:t>
      </w:r>
      <w:r>
        <w:rPr>
          <w:rFonts w:cs="LMRoman12-Regular"/>
          <w:sz w:val="24"/>
          <w:szCs w:val="24"/>
        </w:rPr>
        <w:t>could</w:t>
      </w:r>
      <w:r w:rsidRPr="006A2FF4">
        <w:rPr>
          <w:rFonts w:cs="LMRoman12-Regular"/>
          <w:sz w:val="24"/>
          <w:szCs w:val="24"/>
        </w:rPr>
        <w:t xml:space="preserve"> distort </w:t>
      </w:r>
      <w:proofErr w:type="spellStart"/>
      <w:r w:rsidRPr="006A2FF4">
        <w:rPr>
          <w:rFonts w:cs="LMRoman12-Regular"/>
          <w:sz w:val="24"/>
          <w:szCs w:val="24"/>
        </w:rPr>
        <w:t>DNA</w:t>
      </w:r>
      <w:r>
        <w:rPr>
          <w:rFonts w:cs="LMRoman12-Regular"/>
          <w:sz w:val="24"/>
          <w:szCs w:val="24"/>
        </w:rPr>
        <w:t>m</w:t>
      </w:r>
      <w:proofErr w:type="spellEnd"/>
      <w:r w:rsidRPr="006A2FF4">
        <w:rPr>
          <w:rFonts w:cs="LMRoman12-Regular"/>
          <w:sz w:val="24"/>
          <w:szCs w:val="24"/>
        </w:rPr>
        <w:t xml:space="preserve">. Our model provided exact predictions in LOLIPOP even for eosinophils, </w:t>
      </w:r>
      <w:r>
        <w:rPr>
          <w:rFonts w:cs="LMRoman12-Regular"/>
          <w:sz w:val="24"/>
          <w:szCs w:val="24"/>
        </w:rPr>
        <w:t>o</w:t>
      </w:r>
      <w:r w:rsidRPr="006A2FF4">
        <w:rPr>
          <w:rFonts w:cs="LMRoman12-Regular"/>
          <w:sz w:val="24"/>
          <w:szCs w:val="24"/>
        </w:rPr>
        <w:t xml:space="preserve">nly in the case of basophils, which account for only approximately 1% of </w:t>
      </w:r>
      <w:proofErr w:type="gramStart"/>
      <w:r w:rsidRPr="006A2FF4">
        <w:rPr>
          <w:rFonts w:cs="LMRoman12-Regular"/>
          <w:sz w:val="24"/>
          <w:szCs w:val="24"/>
        </w:rPr>
        <w:t>leukocytes,</w:t>
      </w:r>
      <w:proofErr w:type="gramEnd"/>
      <w:r w:rsidRPr="006A2FF4">
        <w:rPr>
          <w:rFonts w:cs="LMRoman12-Regular"/>
          <w:sz w:val="24"/>
          <w:szCs w:val="24"/>
        </w:rPr>
        <w:t xml:space="preserve"> </w:t>
      </w:r>
      <w:r>
        <w:rPr>
          <w:rFonts w:cs="LMRoman12-Regular"/>
          <w:sz w:val="24"/>
          <w:szCs w:val="24"/>
        </w:rPr>
        <w:t>it</w:t>
      </w:r>
      <w:r w:rsidRPr="006A2FF4">
        <w:rPr>
          <w:rFonts w:cs="LMRoman12-Regular"/>
          <w:sz w:val="24"/>
          <w:szCs w:val="24"/>
        </w:rPr>
        <w:t xml:space="preserve"> did not provide reasonable predictions. Correlation between measured and estimated cell proportions in LOLIPOP for the two most frequent cell types neutrophils and lymphocytes (standard deviations of </w:t>
      </w:r>
      <w:r w:rsidRPr="006A2FF4">
        <w:rPr>
          <w:rFonts w:eastAsia="LatinModernMath-Regular" w:cs="LatinModernMath-Regular"/>
          <w:sz w:val="24"/>
          <w:szCs w:val="24"/>
        </w:rPr>
        <w:t>±</w:t>
      </w:r>
      <w:r w:rsidRPr="006A2FF4">
        <w:rPr>
          <w:rFonts w:cs="LMRoman12-Regular"/>
          <w:sz w:val="24"/>
          <w:szCs w:val="24"/>
        </w:rPr>
        <w:t xml:space="preserve">8.5% and </w:t>
      </w:r>
      <w:r w:rsidRPr="006A2FF4">
        <w:rPr>
          <w:rFonts w:eastAsia="LatinModernMath-Regular" w:cs="LatinModernMath-Regular"/>
          <w:sz w:val="24"/>
          <w:szCs w:val="24"/>
        </w:rPr>
        <w:t>±</w:t>
      </w:r>
      <w:r w:rsidRPr="006A2FF4">
        <w:rPr>
          <w:rFonts w:cs="LMRoman12-Regular"/>
          <w:sz w:val="24"/>
          <w:szCs w:val="24"/>
        </w:rPr>
        <w:t>7.9%) were lower than for eosinophils</w:t>
      </w:r>
      <w:r>
        <w:rPr>
          <w:rFonts w:cs="LMRoman12-Regular"/>
          <w:sz w:val="24"/>
          <w:szCs w:val="24"/>
        </w:rPr>
        <w:t xml:space="preserve"> (standard deviation of </w:t>
      </w:r>
      <w:r w:rsidRPr="006A2FF4">
        <w:rPr>
          <w:rFonts w:eastAsia="LatinModernMath-Regular" w:cs="LatinModernMath-Regular"/>
          <w:sz w:val="24"/>
          <w:szCs w:val="24"/>
        </w:rPr>
        <w:t>±</w:t>
      </w:r>
      <w:r>
        <w:rPr>
          <w:rFonts w:cs="LMRoman12-Regular"/>
          <w:sz w:val="24"/>
          <w:szCs w:val="24"/>
        </w:rPr>
        <w:t>2.6%)</w:t>
      </w:r>
      <w:r w:rsidRPr="006A2FF4">
        <w:rPr>
          <w:rFonts w:cs="LMRoman12-Regular"/>
          <w:sz w:val="24"/>
          <w:szCs w:val="24"/>
        </w:rPr>
        <w:t xml:space="preserve">. This could point to imprecise cell counts, which was even more evident in KAROLA, where correlations for eosinophils were close to 1 for one cell counting device, but only moderate for the other. An explanation for this pattern might be that correlations of measured with estimated cell proportions were limited by the correlations </w:t>
      </w:r>
      <w:r w:rsidRPr="006A2FF4">
        <w:rPr>
          <w:rFonts w:cs="LMRoman12-Regular"/>
          <w:sz w:val="24"/>
          <w:szCs w:val="24"/>
        </w:rPr>
        <w:lastRenderedPageBreak/>
        <w:t xml:space="preserve">of measured with true cell proportions, meaning that for some device/leukocyte combinations the cell counts might be less precise than the estimates. This interpretation is further supported by the observations that correlations for neutrophils and lymphocytes were lower in the population from which the training set was sampled, than in the external validation (where measurements for these two cell types would be more precise) and that in LOLIPOP more variance in the 450K data could be explained by the estimated than by the measured cell proportions. Therefore, both our custom and the </w:t>
      </w:r>
      <w:r w:rsidRPr="004F57AA">
        <w:rPr>
          <w:rFonts w:cs="LMMono12-Regular"/>
          <w:sz w:val="24"/>
          <w:szCs w:val="24"/>
        </w:rPr>
        <w:t xml:space="preserve">Koestler </w:t>
      </w:r>
      <w:r w:rsidRPr="006A2FF4">
        <w:rPr>
          <w:rFonts w:cs="LMRoman12-Regular"/>
          <w:sz w:val="24"/>
          <w:szCs w:val="24"/>
        </w:rPr>
        <w:t xml:space="preserve">model might provide for some cell types more precise proportions than the 5-part blood cell counts from the hematology analyzers used in this study. In contrast, much better precision has been reported for the </w:t>
      </w:r>
      <w:proofErr w:type="spellStart"/>
      <w:r w:rsidRPr="006A2FF4">
        <w:rPr>
          <w:rFonts w:cs="LMRoman12-Regular"/>
          <w:sz w:val="24"/>
          <w:szCs w:val="24"/>
        </w:rPr>
        <w:t>Sysmex</w:t>
      </w:r>
      <w:proofErr w:type="spellEnd"/>
      <w:r w:rsidRPr="006A2FF4">
        <w:rPr>
          <w:rFonts w:cs="LMRoman12-Regular"/>
          <w:sz w:val="24"/>
          <w:szCs w:val="24"/>
        </w:rPr>
        <w:t xml:space="preserve"> XE-2100 hematology analyzer</w:t>
      </w:r>
      <w:r>
        <w:rPr>
          <w:rFonts w:cs="LMRoman12-Regular"/>
          <w:sz w:val="24"/>
          <w:szCs w:val="24"/>
        </w:rPr>
        <w:t xml:space="preserve"> </w:t>
      </w:r>
      <w:r>
        <w:rPr>
          <w:rFonts w:cs="LMRoman12-Regular"/>
          <w:noProof/>
          <w:sz w:val="24"/>
          <w:szCs w:val="24"/>
        </w:rPr>
        <w:t>[23]</w:t>
      </w:r>
      <w:r w:rsidRPr="006A2FF4">
        <w:rPr>
          <w:rFonts w:cs="LMRoman12-Regular"/>
          <w:sz w:val="24"/>
          <w:szCs w:val="24"/>
        </w:rPr>
        <w:t xml:space="preserve"> and other devices or methods also outperform the estimates based on DNA methylation (see Fig. </w:t>
      </w:r>
      <w:proofErr w:type="gramStart"/>
      <w:r w:rsidRPr="006A2FF4">
        <w:rPr>
          <w:rFonts w:cs="LMRoman12-Regular"/>
          <w:sz w:val="24"/>
          <w:szCs w:val="24"/>
        </w:rPr>
        <w:t>S8 and S9 in</w:t>
      </w:r>
      <w:r>
        <w:rPr>
          <w:rFonts w:cs="LMRoman12-Regular"/>
          <w:sz w:val="24"/>
          <w:szCs w:val="24"/>
        </w:rPr>
        <w:t xml:space="preserve"> </w:t>
      </w:r>
      <w:proofErr w:type="spellStart"/>
      <w:r>
        <w:rPr>
          <w:rFonts w:cs="LMRoman12-Regular"/>
          <w:sz w:val="24"/>
          <w:szCs w:val="24"/>
        </w:rPr>
        <w:t>Accomando</w:t>
      </w:r>
      <w:proofErr w:type="spellEnd"/>
      <w:r>
        <w:rPr>
          <w:rFonts w:cs="LMRoman12-Regular"/>
          <w:sz w:val="24"/>
          <w:szCs w:val="24"/>
        </w:rPr>
        <w:t xml:space="preserve"> et al. </w:t>
      </w:r>
      <w:r>
        <w:rPr>
          <w:rFonts w:cs="LMRoman12-Regular"/>
          <w:noProof/>
          <w:sz w:val="24"/>
          <w:szCs w:val="24"/>
        </w:rPr>
        <w:t>[21]</w:t>
      </w:r>
      <w:r w:rsidRPr="006A2FF4">
        <w:rPr>
          <w:rFonts w:cs="LMRoman12-Regular"/>
          <w:sz w:val="24"/>
          <w:szCs w:val="24"/>
        </w:rPr>
        <w:t>).</w:t>
      </w:r>
      <w:proofErr w:type="gramEnd"/>
      <w:r w:rsidRPr="006A2FF4">
        <w:rPr>
          <w:rFonts w:cs="LMRoman12-Regular"/>
          <w:sz w:val="24"/>
          <w:szCs w:val="24"/>
        </w:rPr>
        <w:t xml:space="preserve"> </w:t>
      </w:r>
      <w:r>
        <w:rPr>
          <w:rFonts w:cs="LMRoman12-Regular"/>
          <w:sz w:val="24"/>
          <w:szCs w:val="24"/>
        </w:rPr>
        <w:t xml:space="preserve">In accordance with two evaluations of the XE-2100 hematology analyzer, which found that eosinophil proportions were more reproducible than monocyte proportions </w:t>
      </w:r>
      <w:r>
        <w:rPr>
          <w:rFonts w:cs="LMRoman12-Regular"/>
          <w:noProof/>
          <w:sz w:val="24"/>
          <w:szCs w:val="24"/>
        </w:rPr>
        <w:t>[24, 25]</w:t>
      </w:r>
      <w:r>
        <w:rPr>
          <w:rFonts w:cs="LMRoman12-Regular"/>
          <w:sz w:val="24"/>
          <w:szCs w:val="24"/>
        </w:rPr>
        <w:t>, the correlation between estimates and cell counts in LOLIPOP was higher for eosinophils than for monocytes.</w:t>
      </w:r>
    </w:p>
    <w:p w:rsidR="00D51AC1" w:rsidRDefault="00D51AC1" w:rsidP="00711F9C">
      <w:pPr>
        <w:autoSpaceDE w:val="0"/>
        <w:autoSpaceDN w:val="0"/>
        <w:adjustRightInd w:val="0"/>
        <w:spacing w:after="0" w:line="480" w:lineRule="auto"/>
        <w:rPr>
          <w:rFonts w:cs="LMRoman12-Regular"/>
          <w:sz w:val="24"/>
          <w:szCs w:val="24"/>
        </w:rPr>
      </w:pPr>
    </w:p>
    <w:p w:rsidR="00D51AC1" w:rsidRPr="006A2FF4" w:rsidRDefault="00D51AC1" w:rsidP="00711F9C">
      <w:pPr>
        <w:autoSpaceDE w:val="0"/>
        <w:autoSpaceDN w:val="0"/>
        <w:adjustRightInd w:val="0"/>
        <w:spacing w:after="0" w:line="480" w:lineRule="auto"/>
        <w:rPr>
          <w:rFonts w:cs="LMRoman12-Regular"/>
          <w:sz w:val="24"/>
          <w:szCs w:val="24"/>
        </w:rPr>
      </w:pPr>
      <w:r>
        <w:rPr>
          <w:rFonts w:cs="LMRoman12-Regular"/>
          <w:sz w:val="24"/>
          <w:szCs w:val="24"/>
        </w:rPr>
        <w:t xml:space="preserve">LOLIPOP and KAROLA study populations included participants that developed type 2 diabetes or had a coronary heart disease. It is unlikely that these conditions had direct impact on prediction accuracy. For example, there were only 5 markers associated with incident type 2 diabetes in the LOLIPOP dataset </w:t>
      </w:r>
      <w:r>
        <w:rPr>
          <w:rFonts w:cs="LMRoman12-Regular"/>
          <w:noProof/>
          <w:sz w:val="24"/>
          <w:szCs w:val="24"/>
        </w:rPr>
        <w:t>[2]</w:t>
      </w:r>
      <w:r>
        <w:rPr>
          <w:rFonts w:cs="LMRoman12-Regular"/>
          <w:sz w:val="24"/>
          <w:szCs w:val="24"/>
        </w:rPr>
        <w:t xml:space="preserve">, and neither one was included in our or the Koestler model. Likewise, normalization can be ruled out as nuisance factor: all analyses used raw 450K data as a starting point and test and reference datasets were normalized together. However, we cannot exclude </w:t>
      </w:r>
      <w:r>
        <w:rPr>
          <w:rFonts w:cs="LMRoman12-Regular"/>
          <w:sz w:val="24"/>
          <w:szCs w:val="24"/>
        </w:rPr>
        <w:lastRenderedPageBreak/>
        <w:t xml:space="preserve">the possibility that there might be other clinical characteristics, or factors such as sample preparation and storage </w:t>
      </w:r>
      <w:r>
        <w:rPr>
          <w:rFonts w:cs="LMRoman12-Regular"/>
          <w:noProof/>
          <w:sz w:val="24"/>
          <w:szCs w:val="24"/>
        </w:rPr>
        <w:t>[26]</w:t>
      </w:r>
      <w:r>
        <w:rPr>
          <w:rFonts w:cs="LMRoman12-Regular"/>
          <w:sz w:val="24"/>
          <w:szCs w:val="24"/>
        </w:rPr>
        <w:t xml:space="preserve">, that could have influenced results. </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Default="00D51AC1" w:rsidP="00711F9C">
      <w:pPr>
        <w:autoSpaceDE w:val="0"/>
        <w:autoSpaceDN w:val="0"/>
        <w:adjustRightInd w:val="0"/>
        <w:spacing w:after="0" w:line="480" w:lineRule="auto"/>
        <w:rPr>
          <w:rFonts w:cs="LMRoman12-Regular"/>
          <w:sz w:val="24"/>
          <w:szCs w:val="24"/>
        </w:rPr>
      </w:pPr>
      <w:r>
        <w:rPr>
          <w:rFonts w:cs="LMRoman12-Regular"/>
          <w:sz w:val="24"/>
          <w:szCs w:val="24"/>
        </w:rPr>
        <w:t xml:space="preserve">To train models for the estimation of leukocyte composition from </w:t>
      </w:r>
      <w:proofErr w:type="spellStart"/>
      <w:r>
        <w:rPr>
          <w:rFonts w:cs="LMRoman12-Regular"/>
          <w:sz w:val="24"/>
          <w:szCs w:val="24"/>
        </w:rPr>
        <w:t>DNAm</w:t>
      </w:r>
      <w:proofErr w:type="spellEnd"/>
      <w:r>
        <w:rPr>
          <w:rFonts w:cs="LMRoman12-Regular"/>
          <w:sz w:val="24"/>
          <w:szCs w:val="24"/>
        </w:rPr>
        <w:t>, a dedicated reference dataset is required for each microarray platform.</w:t>
      </w:r>
      <w:r w:rsidRPr="006A2FF4">
        <w:rPr>
          <w:rFonts w:cs="LMRoman12-Regular"/>
          <w:sz w:val="24"/>
          <w:szCs w:val="24"/>
        </w:rPr>
        <w:t xml:space="preserve"> The 450K platform is now replaced by the Illumina </w:t>
      </w:r>
      <w:proofErr w:type="spellStart"/>
      <w:r w:rsidRPr="006A2FF4">
        <w:rPr>
          <w:rFonts w:cs="LMRoman12-Regular"/>
          <w:sz w:val="24"/>
          <w:szCs w:val="24"/>
        </w:rPr>
        <w:t>Infinium</w:t>
      </w:r>
      <w:proofErr w:type="spellEnd"/>
      <w:r w:rsidRPr="006A2FF4">
        <w:rPr>
          <w:rFonts w:cs="LMRoman12-Regular"/>
          <w:sz w:val="24"/>
          <w:szCs w:val="24"/>
        </w:rPr>
        <w:t xml:space="preserve"> </w:t>
      </w:r>
      <w:proofErr w:type="spellStart"/>
      <w:r w:rsidRPr="006A2FF4">
        <w:rPr>
          <w:rFonts w:cs="LMRoman12-Regular"/>
          <w:sz w:val="24"/>
          <w:szCs w:val="24"/>
        </w:rPr>
        <w:t>MethylationEPIC</w:t>
      </w:r>
      <w:proofErr w:type="spellEnd"/>
      <w:r w:rsidRPr="006A2FF4">
        <w:rPr>
          <w:rFonts w:cs="LMRoman12-Regular"/>
          <w:sz w:val="24"/>
          <w:szCs w:val="24"/>
        </w:rPr>
        <w:t xml:space="preserve"> chip and eventually by whole-genome bisul</w:t>
      </w:r>
      <w:r>
        <w:rPr>
          <w:rFonts w:cs="LMRoman12-Regular"/>
          <w:sz w:val="24"/>
          <w:szCs w:val="24"/>
        </w:rPr>
        <w:t>f</w:t>
      </w:r>
      <w:r w:rsidRPr="006A2FF4">
        <w:rPr>
          <w:rFonts w:cs="LMRoman12-Regular"/>
          <w:sz w:val="24"/>
          <w:szCs w:val="24"/>
        </w:rPr>
        <w:t xml:space="preserve">ite sequencing. Building a reference dataset of purified leukocyte types for every new platform or technology is elaborate and expensive. </w:t>
      </w:r>
      <w:r>
        <w:rPr>
          <w:rFonts w:cs="LMRoman12-Regular"/>
          <w:sz w:val="24"/>
          <w:szCs w:val="24"/>
        </w:rPr>
        <w:t xml:space="preserve">Our approach achieves similar results as </w:t>
      </w:r>
      <w:r w:rsidRPr="004F57AA">
        <w:rPr>
          <w:rFonts w:cs="LMRoman12-Regular"/>
          <w:sz w:val="24"/>
          <w:szCs w:val="24"/>
        </w:rPr>
        <w:t>the Koestler</w:t>
      </w:r>
      <w:r>
        <w:rPr>
          <w:rFonts w:cs="LMRoman12-Regular"/>
          <w:i/>
          <w:sz w:val="24"/>
          <w:szCs w:val="24"/>
        </w:rPr>
        <w:t xml:space="preserve"> </w:t>
      </w:r>
      <w:r>
        <w:rPr>
          <w:rFonts w:cs="LMRoman12-Regular"/>
          <w:sz w:val="24"/>
          <w:szCs w:val="24"/>
        </w:rPr>
        <w:t xml:space="preserve">model, but does not require purification of cell types. Instead we trained a model on </w:t>
      </w:r>
      <w:proofErr w:type="spellStart"/>
      <w:r>
        <w:rPr>
          <w:rFonts w:cs="LMRoman12-Regular"/>
          <w:sz w:val="24"/>
          <w:szCs w:val="24"/>
        </w:rPr>
        <w:t>DNAm</w:t>
      </w:r>
      <w:proofErr w:type="spellEnd"/>
      <w:r>
        <w:rPr>
          <w:rFonts w:cs="LMRoman12-Regular"/>
          <w:sz w:val="24"/>
          <w:szCs w:val="24"/>
        </w:rPr>
        <w:t xml:space="preserve"> data and cell counts from whole blood samples.  While</w:t>
      </w:r>
      <w:r w:rsidRPr="006A2FF4">
        <w:rPr>
          <w:rFonts w:cs="LMRoman12-Regular"/>
          <w:sz w:val="24"/>
          <w:szCs w:val="24"/>
        </w:rPr>
        <w:t xml:space="preserve"> our model likely suffers from the same drawback as the </w:t>
      </w:r>
      <w:proofErr w:type="spellStart"/>
      <w:r w:rsidRPr="00862302">
        <w:rPr>
          <w:rFonts w:cs="LMMono12-Regular"/>
          <w:i/>
          <w:sz w:val="24"/>
          <w:szCs w:val="24"/>
        </w:rPr>
        <w:t>minfi</w:t>
      </w:r>
      <w:proofErr w:type="spellEnd"/>
      <w:r w:rsidRPr="004F57AA">
        <w:rPr>
          <w:rFonts w:cs="LMMono12-Regular"/>
          <w:sz w:val="24"/>
          <w:szCs w:val="24"/>
        </w:rPr>
        <w:t>/Koestler</w:t>
      </w:r>
      <w:r w:rsidRPr="006A2FF4">
        <w:rPr>
          <w:rFonts w:cs="LMMono12-Regular"/>
          <w:sz w:val="24"/>
          <w:szCs w:val="24"/>
        </w:rPr>
        <w:t xml:space="preserve"> </w:t>
      </w:r>
      <w:r w:rsidRPr="006A2FF4">
        <w:rPr>
          <w:rFonts w:cs="LMRoman12-Regular"/>
          <w:sz w:val="24"/>
          <w:szCs w:val="24"/>
        </w:rPr>
        <w:t>model, namely that it has not been trained on a diverse study population, and that performance in other groups might be far worse</w:t>
      </w:r>
      <w:r>
        <w:rPr>
          <w:rFonts w:cs="LMRoman12-Regular"/>
          <w:sz w:val="24"/>
          <w:szCs w:val="24"/>
        </w:rPr>
        <w:t>, it can easily be refitted to other study populations, for example in the case that cell counts are available only for a subset of samples.</w:t>
      </w:r>
      <w:r w:rsidRPr="006A2FF4">
        <w:rPr>
          <w:rFonts w:cs="LMRoman12-Regular"/>
          <w:sz w:val="24"/>
          <w:szCs w:val="24"/>
        </w:rPr>
        <w:t xml:space="preserve"> </w:t>
      </w:r>
      <w:r>
        <w:rPr>
          <w:rFonts w:cs="LMRoman12-Regular"/>
          <w:sz w:val="24"/>
          <w:szCs w:val="24"/>
        </w:rPr>
        <w:t>And w</w:t>
      </w:r>
      <w:r w:rsidRPr="006A2FF4">
        <w:rPr>
          <w:rFonts w:cs="LMRoman12-Regular"/>
          <w:sz w:val="24"/>
          <w:szCs w:val="24"/>
        </w:rPr>
        <w:t xml:space="preserve">ith cell counts including various lymphocyte subtypes such as CD8+ T cells or CD4+ T cells the model </w:t>
      </w:r>
      <w:r>
        <w:rPr>
          <w:rFonts w:cs="LMRoman12-Regular"/>
          <w:sz w:val="24"/>
          <w:szCs w:val="24"/>
        </w:rPr>
        <w:t xml:space="preserve">could </w:t>
      </w:r>
      <w:r w:rsidRPr="006A2FF4">
        <w:rPr>
          <w:rFonts w:cs="LMRoman12-Regular"/>
          <w:sz w:val="24"/>
          <w:szCs w:val="24"/>
        </w:rPr>
        <w:t>be extended accordingly. A reference dataset heterogeneous in regard to sex, age, race and prevalent diseases of subjects might improve generalizability.</w:t>
      </w:r>
      <w:r>
        <w:rPr>
          <w:rFonts w:cs="LMRoman12-Regular"/>
          <w:sz w:val="24"/>
          <w:szCs w:val="24"/>
        </w:rPr>
        <w:t xml:space="preserve"> Finally, estimates from both models might be combined, for example to additionally adjust for the proportion of eosinophils in EWAS. Compared to reference-free methods, that do not require any kind of reference data, our approach has the advantage to provide cell proportion estimates that have a direct biological interpretation </w:t>
      </w:r>
      <w:r>
        <w:rPr>
          <w:rFonts w:cs="LMRoman12-Regular"/>
          <w:noProof/>
          <w:sz w:val="24"/>
          <w:szCs w:val="24"/>
        </w:rPr>
        <w:t>[27]</w:t>
      </w:r>
      <w:r>
        <w:rPr>
          <w:rFonts w:cs="LMRoman12-Regular"/>
          <w:sz w:val="24"/>
          <w:szCs w:val="24"/>
        </w:rPr>
        <w:t>.</w:t>
      </w:r>
    </w:p>
    <w:p w:rsidR="00D51AC1" w:rsidRPr="006A2FF4" w:rsidRDefault="00D51AC1" w:rsidP="00711F9C">
      <w:pPr>
        <w:autoSpaceDE w:val="0"/>
        <w:autoSpaceDN w:val="0"/>
        <w:adjustRightInd w:val="0"/>
        <w:spacing w:after="0" w:line="480" w:lineRule="auto"/>
        <w:rPr>
          <w:rFonts w:cs="LMRoman12-Regular"/>
          <w:sz w:val="24"/>
          <w:szCs w:val="24"/>
        </w:rPr>
      </w:pPr>
    </w:p>
    <w:p w:rsidR="00D51AC1" w:rsidRPr="006A2FF4" w:rsidRDefault="00D51AC1" w:rsidP="001F6C69">
      <w:pPr>
        <w:autoSpaceDE w:val="0"/>
        <w:autoSpaceDN w:val="0"/>
        <w:adjustRightInd w:val="0"/>
        <w:spacing w:after="0" w:line="480" w:lineRule="auto"/>
        <w:rPr>
          <w:rFonts w:cs="LMRoman12-Regular"/>
          <w:sz w:val="24"/>
          <w:szCs w:val="24"/>
        </w:rPr>
      </w:pPr>
      <w:r w:rsidRPr="001F6C69">
        <w:rPr>
          <w:rFonts w:cs="LMRoman12-Regular"/>
          <w:sz w:val="24"/>
          <w:szCs w:val="24"/>
        </w:rPr>
        <w:lastRenderedPageBreak/>
        <w:t>Despite their limitations it seems reasonable to assume that adjustment for LC estimates from current models will reduce</w:t>
      </w:r>
      <w:r w:rsidRPr="006A2FF4">
        <w:rPr>
          <w:rFonts w:cs="LMRoman12-Regular"/>
          <w:sz w:val="24"/>
          <w:szCs w:val="24"/>
        </w:rPr>
        <w:t xml:space="preserve"> confounding in many situations. However, in case-control studies investigating outcomes that are known to be associated with shifts in LC or studies including very young subjects, accuracy of current models might still be insufficient. Highly accurate models would be of great importance for the growing number of epigenome-wide association studies and would have a large impact on the validity of findings.</w:t>
      </w:r>
    </w:p>
    <w:p w:rsidR="00D51AC1" w:rsidRDefault="00D51AC1" w:rsidP="00CF3BB2">
      <w:pPr>
        <w:suppressLineNumbers/>
        <w:spacing w:line="480" w:lineRule="auto"/>
        <w:rPr>
          <w:sz w:val="24"/>
          <w:szCs w:val="24"/>
        </w:rPr>
      </w:pPr>
    </w:p>
    <w:p w:rsidR="00D51AC1" w:rsidRPr="00DE7518" w:rsidRDefault="00D51AC1" w:rsidP="00DE7518">
      <w:pPr>
        <w:pStyle w:val="Heading1"/>
        <w:spacing w:line="480" w:lineRule="auto"/>
        <w:rPr>
          <w:sz w:val="24"/>
          <w:szCs w:val="24"/>
        </w:rPr>
      </w:pPr>
      <w:r w:rsidRPr="00DE7518">
        <w:rPr>
          <w:sz w:val="24"/>
          <w:szCs w:val="24"/>
        </w:rPr>
        <w:t>Summary points</w:t>
      </w:r>
    </w:p>
    <w:p w:rsidR="00D51AC1" w:rsidRDefault="00D51AC1" w:rsidP="00DE7518">
      <w:pPr>
        <w:pStyle w:val="ListParagraph"/>
        <w:numPr>
          <w:ilvl w:val="0"/>
          <w:numId w:val="2"/>
        </w:numPr>
        <w:suppressLineNumbers/>
        <w:spacing w:line="480" w:lineRule="auto"/>
        <w:rPr>
          <w:sz w:val="24"/>
          <w:szCs w:val="24"/>
        </w:rPr>
      </w:pPr>
      <w:r w:rsidRPr="00DE7518">
        <w:rPr>
          <w:sz w:val="24"/>
          <w:szCs w:val="24"/>
        </w:rPr>
        <w:t>Leukocyte composition is an important confounder in epigenome-wide association studies investigating DNA methylation in whole blood samples, but cell counts are often missing.</w:t>
      </w:r>
    </w:p>
    <w:p w:rsidR="00D51AC1" w:rsidRDefault="00D51AC1" w:rsidP="00DE7518">
      <w:pPr>
        <w:pStyle w:val="ListParagraph"/>
        <w:numPr>
          <w:ilvl w:val="0"/>
          <w:numId w:val="2"/>
        </w:numPr>
        <w:suppressLineNumbers/>
        <w:spacing w:line="480" w:lineRule="auto"/>
        <w:rPr>
          <w:sz w:val="24"/>
          <w:szCs w:val="24"/>
        </w:rPr>
      </w:pPr>
      <w:r>
        <w:rPr>
          <w:sz w:val="24"/>
          <w:szCs w:val="24"/>
        </w:rPr>
        <w:t>Computational methods can estimate cell proportions based on whole blood DNA methylation profiles, but existing models require reference datasets of purified leukocyte subtypes.</w:t>
      </w:r>
    </w:p>
    <w:p w:rsidR="00D51AC1" w:rsidRDefault="00D51AC1" w:rsidP="00DE7518">
      <w:pPr>
        <w:pStyle w:val="ListParagraph"/>
        <w:numPr>
          <w:ilvl w:val="0"/>
          <w:numId w:val="2"/>
        </w:numPr>
        <w:suppressLineNumbers/>
        <w:spacing w:line="480" w:lineRule="auto"/>
        <w:rPr>
          <w:sz w:val="24"/>
          <w:szCs w:val="24"/>
        </w:rPr>
      </w:pPr>
      <w:r>
        <w:rPr>
          <w:sz w:val="24"/>
          <w:szCs w:val="24"/>
        </w:rPr>
        <w:t>We trained a model for estimating cell proportions based on a reference dataset of whole blood DNA methylation profiles and cell counts only, without the need for purification of leukocyte subtypes.</w:t>
      </w:r>
    </w:p>
    <w:p w:rsidR="00D51AC1" w:rsidRDefault="00D51AC1" w:rsidP="00DE7518">
      <w:pPr>
        <w:pStyle w:val="ListParagraph"/>
        <w:numPr>
          <w:ilvl w:val="0"/>
          <w:numId w:val="2"/>
        </w:numPr>
        <w:suppressLineNumbers/>
        <w:spacing w:line="480" w:lineRule="auto"/>
        <w:rPr>
          <w:sz w:val="24"/>
          <w:szCs w:val="24"/>
        </w:rPr>
      </w:pPr>
      <w:r>
        <w:rPr>
          <w:sz w:val="24"/>
          <w:szCs w:val="24"/>
        </w:rPr>
        <w:t>We show that the estimated cell proportions from our model explain more variance in whole blood DNA methylation levels than cell counts from common hematology analyzers, indicating that estimated cell proportions are more precise than those cell counts.</w:t>
      </w:r>
    </w:p>
    <w:p w:rsidR="00D51AC1" w:rsidRDefault="00D51AC1" w:rsidP="00DE7518">
      <w:pPr>
        <w:pStyle w:val="ListParagraph"/>
        <w:numPr>
          <w:ilvl w:val="0"/>
          <w:numId w:val="2"/>
        </w:numPr>
        <w:suppressLineNumbers/>
        <w:spacing w:line="480" w:lineRule="auto"/>
        <w:rPr>
          <w:sz w:val="24"/>
          <w:szCs w:val="24"/>
        </w:rPr>
      </w:pPr>
      <w:r>
        <w:rPr>
          <w:sz w:val="24"/>
          <w:szCs w:val="24"/>
        </w:rPr>
        <w:lastRenderedPageBreak/>
        <w:t>Our approach is flexible and our model can easily be trained on other datasets, where existing models do not provide reasonable estimates, e.g. study populations of different age or ethnic composition.</w:t>
      </w:r>
    </w:p>
    <w:p w:rsidR="00D51AC1" w:rsidRPr="00DE7518" w:rsidRDefault="00D51AC1" w:rsidP="00DE7518">
      <w:pPr>
        <w:pStyle w:val="ListParagraph"/>
        <w:suppressLineNumbers/>
        <w:spacing w:line="480" w:lineRule="auto"/>
        <w:rPr>
          <w:sz w:val="24"/>
          <w:szCs w:val="24"/>
        </w:rPr>
      </w:pPr>
    </w:p>
    <w:p w:rsidR="00D51AC1" w:rsidRPr="00CF3BB2" w:rsidRDefault="00D51AC1" w:rsidP="00CF3BB2">
      <w:pPr>
        <w:pStyle w:val="Heading2"/>
        <w:spacing w:line="480" w:lineRule="auto"/>
      </w:pPr>
      <w:r w:rsidRPr="00347D3D">
        <w:t>Acknowledgements</w:t>
      </w:r>
    </w:p>
    <w:p w:rsidR="00D51AC1" w:rsidRPr="009C47BC" w:rsidRDefault="00D51AC1" w:rsidP="00D173BB">
      <w:pPr>
        <w:suppressLineNumbers/>
        <w:spacing w:line="480" w:lineRule="auto"/>
        <w:rPr>
          <w:rFonts w:ascii="LMRoman12-Regular" w:hAnsi="LMRoman12-Regular"/>
          <w:sz w:val="24"/>
        </w:rPr>
      </w:pPr>
      <w:r w:rsidRPr="00347D3D">
        <w:rPr>
          <w:sz w:val="24"/>
          <w:szCs w:val="24"/>
        </w:rPr>
        <w:t xml:space="preserve">The LOLIPOP study is supported by the National Institute for Health Research (NIHR) Comprehensive Biomedical Research Centre Imperial College Healthcare NHS Trust, the British Heart Foundation (SP/04/002), the Medical Research Council (G0601966,G0700931), the </w:t>
      </w:r>
      <w:proofErr w:type="spellStart"/>
      <w:r w:rsidRPr="00347D3D">
        <w:rPr>
          <w:sz w:val="24"/>
          <w:szCs w:val="24"/>
        </w:rPr>
        <w:t>Wellcome</w:t>
      </w:r>
      <w:proofErr w:type="spellEnd"/>
      <w:r w:rsidRPr="00347D3D">
        <w:rPr>
          <w:sz w:val="24"/>
          <w:szCs w:val="24"/>
        </w:rPr>
        <w:t xml:space="preserve"> Trust (084723/Z/08/Z) the NIHR (RP-PG-0407-10371), European Union FP7 (</w:t>
      </w:r>
      <w:proofErr w:type="spellStart"/>
      <w:r w:rsidRPr="00347D3D">
        <w:rPr>
          <w:sz w:val="24"/>
          <w:szCs w:val="24"/>
        </w:rPr>
        <w:t>EpiMigrant</w:t>
      </w:r>
      <w:proofErr w:type="spellEnd"/>
      <w:r w:rsidRPr="00347D3D">
        <w:rPr>
          <w:sz w:val="24"/>
          <w:szCs w:val="24"/>
        </w:rPr>
        <w:t>, 279143) and Action on Hearing Loss (G51). We thank the participants and research staff who made the study possible.</w:t>
      </w:r>
      <w:r w:rsidRPr="009C47BC">
        <w:rPr>
          <w:rFonts w:ascii="LMRoman12-Regular" w:hAnsi="LMRoman12-Regular"/>
          <w:sz w:val="24"/>
        </w:rPr>
        <w:br w:type="page"/>
      </w:r>
    </w:p>
    <w:p w:rsidR="00D51AC1" w:rsidRPr="009C47BC" w:rsidRDefault="00D51AC1" w:rsidP="009C47BC">
      <w:pPr>
        <w:suppressLineNumbers/>
        <w:autoSpaceDE w:val="0"/>
        <w:autoSpaceDN w:val="0"/>
        <w:adjustRightInd w:val="0"/>
        <w:spacing w:after="0" w:line="240" w:lineRule="auto"/>
        <w:rPr>
          <w:sz w:val="24"/>
        </w:rPr>
      </w:pPr>
      <w:r w:rsidRPr="009C47BC">
        <w:rPr>
          <w:rFonts w:cs="LMRoman12-Regular"/>
          <w:sz w:val="24"/>
          <w:szCs w:val="24"/>
        </w:rPr>
        <w:lastRenderedPageBreak/>
        <w:t>References</w:t>
      </w:r>
    </w:p>
    <w:p w:rsidR="00D51AC1" w:rsidRDefault="00D51AC1" w:rsidP="00762ADB">
      <w:pPr>
        <w:suppressLineNumbers/>
        <w:autoSpaceDE w:val="0"/>
        <w:autoSpaceDN w:val="0"/>
        <w:adjustRightInd w:val="0"/>
        <w:spacing w:after="0" w:line="240" w:lineRule="auto"/>
        <w:rPr>
          <w:rFonts w:ascii="LMRoman12-Regular" w:hAnsi="LMRoman12-Regular" w:cs="LMRoman12-Regular"/>
          <w:sz w:val="24"/>
          <w:szCs w:val="24"/>
        </w:rPr>
      </w:pPr>
    </w:p>
    <w:p w:rsidR="00D51AC1" w:rsidRPr="00B3158D" w:rsidRDefault="00D51AC1" w:rsidP="00B3158D">
      <w:pPr>
        <w:pStyle w:val="EndNoteBibliography"/>
        <w:spacing w:after="0"/>
        <w:ind w:left="720" w:hanging="720"/>
      </w:pPr>
      <w:r w:rsidRPr="00B3158D">
        <w:t>1.</w:t>
      </w:r>
      <w:r w:rsidRPr="00B3158D">
        <w:tab/>
        <w:t>Zhang Y, Yang R, Burwinkel B, Breitling LP, Brenner H. F2RL3 methylation as a biomarker of current and lifetime smoking exposures</w:t>
      </w:r>
      <w:r w:rsidRPr="00B3158D">
        <w:rPr>
          <w:i/>
        </w:rPr>
        <w:t>.</w:t>
      </w:r>
      <w:r w:rsidRPr="00B3158D">
        <w:t xml:space="preserve"> </w:t>
      </w:r>
      <w:r w:rsidRPr="00B3158D">
        <w:rPr>
          <w:i/>
        </w:rPr>
        <w:t xml:space="preserve">Environ. Health Perspect. </w:t>
      </w:r>
      <w:r w:rsidRPr="00B3158D">
        <w:t>122(2), 131-137 (2014).</w:t>
      </w:r>
    </w:p>
    <w:p w:rsidR="00D51AC1" w:rsidRPr="00B3158D" w:rsidRDefault="00D51AC1" w:rsidP="00B3158D">
      <w:pPr>
        <w:pStyle w:val="EndNoteBibliography"/>
        <w:spacing w:after="0"/>
        <w:ind w:left="720" w:hanging="720"/>
      </w:pPr>
      <w:r w:rsidRPr="00B3158D">
        <w:t>2.</w:t>
      </w:r>
      <w:r w:rsidRPr="00B3158D">
        <w:tab/>
        <w:t>Chambers JC, Loh M, Lehne B</w:t>
      </w:r>
      <w:r w:rsidRPr="00B3158D">
        <w:rPr>
          <w:i/>
        </w:rPr>
        <w:t xml:space="preserve"> et al</w:t>
      </w:r>
      <w:r w:rsidRPr="00B3158D">
        <w:t>. Epigenome-wide association of DNA methylation markers in peripheral blood from Indian Asians and Europeans with incident type 2 diabetes: a nested case-control study</w:t>
      </w:r>
      <w:r w:rsidRPr="00B3158D">
        <w:rPr>
          <w:i/>
        </w:rPr>
        <w:t>.</w:t>
      </w:r>
      <w:r w:rsidRPr="00B3158D">
        <w:t xml:space="preserve"> </w:t>
      </w:r>
      <w:r w:rsidRPr="00B3158D">
        <w:rPr>
          <w:i/>
        </w:rPr>
        <w:t xml:space="preserve">Lancet Diabetes Endocrinol. </w:t>
      </w:r>
      <w:r w:rsidRPr="00B3158D">
        <w:t>3(7), 526-534 (2015).</w:t>
      </w:r>
    </w:p>
    <w:p w:rsidR="00D51AC1" w:rsidRPr="00B3158D" w:rsidRDefault="00D51AC1" w:rsidP="00B3158D">
      <w:pPr>
        <w:pStyle w:val="EndNoteBibliography"/>
        <w:spacing w:after="0"/>
        <w:ind w:left="720" w:hanging="720"/>
      </w:pPr>
      <w:r w:rsidRPr="00B3158D">
        <w:t>3.</w:t>
      </w:r>
      <w:r w:rsidRPr="00B3158D">
        <w:tab/>
        <w:t>Zhang Y, Schöttker B, Florath I</w:t>
      </w:r>
      <w:r w:rsidRPr="00B3158D">
        <w:rPr>
          <w:i/>
        </w:rPr>
        <w:t xml:space="preserve"> et al</w:t>
      </w:r>
      <w:r w:rsidRPr="00B3158D">
        <w:t>. Smoking-Associated DNA Methylation Biomarkers and Their Predictive Value for All-Cause and Cardiovascular Mortality</w:t>
      </w:r>
      <w:r w:rsidRPr="00B3158D">
        <w:rPr>
          <w:i/>
        </w:rPr>
        <w:t>.</w:t>
      </w:r>
      <w:r w:rsidRPr="00B3158D">
        <w:t xml:space="preserve"> </w:t>
      </w:r>
      <w:r w:rsidRPr="00B3158D">
        <w:rPr>
          <w:i/>
        </w:rPr>
        <w:t xml:space="preserve">Environ. Health Perspect. </w:t>
      </w:r>
      <w:r w:rsidRPr="00B3158D">
        <w:t>124(1), (2015).</w:t>
      </w:r>
    </w:p>
    <w:p w:rsidR="00D51AC1" w:rsidRPr="00B3158D" w:rsidRDefault="00D51AC1" w:rsidP="00B3158D">
      <w:pPr>
        <w:pStyle w:val="EndNoteBibliography"/>
        <w:spacing w:after="0"/>
        <w:ind w:left="720" w:hanging="720"/>
      </w:pPr>
      <w:r w:rsidRPr="00B3158D">
        <w:t>4.</w:t>
      </w:r>
      <w:r w:rsidRPr="00B3158D">
        <w:tab/>
        <w:t>Reinius LE, Acevedo N, Joerink M</w:t>
      </w:r>
      <w:r w:rsidRPr="00B3158D">
        <w:rPr>
          <w:i/>
        </w:rPr>
        <w:t xml:space="preserve"> et al</w:t>
      </w:r>
      <w:r w:rsidRPr="00B3158D">
        <w:t>. Differential DNA methylation in purified human blood cells: implications for cell lineage and studies on disease susceptibility</w:t>
      </w:r>
      <w:r w:rsidRPr="00B3158D">
        <w:rPr>
          <w:i/>
        </w:rPr>
        <w:t>.</w:t>
      </w:r>
      <w:r w:rsidRPr="00B3158D">
        <w:t xml:space="preserve"> </w:t>
      </w:r>
      <w:r w:rsidRPr="00B3158D">
        <w:rPr>
          <w:i/>
        </w:rPr>
        <w:t xml:space="preserve">PLoS One </w:t>
      </w:r>
      <w:r w:rsidRPr="00B3158D">
        <w:t>7(7), e41361 (2012).</w:t>
      </w:r>
    </w:p>
    <w:p w:rsidR="00D51AC1" w:rsidRPr="00B3158D" w:rsidRDefault="00D51AC1" w:rsidP="00B3158D">
      <w:pPr>
        <w:pStyle w:val="EndNoteBibliography"/>
        <w:spacing w:after="0"/>
        <w:ind w:left="720" w:hanging="720"/>
      </w:pPr>
      <w:r w:rsidRPr="00B3158D">
        <w:t>5.</w:t>
      </w:r>
      <w:r w:rsidRPr="00B3158D">
        <w:tab/>
        <w:t>Langevin SM, Houseman EA, Accomando WP</w:t>
      </w:r>
      <w:r w:rsidRPr="00B3158D">
        <w:rPr>
          <w:i/>
        </w:rPr>
        <w:t xml:space="preserve"> et al</w:t>
      </w:r>
      <w:r w:rsidRPr="00B3158D">
        <w:t>. Leukocyte-adjusted epigenome-wide association studies of blood from solid tumor patients</w:t>
      </w:r>
      <w:r w:rsidRPr="00B3158D">
        <w:rPr>
          <w:i/>
        </w:rPr>
        <w:t>.</w:t>
      </w:r>
      <w:r w:rsidRPr="00B3158D">
        <w:t xml:space="preserve"> </w:t>
      </w:r>
      <w:r w:rsidRPr="00B3158D">
        <w:rPr>
          <w:i/>
        </w:rPr>
        <w:t xml:space="preserve">Epigenetics </w:t>
      </w:r>
      <w:r w:rsidRPr="00B3158D">
        <w:t>9(6), 884-895 (2014).</w:t>
      </w:r>
    </w:p>
    <w:p w:rsidR="00D51AC1" w:rsidRPr="00B3158D" w:rsidRDefault="00D51AC1" w:rsidP="00B3158D">
      <w:pPr>
        <w:pStyle w:val="EndNoteBibliography"/>
        <w:spacing w:after="0"/>
        <w:ind w:left="720" w:hanging="720"/>
      </w:pPr>
      <w:r w:rsidRPr="00B3158D">
        <w:t>6.</w:t>
      </w:r>
      <w:r w:rsidRPr="00B3158D">
        <w:tab/>
        <w:t>Houseman EA, Accomando WP, Koestler DC</w:t>
      </w:r>
      <w:r w:rsidRPr="00B3158D">
        <w:rPr>
          <w:i/>
        </w:rPr>
        <w:t xml:space="preserve"> et al</w:t>
      </w:r>
      <w:r w:rsidRPr="00B3158D">
        <w:t>. DNA methylation arrays as surrogate measures of cell mixture distribution</w:t>
      </w:r>
      <w:r w:rsidRPr="00B3158D">
        <w:rPr>
          <w:i/>
        </w:rPr>
        <w:t>.</w:t>
      </w:r>
      <w:r w:rsidRPr="00B3158D">
        <w:t xml:space="preserve"> </w:t>
      </w:r>
      <w:r w:rsidRPr="00B3158D">
        <w:rPr>
          <w:i/>
        </w:rPr>
        <w:t xml:space="preserve">BMC Bioinformatics </w:t>
      </w:r>
      <w:r w:rsidRPr="00B3158D">
        <w:t>13 86 (2012).</w:t>
      </w:r>
    </w:p>
    <w:p w:rsidR="00D51AC1" w:rsidRPr="00B3158D" w:rsidRDefault="00D51AC1" w:rsidP="00B3158D">
      <w:pPr>
        <w:pStyle w:val="EndNoteBibliography"/>
        <w:spacing w:after="0"/>
        <w:ind w:left="720" w:hanging="720"/>
      </w:pPr>
      <w:r w:rsidRPr="00B3158D">
        <w:t>7.</w:t>
      </w:r>
      <w:r w:rsidRPr="00B3158D">
        <w:tab/>
        <w:t>Jaffe AE, Irizarry RA. Accounting for cellular heterogeneity is critical in epigenome-wide association studies</w:t>
      </w:r>
      <w:r w:rsidRPr="00B3158D">
        <w:rPr>
          <w:i/>
        </w:rPr>
        <w:t>.</w:t>
      </w:r>
      <w:r w:rsidRPr="00B3158D">
        <w:t xml:space="preserve"> </w:t>
      </w:r>
      <w:r w:rsidRPr="00B3158D">
        <w:rPr>
          <w:i/>
        </w:rPr>
        <w:t xml:space="preserve">Genome Biol. </w:t>
      </w:r>
      <w:r w:rsidRPr="00B3158D">
        <w:t>15(2), R31 (2014).</w:t>
      </w:r>
    </w:p>
    <w:p w:rsidR="00D51AC1" w:rsidRPr="00B3158D" w:rsidRDefault="00D51AC1" w:rsidP="00B3158D">
      <w:pPr>
        <w:pStyle w:val="EndNoteBibliography"/>
        <w:spacing w:after="0"/>
        <w:ind w:left="720" w:hanging="720"/>
      </w:pPr>
      <w:r w:rsidRPr="00B3158D">
        <w:t>8.</w:t>
      </w:r>
      <w:r w:rsidRPr="00B3158D">
        <w:tab/>
        <w:t>Aryee MJ, Jaffe AE, Corrada-Bravo H</w:t>
      </w:r>
      <w:r w:rsidRPr="00B3158D">
        <w:rPr>
          <w:i/>
        </w:rPr>
        <w:t xml:space="preserve"> et al</w:t>
      </w:r>
      <w:r w:rsidRPr="00B3158D">
        <w:t>. Minfi: a flexible and comprehensive Bioconductor package for the analysis of Infinium DNA methylation microarrays</w:t>
      </w:r>
      <w:r w:rsidRPr="00B3158D">
        <w:rPr>
          <w:i/>
        </w:rPr>
        <w:t>.</w:t>
      </w:r>
      <w:r w:rsidRPr="00B3158D">
        <w:t xml:space="preserve"> </w:t>
      </w:r>
      <w:r w:rsidRPr="00B3158D">
        <w:rPr>
          <w:i/>
        </w:rPr>
        <w:t xml:space="preserve">Bioinformatics </w:t>
      </w:r>
      <w:r w:rsidRPr="00B3158D">
        <w:t>30(10), 1363-1369 (2014).</w:t>
      </w:r>
    </w:p>
    <w:p w:rsidR="00D51AC1" w:rsidRPr="00B3158D" w:rsidRDefault="00D51AC1" w:rsidP="00B3158D">
      <w:pPr>
        <w:pStyle w:val="EndNoteBibliography"/>
        <w:spacing w:after="0"/>
        <w:ind w:left="720" w:hanging="720"/>
      </w:pPr>
      <w:r w:rsidRPr="00B3158D">
        <w:t>9.</w:t>
      </w:r>
      <w:r w:rsidRPr="00B3158D">
        <w:tab/>
        <w:t>Koestler DC, Jones MJ, Usset J</w:t>
      </w:r>
      <w:r w:rsidRPr="00B3158D">
        <w:rPr>
          <w:i/>
        </w:rPr>
        <w:t xml:space="preserve"> et al</w:t>
      </w:r>
      <w:r w:rsidRPr="00B3158D">
        <w:t>. Improving cell mixture deconvolution by identifying optimal DNA methylation libraries (IDOL)</w:t>
      </w:r>
      <w:r w:rsidRPr="00B3158D">
        <w:rPr>
          <w:i/>
        </w:rPr>
        <w:t>.</w:t>
      </w:r>
      <w:r w:rsidRPr="00B3158D">
        <w:t xml:space="preserve"> </w:t>
      </w:r>
      <w:r w:rsidRPr="00B3158D">
        <w:rPr>
          <w:i/>
        </w:rPr>
        <w:t xml:space="preserve">BMC Bioinformatics </w:t>
      </w:r>
      <w:r w:rsidRPr="00B3158D">
        <w:t>17 120 (2016).</w:t>
      </w:r>
    </w:p>
    <w:p w:rsidR="00D51AC1" w:rsidRPr="00B3158D" w:rsidRDefault="00D51AC1" w:rsidP="00B3158D">
      <w:pPr>
        <w:pStyle w:val="EndNoteBibliography"/>
        <w:spacing w:after="0"/>
        <w:ind w:left="720" w:hanging="720"/>
      </w:pPr>
      <w:r w:rsidRPr="00B3158D">
        <w:t>10.</w:t>
      </w:r>
      <w:r w:rsidRPr="00B3158D">
        <w:tab/>
        <w:t>Küpers LK, Xu X, Jankipersadsing SA</w:t>
      </w:r>
      <w:r w:rsidRPr="00B3158D">
        <w:rPr>
          <w:i/>
        </w:rPr>
        <w:t xml:space="preserve"> et al</w:t>
      </w:r>
      <w:r w:rsidRPr="00B3158D">
        <w:t>. DNA methylation mediates the effect of maternal smoking during pregnancy on birthweight of the offspring</w:t>
      </w:r>
      <w:r w:rsidRPr="00B3158D">
        <w:rPr>
          <w:i/>
        </w:rPr>
        <w:t>.</w:t>
      </w:r>
      <w:r w:rsidRPr="00B3158D">
        <w:t xml:space="preserve"> </w:t>
      </w:r>
      <w:r w:rsidRPr="00B3158D">
        <w:rPr>
          <w:i/>
        </w:rPr>
        <w:t xml:space="preserve">Int. J. Epidemiol. </w:t>
      </w:r>
      <w:r w:rsidRPr="00B3158D">
        <w:t>44(4), 1224-1237 (2015).</w:t>
      </w:r>
    </w:p>
    <w:p w:rsidR="00D51AC1" w:rsidRPr="00D82AB1" w:rsidRDefault="00D51AC1" w:rsidP="00B3158D">
      <w:pPr>
        <w:pStyle w:val="EndNoteBibliography"/>
        <w:spacing w:after="0"/>
        <w:ind w:left="720" w:hanging="720"/>
        <w:rPr>
          <w:lang w:val="de-DE"/>
        </w:rPr>
      </w:pPr>
      <w:r w:rsidRPr="00B3158D">
        <w:t>11.</w:t>
      </w:r>
      <w:r w:rsidRPr="00B3158D">
        <w:tab/>
        <w:t>Sharp GC, Lawlor DA, Richmond RC</w:t>
      </w:r>
      <w:r w:rsidRPr="00B3158D">
        <w:rPr>
          <w:i/>
        </w:rPr>
        <w:t xml:space="preserve"> et al</w:t>
      </w:r>
      <w:r w:rsidRPr="00B3158D">
        <w:t>. Maternal pre-pregnancy BMI and gestational weight gain, offspring DNA methylation and later offspring adiposity: findings from the Avon Longitudinal Study of Parents and Children</w:t>
      </w:r>
      <w:r w:rsidRPr="00B3158D">
        <w:rPr>
          <w:i/>
        </w:rPr>
        <w:t>.</w:t>
      </w:r>
      <w:r w:rsidRPr="00B3158D">
        <w:t xml:space="preserve"> </w:t>
      </w:r>
      <w:r w:rsidRPr="00D82AB1">
        <w:rPr>
          <w:i/>
          <w:lang w:val="de-DE"/>
        </w:rPr>
        <w:t xml:space="preserve">Int. J. Epidemiol. </w:t>
      </w:r>
      <w:r w:rsidRPr="00D82AB1">
        <w:rPr>
          <w:lang w:val="de-DE"/>
        </w:rPr>
        <w:t>44(4), 1288-1304 (2015).</w:t>
      </w:r>
    </w:p>
    <w:p w:rsidR="00D51AC1" w:rsidRPr="00B3158D" w:rsidRDefault="00D51AC1" w:rsidP="00B3158D">
      <w:pPr>
        <w:pStyle w:val="EndNoteBibliography"/>
        <w:spacing w:after="0"/>
        <w:ind w:left="720" w:hanging="720"/>
      </w:pPr>
      <w:r w:rsidRPr="00D82AB1">
        <w:rPr>
          <w:lang w:val="de-DE"/>
        </w:rPr>
        <w:t>12.</w:t>
      </w:r>
      <w:r w:rsidRPr="00D82AB1">
        <w:rPr>
          <w:lang w:val="de-DE"/>
        </w:rPr>
        <w:tab/>
        <w:t>Koestler DC, Christensen B, Karagas MR</w:t>
      </w:r>
      <w:r w:rsidRPr="00D82AB1">
        <w:rPr>
          <w:i/>
          <w:lang w:val="de-DE"/>
        </w:rPr>
        <w:t xml:space="preserve"> et al</w:t>
      </w:r>
      <w:r w:rsidRPr="00D82AB1">
        <w:rPr>
          <w:lang w:val="de-DE"/>
        </w:rPr>
        <w:t xml:space="preserve">. </w:t>
      </w:r>
      <w:r w:rsidRPr="00B3158D">
        <w:t>Blood-based profiles of DNA methylation predict the underlying distribution of cell types: a validation analysis</w:t>
      </w:r>
      <w:r w:rsidRPr="00B3158D">
        <w:rPr>
          <w:i/>
        </w:rPr>
        <w:t>.</w:t>
      </w:r>
      <w:r w:rsidRPr="00B3158D">
        <w:t xml:space="preserve"> </w:t>
      </w:r>
      <w:r w:rsidRPr="00B3158D">
        <w:rPr>
          <w:i/>
        </w:rPr>
        <w:t xml:space="preserve">Epigenetics </w:t>
      </w:r>
      <w:r w:rsidRPr="00B3158D">
        <w:t>8(8), 816-826 (2013).</w:t>
      </w:r>
    </w:p>
    <w:p w:rsidR="00D51AC1" w:rsidRPr="00D82AB1" w:rsidRDefault="00D51AC1" w:rsidP="00B3158D">
      <w:pPr>
        <w:pStyle w:val="EndNoteBibliography"/>
        <w:spacing w:after="0"/>
        <w:ind w:left="720" w:hanging="720"/>
        <w:rPr>
          <w:lang w:val="de-DE"/>
        </w:rPr>
      </w:pPr>
      <w:r w:rsidRPr="00B3158D">
        <w:t>13.</w:t>
      </w:r>
      <w:r w:rsidRPr="00B3158D">
        <w:tab/>
        <w:t>Lehne B, Drong AW, Loh M</w:t>
      </w:r>
      <w:r w:rsidRPr="00B3158D">
        <w:rPr>
          <w:i/>
        </w:rPr>
        <w:t xml:space="preserve"> et al</w:t>
      </w:r>
      <w:r w:rsidRPr="00B3158D">
        <w:t>. A coherent approach for analysis of the Illumina HumanMethylation450 BeadChip improves data quality and performance in epigenome-wide association studies</w:t>
      </w:r>
      <w:r w:rsidRPr="00B3158D">
        <w:rPr>
          <w:i/>
        </w:rPr>
        <w:t>.</w:t>
      </w:r>
      <w:r w:rsidRPr="00B3158D">
        <w:t xml:space="preserve"> </w:t>
      </w:r>
      <w:r w:rsidRPr="00D82AB1">
        <w:rPr>
          <w:i/>
          <w:lang w:val="de-DE"/>
        </w:rPr>
        <w:t xml:space="preserve">Genome Biol. </w:t>
      </w:r>
      <w:r w:rsidRPr="00D82AB1">
        <w:rPr>
          <w:lang w:val="de-DE"/>
        </w:rPr>
        <w:t>16 37 (2015).</w:t>
      </w:r>
    </w:p>
    <w:p w:rsidR="00D51AC1" w:rsidRPr="00B3158D" w:rsidRDefault="00D51AC1" w:rsidP="00B3158D">
      <w:pPr>
        <w:pStyle w:val="EndNoteBibliography"/>
        <w:spacing w:after="0"/>
        <w:ind w:left="720" w:hanging="720"/>
      </w:pPr>
      <w:r w:rsidRPr="00D82AB1">
        <w:rPr>
          <w:lang w:val="de-DE"/>
        </w:rPr>
        <w:t>14.</w:t>
      </w:r>
      <w:r w:rsidRPr="00D82AB1">
        <w:rPr>
          <w:lang w:val="de-DE"/>
        </w:rPr>
        <w:tab/>
        <w:t>Yousefi P, Huen K, Quach H</w:t>
      </w:r>
      <w:r w:rsidRPr="00D82AB1">
        <w:rPr>
          <w:i/>
          <w:lang w:val="de-DE"/>
        </w:rPr>
        <w:t xml:space="preserve"> et al</w:t>
      </w:r>
      <w:r w:rsidRPr="00D82AB1">
        <w:rPr>
          <w:lang w:val="de-DE"/>
        </w:rPr>
        <w:t xml:space="preserve">. </w:t>
      </w:r>
      <w:r w:rsidRPr="00B3158D">
        <w:t>Estimation of blood cellular heterogeneity in newborns and children for epigenome-wide association studies</w:t>
      </w:r>
      <w:r w:rsidRPr="00B3158D">
        <w:rPr>
          <w:i/>
        </w:rPr>
        <w:t>.</w:t>
      </w:r>
      <w:r w:rsidRPr="00B3158D">
        <w:t xml:space="preserve"> </w:t>
      </w:r>
      <w:r w:rsidRPr="00B3158D">
        <w:rPr>
          <w:i/>
        </w:rPr>
        <w:t xml:space="preserve">Environ. Mol. Mutagen. </w:t>
      </w:r>
      <w:r w:rsidRPr="00B3158D">
        <w:t>56(9), 751-758 (2015).</w:t>
      </w:r>
    </w:p>
    <w:p w:rsidR="00D51AC1" w:rsidRPr="00B3158D" w:rsidRDefault="00D51AC1" w:rsidP="00B3158D">
      <w:pPr>
        <w:pStyle w:val="EndNoteBibliography"/>
        <w:spacing w:after="0"/>
        <w:ind w:left="720" w:hanging="720"/>
      </w:pPr>
      <w:r w:rsidRPr="00B3158D">
        <w:t>15.</w:t>
      </w:r>
      <w:r w:rsidRPr="00B3158D">
        <w:tab/>
        <w:t>Waite LL, Weaver B, Day K</w:t>
      </w:r>
      <w:r w:rsidRPr="00B3158D">
        <w:rPr>
          <w:i/>
        </w:rPr>
        <w:t xml:space="preserve"> et al</w:t>
      </w:r>
      <w:r w:rsidRPr="00B3158D">
        <w:t>. Estimation of Cell-Type Composition Including T and B Cell Subtypes for Whole Blood Methylation Microarray Data</w:t>
      </w:r>
      <w:r w:rsidRPr="00B3158D">
        <w:rPr>
          <w:i/>
        </w:rPr>
        <w:t>.</w:t>
      </w:r>
      <w:r w:rsidRPr="00B3158D">
        <w:t xml:space="preserve"> </w:t>
      </w:r>
      <w:r w:rsidRPr="00B3158D">
        <w:rPr>
          <w:i/>
        </w:rPr>
        <w:t xml:space="preserve">Front. Genet. </w:t>
      </w:r>
      <w:r w:rsidRPr="00B3158D">
        <w:t>7 (2016).</w:t>
      </w:r>
    </w:p>
    <w:p w:rsidR="00D51AC1" w:rsidRPr="00B3158D" w:rsidRDefault="00D51AC1" w:rsidP="00B3158D">
      <w:pPr>
        <w:pStyle w:val="EndNoteBibliography"/>
        <w:spacing w:after="0"/>
        <w:ind w:left="720" w:hanging="720"/>
      </w:pPr>
      <w:r w:rsidRPr="00B3158D">
        <w:t>16.</w:t>
      </w:r>
      <w:r w:rsidRPr="00B3158D">
        <w:tab/>
        <w:t>Zhang Q-L, Brenner H, Koenig W, Rothenbacher D. Prognostic value of chronic kidney disease in patients with coronary heart disease: Role of estimating equations</w:t>
      </w:r>
      <w:r w:rsidRPr="00B3158D">
        <w:rPr>
          <w:i/>
        </w:rPr>
        <w:t>.</w:t>
      </w:r>
      <w:r w:rsidRPr="00B3158D">
        <w:t xml:space="preserve"> </w:t>
      </w:r>
      <w:r w:rsidRPr="00B3158D">
        <w:rPr>
          <w:i/>
        </w:rPr>
        <w:t xml:space="preserve">Atherosclerosis </w:t>
      </w:r>
      <w:r w:rsidRPr="00B3158D">
        <w:t>211(1), 342-347 (2010).</w:t>
      </w:r>
    </w:p>
    <w:p w:rsidR="00D51AC1" w:rsidRPr="00B3158D" w:rsidRDefault="00D51AC1" w:rsidP="00B3158D">
      <w:pPr>
        <w:pStyle w:val="EndNoteBibliography"/>
        <w:spacing w:after="0"/>
        <w:ind w:left="720" w:hanging="720"/>
      </w:pPr>
      <w:r w:rsidRPr="00B3158D">
        <w:t>17.</w:t>
      </w:r>
      <w:r w:rsidRPr="00B3158D">
        <w:tab/>
        <w:t>Heiss JA, Brenner H. Between-array normalization for 450K data</w:t>
      </w:r>
      <w:r w:rsidRPr="00B3158D">
        <w:rPr>
          <w:i/>
        </w:rPr>
        <w:t>.</w:t>
      </w:r>
      <w:r w:rsidRPr="00B3158D">
        <w:t xml:space="preserve"> </w:t>
      </w:r>
      <w:r w:rsidRPr="00B3158D">
        <w:rPr>
          <w:i/>
        </w:rPr>
        <w:t xml:space="preserve">Front. Genet. </w:t>
      </w:r>
      <w:r w:rsidRPr="00B3158D">
        <w:t>6 (2015).</w:t>
      </w:r>
    </w:p>
    <w:p w:rsidR="00D51AC1" w:rsidRPr="00B3158D" w:rsidRDefault="00D51AC1" w:rsidP="00B3158D">
      <w:pPr>
        <w:pStyle w:val="EndNoteBibliography"/>
        <w:spacing w:after="0"/>
        <w:ind w:left="720" w:hanging="720"/>
      </w:pPr>
      <w:r w:rsidRPr="00B3158D">
        <w:t>18.</w:t>
      </w:r>
      <w:r w:rsidRPr="00B3158D">
        <w:tab/>
        <w:t>Aitchison J.</w:t>
      </w:r>
      <w:r w:rsidRPr="00B3158D">
        <w:rPr>
          <w:i/>
        </w:rPr>
        <w:t xml:space="preserve"> The statistical analysis of compositional data</w:t>
      </w:r>
      <w:r w:rsidRPr="00B3158D">
        <w:t>.  Blackburn Press, Caldwell, N.J. (2003).</w:t>
      </w:r>
    </w:p>
    <w:p w:rsidR="00D51AC1" w:rsidRPr="00B3158D" w:rsidRDefault="00D51AC1" w:rsidP="00B3158D">
      <w:pPr>
        <w:pStyle w:val="EndNoteBibliography"/>
        <w:spacing w:after="0"/>
        <w:ind w:left="720" w:hanging="720"/>
      </w:pPr>
      <w:r w:rsidRPr="00B3158D">
        <w:t>19.</w:t>
      </w:r>
      <w:r w:rsidRPr="00B3158D">
        <w:tab/>
        <w:t>Schwender H. siggenes: Multiple testing using SAM and Efron's empirical Bayes approaches</w:t>
      </w:r>
      <w:r w:rsidRPr="00B3158D">
        <w:rPr>
          <w:i/>
        </w:rPr>
        <w:t>.</w:t>
      </w:r>
      <w:r w:rsidRPr="00B3158D">
        <w:t xml:space="preserve">  R package version 1.46.40 (2012).</w:t>
      </w:r>
    </w:p>
    <w:p w:rsidR="00D51AC1" w:rsidRPr="00B3158D" w:rsidRDefault="00D51AC1" w:rsidP="00B3158D">
      <w:pPr>
        <w:pStyle w:val="EndNoteBibliography"/>
        <w:spacing w:after="0"/>
        <w:ind w:left="720" w:hanging="720"/>
      </w:pPr>
      <w:r w:rsidRPr="00B3158D">
        <w:t>20.</w:t>
      </w:r>
      <w:r w:rsidRPr="00B3158D">
        <w:tab/>
        <w:t>Storey JD, Tibshirani R. Statistical significance for genomewide studies</w:t>
      </w:r>
      <w:r w:rsidRPr="00B3158D">
        <w:rPr>
          <w:i/>
        </w:rPr>
        <w:t>.</w:t>
      </w:r>
      <w:r w:rsidRPr="00B3158D">
        <w:t xml:space="preserve"> </w:t>
      </w:r>
      <w:r w:rsidRPr="00B3158D">
        <w:rPr>
          <w:i/>
        </w:rPr>
        <w:t xml:space="preserve">Proc. Natl. Acad. Sci. U. S. A. </w:t>
      </w:r>
      <w:r w:rsidRPr="00B3158D">
        <w:t>100(16), 9440-9445 (2003).</w:t>
      </w:r>
    </w:p>
    <w:p w:rsidR="00D51AC1" w:rsidRPr="00D82AB1" w:rsidRDefault="00D51AC1" w:rsidP="00B3158D">
      <w:pPr>
        <w:pStyle w:val="EndNoteBibliography"/>
        <w:spacing w:after="0"/>
        <w:ind w:left="720" w:hanging="720"/>
        <w:rPr>
          <w:lang w:val="de-DE"/>
        </w:rPr>
      </w:pPr>
      <w:r w:rsidRPr="00B3158D">
        <w:lastRenderedPageBreak/>
        <w:t>21.</w:t>
      </w:r>
      <w:r w:rsidRPr="00B3158D">
        <w:tab/>
        <w:t>Accomando WP, Wiencke JK, Houseman E, Nelson HH, Kelsey KT. Quantitative reconstruction of leukocyte subsets using DNA methylation</w:t>
      </w:r>
      <w:r w:rsidRPr="00B3158D">
        <w:rPr>
          <w:i/>
        </w:rPr>
        <w:t>.</w:t>
      </w:r>
      <w:r w:rsidRPr="00B3158D">
        <w:t xml:space="preserve"> </w:t>
      </w:r>
      <w:r w:rsidRPr="00D82AB1">
        <w:rPr>
          <w:i/>
          <w:lang w:val="de-DE"/>
        </w:rPr>
        <w:t xml:space="preserve">Genome Biol. </w:t>
      </w:r>
      <w:r w:rsidRPr="00D82AB1">
        <w:rPr>
          <w:lang w:val="de-DE"/>
        </w:rPr>
        <w:t>15(3), R50 (2014).</w:t>
      </w:r>
    </w:p>
    <w:p w:rsidR="00D51AC1" w:rsidRPr="00B3158D" w:rsidRDefault="00D51AC1" w:rsidP="00B3158D">
      <w:pPr>
        <w:pStyle w:val="EndNoteBibliography"/>
        <w:spacing w:after="0"/>
        <w:ind w:left="720" w:hanging="720"/>
      </w:pPr>
      <w:r w:rsidRPr="00D82AB1">
        <w:rPr>
          <w:lang w:val="de-DE"/>
        </w:rPr>
        <w:t>22.</w:t>
      </w:r>
      <w:r w:rsidRPr="00D82AB1">
        <w:rPr>
          <w:lang w:val="de-DE"/>
        </w:rPr>
        <w:tab/>
        <w:t>Bakulski KM, Feinberg JI, Andrews SV</w:t>
      </w:r>
      <w:r w:rsidRPr="00D82AB1">
        <w:rPr>
          <w:i/>
          <w:lang w:val="de-DE"/>
        </w:rPr>
        <w:t xml:space="preserve"> et al</w:t>
      </w:r>
      <w:r w:rsidRPr="00D82AB1">
        <w:rPr>
          <w:lang w:val="de-DE"/>
        </w:rPr>
        <w:t xml:space="preserve">. </w:t>
      </w:r>
      <w:r w:rsidRPr="00B3158D">
        <w:t>DNA methylation of cord blood cell types: Applications for mixed cell birth studies</w:t>
      </w:r>
      <w:r w:rsidRPr="00B3158D">
        <w:rPr>
          <w:i/>
        </w:rPr>
        <w:t>.</w:t>
      </w:r>
      <w:r w:rsidRPr="00B3158D">
        <w:t xml:space="preserve"> </w:t>
      </w:r>
      <w:r w:rsidRPr="00B3158D">
        <w:rPr>
          <w:i/>
        </w:rPr>
        <w:t xml:space="preserve">Epigenetics </w:t>
      </w:r>
      <w:r w:rsidRPr="00B3158D">
        <w:t>11(5), 354-362 (2016).</w:t>
      </w:r>
    </w:p>
    <w:p w:rsidR="00D51AC1" w:rsidRPr="00B3158D" w:rsidRDefault="00D51AC1" w:rsidP="00B3158D">
      <w:pPr>
        <w:pStyle w:val="EndNoteBibliography"/>
        <w:spacing w:after="0"/>
        <w:ind w:left="720" w:hanging="720"/>
      </w:pPr>
      <w:r w:rsidRPr="00B3158D">
        <w:t>23.</w:t>
      </w:r>
      <w:r w:rsidRPr="00B3158D">
        <w:tab/>
        <w:t>Park BG, Park C-J, Kim S</w:t>
      </w:r>
      <w:r w:rsidRPr="00B3158D">
        <w:rPr>
          <w:i/>
        </w:rPr>
        <w:t xml:space="preserve"> et al</w:t>
      </w:r>
      <w:r w:rsidRPr="00B3158D">
        <w:t>. Comparison of the Cytodiff flow cytometric leucocyte differential count system with the Sysmex XE-2100 and Beckman Coulter UniCel DxH 800</w:t>
      </w:r>
      <w:r w:rsidRPr="00B3158D">
        <w:rPr>
          <w:i/>
        </w:rPr>
        <w:t>.</w:t>
      </w:r>
      <w:r w:rsidRPr="00B3158D">
        <w:t xml:space="preserve"> </w:t>
      </w:r>
      <w:r w:rsidRPr="00B3158D">
        <w:rPr>
          <w:i/>
        </w:rPr>
        <w:t xml:space="preserve">Int. J. Lab. Hematol. </w:t>
      </w:r>
      <w:r w:rsidRPr="00B3158D">
        <w:t>34(6), 584-593 (2012).</w:t>
      </w:r>
    </w:p>
    <w:p w:rsidR="00D51AC1" w:rsidRPr="00B3158D" w:rsidRDefault="00D51AC1" w:rsidP="00B3158D">
      <w:pPr>
        <w:pStyle w:val="EndNoteBibliography"/>
        <w:spacing w:after="0"/>
        <w:ind w:left="720" w:hanging="720"/>
      </w:pPr>
      <w:r w:rsidRPr="00B3158D">
        <w:t>24.</w:t>
      </w:r>
      <w:r w:rsidRPr="00B3158D">
        <w:tab/>
        <w:t>Tsuda I, Hino M, Takubo T</w:t>
      </w:r>
      <w:r w:rsidRPr="00B3158D">
        <w:rPr>
          <w:i/>
        </w:rPr>
        <w:t xml:space="preserve"> et al</w:t>
      </w:r>
      <w:r w:rsidRPr="00B3158D">
        <w:t>. First basic performance evaluation of the XE-2100 haematology analyser</w:t>
      </w:r>
      <w:r w:rsidRPr="00B3158D">
        <w:rPr>
          <w:i/>
        </w:rPr>
        <w:t>.</w:t>
      </w:r>
      <w:r w:rsidRPr="00B3158D">
        <w:t xml:space="preserve"> </w:t>
      </w:r>
      <w:r w:rsidRPr="00B3158D">
        <w:rPr>
          <w:i/>
        </w:rPr>
        <w:t xml:space="preserve">J. Auto. Meth. Manage. Chem. </w:t>
      </w:r>
      <w:r w:rsidRPr="00B3158D">
        <w:t>21(4), 127-133 (1999).</w:t>
      </w:r>
    </w:p>
    <w:p w:rsidR="00D51AC1" w:rsidRPr="00D82AB1" w:rsidRDefault="00D51AC1" w:rsidP="00B3158D">
      <w:pPr>
        <w:pStyle w:val="EndNoteBibliography"/>
        <w:spacing w:after="0"/>
        <w:ind w:left="720" w:hanging="720"/>
        <w:rPr>
          <w:lang w:val="de-DE"/>
        </w:rPr>
      </w:pPr>
      <w:r w:rsidRPr="00B3158D">
        <w:t>25.</w:t>
      </w:r>
      <w:r w:rsidRPr="00B3158D">
        <w:tab/>
        <w:t>Maciel TES, Comar SR, Beltrame MP. Performance evaluation of the Sysmex® XE-2100D automated hematology analyzer</w:t>
      </w:r>
      <w:r w:rsidRPr="00B3158D">
        <w:rPr>
          <w:i/>
        </w:rPr>
        <w:t>.</w:t>
      </w:r>
      <w:r w:rsidRPr="00B3158D">
        <w:t xml:space="preserve"> </w:t>
      </w:r>
      <w:r w:rsidRPr="00D82AB1">
        <w:rPr>
          <w:i/>
          <w:lang w:val="de-DE"/>
        </w:rPr>
        <w:t xml:space="preserve">J. Bras. Patol. Med. Lab. </w:t>
      </w:r>
      <w:r w:rsidRPr="00D82AB1">
        <w:rPr>
          <w:lang w:val="de-DE"/>
        </w:rPr>
        <w:t>50(1), 26-35 (2014).</w:t>
      </w:r>
    </w:p>
    <w:p w:rsidR="00D51AC1" w:rsidRPr="00B3158D" w:rsidRDefault="00D51AC1" w:rsidP="00B3158D">
      <w:pPr>
        <w:pStyle w:val="EndNoteBibliography"/>
        <w:spacing w:after="0"/>
        <w:ind w:left="720" w:hanging="720"/>
      </w:pPr>
      <w:r w:rsidRPr="00D82AB1">
        <w:rPr>
          <w:lang w:val="de-DE"/>
        </w:rPr>
        <w:t>26.</w:t>
      </w:r>
      <w:r w:rsidRPr="00D82AB1">
        <w:rPr>
          <w:lang w:val="de-DE"/>
        </w:rPr>
        <w:tab/>
        <w:t>Imeri F, Herklotz R, Risch L</w:t>
      </w:r>
      <w:r w:rsidRPr="00D82AB1">
        <w:rPr>
          <w:i/>
          <w:lang w:val="de-DE"/>
        </w:rPr>
        <w:t xml:space="preserve"> et al</w:t>
      </w:r>
      <w:r w:rsidRPr="00D82AB1">
        <w:rPr>
          <w:lang w:val="de-DE"/>
        </w:rPr>
        <w:t xml:space="preserve">. </w:t>
      </w:r>
      <w:r w:rsidRPr="00B3158D">
        <w:t>Stability of hematological analytes depends on the hematology analyser used: A stability study with Bayer Advia 120, Beckman Coulter LH 750 and Sysmex XE 2100</w:t>
      </w:r>
      <w:r w:rsidRPr="00B3158D">
        <w:rPr>
          <w:i/>
        </w:rPr>
        <w:t>.</w:t>
      </w:r>
      <w:r w:rsidRPr="00B3158D">
        <w:t xml:space="preserve"> </w:t>
      </w:r>
      <w:r w:rsidRPr="00B3158D">
        <w:rPr>
          <w:i/>
        </w:rPr>
        <w:t xml:space="preserve">Clin. Chim. Acta </w:t>
      </w:r>
      <w:r w:rsidRPr="00B3158D">
        <w:t>397(1-2), 68-71 (2008).</w:t>
      </w:r>
    </w:p>
    <w:p w:rsidR="00D51AC1" w:rsidRPr="00B3158D" w:rsidRDefault="00D51AC1" w:rsidP="00B3158D">
      <w:pPr>
        <w:pStyle w:val="EndNoteBibliography"/>
        <w:ind w:left="720" w:hanging="720"/>
      </w:pPr>
      <w:r w:rsidRPr="00B3158D">
        <w:t>27.</w:t>
      </w:r>
      <w:r w:rsidRPr="00B3158D">
        <w:tab/>
        <w:t>Houseman EA, Kelsey KT, Wiencke JK, Marsit CJ. Cell-composition effects in the analysis of DNA methylation array data: a mathematical perspective</w:t>
      </w:r>
      <w:r w:rsidRPr="00B3158D">
        <w:rPr>
          <w:i/>
        </w:rPr>
        <w:t>.</w:t>
      </w:r>
      <w:r w:rsidRPr="00B3158D">
        <w:t xml:space="preserve"> </w:t>
      </w:r>
      <w:r w:rsidRPr="00B3158D">
        <w:rPr>
          <w:i/>
        </w:rPr>
        <w:t xml:space="preserve">BMC Bioinformatics </w:t>
      </w:r>
      <w:r w:rsidRPr="00B3158D">
        <w:t>16 95 (2015).</w:t>
      </w:r>
    </w:p>
    <w:p w:rsidR="00D51AC1" w:rsidRDefault="00D51AC1" w:rsidP="00762ADB">
      <w:pPr>
        <w:suppressLineNumbers/>
        <w:autoSpaceDE w:val="0"/>
        <w:autoSpaceDN w:val="0"/>
        <w:adjustRightInd w:val="0"/>
        <w:spacing w:after="0" w:line="240" w:lineRule="auto"/>
      </w:pPr>
      <w:r>
        <w:br w:type="page"/>
      </w:r>
    </w:p>
    <w:p w:rsidR="00D51AC1" w:rsidRPr="0001242C" w:rsidRDefault="00D51AC1" w:rsidP="00762ADB">
      <w:pPr>
        <w:pStyle w:val="Heading1"/>
        <w:suppressLineNumbers/>
        <w:rPr>
          <w:rFonts w:asciiTheme="minorHAnsi" w:hAnsiTheme="minorHAnsi"/>
          <w:sz w:val="24"/>
          <w:szCs w:val="24"/>
        </w:rPr>
      </w:pPr>
      <w:r w:rsidRPr="0001242C">
        <w:rPr>
          <w:rFonts w:asciiTheme="minorHAnsi" w:hAnsiTheme="minorHAnsi"/>
          <w:sz w:val="24"/>
          <w:szCs w:val="24"/>
        </w:rPr>
        <w:lastRenderedPageBreak/>
        <w:t>Figure legends</w:t>
      </w:r>
    </w:p>
    <w:p w:rsidR="00D51AC1" w:rsidRPr="0001242C" w:rsidRDefault="00D51AC1" w:rsidP="00762ADB">
      <w:pPr>
        <w:suppressLineNumbers/>
        <w:rPr>
          <w:sz w:val="24"/>
          <w:szCs w:val="24"/>
        </w:rPr>
      </w:pPr>
      <w:r w:rsidRPr="0001242C">
        <w:rPr>
          <w:b/>
          <w:sz w:val="24"/>
          <w:szCs w:val="24"/>
        </w:rPr>
        <w:t xml:space="preserve">Figure </w:t>
      </w:r>
      <w:proofErr w:type="gramStart"/>
      <w:r w:rsidRPr="0001242C">
        <w:rPr>
          <w:b/>
          <w:sz w:val="24"/>
          <w:szCs w:val="24"/>
        </w:rPr>
        <w:t>1</w:t>
      </w:r>
      <w:r w:rsidRPr="0001242C">
        <w:rPr>
          <w:sz w:val="24"/>
          <w:szCs w:val="24"/>
        </w:rPr>
        <w:t xml:space="preserve">  Histogram</w:t>
      </w:r>
      <w:proofErr w:type="gramEnd"/>
      <w:r w:rsidRPr="0001242C">
        <w:rPr>
          <w:sz w:val="24"/>
          <w:szCs w:val="24"/>
        </w:rPr>
        <w:t xml:space="preserve"> of p-values from all 485,512 probes on the 450K chip testing the association </w:t>
      </w:r>
      <w:r>
        <w:rPr>
          <w:sz w:val="24"/>
          <w:szCs w:val="24"/>
        </w:rPr>
        <w:t xml:space="preserve">of whole blood DNA methylation levels </w:t>
      </w:r>
      <w:r w:rsidRPr="0001242C">
        <w:rPr>
          <w:sz w:val="24"/>
          <w:szCs w:val="24"/>
        </w:rPr>
        <w:t>with leukocyte composition.</w:t>
      </w:r>
    </w:p>
    <w:p w:rsidR="00D51AC1" w:rsidRPr="0001242C" w:rsidRDefault="00D51AC1" w:rsidP="00762ADB">
      <w:pPr>
        <w:suppressLineNumbers/>
        <w:rPr>
          <w:sz w:val="24"/>
          <w:szCs w:val="24"/>
        </w:rPr>
      </w:pPr>
      <w:r w:rsidRPr="0001242C">
        <w:rPr>
          <w:b/>
          <w:sz w:val="24"/>
          <w:szCs w:val="24"/>
        </w:rPr>
        <w:t xml:space="preserve">Figure </w:t>
      </w:r>
      <w:proofErr w:type="gramStart"/>
      <w:r w:rsidRPr="0001242C">
        <w:rPr>
          <w:b/>
          <w:sz w:val="24"/>
          <w:szCs w:val="24"/>
        </w:rPr>
        <w:t>2</w:t>
      </w:r>
      <w:r w:rsidRPr="0001242C">
        <w:rPr>
          <w:sz w:val="24"/>
          <w:szCs w:val="24"/>
        </w:rPr>
        <w:t xml:space="preserve">  Proportion</w:t>
      </w:r>
      <w:proofErr w:type="gramEnd"/>
      <w:r w:rsidRPr="0001242C">
        <w:rPr>
          <w:sz w:val="24"/>
          <w:szCs w:val="24"/>
        </w:rPr>
        <w:t xml:space="preserve"> of variance </w:t>
      </w:r>
      <w:r>
        <w:rPr>
          <w:sz w:val="24"/>
          <w:szCs w:val="24"/>
        </w:rPr>
        <w:t xml:space="preserve">of whole blood DNA methylation levels </w:t>
      </w:r>
      <w:r w:rsidRPr="0001242C">
        <w:rPr>
          <w:sz w:val="24"/>
          <w:szCs w:val="24"/>
        </w:rPr>
        <w:t xml:space="preserve">explained by cell counts (black) and cell proportion estimates (red), respectively, for the top 10,000 </w:t>
      </w:r>
      <w:r>
        <w:rPr>
          <w:sz w:val="24"/>
          <w:szCs w:val="24"/>
        </w:rPr>
        <w:t>probes when ranked by</w:t>
      </w:r>
      <w:r w:rsidRPr="0001242C">
        <w:rPr>
          <w:sz w:val="24"/>
          <w:szCs w:val="24"/>
        </w:rPr>
        <w:t xml:space="preserve"> the former metric.</w:t>
      </w:r>
      <w:r>
        <w:rPr>
          <w:sz w:val="24"/>
          <w:szCs w:val="24"/>
        </w:rPr>
        <w:t xml:space="preserve"> Cell proportions estimates explain more variance than cell counts in all 10,000 instances.</w:t>
      </w:r>
    </w:p>
    <w:p w:rsidR="00D51AC1" w:rsidRPr="00023AA1" w:rsidRDefault="00D51AC1" w:rsidP="00762ADB">
      <w:pPr>
        <w:suppressLineNumbers/>
      </w:pPr>
      <w:r w:rsidRPr="00023AA1">
        <w:br w:type="page"/>
      </w:r>
    </w:p>
    <w:p w:rsidR="00D51AC1" w:rsidRPr="0001242C" w:rsidRDefault="00D51AC1" w:rsidP="000231BB">
      <w:pPr>
        <w:pStyle w:val="Caption"/>
        <w:keepNext/>
        <w:suppressLineNumbers/>
        <w:rPr>
          <w:sz w:val="22"/>
          <w:szCs w:val="22"/>
        </w:rPr>
      </w:pPr>
      <w:r w:rsidRPr="0001242C">
        <w:rPr>
          <w:sz w:val="22"/>
          <w:szCs w:val="22"/>
        </w:rPr>
        <w:lastRenderedPageBreak/>
        <w:t xml:space="preserve">Table </w:t>
      </w:r>
      <w:r w:rsidRPr="0001242C">
        <w:rPr>
          <w:sz w:val="22"/>
          <w:szCs w:val="22"/>
        </w:rPr>
        <w:fldChar w:fldCharType="begin"/>
      </w:r>
      <w:r w:rsidRPr="0001242C">
        <w:rPr>
          <w:sz w:val="22"/>
          <w:szCs w:val="22"/>
        </w:rPr>
        <w:instrText xml:space="preserve"> SEQ Table \* ARABIC </w:instrText>
      </w:r>
      <w:r w:rsidRPr="0001242C">
        <w:rPr>
          <w:sz w:val="22"/>
          <w:szCs w:val="22"/>
        </w:rPr>
        <w:fldChar w:fldCharType="separate"/>
      </w:r>
      <w:r>
        <w:rPr>
          <w:noProof/>
          <w:sz w:val="22"/>
          <w:szCs w:val="22"/>
        </w:rPr>
        <w:t>1</w:t>
      </w:r>
      <w:r w:rsidRPr="0001242C">
        <w:rPr>
          <w:sz w:val="22"/>
          <w:szCs w:val="22"/>
        </w:rPr>
        <w:fldChar w:fldCharType="end"/>
      </w:r>
      <w:r w:rsidRPr="0001242C">
        <w:rPr>
          <w:sz w:val="22"/>
          <w:szCs w:val="22"/>
        </w:rPr>
        <w:t xml:space="preserve">  Average cell proportions and standard deviations stratified by cell counting device.</w:t>
      </w:r>
    </w:p>
    <w:tbl>
      <w:tblPr>
        <w:tblStyle w:val="LightShading"/>
        <w:tblW w:w="0" w:type="auto"/>
        <w:tblCellMar>
          <w:left w:w="113" w:type="dxa"/>
          <w:right w:w="113" w:type="dxa"/>
        </w:tblCellMar>
        <w:tblLook w:val="04A0" w:firstRow="1" w:lastRow="0" w:firstColumn="1" w:lastColumn="0" w:noHBand="0" w:noVBand="1"/>
      </w:tblPr>
      <w:tblGrid>
        <w:gridCol w:w="1799"/>
        <w:gridCol w:w="1088"/>
        <w:gridCol w:w="727"/>
        <w:gridCol w:w="1005"/>
        <w:gridCol w:w="893"/>
        <w:gridCol w:w="893"/>
        <w:gridCol w:w="1005"/>
        <w:gridCol w:w="893"/>
      </w:tblGrid>
      <w:tr w:rsidR="00D51AC1" w:rsidRPr="0001242C" w:rsidTr="00D87D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tcBorders>
              <w:top w:val="single" w:sz="4" w:space="0" w:color="auto"/>
              <w:bottom w:val="nil"/>
            </w:tcBorders>
          </w:tcPr>
          <w:p w:rsidR="00D51AC1" w:rsidRPr="0001242C" w:rsidRDefault="00D51AC1" w:rsidP="000231BB">
            <w:pPr>
              <w:suppressLineNumbers/>
              <w:autoSpaceDE w:val="0"/>
              <w:autoSpaceDN w:val="0"/>
              <w:adjustRightInd w:val="0"/>
              <w:jc w:val="center"/>
              <w:rPr>
                <w:rFonts w:cs="LMRoman12-Regular"/>
              </w:rPr>
            </w:pPr>
          </w:p>
        </w:tc>
        <w:tc>
          <w:tcPr>
            <w:tcW w:w="0" w:type="auto"/>
            <w:gridSpan w:val="5"/>
            <w:tcBorders>
              <w:top w:val="single" w:sz="4" w:space="0" w:color="auto"/>
              <w:bottom w:val="single" w:sz="4" w:space="0" w:color="auto"/>
            </w:tcBorders>
          </w:tcPr>
          <w:p w:rsidR="00D51AC1" w:rsidRPr="0001242C" w:rsidRDefault="00D51AC1" w:rsidP="000231BB">
            <w:pPr>
              <w:suppressLineNumbers/>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cs="LMRoman12-Regular"/>
              </w:rPr>
            </w:pPr>
            <w:r w:rsidRPr="0001242C">
              <w:rPr>
                <w:rFonts w:cs="LMRoman12-Regular"/>
              </w:rPr>
              <w:t>Cell proportions (%)</w:t>
            </w:r>
          </w:p>
        </w:tc>
      </w:tr>
      <w:tr w:rsidR="00D51AC1" w:rsidRPr="0001242C" w:rsidTr="00D87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rPr>
                <w:rFonts w:cs="LMRoman12-Regular"/>
              </w:rPr>
            </w:pPr>
            <w:r w:rsidRPr="0001242C">
              <w:rPr>
                <w:rFonts w:cs="LMRoman12-Regular"/>
              </w:rPr>
              <w:t>Study population</w:t>
            </w:r>
          </w:p>
        </w:tc>
        <w:tc>
          <w:tcPr>
            <w:tcW w:w="0" w:type="auto"/>
            <w:tcBorders>
              <w:top w:val="nil"/>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Device</w:t>
            </w:r>
          </w:p>
        </w:tc>
        <w:tc>
          <w:tcPr>
            <w:tcW w:w="0" w:type="auto"/>
            <w:tcBorders>
              <w:top w:val="nil"/>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n</w:t>
            </w:r>
          </w:p>
        </w:tc>
        <w:tc>
          <w:tcPr>
            <w:tcW w:w="0" w:type="auto"/>
            <w:tcBorders>
              <w:top w:val="single" w:sz="4" w:space="0" w:color="auto"/>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NE</w:t>
            </w:r>
          </w:p>
        </w:tc>
        <w:tc>
          <w:tcPr>
            <w:tcW w:w="0" w:type="auto"/>
            <w:tcBorders>
              <w:top w:val="single" w:sz="4" w:space="0" w:color="auto"/>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EO</w:t>
            </w:r>
          </w:p>
        </w:tc>
        <w:tc>
          <w:tcPr>
            <w:tcW w:w="0" w:type="auto"/>
            <w:tcBorders>
              <w:top w:val="single" w:sz="4" w:space="0" w:color="auto"/>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BA</w:t>
            </w:r>
          </w:p>
        </w:tc>
        <w:tc>
          <w:tcPr>
            <w:tcW w:w="0" w:type="auto"/>
            <w:tcBorders>
              <w:top w:val="single" w:sz="4" w:space="0" w:color="auto"/>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LY</w:t>
            </w:r>
          </w:p>
        </w:tc>
        <w:tc>
          <w:tcPr>
            <w:tcW w:w="0" w:type="auto"/>
            <w:tcBorders>
              <w:top w:val="single" w:sz="4" w:space="0" w:color="auto"/>
              <w:bottom w:val="single" w:sz="4" w:space="0" w:color="auto"/>
            </w:tcBorders>
            <w:shd w:val="clear" w:color="auto" w:fill="FFFFFF" w:themeFill="background1"/>
          </w:tcPr>
          <w:p w:rsidR="00D51AC1" w:rsidRPr="0001242C" w:rsidRDefault="00D51AC1" w:rsidP="000231BB">
            <w:pPr>
              <w:suppressLineNumbers/>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cs="LMRoman12-Regular"/>
                <w:b/>
              </w:rPr>
            </w:pPr>
            <w:r w:rsidRPr="0001242C">
              <w:rPr>
                <w:rFonts w:cs="LMRoman12-Regular"/>
                <w:b/>
              </w:rPr>
              <w:t>MO</w:t>
            </w:r>
          </w:p>
        </w:tc>
      </w:tr>
      <w:tr w:rsidR="00D51AC1" w:rsidRPr="0001242C" w:rsidTr="00D87DCF">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nil"/>
            </w:tcBorders>
          </w:tcPr>
          <w:p w:rsidR="00D51AC1" w:rsidRPr="0001242C" w:rsidRDefault="00D51AC1" w:rsidP="000231BB">
            <w:pPr>
              <w:suppressLineNumbers/>
              <w:autoSpaceDE w:val="0"/>
              <w:autoSpaceDN w:val="0"/>
              <w:adjustRightInd w:val="0"/>
              <w:jc w:val="right"/>
              <w:rPr>
                <w:rFonts w:cs="LMRoman12-Regular"/>
                <w:b w:val="0"/>
              </w:rPr>
            </w:pPr>
            <w:r w:rsidRPr="0001242C">
              <w:rPr>
                <w:rFonts w:cs="LMRoman12-Regular"/>
                <w:b w:val="0"/>
              </w:rPr>
              <w:t>LOLIPOP</w:t>
            </w:r>
          </w:p>
        </w:tc>
        <w:tc>
          <w:tcPr>
            <w:tcW w:w="0" w:type="auto"/>
            <w:tcBorders>
              <w:top w:val="single" w:sz="4" w:space="0" w:color="auto"/>
              <w:bottom w:val="nil"/>
            </w:tcBorders>
          </w:tcPr>
          <w:p w:rsidR="00D51AC1" w:rsidRPr="0001242C" w:rsidRDefault="00D51AC1" w:rsidP="000231BB">
            <w:pPr>
              <w:suppressLineNumbers/>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XE-2100</w:t>
            </w:r>
          </w:p>
        </w:tc>
        <w:tc>
          <w:tcPr>
            <w:tcW w:w="0" w:type="auto"/>
            <w:tcBorders>
              <w:top w:val="single" w:sz="4" w:space="0" w:color="auto"/>
              <w:bottom w:val="nil"/>
            </w:tcBorders>
          </w:tcPr>
          <w:p w:rsidR="00D51AC1" w:rsidRPr="0001242C" w:rsidRDefault="00D51AC1" w:rsidP="000231BB">
            <w:pPr>
              <w:suppressLineNumbers/>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2,270</w:t>
            </w:r>
          </w:p>
        </w:tc>
        <w:tc>
          <w:tcPr>
            <w:tcW w:w="0" w:type="auto"/>
            <w:tcBorders>
              <w:top w:val="single" w:sz="4" w:space="0" w:color="auto"/>
              <w:bottom w:val="nil"/>
            </w:tcBorders>
          </w:tcPr>
          <w:p w:rsidR="00D51AC1" w:rsidRPr="0001242C" w:rsidRDefault="00D51AC1" w:rsidP="000231BB">
            <w:pPr>
              <w:suppressLineNumbers/>
              <w:tabs>
                <w:tab w:val="left" w:pos="666"/>
              </w:tab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54.3</w:t>
            </w:r>
            <w:r w:rsidRPr="0001242C">
              <w:rPr>
                <w:rFonts w:eastAsia="LatinModernMath-Regular" w:cs="LatinModernMath-Regular"/>
              </w:rPr>
              <w:t>±8</w:t>
            </w:r>
            <w:r w:rsidRPr="0001242C">
              <w:rPr>
                <w:rFonts w:cs="LMRoman12-Regular"/>
              </w:rPr>
              <w:t>.5</w:t>
            </w:r>
          </w:p>
        </w:tc>
        <w:tc>
          <w:tcPr>
            <w:tcW w:w="0" w:type="auto"/>
            <w:tcBorders>
              <w:top w:val="single" w:sz="4" w:space="0" w:color="auto"/>
              <w:bottom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3.8</w:t>
            </w:r>
            <w:r w:rsidRPr="0001242C">
              <w:rPr>
                <w:rFonts w:eastAsia="LatinModernMath-Regular" w:cs="LatinModernMath-Regular"/>
              </w:rPr>
              <w:t>±</w:t>
            </w:r>
            <w:r w:rsidRPr="0001242C">
              <w:rPr>
                <w:rFonts w:cs="LMRoman12-Regular"/>
              </w:rPr>
              <w:t>2.6</w:t>
            </w:r>
          </w:p>
        </w:tc>
        <w:tc>
          <w:tcPr>
            <w:tcW w:w="0" w:type="auto"/>
            <w:tcBorders>
              <w:top w:val="single" w:sz="4" w:space="0" w:color="auto"/>
              <w:bottom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1.2</w:t>
            </w:r>
            <w:r w:rsidRPr="0001242C">
              <w:rPr>
                <w:rFonts w:eastAsia="LatinModernMath-Regular" w:cs="LatinModernMath-Regular"/>
              </w:rPr>
              <w:t>±</w:t>
            </w:r>
            <w:r w:rsidRPr="0001242C">
              <w:rPr>
                <w:rFonts w:cs="LMRoman12-Regular"/>
              </w:rPr>
              <w:t>0.7</w:t>
            </w:r>
          </w:p>
        </w:tc>
        <w:tc>
          <w:tcPr>
            <w:tcW w:w="0" w:type="auto"/>
            <w:tcBorders>
              <w:top w:val="single" w:sz="4" w:space="0" w:color="auto"/>
              <w:bottom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34.4</w:t>
            </w:r>
            <w:r w:rsidRPr="0001242C">
              <w:rPr>
                <w:rFonts w:eastAsia="LatinModernMath-Regular" w:cs="LatinModernMath-Regular"/>
              </w:rPr>
              <w:t>±</w:t>
            </w:r>
            <w:r w:rsidRPr="0001242C">
              <w:rPr>
                <w:rFonts w:cs="LMRoman12-Regular"/>
              </w:rPr>
              <w:t>7.9</w:t>
            </w:r>
          </w:p>
        </w:tc>
        <w:tc>
          <w:tcPr>
            <w:tcW w:w="0" w:type="auto"/>
            <w:tcBorders>
              <w:top w:val="single" w:sz="4" w:space="0" w:color="auto"/>
              <w:bottom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6.2</w:t>
            </w:r>
            <w:r w:rsidRPr="0001242C">
              <w:rPr>
                <w:rFonts w:eastAsia="LatinModernMath-Regular" w:cs="LatinModernMath-Regular"/>
              </w:rPr>
              <w:t>±</w:t>
            </w:r>
            <w:r w:rsidRPr="0001242C">
              <w:rPr>
                <w:rFonts w:cs="LMRoman12-Regular"/>
              </w:rPr>
              <w:t>2.0</w:t>
            </w:r>
          </w:p>
        </w:tc>
      </w:tr>
      <w:tr w:rsidR="00D51AC1" w:rsidRPr="0001242C" w:rsidTr="00D87D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jc w:val="right"/>
              <w:rPr>
                <w:rFonts w:cs="LMRoman12-Regular"/>
                <w:b w:val="0"/>
              </w:rPr>
            </w:pPr>
            <w:r w:rsidRPr="0001242C">
              <w:rPr>
                <w:rFonts w:cs="LMRoman12-Regular"/>
                <w:b w:val="0"/>
              </w:rPr>
              <w:t>KAROLA</w:t>
            </w:r>
          </w:p>
        </w:tc>
        <w:tc>
          <w:tcPr>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LH 750</w:t>
            </w:r>
          </w:p>
        </w:tc>
        <w:tc>
          <w:tcPr>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jc w:val="right"/>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22</w:t>
            </w:r>
          </w:p>
        </w:tc>
        <w:tc>
          <w:tcPr>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53.6</w:t>
            </w:r>
            <w:r w:rsidRPr="0001242C">
              <w:rPr>
                <w:rFonts w:eastAsia="LatinModernMath-Regular" w:cs="LatinModernMath-Regular"/>
              </w:rPr>
              <w:t>±</w:t>
            </w:r>
            <w:r w:rsidRPr="0001242C">
              <w:rPr>
                <w:rFonts w:cs="LMRoman12-Regular"/>
              </w:rPr>
              <w:t>8.6</w:t>
            </w:r>
          </w:p>
        </w:tc>
        <w:tc>
          <w:tcPr>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4.1</w:t>
            </w:r>
            <w:r w:rsidRPr="0001242C">
              <w:rPr>
                <w:rFonts w:eastAsia="LatinModernMath-Regular" w:cs="LatinModernMath-Regular"/>
              </w:rPr>
              <w:t>±</w:t>
            </w:r>
            <w:r w:rsidRPr="0001242C">
              <w:rPr>
                <w:rFonts w:cs="LMRoman12-Regular"/>
              </w:rPr>
              <w:t>2.7</w:t>
            </w:r>
          </w:p>
        </w:tc>
        <w:tc>
          <w:tcPr>
            <w:tcW w:w="0" w:type="auto"/>
            <w:tcBorders>
              <w:top w:val="nil"/>
              <w:bottom w:val="nil"/>
            </w:tcBorders>
            <w:shd w:val="clear" w:color="auto" w:fill="FFFFFF" w:themeFill="background1"/>
          </w:tcPr>
          <w:p w:rsidR="00D51AC1" w:rsidRPr="0001242C" w:rsidRDefault="00D51AC1" w:rsidP="000231BB">
            <w:pPr>
              <w:suppressLineNumbers/>
              <w:tabs>
                <w:tab w:val="left" w:pos="720"/>
              </w:tab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0.8</w:t>
            </w:r>
            <w:r w:rsidRPr="0001242C">
              <w:rPr>
                <w:rFonts w:eastAsia="LatinModernMath-Regular" w:cs="LatinModernMath-Regular"/>
              </w:rPr>
              <w:t>±</w:t>
            </w:r>
            <w:r w:rsidRPr="0001242C">
              <w:rPr>
                <w:rFonts w:cs="LMRoman12-Regular"/>
              </w:rPr>
              <w:t>0.9</w:t>
            </w:r>
          </w:p>
        </w:tc>
        <w:tc>
          <w:tcPr>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32.1</w:t>
            </w:r>
            <w:r w:rsidRPr="0001242C">
              <w:rPr>
                <w:rFonts w:eastAsia="LatinModernMath-Regular" w:cs="LatinModernMath-Regular"/>
              </w:rPr>
              <w:t>±</w:t>
            </w:r>
            <w:r w:rsidRPr="0001242C">
              <w:rPr>
                <w:rFonts w:cs="LMRoman12-Regular"/>
              </w:rPr>
              <w:t>7.2</w:t>
            </w:r>
          </w:p>
        </w:tc>
        <w:tc>
          <w:tcPr>
            <w:tcW w:w="0" w:type="auto"/>
            <w:tcBorders>
              <w:top w:val="nil"/>
              <w:bottom w:val="nil"/>
            </w:tcBorders>
            <w:shd w:val="clear" w:color="auto" w:fill="FFFFFF" w:themeFill="background1"/>
          </w:tcPr>
          <w:p w:rsidR="00D51AC1" w:rsidRPr="0001242C" w:rsidRDefault="00D51AC1" w:rsidP="000231BB">
            <w:pPr>
              <w:suppressLineNumbers/>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cs="LMRoman12-Regular"/>
              </w:rPr>
            </w:pPr>
            <w:r w:rsidRPr="0001242C">
              <w:rPr>
                <w:rFonts w:cs="LMRoman12-Regular"/>
              </w:rPr>
              <w:t>9.6</w:t>
            </w:r>
            <w:r w:rsidRPr="0001242C">
              <w:rPr>
                <w:rFonts w:eastAsia="LatinModernMath-Regular" w:cs="LatinModernMath-Regular"/>
              </w:rPr>
              <w:t>±</w:t>
            </w:r>
            <w:r w:rsidRPr="0001242C">
              <w:rPr>
                <w:rFonts w:cs="LMRoman12-Regular"/>
              </w:rPr>
              <w:t>2.6</w:t>
            </w:r>
          </w:p>
        </w:tc>
      </w:tr>
      <w:tr w:rsidR="00D51AC1" w:rsidRPr="0001242C" w:rsidTr="00D87DCF">
        <w:tc>
          <w:tcPr>
            <w:cnfStyle w:val="001000000000" w:firstRow="0" w:lastRow="0" w:firstColumn="1" w:lastColumn="0" w:oddVBand="0" w:evenVBand="0" w:oddHBand="0" w:evenHBand="0" w:firstRowFirstColumn="0" w:firstRowLastColumn="0" w:lastRowFirstColumn="0" w:lastRowLastColumn="0"/>
            <w:tcW w:w="0" w:type="auto"/>
            <w:tcBorders>
              <w:top w:val="nil"/>
            </w:tcBorders>
          </w:tcPr>
          <w:p w:rsidR="00D51AC1" w:rsidRPr="0001242C" w:rsidRDefault="00D51AC1" w:rsidP="000231BB">
            <w:pPr>
              <w:suppressLineNumbers/>
              <w:autoSpaceDE w:val="0"/>
              <w:autoSpaceDN w:val="0"/>
              <w:adjustRightInd w:val="0"/>
              <w:jc w:val="right"/>
              <w:rPr>
                <w:rFonts w:cs="LMRoman12-Regular"/>
                <w:b w:val="0"/>
              </w:rPr>
            </w:pPr>
            <w:r w:rsidRPr="0001242C">
              <w:rPr>
                <w:rFonts w:cs="LMRoman12-Regular"/>
                <w:b w:val="0"/>
              </w:rPr>
              <w:t>KAROLA</w:t>
            </w:r>
          </w:p>
        </w:tc>
        <w:tc>
          <w:tcPr>
            <w:tcW w:w="0" w:type="auto"/>
            <w:tcBorders>
              <w:top w:val="nil"/>
            </w:tcBorders>
          </w:tcPr>
          <w:p w:rsidR="00D51AC1" w:rsidRPr="0001242C" w:rsidRDefault="00D51AC1" w:rsidP="000231BB">
            <w:pPr>
              <w:suppressLineNumbers/>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CELL-DYN</w:t>
            </w:r>
          </w:p>
        </w:tc>
        <w:tc>
          <w:tcPr>
            <w:tcW w:w="0" w:type="auto"/>
            <w:tcBorders>
              <w:top w:val="nil"/>
            </w:tcBorders>
          </w:tcPr>
          <w:p w:rsidR="00D51AC1" w:rsidRPr="0001242C" w:rsidRDefault="00D51AC1" w:rsidP="000231BB">
            <w:pPr>
              <w:suppressLineNumbers/>
              <w:autoSpaceDE w:val="0"/>
              <w:autoSpaceDN w:val="0"/>
              <w:adjustRightInd w:val="0"/>
              <w:jc w:val="right"/>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15</w:t>
            </w:r>
          </w:p>
        </w:tc>
        <w:tc>
          <w:tcPr>
            <w:tcW w:w="0" w:type="auto"/>
            <w:tcBorders>
              <w:top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55.5</w:t>
            </w:r>
            <w:r w:rsidRPr="0001242C">
              <w:rPr>
                <w:rFonts w:eastAsia="LatinModernMath-Regular" w:cs="LatinModernMath-Regular"/>
              </w:rPr>
              <w:t>±</w:t>
            </w:r>
            <w:r w:rsidRPr="0001242C">
              <w:rPr>
                <w:rFonts w:cs="LMRoman12-Regular"/>
              </w:rPr>
              <w:t>7.4</w:t>
            </w:r>
          </w:p>
        </w:tc>
        <w:tc>
          <w:tcPr>
            <w:tcW w:w="0" w:type="auto"/>
            <w:tcBorders>
              <w:top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4.9</w:t>
            </w:r>
            <w:r w:rsidRPr="0001242C">
              <w:rPr>
                <w:rFonts w:eastAsia="LatinModernMath-Regular" w:cs="LatinModernMath-Regular"/>
              </w:rPr>
              <w:t>±</w:t>
            </w:r>
            <w:r w:rsidRPr="0001242C">
              <w:rPr>
                <w:rFonts w:cs="LMRoman12-Regular"/>
              </w:rPr>
              <w:t>2.5</w:t>
            </w:r>
          </w:p>
        </w:tc>
        <w:tc>
          <w:tcPr>
            <w:tcW w:w="0" w:type="auto"/>
            <w:tcBorders>
              <w:top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0.6</w:t>
            </w:r>
            <w:r w:rsidRPr="0001242C">
              <w:rPr>
                <w:rFonts w:eastAsia="LatinModernMath-Regular" w:cs="LatinModernMath-Regular"/>
              </w:rPr>
              <w:t>±</w:t>
            </w:r>
            <w:r w:rsidRPr="0001242C">
              <w:rPr>
                <w:rFonts w:cs="LMRoman12-Regular"/>
              </w:rPr>
              <w:t>0.3</w:t>
            </w:r>
          </w:p>
        </w:tc>
        <w:tc>
          <w:tcPr>
            <w:tcW w:w="0" w:type="auto"/>
            <w:tcBorders>
              <w:top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30.1</w:t>
            </w:r>
            <w:r w:rsidRPr="0001242C">
              <w:rPr>
                <w:rFonts w:eastAsia="LatinModernMath-Regular" w:cs="LatinModernMath-Regular"/>
              </w:rPr>
              <w:t>±</w:t>
            </w:r>
            <w:r w:rsidRPr="0001242C">
              <w:rPr>
                <w:rFonts w:cs="LMRoman12-Regular"/>
              </w:rPr>
              <w:t>5.7</w:t>
            </w:r>
          </w:p>
        </w:tc>
        <w:tc>
          <w:tcPr>
            <w:tcW w:w="0" w:type="auto"/>
            <w:tcBorders>
              <w:top w:val="nil"/>
            </w:tcBorders>
          </w:tcPr>
          <w:p w:rsidR="00D51AC1" w:rsidRPr="0001242C" w:rsidRDefault="00D51AC1" w:rsidP="000231BB">
            <w:pPr>
              <w:suppressLineNumbers/>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cs="LMRoman12-Regular"/>
              </w:rPr>
            </w:pPr>
            <w:r w:rsidRPr="0001242C">
              <w:rPr>
                <w:rFonts w:cs="LMRoman12-Regular"/>
              </w:rPr>
              <w:t>8.9</w:t>
            </w:r>
            <w:r w:rsidRPr="0001242C">
              <w:rPr>
                <w:rFonts w:eastAsia="LatinModernMath-Regular" w:cs="LatinModernMath-Regular"/>
              </w:rPr>
              <w:t>±</w:t>
            </w:r>
            <w:r w:rsidRPr="0001242C">
              <w:rPr>
                <w:rFonts w:cs="LMRoman12-Regular"/>
              </w:rPr>
              <w:t>1.2</w:t>
            </w:r>
          </w:p>
        </w:tc>
      </w:tr>
    </w:tbl>
    <w:p w:rsidR="00D51AC1" w:rsidRPr="0001242C" w:rsidRDefault="00D51AC1" w:rsidP="000231BB">
      <w:pPr>
        <w:suppressLineNumbers/>
        <w:autoSpaceDE w:val="0"/>
        <w:autoSpaceDN w:val="0"/>
        <w:adjustRightInd w:val="0"/>
        <w:spacing w:after="0" w:line="240" w:lineRule="auto"/>
        <w:rPr>
          <w:rFonts w:cs="LMRoman12-Regular"/>
        </w:rPr>
      </w:pPr>
      <w:r w:rsidRPr="0001242C">
        <w:rPr>
          <w:rFonts w:cs="LMRoman12-Regular"/>
        </w:rPr>
        <w:t>Abbreviated cell types: NE neutrophils, EO eosinophils, BA basophils, LY lymphocytes, MO monocytes.</w:t>
      </w:r>
    </w:p>
    <w:p w:rsidR="00D51AC1" w:rsidRDefault="00D51AC1" w:rsidP="000231BB">
      <w:pPr>
        <w:suppressLineNumbers/>
        <w:rPr>
          <w:rFonts w:ascii="LMRoman12-Regular" w:hAnsi="LMRoman12-Regular" w:cs="LMRoman12-Regular"/>
          <w:sz w:val="24"/>
          <w:szCs w:val="24"/>
        </w:rPr>
      </w:pPr>
    </w:p>
    <w:p w:rsidR="00D51AC1" w:rsidRDefault="00D51AC1" w:rsidP="009821D2">
      <w:pPr>
        <w:pStyle w:val="Caption"/>
        <w:keepNext/>
        <w:rPr>
          <w:b w:val="0"/>
        </w:rPr>
        <w:sectPr w:rsidR="00D51AC1" w:rsidSect="0022728F">
          <w:headerReference w:type="even" r:id="rId9"/>
          <w:headerReference w:type="default" r:id="rId10"/>
          <w:footerReference w:type="even" r:id="rId11"/>
          <w:footerReference w:type="default" r:id="rId12"/>
          <w:headerReference w:type="first" r:id="rId13"/>
          <w:footerReference w:type="first" r:id="rId14"/>
          <w:pgSz w:w="12240" w:h="15840"/>
          <w:pgMar w:top="1417" w:right="1417" w:bottom="1134" w:left="1417" w:header="708" w:footer="708" w:gutter="0"/>
          <w:cols w:space="708"/>
          <w:docGrid w:linePitch="360"/>
        </w:sectPr>
      </w:pPr>
    </w:p>
    <w:p w:rsidR="00D51AC1" w:rsidRPr="0001242C" w:rsidRDefault="00D51AC1" w:rsidP="009821D2">
      <w:pPr>
        <w:pStyle w:val="Caption"/>
        <w:keepNext/>
        <w:rPr>
          <w:sz w:val="20"/>
          <w:szCs w:val="20"/>
        </w:rPr>
      </w:pPr>
      <w:r w:rsidRPr="0001242C">
        <w:rPr>
          <w:sz w:val="20"/>
          <w:szCs w:val="20"/>
        </w:rPr>
        <w:lastRenderedPageBreak/>
        <w:t xml:space="preserve">Table </w:t>
      </w:r>
      <w:r w:rsidRPr="0001242C">
        <w:rPr>
          <w:sz w:val="20"/>
          <w:szCs w:val="20"/>
        </w:rPr>
        <w:fldChar w:fldCharType="begin"/>
      </w:r>
      <w:r w:rsidRPr="0001242C">
        <w:rPr>
          <w:sz w:val="20"/>
          <w:szCs w:val="20"/>
        </w:rPr>
        <w:instrText xml:space="preserve"> SEQ Table \* ARABIC </w:instrText>
      </w:r>
      <w:r w:rsidRPr="0001242C">
        <w:rPr>
          <w:sz w:val="20"/>
          <w:szCs w:val="20"/>
        </w:rPr>
        <w:fldChar w:fldCharType="separate"/>
      </w:r>
      <w:r>
        <w:rPr>
          <w:noProof/>
          <w:sz w:val="20"/>
          <w:szCs w:val="20"/>
        </w:rPr>
        <w:t>2</w:t>
      </w:r>
      <w:r w:rsidRPr="0001242C">
        <w:rPr>
          <w:sz w:val="20"/>
          <w:szCs w:val="20"/>
        </w:rPr>
        <w:fldChar w:fldCharType="end"/>
      </w:r>
      <w:r w:rsidRPr="0001242C">
        <w:rPr>
          <w:sz w:val="20"/>
          <w:szCs w:val="20"/>
        </w:rPr>
        <w:t xml:space="preserve">  Pearson correlation coefficients between measured and estimated cell proportions.</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000"/>
        <w:gridCol w:w="1497"/>
        <w:gridCol w:w="1558"/>
        <w:gridCol w:w="1619"/>
        <w:gridCol w:w="1497"/>
        <w:gridCol w:w="1497"/>
        <w:gridCol w:w="1497"/>
      </w:tblGrid>
      <w:tr w:rsidR="00D51AC1" w:rsidRPr="0001242C" w:rsidTr="00896F22">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Study population</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Device</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NE</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EO</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BA</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GR</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LY</w:t>
            </w:r>
          </w:p>
        </w:tc>
        <w:tc>
          <w:tcPr>
            <w:tcW w:w="0" w:type="auto"/>
            <w:tcBorders>
              <w:top w:val="single" w:sz="4" w:space="0" w:color="auto"/>
              <w:bottom w:val="single" w:sz="4" w:space="0" w:color="auto"/>
            </w:tcBorders>
          </w:tcPr>
          <w:p w:rsidR="00D51AC1" w:rsidRPr="0001242C" w:rsidRDefault="00D51AC1" w:rsidP="00896F22">
            <w:pPr>
              <w:autoSpaceDE w:val="0"/>
              <w:autoSpaceDN w:val="0"/>
              <w:adjustRightInd w:val="0"/>
              <w:jc w:val="center"/>
              <w:rPr>
                <w:rFonts w:cs="LMRoman12-Regular"/>
                <w:b/>
                <w:sz w:val="20"/>
                <w:szCs w:val="20"/>
              </w:rPr>
            </w:pPr>
            <w:r w:rsidRPr="0001242C">
              <w:rPr>
                <w:rFonts w:cs="LMRoman12-Regular"/>
                <w:b/>
                <w:sz w:val="20"/>
                <w:szCs w:val="20"/>
              </w:rPr>
              <w:t>MO</w:t>
            </w:r>
          </w:p>
        </w:tc>
      </w:tr>
      <w:tr w:rsidR="00D51AC1" w:rsidRPr="0001242C" w:rsidTr="00896F22">
        <w:tc>
          <w:tcPr>
            <w:tcW w:w="0" w:type="auto"/>
            <w:tcBorders>
              <w:top w:val="single" w:sz="4" w:space="0" w:color="auto"/>
            </w:tcBorders>
          </w:tcPr>
          <w:p w:rsidR="00D51AC1" w:rsidRPr="0001242C" w:rsidRDefault="00D51AC1" w:rsidP="00896F22">
            <w:pPr>
              <w:autoSpaceDE w:val="0"/>
              <w:autoSpaceDN w:val="0"/>
              <w:adjustRightInd w:val="0"/>
              <w:jc w:val="right"/>
              <w:rPr>
                <w:rFonts w:cs="LMRoman12-Regular"/>
                <w:sz w:val="20"/>
                <w:szCs w:val="20"/>
              </w:rPr>
            </w:pPr>
            <w:r w:rsidRPr="0001242C">
              <w:rPr>
                <w:rFonts w:cs="LMRoman12-Regular"/>
                <w:sz w:val="20"/>
                <w:szCs w:val="20"/>
              </w:rPr>
              <w:t>LOLIPOP</w:t>
            </w:r>
          </w:p>
        </w:tc>
        <w:tc>
          <w:tcPr>
            <w:tcW w:w="0" w:type="auto"/>
            <w:tcBorders>
              <w:top w:val="single" w:sz="4" w:space="0" w:color="auto"/>
            </w:tcBorders>
          </w:tcPr>
          <w:p w:rsidR="00D51AC1" w:rsidRPr="0001242C" w:rsidRDefault="00D51AC1" w:rsidP="00896F22">
            <w:pPr>
              <w:autoSpaceDE w:val="0"/>
              <w:autoSpaceDN w:val="0"/>
              <w:adjustRightInd w:val="0"/>
              <w:jc w:val="right"/>
              <w:rPr>
                <w:rFonts w:cs="LMRoman12-Regular"/>
                <w:sz w:val="20"/>
                <w:szCs w:val="20"/>
              </w:rPr>
            </w:pPr>
            <w:r w:rsidRPr="0001242C">
              <w:rPr>
                <w:rFonts w:cs="LMRoman12-Regular"/>
                <w:sz w:val="20"/>
                <w:szCs w:val="20"/>
              </w:rPr>
              <w:t>XE-2100</w:t>
            </w:r>
          </w:p>
        </w:tc>
        <w:tc>
          <w:tcPr>
            <w:tcW w:w="0" w:type="auto"/>
            <w:tcBorders>
              <w:top w:val="single" w:sz="4" w:space="0" w:color="auto"/>
            </w:tcBorders>
          </w:tcPr>
          <w:p w:rsidR="00D51AC1" w:rsidRPr="0001242C" w:rsidRDefault="00D51AC1" w:rsidP="0074165D">
            <w:pPr>
              <w:autoSpaceDE w:val="0"/>
              <w:autoSpaceDN w:val="0"/>
              <w:adjustRightInd w:val="0"/>
              <w:jc w:val="right"/>
              <w:rPr>
                <w:rFonts w:cs="LMRoman12-Regular"/>
                <w:sz w:val="20"/>
                <w:szCs w:val="20"/>
              </w:rPr>
            </w:pPr>
            <w:r>
              <w:rPr>
                <w:rFonts w:cs="LMRoman10-Regular"/>
                <w:sz w:val="20"/>
                <w:szCs w:val="20"/>
              </w:rPr>
              <w:t>0.85</w:t>
            </w:r>
            <w:r w:rsidRPr="0001242C">
              <w:rPr>
                <w:rFonts w:cs="LMRoman10-Regular"/>
                <w:sz w:val="20"/>
                <w:szCs w:val="20"/>
              </w:rPr>
              <w:t xml:space="preserve"> (0.8</w:t>
            </w:r>
            <w:r>
              <w:rPr>
                <w:rFonts w:cs="LMRoman10-Regular"/>
                <w:sz w:val="20"/>
                <w:szCs w:val="20"/>
              </w:rPr>
              <w:t>3</w:t>
            </w:r>
            <w:r w:rsidRPr="0001242C">
              <w:rPr>
                <w:rFonts w:cs="LMRoman10-Regular"/>
                <w:sz w:val="20"/>
                <w:szCs w:val="20"/>
              </w:rPr>
              <w:t>,0.86)</w:t>
            </w:r>
          </w:p>
        </w:tc>
        <w:tc>
          <w:tcPr>
            <w:tcW w:w="0" w:type="auto"/>
            <w:tcBorders>
              <w:top w:val="single" w:sz="4" w:space="0" w:color="auto"/>
            </w:tcBorders>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0.88 (0.87</w:t>
            </w:r>
            <w:r w:rsidRPr="0001242C">
              <w:rPr>
                <w:rFonts w:cs="LMRoman10-Regular"/>
                <w:sz w:val="20"/>
                <w:szCs w:val="20"/>
              </w:rPr>
              <w:t>,0.89)</w:t>
            </w:r>
          </w:p>
        </w:tc>
        <w:tc>
          <w:tcPr>
            <w:tcW w:w="0" w:type="auto"/>
            <w:tcBorders>
              <w:top w:val="single" w:sz="4" w:space="0" w:color="auto"/>
            </w:tcBorders>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0.02 (-0.02,0.06</w:t>
            </w:r>
            <w:r w:rsidRPr="0001242C">
              <w:rPr>
                <w:rFonts w:cs="LMRoman10-Regular"/>
                <w:sz w:val="20"/>
                <w:szCs w:val="20"/>
              </w:rPr>
              <w:t>)</w:t>
            </w:r>
          </w:p>
        </w:tc>
        <w:tc>
          <w:tcPr>
            <w:tcW w:w="0" w:type="auto"/>
            <w:tcBorders>
              <w:top w:val="single" w:sz="4" w:space="0" w:color="auto"/>
            </w:tcBorders>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0.83 (0.81,0.85</w:t>
            </w:r>
            <w:r w:rsidRPr="0001242C">
              <w:rPr>
                <w:rFonts w:cs="LMRoman10-Regular"/>
                <w:sz w:val="20"/>
                <w:szCs w:val="20"/>
              </w:rPr>
              <w:t>)</w:t>
            </w:r>
          </w:p>
        </w:tc>
        <w:tc>
          <w:tcPr>
            <w:tcW w:w="0" w:type="auto"/>
            <w:tcBorders>
              <w:top w:val="single" w:sz="4" w:space="0" w:color="auto"/>
            </w:tcBorders>
          </w:tcPr>
          <w:p w:rsidR="00D51AC1" w:rsidRPr="0001242C" w:rsidRDefault="00D51AC1" w:rsidP="00896F22">
            <w:pPr>
              <w:tabs>
                <w:tab w:val="left" w:pos="747"/>
              </w:tabs>
              <w:autoSpaceDE w:val="0"/>
              <w:autoSpaceDN w:val="0"/>
              <w:adjustRightInd w:val="0"/>
              <w:jc w:val="right"/>
              <w:rPr>
                <w:rFonts w:cs="LMRoman12-Regular"/>
                <w:sz w:val="20"/>
                <w:szCs w:val="20"/>
              </w:rPr>
            </w:pPr>
            <w:r w:rsidRPr="0001242C">
              <w:rPr>
                <w:rFonts w:cs="LMRoman10-Regular"/>
                <w:sz w:val="20"/>
                <w:szCs w:val="20"/>
              </w:rPr>
              <w:t>0.84 (0.82,0.86)</w:t>
            </w:r>
          </w:p>
        </w:tc>
        <w:tc>
          <w:tcPr>
            <w:tcW w:w="0" w:type="auto"/>
            <w:tcBorders>
              <w:top w:val="single" w:sz="4" w:space="0" w:color="auto"/>
            </w:tcBorders>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0.55 (0.51,0.58</w:t>
            </w:r>
            <w:r w:rsidRPr="0001242C">
              <w:rPr>
                <w:rFonts w:cs="LMRoman10-Regular"/>
                <w:sz w:val="20"/>
                <w:szCs w:val="20"/>
              </w:rPr>
              <w:t>)</w:t>
            </w:r>
          </w:p>
        </w:tc>
      </w:tr>
      <w:tr w:rsidR="00D51AC1" w:rsidRPr="0001242C" w:rsidTr="00896F22">
        <w:tc>
          <w:tcPr>
            <w:tcW w:w="0" w:type="auto"/>
          </w:tcPr>
          <w:p w:rsidR="00D51AC1" w:rsidRPr="0001242C" w:rsidRDefault="00D51AC1" w:rsidP="00896F22">
            <w:pPr>
              <w:autoSpaceDE w:val="0"/>
              <w:autoSpaceDN w:val="0"/>
              <w:adjustRightInd w:val="0"/>
              <w:jc w:val="right"/>
              <w:rPr>
                <w:rFonts w:cs="LMRoman12-Regular"/>
                <w:sz w:val="20"/>
                <w:szCs w:val="20"/>
              </w:rPr>
            </w:pPr>
            <w:r w:rsidRPr="0001242C">
              <w:rPr>
                <w:rFonts w:cs="LMRoman12-Regular"/>
                <w:sz w:val="20"/>
                <w:szCs w:val="20"/>
              </w:rPr>
              <w:t>KAROLA</w:t>
            </w:r>
          </w:p>
        </w:tc>
        <w:tc>
          <w:tcPr>
            <w:tcW w:w="0" w:type="auto"/>
          </w:tcPr>
          <w:p w:rsidR="00D51AC1" w:rsidRPr="0001242C" w:rsidRDefault="00D51AC1" w:rsidP="00896F22">
            <w:pPr>
              <w:autoSpaceDE w:val="0"/>
              <w:autoSpaceDN w:val="0"/>
              <w:adjustRightInd w:val="0"/>
              <w:jc w:val="right"/>
              <w:rPr>
                <w:rFonts w:cs="LMRoman12-Regular"/>
                <w:sz w:val="20"/>
                <w:szCs w:val="20"/>
              </w:rPr>
            </w:pPr>
            <w:r w:rsidRPr="0001242C">
              <w:rPr>
                <w:rFonts w:cs="LMRoman12-Regular"/>
                <w:sz w:val="20"/>
                <w:szCs w:val="20"/>
              </w:rPr>
              <w:t>LH 750</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0.90 (0.74</w:t>
            </w:r>
            <w:r w:rsidRPr="0001242C">
              <w:rPr>
                <w:rFonts w:cs="LMRoman10-Regular"/>
                <w:sz w:val="20"/>
                <w:szCs w:val="20"/>
              </w:rPr>
              <w:t>,0.98)</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0.47 (-0.03,0.91</w:t>
            </w:r>
            <w:r w:rsidRPr="0001242C">
              <w:rPr>
                <w:rFonts w:cs="LMRoman10-Regular"/>
                <w:sz w:val="20"/>
                <w:szCs w:val="20"/>
              </w:rPr>
              <w:t>)</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-0.14 (-0.47,0.35</w:t>
            </w:r>
            <w:r w:rsidRPr="0001242C">
              <w:rPr>
                <w:rFonts w:cs="LMRoman10-Regular"/>
                <w:sz w:val="20"/>
                <w:szCs w:val="20"/>
              </w:rPr>
              <w:t>)</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0.95 (0.90</w:t>
            </w:r>
            <w:r w:rsidRPr="0001242C">
              <w:rPr>
                <w:rFonts w:cs="LMRoman10-Regular"/>
                <w:sz w:val="20"/>
                <w:szCs w:val="20"/>
              </w:rPr>
              <w:t>,0.98)</w:t>
            </w:r>
          </w:p>
        </w:tc>
        <w:tc>
          <w:tcPr>
            <w:tcW w:w="0" w:type="auto"/>
          </w:tcPr>
          <w:p w:rsidR="00D51AC1" w:rsidRPr="0001242C" w:rsidRDefault="00D51AC1" w:rsidP="00896F22">
            <w:pPr>
              <w:tabs>
                <w:tab w:val="left" w:pos="965"/>
              </w:tabs>
              <w:autoSpaceDE w:val="0"/>
              <w:autoSpaceDN w:val="0"/>
              <w:adjustRightInd w:val="0"/>
              <w:jc w:val="right"/>
              <w:rPr>
                <w:rFonts w:cs="LMRoman12-Regular"/>
                <w:sz w:val="20"/>
                <w:szCs w:val="20"/>
              </w:rPr>
            </w:pPr>
            <w:r>
              <w:rPr>
                <w:rFonts w:cs="LMRoman10-Regular"/>
                <w:sz w:val="20"/>
                <w:szCs w:val="20"/>
              </w:rPr>
              <w:t>0.96 (0.91</w:t>
            </w:r>
            <w:r w:rsidRPr="0001242C">
              <w:rPr>
                <w:rFonts w:cs="LMRoman10-Regular"/>
                <w:sz w:val="20"/>
                <w:szCs w:val="20"/>
              </w:rPr>
              <w:t>,0.99)</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0.91 (0.86</w:t>
            </w:r>
            <w:r w:rsidRPr="0001242C">
              <w:rPr>
                <w:rFonts w:cs="LMRoman10-Regular"/>
                <w:sz w:val="20"/>
                <w:szCs w:val="20"/>
              </w:rPr>
              <w:t>,0.97)</w:t>
            </w:r>
          </w:p>
        </w:tc>
      </w:tr>
      <w:tr w:rsidR="00D51AC1" w:rsidRPr="0001242C" w:rsidTr="00896F22">
        <w:tc>
          <w:tcPr>
            <w:tcW w:w="0" w:type="auto"/>
          </w:tcPr>
          <w:p w:rsidR="00D51AC1" w:rsidRPr="0001242C" w:rsidRDefault="00D51AC1" w:rsidP="00896F22">
            <w:pPr>
              <w:autoSpaceDE w:val="0"/>
              <w:autoSpaceDN w:val="0"/>
              <w:adjustRightInd w:val="0"/>
              <w:jc w:val="right"/>
              <w:rPr>
                <w:rFonts w:cs="LMRoman12-Regular"/>
                <w:sz w:val="20"/>
                <w:szCs w:val="20"/>
              </w:rPr>
            </w:pPr>
            <w:r w:rsidRPr="0001242C">
              <w:rPr>
                <w:rFonts w:cs="LMRoman12-Regular"/>
                <w:sz w:val="20"/>
                <w:szCs w:val="20"/>
              </w:rPr>
              <w:t>KAROLA</w:t>
            </w:r>
          </w:p>
        </w:tc>
        <w:tc>
          <w:tcPr>
            <w:tcW w:w="0" w:type="auto"/>
          </w:tcPr>
          <w:p w:rsidR="00D51AC1" w:rsidRPr="0001242C" w:rsidRDefault="00D51AC1" w:rsidP="00896F22">
            <w:pPr>
              <w:autoSpaceDE w:val="0"/>
              <w:autoSpaceDN w:val="0"/>
              <w:adjustRightInd w:val="0"/>
              <w:jc w:val="right"/>
              <w:rPr>
                <w:rFonts w:cs="LMRoman12-Regular"/>
                <w:sz w:val="20"/>
                <w:szCs w:val="20"/>
              </w:rPr>
            </w:pPr>
            <w:r w:rsidRPr="0001242C">
              <w:rPr>
                <w:rFonts w:cs="LMRoman12-Regular"/>
                <w:sz w:val="20"/>
                <w:szCs w:val="20"/>
              </w:rPr>
              <w:t>CELL-DYN</w:t>
            </w:r>
          </w:p>
        </w:tc>
        <w:tc>
          <w:tcPr>
            <w:tcW w:w="0" w:type="auto"/>
          </w:tcPr>
          <w:p w:rsidR="00D51AC1" w:rsidRPr="0001242C" w:rsidRDefault="00D51AC1" w:rsidP="00896F22">
            <w:pPr>
              <w:autoSpaceDE w:val="0"/>
              <w:autoSpaceDN w:val="0"/>
              <w:adjustRightInd w:val="0"/>
              <w:jc w:val="right"/>
              <w:rPr>
                <w:rFonts w:cs="LMRoman12-Regular"/>
                <w:sz w:val="20"/>
                <w:szCs w:val="20"/>
              </w:rPr>
            </w:pPr>
            <w:r w:rsidRPr="0001242C">
              <w:rPr>
                <w:rFonts w:cs="LMRoman10-Regular"/>
                <w:sz w:val="20"/>
                <w:szCs w:val="20"/>
              </w:rPr>
              <w:t>0.94 (0.87,0.98)</w:t>
            </w:r>
          </w:p>
        </w:tc>
        <w:tc>
          <w:tcPr>
            <w:tcW w:w="0" w:type="auto"/>
          </w:tcPr>
          <w:p w:rsidR="00D51AC1" w:rsidRPr="0001242C" w:rsidRDefault="00D51AC1" w:rsidP="00896F22">
            <w:pPr>
              <w:autoSpaceDE w:val="0"/>
              <w:autoSpaceDN w:val="0"/>
              <w:adjustRightInd w:val="0"/>
              <w:jc w:val="right"/>
              <w:rPr>
                <w:rFonts w:cs="LMRoman12-Regular"/>
                <w:sz w:val="20"/>
                <w:szCs w:val="20"/>
              </w:rPr>
            </w:pPr>
            <w:r w:rsidRPr="0001242C">
              <w:rPr>
                <w:rFonts w:cs="LMRoman10-Regular"/>
                <w:sz w:val="20"/>
                <w:szCs w:val="20"/>
              </w:rPr>
              <w:t>0.95 (0.82,0.99)</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-0.08 (-0.50,0.42</w:t>
            </w:r>
            <w:r w:rsidRPr="0001242C">
              <w:rPr>
                <w:rFonts w:cs="LMRoman10-Regular"/>
                <w:sz w:val="20"/>
                <w:szCs w:val="20"/>
              </w:rPr>
              <w:t>)</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0.91 (0.80</w:t>
            </w:r>
            <w:r w:rsidRPr="0001242C">
              <w:rPr>
                <w:rFonts w:cs="LMRoman10-Regular"/>
                <w:sz w:val="20"/>
                <w:szCs w:val="20"/>
              </w:rPr>
              <w:t>,0.97)</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0.96 (0.89</w:t>
            </w:r>
            <w:r w:rsidRPr="0001242C">
              <w:rPr>
                <w:rFonts w:cs="LMRoman10-Regular"/>
                <w:sz w:val="20"/>
                <w:szCs w:val="20"/>
              </w:rPr>
              <w:t>,0.98)</w:t>
            </w:r>
          </w:p>
        </w:tc>
        <w:tc>
          <w:tcPr>
            <w:tcW w:w="0" w:type="auto"/>
          </w:tcPr>
          <w:p w:rsidR="00D51AC1" w:rsidRPr="0001242C" w:rsidRDefault="00D51AC1" w:rsidP="00896F22">
            <w:pPr>
              <w:autoSpaceDE w:val="0"/>
              <w:autoSpaceDN w:val="0"/>
              <w:adjustRightInd w:val="0"/>
              <w:jc w:val="right"/>
              <w:rPr>
                <w:rFonts w:cs="LMRoman12-Regular"/>
                <w:sz w:val="20"/>
                <w:szCs w:val="20"/>
              </w:rPr>
            </w:pPr>
            <w:r>
              <w:rPr>
                <w:rFonts w:cs="LMRoman10-Regular"/>
                <w:sz w:val="20"/>
                <w:szCs w:val="20"/>
              </w:rPr>
              <w:t>0.42 (0.06,0.74</w:t>
            </w:r>
            <w:r w:rsidRPr="0001242C">
              <w:rPr>
                <w:rFonts w:cs="LMRoman10-Regular"/>
                <w:sz w:val="20"/>
                <w:szCs w:val="20"/>
              </w:rPr>
              <w:t>)</w:t>
            </w:r>
          </w:p>
        </w:tc>
      </w:tr>
    </w:tbl>
    <w:p w:rsidR="00D51AC1" w:rsidRPr="0001242C" w:rsidRDefault="00D51AC1" w:rsidP="009821D2">
      <w:pPr>
        <w:autoSpaceDE w:val="0"/>
        <w:autoSpaceDN w:val="0"/>
        <w:adjustRightInd w:val="0"/>
        <w:spacing w:after="0" w:line="240" w:lineRule="auto"/>
        <w:rPr>
          <w:rFonts w:cs="LMRoman12-Regular"/>
          <w:sz w:val="20"/>
          <w:szCs w:val="20"/>
        </w:rPr>
      </w:pPr>
      <w:proofErr w:type="gramStart"/>
      <w:r w:rsidRPr="0001242C">
        <w:rPr>
          <w:rFonts w:cs="LMRoman12-Regular"/>
          <w:sz w:val="20"/>
          <w:szCs w:val="20"/>
        </w:rPr>
        <w:t>Pearson correlation coefficients (with 95% confidence intervals) between measured and estimated cell proportions from our custom model stratified by cell counting device.</w:t>
      </w:r>
      <w:proofErr w:type="gramEnd"/>
      <w:r w:rsidRPr="0001242C">
        <w:rPr>
          <w:rFonts w:cs="LMRoman12-Regular"/>
          <w:sz w:val="20"/>
          <w:szCs w:val="20"/>
        </w:rPr>
        <w:t xml:space="preserve"> Correlations for GR are obtained by collapsing proportions of NE, EO and BA into one composite cell type. Abbreviated cell types: NE neutrophils, EO eosinophils, BA basophils, GR granulocytes, LY lymphocytes, MO monocytes.</w:t>
      </w:r>
    </w:p>
    <w:p w:rsidR="00D51AC1" w:rsidRDefault="00D51AC1" w:rsidP="009821D2"/>
    <w:p w:rsidR="00D51AC1" w:rsidRDefault="00D51AC1" w:rsidP="009821D2">
      <w:pPr>
        <w:sectPr w:rsidR="00D51AC1" w:rsidSect="009821D2">
          <w:pgSz w:w="15840" w:h="12240" w:orient="landscape"/>
          <w:pgMar w:top="1418" w:right="1418" w:bottom="1418" w:left="1134" w:header="709" w:footer="709" w:gutter="0"/>
          <w:cols w:space="708"/>
          <w:docGrid w:linePitch="360"/>
        </w:sectPr>
      </w:pPr>
    </w:p>
    <w:p w:rsidR="00D51AC1" w:rsidRPr="0001242C" w:rsidRDefault="00D51AC1" w:rsidP="009821D2">
      <w:pPr>
        <w:pStyle w:val="Caption"/>
        <w:keepNext/>
        <w:rPr>
          <w:sz w:val="22"/>
          <w:szCs w:val="22"/>
        </w:rPr>
      </w:pPr>
      <w:r w:rsidRPr="0001242C">
        <w:rPr>
          <w:sz w:val="22"/>
          <w:szCs w:val="22"/>
        </w:rPr>
        <w:lastRenderedPageBreak/>
        <w:t xml:space="preserve">Table </w:t>
      </w:r>
      <w:r w:rsidRPr="0001242C">
        <w:rPr>
          <w:sz w:val="22"/>
          <w:szCs w:val="22"/>
        </w:rPr>
        <w:fldChar w:fldCharType="begin"/>
      </w:r>
      <w:r w:rsidRPr="0001242C">
        <w:rPr>
          <w:sz w:val="22"/>
          <w:szCs w:val="22"/>
        </w:rPr>
        <w:instrText xml:space="preserve"> SEQ Table \* ARABIC </w:instrText>
      </w:r>
      <w:r w:rsidRPr="0001242C">
        <w:rPr>
          <w:sz w:val="22"/>
          <w:szCs w:val="22"/>
        </w:rPr>
        <w:fldChar w:fldCharType="separate"/>
      </w:r>
      <w:r>
        <w:rPr>
          <w:noProof/>
          <w:sz w:val="22"/>
          <w:szCs w:val="22"/>
        </w:rPr>
        <w:t>3</w:t>
      </w:r>
      <w:r w:rsidRPr="0001242C">
        <w:rPr>
          <w:sz w:val="22"/>
          <w:szCs w:val="22"/>
        </w:rPr>
        <w:fldChar w:fldCharType="end"/>
      </w:r>
      <w:r w:rsidRPr="0001242C">
        <w:rPr>
          <w:sz w:val="22"/>
          <w:szCs w:val="22"/>
        </w:rPr>
        <w:t xml:space="preserve">  Pearson correlation coefficients between measured and estimated cell proportions from the </w:t>
      </w:r>
      <w:r>
        <w:rPr>
          <w:sz w:val="22"/>
          <w:szCs w:val="22"/>
        </w:rPr>
        <w:t>Koestler</w:t>
      </w:r>
      <w:r w:rsidRPr="0001242C">
        <w:rPr>
          <w:sz w:val="22"/>
          <w:szCs w:val="22"/>
        </w:rPr>
        <w:t xml:space="preserve"> model.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9"/>
        <w:gridCol w:w="1078"/>
        <w:gridCol w:w="1625"/>
        <w:gridCol w:w="1625"/>
        <w:gridCol w:w="1625"/>
      </w:tblGrid>
      <w:tr w:rsidR="00D51AC1" w:rsidRPr="0001242C" w:rsidTr="009821D2">
        <w:tc>
          <w:tcPr>
            <w:tcW w:w="0" w:type="auto"/>
            <w:tcBorders>
              <w:top w:val="single" w:sz="4" w:space="0" w:color="auto"/>
              <w:bottom w:val="single" w:sz="4" w:space="0" w:color="auto"/>
            </w:tcBorders>
          </w:tcPr>
          <w:p w:rsidR="00D51AC1" w:rsidRPr="0001242C" w:rsidRDefault="00D51AC1" w:rsidP="001E4C6E">
            <w:pPr>
              <w:autoSpaceDE w:val="0"/>
              <w:autoSpaceDN w:val="0"/>
              <w:adjustRightInd w:val="0"/>
              <w:jc w:val="center"/>
              <w:rPr>
                <w:rFonts w:cs="LMRoman12-Regular"/>
                <w:b/>
              </w:rPr>
            </w:pPr>
            <w:r w:rsidRPr="0001242C">
              <w:rPr>
                <w:rFonts w:cs="LMRoman12-Regular"/>
                <w:b/>
              </w:rPr>
              <w:t>Study population</w:t>
            </w:r>
          </w:p>
        </w:tc>
        <w:tc>
          <w:tcPr>
            <w:tcW w:w="0" w:type="auto"/>
            <w:tcBorders>
              <w:top w:val="single" w:sz="4" w:space="0" w:color="auto"/>
              <w:bottom w:val="single" w:sz="4" w:space="0" w:color="auto"/>
            </w:tcBorders>
          </w:tcPr>
          <w:p w:rsidR="00D51AC1" w:rsidRPr="0001242C" w:rsidRDefault="00D51AC1" w:rsidP="001E4C6E">
            <w:pPr>
              <w:autoSpaceDE w:val="0"/>
              <w:autoSpaceDN w:val="0"/>
              <w:adjustRightInd w:val="0"/>
              <w:jc w:val="center"/>
              <w:rPr>
                <w:rFonts w:cs="LMRoman12-Regular"/>
                <w:b/>
              </w:rPr>
            </w:pPr>
            <w:r w:rsidRPr="0001242C">
              <w:rPr>
                <w:rFonts w:cs="LMRoman12-Regular"/>
                <w:b/>
              </w:rPr>
              <w:t>Device</w:t>
            </w:r>
          </w:p>
        </w:tc>
        <w:tc>
          <w:tcPr>
            <w:tcW w:w="0" w:type="auto"/>
            <w:tcBorders>
              <w:top w:val="single" w:sz="4" w:space="0" w:color="auto"/>
              <w:bottom w:val="single" w:sz="4" w:space="0" w:color="auto"/>
            </w:tcBorders>
          </w:tcPr>
          <w:p w:rsidR="00D51AC1" w:rsidRPr="0001242C" w:rsidRDefault="00D51AC1" w:rsidP="009821D2">
            <w:pPr>
              <w:jc w:val="center"/>
              <w:rPr>
                <w:b/>
              </w:rPr>
            </w:pPr>
            <w:r w:rsidRPr="0001242C">
              <w:rPr>
                <w:b/>
              </w:rPr>
              <w:t>GR</w:t>
            </w:r>
          </w:p>
        </w:tc>
        <w:tc>
          <w:tcPr>
            <w:tcW w:w="0" w:type="auto"/>
            <w:tcBorders>
              <w:top w:val="single" w:sz="4" w:space="0" w:color="auto"/>
              <w:bottom w:val="single" w:sz="4" w:space="0" w:color="auto"/>
            </w:tcBorders>
          </w:tcPr>
          <w:p w:rsidR="00D51AC1" w:rsidRPr="0001242C" w:rsidRDefault="00D51AC1" w:rsidP="009821D2">
            <w:pPr>
              <w:jc w:val="center"/>
              <w:rPr>
                <w:b/>
              </w:rPr>
            </w:pPr>
            <w:r w:rsidRPr="0001242C">
              <w:rPr>
                <w:b/>
              </w:rPr>
              <w:t>LY</w:t>
            </w:r>
          </w:p>
        </w:tc>
        <w:tc>
          <w:tcPr>
            <w:tcW w:w="0" w:type="auto"/>
            <w:tcBorders>
              <w:top w:val="single" w:sz="4" w:space="0" w:color="auto"/>
              <w:bottom w:val="single" w:sz="4" w:space="0" w:color="auto"/>
            </w:tcBorders>
          </w:tcPr>
          <w:p w:rsidR="00D51AC1" w:rsidRPr="0001242C" w:rsidRDefault="00D51AC1" w:rsidP="009821D2">
            <w:pPr>
              <w:jc w:val="center"/>
              <w:rPr>
                <w:b/>
              </w:rPr>
            </w:pPr>
            <w:r w:rsidRPr="0001242C">
              <w:rPr>
                <w:b/>
              </w:rPr>
              <w:t>MO</w:t>
            </w:r>
          </w:p>
        </w:tc>
      </w:tr>
      <w:tr w:rsidR="00D51AC1" w:rsidRPr="0001242C" w:rsidTr="009821D2">
        <w:tc>
          <w:tcPr>
            <w:tcW w:w="0" w:type="auto"/>
            <w:tcBorders>
              <w:top w:val="single" w:sz="4" w:space="0" w:color="auto"/>
            </w:tcBorders>
          </w:tcPr>
          <w:p w:rsidR="00D51AC1" w:rsidRPr="0001242C" w:rsidRDefault="00D51AC1" w:rsidP="001E4C6E">
            <w:pPr>
              <w:autoSpaceDE w:val="0"/>
              <w:autoSpaceDN w:val="0"/>
              <w:adjustRightInd w:val="0"/>
              <w:jc w:val="right"/>
              <w:rPr>
                <w:rFonts w:cs="LMRoman12-Regular"/>
              </w:rPr>
            </w:pPr>
            <w:r w:rsidRPr="0001242C">
              <w:rPr>
                <w:rFonts w:cs="LMRoman12-Regular"/>
              </w:rPr>
              <w:t>LOLIPOP</w:t>
            </w:r>
          </w:p>
        </w:tc>
        <w:tc>
          <w:tcPr>
            <w:tcW w:w="0" w:type="auto"/>
            <w:tcBorders>
              <w:top w:val="single" w:sz="4" w:space="0" w:color="auto"/>
            </w:tcBorders>
          </w:tcPr>
          <w:p w:rsidR="00D51AC1" w:rsidRPr="0001242C" w:rsidRDefault="00D51AC1" w:rsidP="001E4C6E">
            <w:pPr>
              <w:autoSpaceDE w:val="0"/>
              <w:autoSpaceDN w:val="0"/>
              <w:adjustRightInd w:val="0"/>
              <w:jc w:val="right"/>
              <w:rPr>
                <w:rFonts w:cs="LMRoman12-Regular"/>
              </w:rPr>
            </w:pPr>
            <w:r w:rsidRPr="0001242C">
              <w:rPr>
                <w:rFonts w:cs="LMRoman12-Regular"/>
              </w:rPr>
              <w:t>XE-2100</w:t>
            </w:r>
          </w:p>
        </w:tc>
        <w:tc>
          <w:tcPr>
            <w:tcW w:w="0" w:type="auto"/>
            <w:tcBorders>
              <w:top w:val="single" w:sz="4" w:space="0" w:color="auto"/>
            </w:tcBorders>
          </w:tcPr>
          <w:p w:rsidR="00D51AC1" w:rsidRPr="0001242C" w:rsidRDefault="00D51AC1" w:rsidP="009821D2">
            <w:pPr>
              <w:jc w:val="right"/>
            </w:pPr>
            <w:r w:rsidRPr="0001242C">
              <w:rPr>
                <w:rFonts w:cs="LMRoman12-Regular"/>
              </w:rPr>
              <w:t>0.85 (0.83,0.87)</w:t>
            </w:r>
          </w:p>
        </w:tc>
        <w:tc>
          <w:tcPr>
            <w:tcW w:w="0" w:type="auto"/>
            <w:tcBorders>
              <w:top w:val="single" w:sz="4" w:space="0" w:color="auto"/>
            </w:tcBorders>
          </w:tcPr>
          <w:p w:rsidR="00D51AC1" w:rsidRPr="0001242C" w:rsidRDefault="00D51AC1" w:rsidP="009821D2">
            <w:pPr>
              <w:jc w:val="right"/>
            </w:pPr>
            <w:r w:rsidRPr="0001242C">
              <w:rPr>
                <w:rFonts w:cs="LMRoman12-Regular"/>
              </w:rPr>
              <w:t>0.8</w:t>
            </w:r>
            <w:r>
              <w:rPr>
                <w:rFonts w:cs="LMRoman12-Regular"/>
              </w:rPr>
              <w:t>5 (0.83,0.87</w:t>
            </w:r>
            <w:r w:rsidRPr="0001242C">
              <w:rPr>
                <w:rFonts w:cs="LMRoman12-Regular"/>
              </w:rPr>
              <w:t>)</w:t>
            </w:r>
          </w:p>
        </w:tc>
        <w:tc>
          <w:tcPr>
            <w:tcW w:w="0" w:type="auto"/>
            <w:tcBorders>
              <w:top w:val="single" w:sz="4" w:space="0" w:color="auto"/>
            </w:tcBorders>
          </w:tcPr>
          <w:p w:rsidR="00D51AC1" w:rsidRPr="0001242C" w:rsidRDefault="00D51AC1" w:rsidP="009821D2">
            <w:pPr>
              <w:jc w:val="right"/>
            </w:pPr>
            <w:r>
              <w:rPr>
                <w:rFonts w:cs="LMRoman12-Regular"/>
              </w:rPr>
              <w:t>0.50 (0.46</w:t>
            </w:r>
            <w:r w:rsidRPr="0001242C">
              <w:rPr>
                <w:rFonts w:cs="LMRoman12-Regular"/>
              </w:rPr>
              <w:t>,0.54)</w:t>
            </w:r>
          </w:p>
        </w:tc>
      </w:tr>
      <w:tr w:rsidR="00D51AC1" w:rsidRPr="0001242C" w:rsidTr="009821D2">
        <w:tc>
          <w:tcPr>
            <w:tcW w:w="0" w:type="auto"/>
          </w:tcPr>
          <w:p w:rsidR="00D51AC1" w:rsidRPr="0001242C" w:rsidRDefault="00D51AC1" w:rsidP="001E4C6E">
            <w:pPr>
              <w:autoSpaceDE w:val="0"/>
              <w:autoSpaceDN w:val="0"/>
              <w:adjustRightInd w:val="0"/>
              <w:jc w:val="right"/>
              <w:rPr>
                <w:rFonts w:cs="LMRoman12-Regular"/>
              </w:rPr>
            </w:pPr>
            <w:r w:rsidRPr="0001242C">
              <w:rPr>
                <w:rFonts w:cs="LMRoman12-Regular"/>
              </w:rPr>
              <w:t>KAROLA</w:t>
            </w:r>
          </w:p>
        </w:tc>
        <w:tc>
          <w:tcPr>
            <w:tcW w:w="0" w:type="auto"/>
          </w:tcPr>
          <w:p w:rsidR="00D51AC1" w:rsidRPr="0001242C" w:rsidRDefault="00D51AC1" w:rsidP="001E4C6E">
            <w:pPr>
              <w:autoSpaceDE w:val="0"/>
              <w:autoSpaceDN w:val="0"/>
              <w:adjustRightInd w:val="0"/>
              <w:jc w:val="right"/>
              <w:rPr>
                <w:rFonts w:cs="LMRoman12-Regular"/>
              </w:rPr>
            </w:pPr>
            <w:r w:rsidRPr="0001242C">
              <w:rPr>
                <w:rFonts w:cs="LMRoman12-Regular"/>
              </w:rPr>
              <w:t>LH 750</w:t>
            </w:r>
          </w:p>
        </w:tc>
        <w:tc>
          <w:tcPr>
            <w:tcW w:w="0" w:type="auto"/>
          </w:tcPr>
          <w:p w:rsidR="00D51AC1" w:rsidRPr="0001242C" w:rsidRDefault="00D51AC1" w:rsidP="009821D2">
            <w:pPr>
              <w:jc w:val="right"/>
            </w:pPr>
            <w:r w:rsidRPr="0001242C">
              <w:rPr>
                <w:rFonts w:cs="LMRoman12-Regular"/>
              </w:rPr>
              <w:t>0.96 (0.88,0.99)</w:t>
            </w:r>
          </w:p>
        </w:tc>
        <w:tc>
          <w:tcPr>
            <w:tcW w:w="0" w:type="auto"/>
          </w:tcPr>
          <w:p w:rsidR="00D51AC1" w:rsidRPr="0001242C" w:rsidRDefault="00D51AC1" w:rsidP="009821D2">
            <w:pPr>
              <w:jc w:val="right"/>
            </w:pPr>
            <w:r>
              <w:rPr>
                <w:rFonts w:cs="LMRoman12-Regular"/>
              </w:rPr>
              <w:t>0.96 (0.89</w:t>
            </w:r>
            <w:r w:rsidRPr="0001242C">
              <w:rPr>
                <w:rFonts w:cs="LMRoman12-Regular"/>
              </w:rPr>
              <w:t>,0.99)</w:t>
            </w:r>
          </w:p>
        </w:tc>
        <w:tc>
          <w:tcPr>
            <w:tcW w:w="0" w:type="auto"/>
          </w:tcPr>
          <w:p w:rsidR="00D51AC1" w:rsidRPr="0001242C" w:rsidRDefault="00D51AC1" w:rsidP="009821D2">
            <w:pPr>
              <w:jc w:val="right"/>
            </w:pPr>
            <w:r>
              <w:rPr>
                <w:rFonts w:cs="LMRoman12-Regular"/>
              </w:rPr>
              <w:t>0.91 (0.64,0.97</w:t>
            </w:r>
            <w:r w:rsidRPr="0001242C">
              <w:rPr>
                <w:rFonts w:cs="LMRoman12-Regular"/>
              </w:rPr>
              <w:t>)</w:t>
            </w:r>
          </w:p>
        </w:tc>
      </w:tr>
      <w:tr w:rsidR="00D51AC1" w:rsidRPr="0001242C" w:rsidTr="009821D2">
        <w:tc>
          <w:tcPr>
            <w:tcW w:w="0" w:type="auto"/>
          </w:tcPr>
          <w:p w:rsidR="00D51AC1" w:rsidRPr="0001242C" w:rsidRDefault="00D51AC1" w:rsidP="001E4C6E">
            <w:pPr>
              <w:autoSpaceDE w:val="0"/>
              <w:autoSpaceDN w:val="0"/>
              <w:adjustRightInd w:val="0"/>
              <w:jc w:val="right"/>
              <w:rPr>
                <w:rFonts w:cs="LMRoman12-Regular"/>
              </w:rPr>
            </w:pPr>
            <w:r w:rsidRPr="0001242C">
              <w:rPr>
                <w:rFonts w:cs="LMRoman12-Regular"/>
              </w:rPr>
              <w:t>KAROLA</w:t>
            </w:r>
          </w:p>
        </w:tc>
        <w:tc>
          <w:tcPr>
            <w:tcW w:w="0" w:type="auto"/>
          </w:tcPr>
          <w:p w:rsidR="00D51AC1" w:rsidRPr="0001242C" w:rsidRDefault="00D51AC1" w:rsidP="001E4C6E">
            <w:pPr>
              <w:autoSpaceDE w:val="0"/>
              <w:autoSpaceDN w:val="0"/>
              <w:adjustRightInd w:val="0"/>
              <w:jc w:val="right"/>
              <w:rPr>
                <w:rFonts w:cs="LMRoman12-Regular"/>
              </w:rPr>
            </w:pPr>
            <w:r w:rsidRPr="0001242C">
              <w:rPr>
                <w:rFonts w:cs="LMRoman12-Regular"/>
              </w:rPr>
              <w:t>CELL-DYN</w:t>
            </w:r>
          </w:p>
        </w:tc>
        <w:tc>
          <w:tcPr>
            <w:tcW w:w="0" w:type="auto"/>
          </w:tcPr>
          <w:p w:rsidR="00D51AC1" w:rsidRPr="0001242C" w:rsidRDefault="00D51AC1" w:rsidP="009821D2">
            <w:pPr>
              <w:jc w:val="right"/>
            </w:pPr>
            <w:r>
              <w:rPr>
                <w:rFonts w:cs="LMRoman12-Regular"/>
              </w:rPr>
              <w:t>0.97 (0.93</w:t>
            </w:r>
            <w:r w:rsidRPr="0001242C">
              <w:rPr>
                <w:rFonts w:cs="LMRoman12-Regular"/>
              </w:rPr>
              <w:t>,0.99)</w:t>
            </w:r>
          </w:p>
        </w:tc>
        <w:tc>
          <w:tcPr>
            <w:tcW w:w="0" w:type="auto"/>
          </w:tcPr>
          <w:p w:rsidR="00D51AC1" w:rsidRPr="0001242C" w:rsidRDefault="00D51AC1" w:rsidP="009821D2">
            <w:pPr>
              <w:jc w:val="right"/>
            </w:pPr>
            <w:r w:rsidRPr="0001242C">
              <w:rPr>
                <w:rFonts w:cs="LMRoman12-Regular"/>
              </w:rPr>
              <w:t>0.97 (0.9</w:t>
            </w:r>
            <w:r>
              <w:rPr>
                <w:rFonts w:cs="LMRoman12-Regular"/>
              </w:rPr>
              <w:t>4</w:t>
            </w:r>
            <w:r w:rsidRPr="0001242C">
              <w:rPr>
                <w:rFonts w:cs="LMRoman12-Regular"/>
              </w:rPr>
              <w:t>,0.99)</w:t>
            </w:r>
          </w:p>
        </w:tc>
        <w:tc>
          <w:tcPr>
            <w:tcW w:w="0" w:type="auto"/>
          </w:tcPr>
          <w:p w:rsidR="00D51AC1" w:rsidRPr="0001242C" w:rsidRDefault="00D51AC1" w:rsidP="009821D2">
            <w:pPr>
              <w:jc w:val="right"/>
            </w:pPr>
            <w:r>
              <w:rPr>
                <w:rFonts w:cs="LMRoman12-Regular"/>
              </w:rPr>
              <w:t>0.69 (0.26,0.87</w:t>
            </w:r>
            <w:r w:rsidRPr="0001242C">
              <w:rPr>
                <w:rFonts w:cs="LMRoman12-Regular"/>
              </w:rPr>
              <w:t>)</w:t>
            </w:r>
          </w:p>
        </w:tc>
      </w:tr>
    </w:tbl>
    <w:p w:rsidR="00D51AC1" w:rsidRPr="0001242C" w:rsidRDefault="00D51AC1">
      <w:proofErr w:type="gramStart"/>
      <w:r w:rsidRPr="0001242C">
        <w:t xml:space="preserve">Pearson correlation coefficients (with 95% confidence intervals) between measured and estimated cell proportions from </w:t>
      </w:r>
      <w:r w:rsidRPr="004F57AA">
        <w:t>the Koestler</w:t>
      </w:r>
      <w:r w:rsidRPr="0001242C">
        <w:t xml:space="preserve"> model stratified by cell counting device.</w:t>
      </w:r>
      <w:proofErr w:type="gramEnd"/>
      <w:r w:rsidRPr="0001242C">
        <w:t xml:space="preserve"> Abbreviated cell types: GR granulocytes, LY lymphocytes, MO monocytes.</w:t>
      </w:r>
    </w:p>
    <w:p w:rsidR="00D51AC1" w:rsidRDefault="00D51AC1"/>
    <w:p w:rsidR="00D51AC1" w:rsidRDefault="00D51AC1">
      <w:pPr>
        <w:sectPr w:rsidR="00D51AC1" w:rsidSect="0001242C">
          <w:pgSz w:w="12240" w:h="15840"/>
          <w:pgMar w:top="1418" w:right="1418" w:bottom="1134" w:left="1418" w:header="709" w:footer="709" w:gutter="0"/>
          <w:cols w:space="708"/>
          <w:docGrid w:linePitch="360"/>
        </w:sectPr>
      </w:pPr>
    </w:p>
    <w:p w:rsidR="00D51AC1" w:rsidRPr="0001242C" w:rsidRDefault="00D51AC1" w:rsidP="0001242C">
      <w:pPr>
        <w:pStyle w:val="Caption"/>
        <w:keepNext/>
        <w:rPr>
          <w:sz w:val="20"/>
          <w:szCs w:val="20"/>
        </w:rPr>
      </w:pPr>
      <w:proofErr w:type="gramStart"/>
      <w:r w:rsidRPr="0001242C">
        <w:rPr>
          <w:sz w:val="20"/>
          <w:szCs w:val="20"/>
        </w:rPr>
        <w:lastRenderedPageBreak/>
        <w:t>Table S</w:t>
      </w:r>
      <w:r w:rsidRPr="0001242C">
        <w:rPr>
          <w:sz w:val="20"/>
          <w:szCs w:val="20"/>
        </w:rPr>
        <w:fldChar w:fldCharType="begin"/>
      </w:r>
      <w:r w:rsidRPr="0001242C">
        <w:rPr>
          <w:sz w:val="20"/>
          <w:szCs w:val="20"/>
        </w:rPr>
        <w:instrText xml:space="preserve"> SEQ Table_S \* ARABIC </w:instrText>
      </w:r>
      <w:r w:rsidRPr="0001242C">
        <w:rPr>
          <w:sz w:val="20"/>
          <w:szCs w:val="20"/>
        </w:rPr>
        <w:fldChar w:fldCharType="separate"/>
      </w:r>
      <w:r>
        <w:rPr>
          <w:noProof/>
          <w:sz w:val="20"/>
          <w:szCs w:val="20"/>
        </w:rPr>
        <w:t>1</w:t>
      </w:r>
      <w:r w:rsidRPr="0001242C">
        <w:rPr>
          <w:sz w:val="20"/>
          <w:szCs w:val="20"/>
        </w:rPr>
        <w:fldChar w:fldCharType="end"/>
      </w:r>
      <w:r w:rsidRPr="0001242C">
        <w:rPr>
          <w:sz w:val="20"/>
          <w:szCs w:val="20"/>
        </w:rPr>
        <w:t xml:space="preserve">  Pearson correlation coefficients between measured and estimated cell proportions based on a model using 100 markers for each cell type.</w:t>
      </w:r>
      <w:proofErr w:type="gramEnd"/>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000"/>
        <w:gridCol w:w="1497"/>
        <w:gridCol w:w="1558"/>
        <w:gridCol w:w="1619"/>
        <w:gridCol w:w="1497"/>
        <w:gridCol w:w="1497"/>
        <w:gridCol w:w="1497"/>
      </w:tblGrid>
      <w:tr w:rsidR="00D51AC1" w:rsidRPr="0001242C" w:rsidTr="003A244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Study population</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Device</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NE</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EO</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BA</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GR</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LY</w:t>
            </w:r>
          </w:p>
        </w:tc>
        <w:tc>
          <w:tcPr>
            <w:tcW w:w="0" w:type="auto"/>
            <w:tcBorders>
              <w:top w:val="single" w:sz="4" w:space="0" w:color="auto"/>
              <w:bottom w:val="single" w:sz="4" w:space="0" w:color="auto"/>
            </w:tcBorders>
          </w:tcPr>
          <w:p w:rsidR="00D51AC1" w:rsidRPr="0001242C" w:rsidRDefault="00D51AC1" w:rsidP="003A244C">
            <w:pPr>
              <w:autoSpaceDE w:val="0"/>
              <w:autoSpaceDN w:val="0"/>
              <w:adjustRightInd w:val="0"/>
              <w:jc w:val="center"/>
              <w:rPr>
                <w:rFonts w:cs="LMRoman12-Regular"/>
                <w:b/>
                <w:sz w:val="20"/>
                <w:szCs w:val="20"/>
              </w:rPr>
            </w:pPr>
            <w:r w:rsidRPr="0001242C">
              <w:rPr>
                <w:rFonts w:cs="LMRoman12-Regular"/>
                <w:b/>
                <w:sz w:val="20"/>
                <w:szCs w:val="20"/>
              </w:rPr>
              <w:t>MO</w:t>
            </w:r>
          </w:p>
        </w:tc>
      </w:tr>
      <w:tr w:rsidR="00D51AC1" w:rsidRPr="0001242C" w:rsidTr="003A244C">
        <w:tc>
          <w:tcPr>
            <w:tcW w:w="0" w:type="auto"/>
            <w:tcBorders>
              <w:top w:val="single" w:sz="4" w:space="0" w:color="auto"/>
            </w:tcBorders>
          </w:tcPr>
          <w:p w:rsidR="00D51AC1" w:rsidRPr="0001242C" w:rsidRDefault="00D51AC1" w:rsidP="003A244C">
            <w:pPr>
              <w:autoSpaceDE w:val="0"/>
              <w:autoSpaceDN w:val="0"/>
              <w:adjustRightInd w:val="0"/>
              <w:jc w:val="right"/>
              <w:rPr>
                <w:rFonts w:cs="LMRoman12-Regular"/>
                <w:sz w:val="20"/>
                <w:szCs w:val="20"/>
              </w:rPr>
            </w:pPr>
            <w:r w:rsidRPr="0001242C">
              <w:rPr>
                <w:rFonts w:cs="LMRoman12-Regular"/>
                <w:sz w:val="20"/>
                <w:szCs w:val="20"/>
              </w:rPr>
              <w:t>LOLIPOP</w:t>
            </w:r>
          </w:p>
        </w:tc>
        <w:tc>
          <w:tcPr>
            <w:tcW w:w="0" w:type="auto"/>
            <w:tcBorders>
              <w:top w:val="single" w:sz="4" w:space="0" w:color="auto"/>
            </w:tcBorders>
          </w:tcPr>
          <w:p w:rsidR="00D51AC1" w:rsidRPr="0001242C" w:rsidRDefault="00D51AC1" w:rsidP="003A244C">
            <w:pPr>
              <w:autoSpaceDE w:val="0"/>
              <w:autoSpaceDN w:val="0"/>
              <w:adjustRightInd w:val="0"/>
              <w:jc w:val="right"/>
              <w:rPr>
                <w:rFonts w:cs="LMRoman12-Regular"/>
                <w:sz w:val="20"/>
                <w:szCs w:val="20"/>
              </w:rPr>
            </w:pPr>
            <w:r w:rsidRPr="0001242C">
              <w:rPr>
                <w:rFonts w:cs="LMRoman12-Regular"/>
                <w:sz w:val="20"/>
                <w:szCs w:val="20"/>
              </w:rPr>
              <w:t>XE-2100</w:t>
            </w:r>
          </w:p>
        </w:tc>
        <w:tc>
          <w:tcPr>
            <w:tcW w:w="0" w:type="auto"/>
            <w:tcBorders>
              <w:top w:val="single" w:sz="4" w:space="0" w:color="auto"/>
            </w:tcBorders>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0.85 (0.83,0.86</w:t>
            </w:r>
            <w:r w:rsidRPr="00BC7068">
              <w:rPr>
                <w:rFonts w:cs="LMRoman10-Regular"/>
                <w:sz w:val="20"/>
                <w:szCs w:val="20"/>
              </w:rPr>
              <w:t>)</w:t>
            </w:r>
          </w:p>
        </w:tc>
        <w:tc>
          <w:tcPr>
            <w:tcW w:w="0" w:type="auto"/>
            <w:tcBorders>
              <w:top w:val="single" w:sz="4" w:space="0" w:color="auto"/>
            </w:tcBorders>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0.88 (0.87,0.90</w:t>
            </w:r>
            <w:r w:rsidRPr="00BC7068">
              <w:rPr>
                <w:rFonts w:cs="LMRoman10-Regular"/>
                <w:sz w:val="20"/>
                <w:szCs w:val="20"/>
              </w:rPr>
              <w:t>)</w:t>
            </w:r>
          </w:p>
        </w:tc>
        <w:tc>
          <w:tcPr>
            <w:tcW w:w="0" w:type="auto"/>
            <w:tcBorders>
              <w:top w:val="single" w:sz="4" w:space="0" w:color="auto"/>
            </w:tcBorders>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0.01 (-0.03,0.05</w:t>
            </w:r>
            <w:r w:rsidRPr="00BC7068">
              <w:rPr>
                <w:rFonts w:cs="LMRoman10-Regular"/>
                <w:sz w:val="20"/>
                <w:szCs w:val="20"/>
              </w:rPr>
              <w:t>)</w:t>
            </w:r>
          </w:p>
        </w:tc>
        <w:tc>
          <w:tcPr>
            <w:tcW w:w="0" w:type="auto"/>
            <w:tcBorders>
              <w:top w:val="single" w:sz="4" w:space="0" w:color="auto"/>
            </w:tcBorders>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0.84 (0.82,0.86</w:t>
            </w:r>
            <w:r w:rsidRPr="00BC7068">
              <w:rPr>
                <w:rFonts w:cs="LMRoman10-Regular"/>
                <w:sz w:val="20"/>
                <w:szCs w:val="20"/>
              </w:rPr>
              <w:t>)</w:t>
            </w:r>
          </w:p>
        </w:tc>
        <w:tc>
          <w:tcPr>
            <w:tcW w:w="0" w:type="auto"/>
            <w:tcBorders>
              <w:top w:val="single" w:sz="4" w:space="0" w:color="auto"/>
            </w:tcBorders>
          </w:tcPr>
          <w:p w:rsidR="00D51AC1" w:rsidRPr="00BC7068" w:rsidRDefault="00D51AC1" w:rsidP="003A244C">
            <w:pPr>
              <w:tabs>
                <w:tab w:val="left" w:pos="747"/>
              </w:tabs>
              <w:autoSpaceDE w:val="0"/>
              <w:autoSpaceDN w:val="0"/>
              <w:adjustRightInd w:val="0"/>
              <w:jc w:val="right"/>
              <w:rPr>
                <w:rFonts w:cs="LMRoman12-Regular"/>
                <w:sz w:val="20"/>
                <w:szCs w:val="20"/>
              </w:rPr>
            </w:pPr>
            <w:r>
              <w:rPr>
                <w:rFonts w:cs="LMRoman10-Regular"/>
                <w:sz w:val="20"/>
                <w:szCs w:val="20"/>
              </w:rPr>
              <w:t>0.85</w:t>
            </w:r>
            <w:r w:rsidRPr="00BC7068">
              <w:rPr>
                <w:rFonts w:cs="LMRoman10-Regular"/>
                <w:sz w:val="20"/>
                <w:szCs w:val="20"/>
              </w:rPr>
              <w:t xml:space="preserve"> (0.83,0.87)</w:t>
            </w:r>
          </w:p>
        </w:tc>
        <w:tc>
          <w:tcPr>
            <w:tcW w:w="0" w:type="auto"/>
            <w:tcBorders>
              <w:top w:val="single" w:sz="4" w:space="0" w:color="auto"/>
            </w:tcBorders>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0.39 (0.35,0.43</w:t>
            </w:r>
            <w:r w:rsidRPr="00BC7068">
              <w:rPr>
                <w:rFonts w:cs="LMRoman10-Regular"/>
                <w:sz w:val="20"/>
                <w:szCs w:val="20"/>
              </w:rPr>
              <w:t>)</w:t>
            </w:r>
          </w:p>
        </w:tc>
      </w:tr>
      <w:tr w:rsidR="00D51AC1" w:rsidRPr="0001242C" w:rsidTr="003A244C">
        <w:tc>
          <w:tcPr>
            <w:tcW w:w="0" w:type="auto"/>
          </w:tcPr>
          <w:p w:rsidR="00D51AC1" w:rsidRPr="0001242C" w:rsidRDefault="00D51AC1" w:rsidP="003A244C">
            <w:pPr>
              <w:autoSpaceDE w:val="0"/>
              <w:autoSpaceDN w:val="0"/>
              <w:adjustRightInd w:val="0"/>
              <w:jc w:val="right"/>
              <w:rPr>
                <w:rFonts w:cs="LMRoman12-Regular"/>
                <w:sz w:val="20"/>
                <w:szCs w:val="20"/>
              </w:rPr>
            </w:pPr>
            <w:r w:rsidRPr="0001242C">
              <w:rPr>
                <w:rFonts w:cs="LMRoman12-Regular"/>
                <w:sz w:val="20"/>
                <w:szCs w:val="20"/>
              </w:rPr>
              <w:t>KAROLA</w:t>
            </w:r>
          </w:p>
        </w:tc>
        <w:tc>
          <w:tcPr>
            <w:tcW w:w="0" w:type="auto"/>
          </w:tcPr>
          <w:p w:rsidR="00D51AC1" w:rsidRPr="0001242C" w:rsidRDefault="00D51AC1" w:rsidP="003A244C">
            <w:pPr>
              <w:autoSpaceDE w:val="0"/>
              <w:autoSpaceDN w:val="0"/>
              <w:adjustRightInd w:val="0"/>
              <w:jc w:val="right"/>
              <w:rPr>
                <w:rFonts w:cs="LMRoman12-Regular"/>
                <w:sz w:val="20"/>
                <w:szCs w:val="20"/>
              </w:rPr>
            </w:pPr>
            <w:r w:rsidRPr="0001242C">
              <w:rPr>
                <w:rFonts w:cs="LMRoman12-Regular"/>
                <w:sz w:val="20"/>
                <w:szCs w:val="20"/>
              </w:rPr>
              <w:t>LH 750</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0.90 (0.76,0.97</w:t>
            </w:r>
            <w:r w:rsidRPr="00BC7068">
              <w:rPr>
                <w:rFonts w:cs="LMRoman10-Regular"/>
                <w:sz w:val="20"/>
                <w:szCs w:val="20"/>
              </w:rPr>
              <w:t>)</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0.52</w:t>
            </w:r>
            <w:r w:rsidRPr="00BC7068">
              <w:rPr>
                <w:rFonts w:cs="LMRoman10-Regular"/>
                <w:sz w:val="20"/>
                <w:szCs w:val="20"/>
              </w:rPr>
              <w:t xml:space="preserve"> </w:t>
            </w:r>
            <w:r>
              <w:rPr>
                <w:rFonts w:cs="LMRoman10-Regular"/>
                <w:sz w:val="20"/>
                <w:szCs w:val="20"/>
              </w:rPr>
              <w:t>(-0.02,0.94</w:t>
            </w:r>
            <w:r w:rsidRPr="00BC7068">
              <w:rPr>
                <w:rFonts w:cs="LMRoman10-Regular"/>
                <w:sz w:val="20"/>
                <w:szCs w:val="20"/>
              </w:rPr>
              <w:t>)</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-0.25 (-0.66,0.02</w:t>
            </w:r>
            <w:r w:rsidRPr="00BC7068">
              <w:rPr>
                <w:rFonts w:cs="LMRoman10-Regular"/>
                <w:sz w:val="20"/>
                <w:szCs w:val="20"/>
              </w:rPr>
              <w:t>)</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0.96 (0.89,0.99</w:t>
            </w:r>
            <w:r w:rsidRPr="00BC7068">
              <w:rPr>
                <w:rFonts w:cs="LMRoman10-Regular"/>
                <w:sz w:val="20"/>
                <w:szCs w:val="20"/>
              </w:rPr>
              <w:t>)</w:t>
            </w:r>
          </w:p>
        </w:tc>
        <w:tc>
          <w:tcPr>
            <w:tcW w:w="0" w:type="auto"/>
          </w:tcPr>
          <w:p w:rsidR="00D51AC1" w:rsidRPr="00BC7068" w:rsidRDefault="00D51AC1" w:rsidP="003A244C">
            <w:pPr>
              <w:tabs>
                <w:tab w:val="left" w:pos="965"/>
              </w:tabs>
              <w:autoSpaceDE w:val="0"/>
              <w:autoSpaceDN w:val="0"/>
              <w:adjustRightInd w:val="0"/>
              <w:jc w:val="right"/>
              <w:rPr>
                <w:rFonts w:cs="LMRoman12-Regular"/>
                <w:sz w:val="20"/>
                <w:szCs w:val="20"/>
              </w:rPr>
            </w:pPr>
            <w:r>
              <w:rPr>
                <w:rFonts w:cs="LMRoman10-Regular"/>
                <w:sz w:val="20"/>
                <w:szCs w:val="20"/>
              </w:rPr>
              <w:t>0.96 (0.88</w:t>
            </w:r>
            <w:r w:rsidRPr="00BC7068">
              <w:rPr>
                <w:rFonts w:cs="LMRoman10-Regular"/>
                <w:sz w:val="20"/>
                <w:szCs w:val="20"/>
              </w:rPr>
              <w:t>,0.99)</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0.83 (0.65,0.94</w:t>
            </w:r>
            <w:r w:rsidRPr="00BC7068">
              <w:rPr>
                <w:rFonts w:cs="LMRoman10-Regular"/>
                <w:sz w:val="20"/>
                <w:szCs w:val="20"/>
              </w:rPr>
              <w:t>)</w:t>
            </w:r>
          </w:p>
        </w:tc>
      </w:tr>
      <w:tr w:rsidR="00D51AC1" w:rsidRPr="0001242C" w:rsidTr="003A244C">
        <w:tc>
          <w:tcPr>
            <w:tcW w:w="0" w:type="auto"/>
          </w:tcPr>
          <w:p w:rsidR="00D51AC1" w:rsidRPr="0001242C" w:rsidRDefault="00D51AC1" w:rsidP="003A244C">
            <w:pPr>
              <w:autoSpaceDE w:val="0"/>
              <w:autoSpaceDN w:val="0"/>
              <w:adjustRightInd w:val="0"/>
              <w:jc w:val="right"/>
              <w:rPr>
                <w:rFonts w:cs="LMRoman12-Regular"/>
                <w:sz w:val="20"/>
                <w:szCs w:val="20"/>
              </w:rPr>
            </w:pPr>
            <w:r w:rsidRPr="0001242C">
              <w:rPr>
                <w:rFonts w:cs="LMRoman12-Regular"/>
                <w:sz w:val="20"/>
                <w:szCs w:val="20"/>
              </w:rPr>
              <w:t>KAROLA</w:t>
            </w:r>
          </w:p>
        </w:tc>
        <w:tc>
          <w:tcPr>
            <w:tcW w:w="0" w:type="auto"/>
          </w:tcPr>
          <w:p w:rsidR="00D51AC1" w:rsidRPr="0001242C" w:rsidRDefault="00D51AC1" w:rsidP="003A244C">
            <w:pPr>
              <w:autoSpaceDE w:val="0"/>
              <w:autoSpaceDN w:val="0"/>
              <w:adjustRightInd w:val="0"/>
              <w:jc w:val="right"/>
              <w:rPr>
                <w:rFonts w:cs="LMRoman12-Regular"/>
                <w:sz w:val="20"/>
                <w:szCs w:val="20"/>
              </w:rPr>
            </w:pPr>
            <w:r w:rsidRPr="0001242C">
              <w:rPr>
                <w:rFonts w:cs="LMRoman12-Regular"/>
                <w:sz w:val="20"/>
                <w:szCs w:val="20"/>
              </w:rPr>
              <w:t>CELL-DYN</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0.98 (0.94</w:t>
            </w:r>
            <w:r w:rsidRPr="00BC7068">
              <w:rPr>
                <w:rFonts w:cs="LMRoman10-Regular"/>
                <w:sz w:val="20"/>
                <w:szCs w:val="20"/>
              </w:rPr>
              <w:t>,0.99)</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0.96 (0.87</w:t>
            </w:r>
            <w:r w:rsidRPr="00BC7068">
              <w:rPr>
                <w:rFonts w:cs="LMRoman10-Regular"/>
                <w:sz w:val="20"/>
                <w:szCs w:val="20"/>
              </w:rPr>
              <w:t>,0.99)</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-0.05 (-0.56,0.54</w:t>
            </w:r>
            <w:r w:rsidRPr="00BC7068">
              <w:rPr>
                <w:rFonts w:cs="LMRoman10-Regular"/>
                <w:sz w:val="20"/>
                <w:szCs w:val="20"/>
              </w:rPr>
              <w:t>)</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0.96 (0.88</w:t>
            </w:r>
            <w:r w:rsidRPr="00BC7068">
              <w:rPr>
                <w:rFonts w:cs="LMRoman10-Regular"/>
                <w:sz w:val="20"/>
                <w:szCs w:val="20"/>
              </w:rPr>
              <w:t>,0.99)</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0.97 (0.92</w:t>
            </w:r>
            <w:r w:rsidRPr="00BC7068">
              <w:rPr>
                <w:rFonts w:cs="LMRoman10-Regular"/>
                <w:sz w:val="20"/>
                <w:szCs w:val="20"/>
              </w:rPr>
              <w:t>,0.99)</w:t>
            </w:r>
          </w:p>
        </w:tc>
        <w:tc>
          <w:tcPr>
            <w:tcW w:w="0" w:type="auto"/>
          </w:tcPr>
          <w:p w:rsidR="00D51AC1" w:rsidRPr="00BC7068" w:rsidRDefault="00D51AC1" w:rsidP="003A244C">
            <w:pPr>
              <w:autoSpaceDE w:val="0"/>
              <w:autoSpaceDN w:val="0"/>
              <w:adjustRightInd w:val="0"/>
              <w:jc w:val="right"/>
              <w:rPr>
                <w:rFonts w:cs="LMRoman12-Regular"/>
                <w:sz w:val="20"/>
                <w:szCs w:val="20"/>
              </w:rPr>
            </w:pPr>
            <w:r>
              <w:rPr>
                <w:rFonts w:cs="LMRoman10-Regular"/>
                <w:sz w:val="20"/>
                <w:szCs w:val="20"/>
              </w:rPr>
              <w:t>0.81 (0.38,0.95</w:t>
            </w:r>
            <w:r w:rsidRPr="00BC7068">
              <w:rPr>
                <w:rFonts w:cs="LMRoman10-Regular"/>
                <w:sz w:val="20"/>
                <w:szCs w:val="20"/>
              </w:rPr>
              <w:t>)</w:t>
            </w:r>
          </w:p>
        </w:tc>
      </w:tr>
    </w:tbl>
    <w:p w:rsidR="00D51AC1" w:rsidRPr="00BC7068" w:rsidRDefault="00D51AC1" w:rsidP="00BC7068">
      <w:pPr>
        <w:autoSpaceDE w:val="0"/>
        <w:autoSpaceDN w:val="0"/>
        <w:adjustRightInd w:val="0"/>
        <w:spacing w:after="0" w:line="240" w:lineRule="auto"/>
        <w:rPr>
          <w:rFonts w:cs="LMRoman10-Regular"/>
          <w:sz w:val="20"/>
          <w:szCs w:val="20"/>
        </w:rPr>
      </w:pPr>
      <w:r w:rsidRPr="00BC7068">
        <w:rPr>
          <w:rFonts w:cs="LMRoman10-Regular"/>
          <w:sz w:val="20"/>
          <w:szCs w:val="20"/>
        </w:rPr>
        <w:t>Pearson correlation coefficients (with 95% confidence intervals) between measured and estimated cell proportions from our custom model</w:t>
      </w:r>
    </w:p>
    <w:p w:rsidR="00D51AC1" w:rsidRPr="00BC7068" w:rsidRDefault="00D51AC1" w:rsidP="00BC7068">
      <w:pPr>
        <w:autoSpaceDE w:val="0"/>
        <w:autoSpaceDN w:val="0"/>
        <w:adjustRightInd w:val="0"/>
        <w:spacing w:after="0" w:line="240" w:lineRule="auto"/>
        <w:rPr>
          <w:rFonts w:cs="LMRoman10-Regular"/>
          <w:sz w:val="20"/>
          <w:szCs w:val="20"/>
        </w:rPr>
      </w:pPr>
      <w:r w:rsidRPr="00BC7068">
        <w:rPr>
          <w:rFonts w:cs="LMRoman10-Bold"/>
          <w:b/>
          <w:bCs/>
          <w:sz w:val="20"/>
          <w:szCs w:val="20"/>
        </w:rPr>
        <w:t xml:space="preserve">with 100 markers for each cell type </w:t>
      </w:r>
      <w:r w:rsidRPr="00BC7068">
        <w:rPr>
          <w:rFonts w:cs="LMRoman10-Regular"/>
          <w:sz w:val="20"/>
          <w:szCs w:val="20"/>
        </w:rPr>
        <w:t>(instead of 10 as in Table 2) stratified by cell counting device. Correlations for GR are obtained</w:t>
      </w:r>
    </w:p>
    <w:p w:rsidR="00D51AC1" w:rsidRPr="00BC7068" w:rsidRDefault="00D51AC1" w:rsidP="00BC7068">
      <w:pPr>
        <w:autoSpaceDE w:val="0"/>
        <w:autoSpaceDN w:val="0"/>
        <w:adjustRightInd w:val="0"/>
        <w:spacing w:after="0" w:line="240" w:lineRule="auto"/>
        <w:rPr>
          <w:rFonts w:cs="LMRoman10-Regular"/>
          <w:sz w:val="20"/>
          <w:szCs w:val="20"/>
        </w:rPr>
      </w:pPr>
      <w:r w:rsidRPr="00BC7068">
        <w:rPr>
          <w:rFonts w:cs="LMRoman10-Regular"/>
          <w:sz w:val="20"/>
          <w:szCs w:val="20"/>
        </w:rPr>
        <w:t>by collapsing proportions of NE, EO and BA into one composite cell type. Abbreviated cell types: NE neutrophils, EO eosinophils, BA</w:t>
      </w:r>
    </w:p>
    <w:p w:rsidR="00D51AC1" w:rsidRPr="00BC7068" w:rsidRDefault="00D51AC1" w:rsidP="00BC7068">
      <w:r w:rsidRPr="00BC7068">
        <w:rPr>
          <w:rFonts w:cs="LMRoman10-Regular"/>
          <w:sz w:val="20"/>
          <w:szCs w:val="20"/>
        </w:rPr>
        <w:t>basophils, GR granulocytes, LY lymphocytes, MO monocytes.</w:t>
      </w:r>
    </w:p>
    <w:p w:rsidR="00D550AC" w:rsidRDefault="00D550AC">
      <w:bookmarkStart w:id="0" w:name="_GoBack"/>
      <w:bookmarkEnd w:id="0"/>
    </w:p>
    <w:sectPr w:rsidR="00D550AC" w:rsidSect="0001242C">
      <w:pgSz w:w="15840" w:h="12240" w:orient="landscape"/>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4585" w:rsidRDefault="00264585">
      <w:pPr>
        <w:spacing w:after="0" w:line="240" w:lineRule="auto"/>
      </w:pPr>
      <w:r>
        <w:separator/>
      </w:r>
    </w:p>
  </w:endnote>
  <w:endnote w:type="continuationSeparator" w:id="0">
    <w:p w:rsidR="00264585" w:rsidRDefault="002645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MRoman12-Regular">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LMMono12-Regular">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LatinModernMath-Regular">
    <w:altName w:val="MS Mincho"/>
    <w:panose1 w:val="00000000000000000000"/>
    <w:charset w:val="80"/>
    <w:family w:val="auto"/>
    <w:notTrueType/>
    <w:pitch w:val="default"/>
    <w:sig w:usb0="00000003" w:usb1="08070000" w:usb2="00000010" w:usb3="00000000" w:csb0="00020001" w:csb1="00000000"/>
  </w:font>
  <w:font w:name="LMRoman12-Bold">
    <w:panose1 w:val="00000000000000000000"/>
    <w:charset w:val="00"/>
    <w:family w:val="auto"/>
    <w:notTrueType/>
    <w:pitch w:val="default"/>
    <w:sig w:usb0="00000003" w:usb1="00000000" w:usb2="00000000" w:usb3="00000000" w:csb0="00000001" w:csb1="00000000"/>
  </w:font>
  <w:font w:name="LMRoman9-Regular">
    <w:panose1 w:val="00000000000000000000"/>
    <w:charset w:val="00"/>
    <w:family w:val="auto"/>
    <w:notTrueType/>
    <w:pitch w:val="default"/>
    <w:sig w:usb0="00000003" w:usb1="00000000" w:usb2="00000000" w:usb3="00000000" w:csb0="00000001" w:csb1="00000000"/>
  </w:font>
  <w:font w:name="LMRoman10-Regular">
    <w:panose1 w:val="00000000000000000000"/>
    <w:charset w:val="00"/>
    <w:family w:val="auto"/>
    <w:notTrueType/>
    <w:pitch w:val="default"/>
    <w:sig w:usb0="00000003" w:usb1="00000000" w:usb2="00000000" w:usb3="00000000" w:csb0="00000001" w:csb1="00000000"/>
  </w:font>
  <w:font w:name="LMRoman10-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2F" w:rsidRDefault="00264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15586149"/>
      <w:docPartObj>
        <w:docPartGallery w:val="Page Numbers (Bottom of Page)"/>
        <w:docPartUnique/>
      </w:docPartObj>
    </w:sdtPr>
    <w:sdtEndPr/>
    <w:sdtContent>
      <w:p w:rsidR="0073712F" w:rsidRDefault="0022728F">
        <w:pPr>
          <w:pStyle w:val="Footer"/>
          <w:jc w:val="right"/>
        </w:pPr>
        <w:r>
          <w:fldChar w:fldCharType="begin"/>
        </w:r>
        <w:r>
          <w:instrText>PAGE   \* MERGEFORMAT</w:instrText>
        </w:r>
        <w:r>
          <w:fldChar w:fldCharType="separate"/>
        </w:r>
        <w:r w:rsidR="000A3FBA" w:rsidRPr="000A3FBA">
          <w:rPr>
            <w:noProof/>
            <w:lang w:val="de-DE"/>
          </w:rPr>
          <w:t>22</w:t>
        </w:r>
        <w:r>
          <w:fldChar w:fldCharType="end"/>
        </w:r>
      </w:p>
    </w:sdtContent>
  </w:sdt>
  <w:p w:rsidR="0073712F" w:rsidRDefault="0026458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2F" w:rsidRDefault="002645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4585" w:rsidRDefault="00264585">
      <w:pPr>
        <w:spacing w:after="0" w:line="240" w:lineRule="auto"/>
      </w:pPr>
      <w:r>
        <w:separator/>
      </w:r>
    </w:p>
  </w:footnote>
  <w:footnote w:type="continuationSeparator" w:id="0">
    <w:p w:rsidR="00264585" w:rsidRDefault="002645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2F" w:rsidRDefault="002645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2F" w:rsidRDefault="0026458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712F" w:rsidRDefault="0026458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B2F3C"/>
    <w:multiLevelType w:val="hybridMultilevel"/>
    <w:tmpl w:val="B336C8EE"/>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1D3E85"/>
    <w:multiLevelType w:val="hybridMultilevel"/>
    <w:tmpl w:val="4606DB68"/>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D51AC1"/>
    <w:rsid w:val="00043969"/>
    <w:rsid w:val="000A3FBA"/>
    <w:rsid w:val="000C24C1"/>
    <w:rsid w:val="0022728F"/>
    <w:rsid w:val="00264585"/>
    <w:rsid w:val="00D51AC1"/>
    <w:rsid w:val="00D550AC"/>
    <w:rsid w:val="00EE52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AC1"/>
  </w:style>
  <w:style w:type="paragraph" w:styleId="Heading1">
    <w:name w:val="heading 1"/>
    <w:basedOn w:val="Normal"/>
    <w:next w:val="Normal"/>
    <w:link w:val="Heading1Char"/>
    <w:uiPriority w:val="9"/>
    <w:qFormat/>
    <w:rsid w:val="00D51A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1A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AC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1AC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D51AC1"/>
    <w:pPr>
      <w:spacing w:after="0" w:line="240" w:lineRule="auto"/>
    </w:pPr>
  </w:style>
  <w:style w:type="character" w:styleId="PlaceholderText">
    <w:name w:val="Placeholder Text"/>
    <w:basedOn w:val="DefaultParagraphFont"/>
    <w:uiPriority w:val="99"/>
    <w:semiHidden/>
    <w:rsid w:val="00D51AC1"/>
    <w:rPr>
      <w:color w:val="808080"/>
    </w:rPr>
  </w:style>
  <w:style w:type="paragraph" w:styleId="BalloonText">
    <w:name w:val="Balloon Text"/>
    <w:basedOn w:val="Normal"/>
    <w:link w:val="BalloonTextChar"/>
    <w:uiPriority w:val="99"/>
    <w:semiHidden/>
    <w:unhideWhenUsed/>
    <w:rsid w:val="00D51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AC1"/>
    <w:rPr>
      <w:rFonts w:ascii="Tahoma" w:hAnsi="Tahoma" w:cs="Tahoma"/>
      <w:sz w:val="16"/>
      <w:szCs w:val="16"/>
    </w:rPr>
  </w:style>
  <w:style w:type="character" w:styleId="Hyperlink">
    <w:name w:val="Hyperlink"/>
    <w:basedOn w:val="DefaultParagraphFont"/>
    <w:uiPriority w:val="99"/>
    <w:unhideWhenUsed/>
    <w:rsid w:val="00D51AC1"/>
    <w:rPr>
      <w:color w:val="0000FF" w:themeColor="hyperlink"/>
      <w:u w:val="single"/>
    </w:rPr>
  </w:style>
  <w:style w:type="paragraph" w:styleId="Title">
    <w:name w:val="Title"/>
    <w:basedOn w:val="Normal"/>
    <w:next w:val="Normal"/>
    <w:link w:val="TitleChar"/>
    <w:uiPriority w:val="10"/>
    <w:qFormat/>
    <w:rsid w:val="00D51A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1AC1"/>
    <w:rPr>
      <w:rFonts w:asciiTheme="majorHAnsi" w:eastAsiaTheme="majorEastAsia" w:hAnsiTheme="majorHAnsi" w:cstheme="majorBidi"/>
      <w:color w:val="17365D" w:themeColor="text2" w:themeShade="BF"/>
      <w:spacing w:val="5"/>
      <w:kern w:val="28"/>
      <w:sz w:val="52"/>
      <w:szCs w:val="52"/>
    </w:rPr>
  </w:style>
  <w:style w:type="paragraph" w:customStyle="1" w:styleId="EndNoteBibliographyTitle">
    <w:name w:val="EndNote Bibliography Title"/>
    <w:basedOn w:val="Normal"/>
    <w:link w:val="EndNoteBibliographyTitleZchn"/>
    <w:rsid w:val="00D51AC1"/>
    <w:pPr>
      <w:spacing w:after="0"/>
      <w:jc w:val="center"/>
    </w:pPr>
    <w:rPr>
      <w:rFonts w:ascii="Calibri" w:hAnsi="Calibri"/>
      <w:noProof/>
    </w:rPr>
  </w:style>
  <w:style w:type="character" w:customStyle="1" w:styleId="EndNoteBibliographyTitleZchn">
    <w:name w:val="EndNote Bibliography Title Zchn"/>
    <w:basedOn w:val="DefaultParagraphFont"/>
    <w:link w:val="EndNoteBibliographyTitle"/>
    <w:rsid w:val="00D51AC1"/>
    <w:rPr>
      <w:rFonts w:ascii="Calibri" w:hAnsi="Calibri"/>
      <w:noProof/>
    </w:rPr>
  </w:style>
  <w:style w:type="paragraph" w:customStyle="1" w:styleId="EndNoteBibliography">
    <w:name w:val="EndNote Bibliography"/>
    <w:basedOn w:val="Normal"/>
    <w:link w:val="EndNoteBibliographyZchn"/>
    <w:rsid w:val="00D51AC1"/>
    <w:pPr>
      <w:spacing w:line="240" w:lineRule="auto"/>
    </w:pPr>
    <w:rPr>
      <w:rFonts w:ascii="Calibri" w:hAnsi="Calibri"/>
      <w:noProof/>
    </w:rPr>
  </w:style>
  <w:style w:type="character" w:customStyle="1" w:styleId="EndNoteBibliographyZchn">
    <w:name w:val="EndNote Bibliography Zchn"/>
    <w:basedOn w:val="DefaultParagraphFont"/>
    <w:link w:val="EndNoteBibliography"/>
    <w:rsid w:val="00D51AC1"/>
    <w:rPr>
      <w:rFonts w:ascii="Calibri" w:hAnsi="Calibri"/>
      <w:noProof/>
    </w:rPr>
  </w:style>
  <w:style w:type="table" w:styleId="TableGrid">
    <w:name w:val="Table Grid"/>
    <w:basedOn w:val="TableNormal"/>
    <w:uiPriority w:val="59"/>
    <w:rsid w:val="00D5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51AC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D51AC1"/>
    <w:pPr>
      <w:spacing w:line="240" w:lineRule="auto"/>
    </w:pPr>
    <w:rPr>
      <w:b/>
      <w:bCs/>
      <w:color w:val="4F81BD" w:themeColor="accent1"/>
      <w:sz w:val="18"/>
      <w:szCs w:val="18"/>
    </w:rPr>
  </w:style>
  <w:style w:type="paragraph" w:styleId="Header">
    <w:name w:val="header"/>
    <w:basedOn w:val="Normal"/>
    <w:link w:val="HeaderChar"/>
    <w:uiPriority w:val="99"/>
    <w:unhideWhenUsed/>
    <w:rsid w:val="00D51AC1"/>
    <w:pPr>
      <w:tabs>
        <w:tab w:val="center" w:pos="4703"/>
        <w:tab w:val="right" w:pos="9406"/>
      </w:tabs>
      <w:spacing w:after="0" w:line="240" w:lineRule="auto"/>
    </w:pPr>
  </w:style>
  <w:style w:type="character" w:customStyle="1" w:styleId="HeaderChar">
    <w:name w:val="Header Char"/>
    <w:basedOn w:val="DefaultParagraphFont"/>
    <w:link w:val="Header"/>
    <w:uiPriority w:val="99"/>
    <w:rsid w:val="00D51AC1"/>
  </w:style>
  <w:style w:type="paragraph" w:styleId="Footer">
    <w:name w:val="footer"/>
    <w:basedOn w:val="Normal"/>
    <w:link w:val="FooterChar"/>
    <w:uiPriority w:val="99"/>
    <w:unhideWhenUsed/>
    <w:rsid w:val="00D51AC1"/>
    <w:pPr>
      <w:tabs>
        <w:tab w:val="center" w:pos="4703"/>
        <w:tab w:val="right" w:pos="9406"/>
      </w:tabs>
      <w:spacing w:after="0" w:line="240" w:lineRule="auto"/>
    </w:pPr>
  </w:style>
  <w:style w:type="character" w:customStyle="1" w:styleId="FooterChar">
    <w:name w:val="Footer Char"/>
    <w:basedOn w:val="DefaultParagraphFont"/>
    <w:link w:val="Footer"/>
    <w:uiPriority w:val="99"/>
    <w:rsid w:val="00D51AC1"/>
  </w:style>
  <w:style w:type="character" w:styleId="LineNumber">
    <w:name w:val="line number"/>
    <w:basedOn w:val="DefaultParagraphFont"/>
    <w:uiPriority w:val="99"/>
    <w:semiHidden/>
    <w:unhideWhenUsed/>
    <w:rsid w:val="00D51AC1"/>
  </w:style>
  <w:style w:type="paragraph" w:styleId="PlainText">
    <w:name w:val="Plain Text"/>
    <w:basedOn w:val="Normal"/>
    <w:link w:val="PlainTextChar"/>
    <w:uiPriority w:val="99"/>
    <w:unhideWhenUsed/>
    <w:rsid w:val="00D51AC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51AC1"/>
    <w:rPr>
      <w:rFonts w:ascii="Calibri" w:hAnsi="Calibri"/>
      <w:szCs w:val="21"/>
    </w:rPr>
  </w:style>
  <w:style w:type="paragraph" w:styleId="Revision">
    <w:name w:val="Revision"/>
    <w:hidden/>
    <w:uiPriority w:val="99"/>
    <w:semiHidden/>
    <w:rsid w:val="00D51AC1"/>
    <w:pPr>
      <w:spacing w:after="0" w:line="240" w:lineRule="auto"/>
    </w:pPr>
  </w:style>
  <w:style w:type="paragraph" w:styleId="ListParagraph">
    <w:name w:val="List Paragraph"/>
    <w:basedOn w:val="Normal"/>
    <w:uiPriority w:val="34"/>
    <w:qFormat/>
    <w:rsid w:val="00D51AC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1AC1"/>
  </w:style>
  <w:style w:type="paragraph" w:styleId="Heading1">
    <w:name w:val="heading 1"/>
    <w:basedOn w:val="Normal"/>
    <w:next w:val="Normal"/>
    <w:link w:val="Heading1Char"/>
    <w:uiPriority w:val="9"/>
    <w:qFormat/>
    <w:rsid w:val="00D51A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1A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1AC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1AC1"/>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D51AC1"/>
    <w:pPr>
      <w:spacing w:after="0" w:line="240" w:lineRule="auto"/>
    </w:pPr>
  </w:style>
  <w:style w:type="character" w:styleId="PlaceholderText">
    <w:name w:val="Placeholder Text"/>
    <w:basedOn w:val="DefaultParagraphFont"/>
    <w:uiPriority w:val="99"/>
    <w:semiHidden/>
    <w:rsid w:val="00D51AC1"/>
    <w:rPr>
      <w:color w:val="808080"/>
    </w:rPr>
  </w:style>
  <w:style w:type="paragraph" w:styleId="BalloonText">
    <w:name w:val="Balloon Text"/>
    <w:basedOn w:val="Normal"/>
    <w:link w:val="BalloonTextChar"/>
    <w:uiPriority w:val="99"/>
    <w:semiHidden/>
    <w:unhideWhenUsed/>
    <w:rsid w:val="00D51A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1AC1"/>
    <w:rPr>
      <w:rFonts w:ascii="Tahoma" w:hAnsi="Tahoma" w:cs="Tahoma"/>
      <w:sz w:val="16"/>
      <w:szCs w:val="16"/>
    </w:rPr>
  </w:style>
  <w:style w:type="character" w:styleId="Hyperlink">
    <w:name w:val="Hyperlink"/>
    <w:basedOn w:val="DefaultParagraphFont"/>
    <w:uiPriority w:val="99"/>
    <w:unhideWhenUsed/>
    <w:rsid w:val="00D51AC1"/>
    <w:rPr>
      <w:color w:val="0000FF" w:themeColor="hyperlink"/>
      <w:u w:val="single"/>
    </w:rPr>
  </w:style>
  <w:style w:type="paragraph" w:styleId="Title">
    <w:name w:val="Title"/>
    <w:basedOn w:val="Normal"/>
    <w:next w:val="Normal"/>
    <w:link w:val="TitleChar"/>
    <w:uiPriority w:val="10"/>
    <w:qFormat/>
    <w:rsid w:val="00D51AC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51AC1"/>
    <w:rPr>
      <w:rFonts w:asciiTheme="majorHAnsi" w:eastAsiaTheme="majorEastAsia" w:hAnsiTheme="majorHAnsi" w:cstheme="majorBidi"/>
      <w:color w:val="17365D" w:themeColor="text2" w:themeShade="BF"/>
      <w:spacing w:val="5"/>
      <w:kern w:val="28"/>
      <w:sz w:val="52"/>
      <w:szCs w:val="52"/>
    </w:rPr>
  </w:style>
  <w:style w:type="paragraph" w:customStyle="1" w:styleId="EndNoteBibliographyTitle">
    <w:name w:val="EndNote Bibliography Title"/>
    <w:basedOn w:val="Normal"/>
    <w:link w:val="EndNoteBibliographyTitleZchn"/>
    <w:rsid w:val="00D51AC1"/>
    <w:pPr>
      <w:spacing w:after="0"/>
      <w:jc w:val="center"/>
    </w:pPr>
    <w:rPr>
      <w:rFonts w:ascii="Calibri" w:hAnsi="Calibri"/>
      <w:noProof/>
    </w:rPr>
  </w:style>
  <w:style w:type="character" w:customStyle="1" w:styleId="EndNoteBibliographyTitleZchn">
    <w:name w:val="EndNote Bibliography Title Zchn"/>
    <w:basedOn w:val="DefaultParagraphFont"/>
    <w:link w:val="EndNoteBibliographyTitle"/>
    <w:rsid w:val="00D51AC1"/>
    <w:rPr>
      <w:rFonts w:ascii="Calibri" w:hAnsi="Calibri"/>
      <w:noProof/>
    </w:rPr>
  </w:style>
  <w:style w:type="paragraph" w:customStyle="1" w:styleId="EndNoteBibliography">
    <w:name w:val="EndNote Bibliography"/>
    <w:basedOn w:val="Normal"/>
    <w:link w:val="EndNoteBibliographyZchn"/>
    <w:rsid w:val="00D51AC1"/>
    <w:pPr>
      <w:spacing w:line="240" w:lineRule="auto"/>
    </w:pPr>
    <w:rPr>
      <w:rFonts w:ascii="Calibri" w:hAnsi="Calibri"/>
      <w:noProof/>
    </w:rPr>
  </w:style>
  <w:style w:type="character" w:customStyle="1" w:styleId="EndNoteBibliographyZchn">
    <w:name w:val="EndNote Bibliography Zchn"/>
    <w:basedOn w:val="DefaultParagraphFont"/>
    <w:link w:val="EndNoteBibliography"/>
    <w:rsid w:val="00D51AC1"/>
    <w:rPr>
      <w:rFonts w:ascii="Calibri" w:hAnsi="Calibri"/>
      <w:noProof/>
    </w:rPr>
  </w:style>
  <w:style w:type="table" w:styleId="TableGrid">
    <w:name w:val="Table Grid"/>
    <w:basedOn w:val="TableNormal"/>
    <w:uiPriority w:val="59"/>
    <w:rsid w:val="00D51A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D51AC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
    <w:name w:val="caption"/>
    <w:basedOn w:val="Normal"/>
    <w:next w:val="Normal"/>
    <w:uiPriority w:val="35"/>
    <w:unhideWhenUsed/>
    <w:qFormat/>
    <w:rsid w:val="00D51AC1"/>
    <w:pPr>
      <w:spacing w:line="240" w:lineRule="auto"/>
    </w:pPr>
    <w:rPr>
      <w:b/>
      <w:bCs/>
      <w:color w:val="4F81BD" w:themeColor="accent1"/>
      <w:sz w:val="18"/>
      <w:szCs w:val="18"/>
    </w:rPr>
  </w:style>
  <w:style w:type="paragraph" w:styleId="Header">
    <w:name w:val="header"/>
    <w:basedOn w:val="Normal"/>
    <w:link w:val="HeaderChar"/>
    <w:uiPriority w:val="99"/>
    <w:unhideWhenUsed/>
    <w:rsid w:val="00D51AC1"/>
    <w:pPr>
      <w:tabs>
        <w:tab w:val="center" w:pos="4703"/>
        <w:tab w:val="right" w:pos="9406"/>
      </w:tabs>
      <w:spacing w:after="0" w:line="240" w:lineRule="auto"/>
    </w:pPr>
  </w:style>
  <w:style w:type="character" w:customStyle="1" w:styleId="HeaderChar">
    <w:name w:val="Header Char"/>
    <w:basedOn w:val="DefaultParagraphFont"/>
    <w:link w:val="Header"/>
    <w:uiPriority w:val="99"/>
    <w:rsid w:val="00D51AC1"/>
  </w:style>
  <w:style w:type="paragraph" w:styleId="Footer">
    <w:name w:val="footer"/>
    <w:basedOn w:val="Normal"/>
    <w:link w:val="FooterChar"/>
    <w:uiPriority w:val="99"/>
    <w:unhideWhenUsed/>
    <w:rsid w:val="00D51AC1"/>
    <w:pPr>
      <w:tabs>
        <w:tab w:val="center" w:pos="4703"/>
        <w:tab w:val="right" w:pos="9406"/>
      </w:tabs>
      <w:spacing w:after="0" w:line="240" w:lineRule="auto"/>
    </w:pPr>
  </w:style>
  <w:style w:type="character" w:customStyle="1" w:styleId="FooterChar">
    <w:name w:val="Footer Char"/>
    <w:basedOn w:val="DefaultParagraphFont"/>
    <w:link w:val="Footer"/>
    <w:uiPriority w:val="99"/>
    <w:rsid w:val="00D51AC1"/>
  </w:style>
  <w:style w:type="character" w:styleId="LineNumber">
    <w:name w:val="line number"/>
    <w:basedOn w:val="DefaultParagraphFont"/>
    <w:uiPriority w:val="99"/>
    <w:semiHidden/>
    <w:unhideWhenUsed/>
    <w:rsid w:val="00D51AC1"/>
  </w:style>
  <w:style w:type="paragraph" w:styleId="PlainText">
    <w:name w:val="Plain Text"/>
    <w:basedOn w:val="Normal"/>
    <w:link w:val="PlainTextChar"/>
    <w:uiPriority w:val="99"/>
    <w:unhideWhenUsed/>
    <w:rsid w:val="00D51AC1"/>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D51AC1"/>
    <w:rPr>
      <w:rFonts w:ascii="Calibri" w:hAnsi="Calibri"/>
      <w:szCs w:val="21"/>
    </w:rPr>
  </w:style>
  <w:style w:type="paragraph" w:styleId="Revision">
    <w:name w:val="Revision"/>
    <w:hidden/>
    <w:uiPriority w:val="99"/>
    <w:semiHidden/>
    <w:rsid w:val="00D51AC1"/>
    <w:pPr>
      <w:spacing w:after="0" w:line="240" w:lineRule="auto"/>
    </w:pPr>
  </w:style>
  <w:style w:type="paragraph" w:styleId="ListParagraph">
    <w:name w:val="List Paragraph"/>
    <w:basedOn w:val="Normal"/>
    <w:uiPriority w:val="34"/>
    <w:qFormat/>
    <w:rsid w:val="00D51A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nathan.heiss@dkfz-heidelberg.de"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4833</Words>
  <Characters>27553</Characters>
  <Application>Microsoft Office Word</Application>
  <DocSecurity>0</DocSecurity>
  <Lines>229</Lines>
  <Paragraphs>64</Paragraphs>
  <ScaleCrop>false</ScaleCrop>
  <Company>DKFZ</Company>
  <LinksUpToDate>false</LinksUpToDate>
  <CharactersWithSpaces>32322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Heiss, Jonathan</dc:creator>
  <cp:lastModifiedBy>benni</cp:lastModifiedBy>
  <cp:revision>4</cp:revision>
  <dcterms:created xsi:type="dcterms:W3CDTF">2016-09-23T14:56:00Z</dcterms:created>
  <dcterms:modified xsi:type="dcterms:W3CDTF">2017-03-31T16:15:00Z</dcterms:modified>
</cp:coreProperties>
</file>