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1CE" w:rsidRPr="00A120A9" w:rsidRDefault="001E41CE" w:rsidP="00A63171">
      <w:pPr>
        <w:spacing w:line="480" w:lineRule="auto"/>
        <w:rPr>
          <w:rFonts w:asciiTheme="minorHAnsi" w:hAnsiTheme="minorHAnsi" w:cs="Times New Roman"/>
          <w:iCs/>
          <w:color w:val="auto"/>
          <w:sz w:val="22"/>
          <w:szCs w:val="22"/>
        </w:rPr>
      </w:pPr>
      <w:bookmarkStart w:id="0" w:name="_GoBack"/>
      <w:bookmarkEnd w:id="0"/>
      <w:r w:rsidRPr="00A120A9">
        <w:rPr>
          <w:rFonts w:asciiTheme="minorHAnsi" w:hAnsiTheme="minorHAnsi" w:cs="Times New Roman"/>
          <w:b/>
          <w:iCs/>
          <w:color w:val="auto"/>
          <w:sz w:val="22"/>
          <w:szCs w:val="22"/>
        </w:rPr>
        <w:t>Full Title:</w:t>
      </w:r>
      <w:r w:rsidRPr="00A120A9">
        <w:rPr>
          <w:rFonts w:asciiTheme="minorHAnsi" w:hAnsiTheme="minorHAnsi" w:cs="Times New Roman"/>
          <w:iCs/>
          <w:color w:val="auto"/>
          <w:sz w:val="22"/>
          <w:szCs w:val="22"/>
        </w:rPr>
        <w:t xml:space="preserve"> Genetic Variants in </w:t>
      </w:r>
      <w:r w:rsidRPr="00A120A9">
        <w:rPr>
          <w:rFonts w:asciiTheme="minorHAnsi" w:hAnsiTheme="minorHAnsi" w:cs="Times New Roman"/>
          <w:i/>
          <w:iCs/>
          <w:color w:val="auto"/>
          <w:sz w:val="22"/>
          <w:szCs w:val="22"/>
        </w:rPr>
        <w:t>PPARGC1B</w:t>
      </w:r>
      <w:r w:rsidRPr="00A120A9">
        <w:rPr>
          <w:rFonts w:asciiTheme="minorHAnsi" w:hAnsiTheme="minorHAnsi" w:cs="Times New Roman"/>
          <w:iCs/>
          <w:color w:val="auto"/>
          <w:sz w:val="22"/>
          <w:szCs w:val="22"/>
        </w:rPr>
        <w:t xml:space="preserve"> and </w:t>
      </w:r>
      <w:r w:rsidRPr="00A120A9">
        <w:rPr>
          <w:rFonts w:asciiTheme="minorHAnsi" w:hAnsiTheme="minorHAnsi" w:cs="Times New Roman"/>
          <w:i/>
          <w:iCs/>
          <w:color w:val="auto"/>
          <w:sz w:val="22"/>
          <w:szCs w:val="22"/>
        </w:rPr>
        <w:t>CNTN4</w:t>
      </w:r>
      <w:r w:rsidRPr="00A120A9">
        <w:rPr>
          <w:rFonts w:asciiTheme="minorHAnsi" w:hAnsiTheme="minorHAnsi" w:cs="Times New Roman"/>
          <w:iCs/>
          <w:color w:val="auto"/>
          <w:sz w:val="22"/>
          <w:szCs w:val="22"/>
        </w:rPr>
        <w:t xml:space="preserve"> are Associated with Thromboxane A</w:t>
      </w:r>
      <w:r w:rsidRPr="00A120A9">
        <w:rPr>
          <w:rFonts w:asciiTheme="minorHAnsi" w:hAnsiTheme="minorHAnsi" w:cs="Times New Roman"/>
          <w:iCs/>
          <w:color w:val="auto"/>
          <w:sz w:val="22"/>
          <w:szCs w:val="22"/>
          <w:vertAlign w:val="subscript"/>
        </w:rPr>
        <w:t>2</w:t>
      </w:r>
      <w:r w:rsidRPr="00A120A9">
        <w:rPr>
          <w:rFonts w:asciiTheme="minorHAnsi" w:hAnsiTheme="minorHAnsi" w:cs="Times New Roman"/>
          <w:iCs/>
          <w:color w:val="auto"/>
          <w:sz w:val="22"/>
          <w:szCs w:val="22"/>
        </w:rPr>
        <w:t xml:space="preserve"> Formation and with Cardiovascular Event Free Survival in the Anglo-Scandinavian Cardiac Outcomes Trial (ASCOT).</w:t>
      </w:r>
    </w:p>
    <w:p w:rsidR="001E41CE" w:rsidRPr="00A120A9" w:rsidRDefault="001E41CE" w:rsidP="00A63171">
      <w:pPr>
        <w:spacing w:line="480" w:lineRule="auto"/>
        <w:rPr>
          <w:rFonts w:asciiTheme="minorHAnsi" w:hAnsiTheme="minorHAnsi" w:cs="Times New Roman"/>
          <w:iCs/>
          <w:color w:val="auto"/>
          <w:sz w:val="22"/>
          <w:szCs w:val="22"/>
        </w:rPr>
      </w:pPr>
    </w:p>
    <w:p w:rsidR="001E41CE" w:rsidRPr="00A120A9" w:rsidRDefault="001E41CE" w:rsidP="00A63171">
      <w:pPr>
        <w:spacing w:line="480" w:lineRule="auto"/>
        <w:rPr>
          <w:rFonts w:asciiTheme="minorHAnsi" w:hAnsiTheme="minorHAnsi"/>
          <w:color w:val="auto"/>
          <w:sz w:val="22"/>
          <w:szCs w:val="22"/>
          <w:shd w:val="clear" w:color="auto" w:fill="FFFFFF"/>
        </w:rPr>
      </w:pPr>
      <w:r w:rsidRPr="00A120A9">
        <w:rPr>
          <w:rFonts w:asciiTheme="minorHAnsi" w:hAnsiTheme="minorHAnsi"/>
          <w:b/>
          <w:color w:val="auto"/>
          <w:sz w:val="22"/>
          <w:szCs w:val="22"/>
          <w:shd w:val="clear" w:color="auto" w:fill="FFFFFF"/>
        </w:rPr>
        <w:t>First author's surname and running title:</w:t>
      </w:r>
      <w:r w:rsidRPr="00A120A9">
        <w:rPr>
          <w:rFonts w:asciiTheme="minorHAnsi" w:hAnsiTheme="minorHAnsi"/>
          <w:color w:val="auto"/>
          <w:sz w:val="22"/>
          <w:szCs w:val="22"/>
          <w:shd w:val="clear" w:color="auto" w:fill="FFFFFF"/>
        </w:rPr>
        <w:t xml:space="preserve"> McCarthy; Genetic associations with </w:t>
      </w:r>
      <w:r w:rsidRPr="00A120A9">
        <w:rPr>
          <w:rFonts w:asciiTheme="minorHAnsi" w:hAnsiTheme="minorHAnsi" w:cs="Times New Roman"/>
          <w:iCs/>
          <w:color w:val="auto"/>
          <w:sz w:val="22"/>
          <w:szCs w:val="22"/>
        </w:rPr>
        <w:t>Thromboxane A</w:t>
      </w:r>
      <w:r w:rsidRPr="00A120A9">
        <w:rPr>
          <w:rFonts w:asciiTheme="minorHAnsi" w:hAnsiTheme="minorHAnsi" w:cs="Times New Roman"/>
          <w:iCs/>
          <w:color w:val="auto"/>
          <w:sz w:val="22"/>
          <w:szCs w:val="22"/>
          <w:vertAlign w:val="subscript"/>
        </w:rPr>
        <w:t xml:space="preserve">2 </w:t>
      </w:r>
    </w:p>
    <w:p w:rsidR="001E41CE" w:rsidRPr="00A120A9" w:rsidRDefault="001E41CE" w:rsidP="00A63171">
      <w:pPr>
        <w:spacing w:line="480" w:lineRule="auto"/>
        <w:rPr>
          <w:rFonts w:asciiTheme="minorHAnsi" w:hAnsiTheme="minorHAnsi" w:cs="Times New Roman"/>
          <w:iCs/>
          <w:color w:val="auto"/>
          <w:sz w:val="22"/>
          <w:szCs w:val="22"/>
        </w:rPr>
      </w:pPr>
    </w:p>
    <w:p w:rsidR="001E41CE" w:rsidRPr="00A120A9" w:rsidRDefault="001E41CE" w:rsidP="00A63171">
      <w:pPr>
        <w:spacing w:line="480" w:lineRule="auto"/>
        <w:rPr>
          <w:rFonts w:asciiTheme="minorHAnsi" w:hAnsiTheme="minorHAnsi" w:cs="Times New Roman"/>
          <w:iCs/>
          <w:color w:val="auto"/>
          <w:sz w:val="22"/>
          <w:szCs w:val="22"/>
        </w:rPr>
      </w:pPr>
      <w:r w:rsidRPr="00A120A9">
        <w:rPr>
          <w:rFonts w:asciiTheme="minorHAnsi" w:hAnsiTheme="minorHAnsi" w:cs="Times New Roman"/>
          <w:b/>
          <w:iCs/>
          <w:color w:val="auto"/>
          <w:sz w:val="22"/>
          <w:szCs w:val="22"/>
        </w:rPr>
        <w:t>Authors:</w:t>
      </w:r>
      <w:r w:rsidRPr="00A120A9">
        <w:rPr>
          <w:rFonts w:asciiTheme="minorHAnsi" w:hAnsiTheme="minorHAnsi" w:cs="Times New Roman"/>
          <w:iCs/>
          <w:color w:val="auto"/>
          <w:sz w:val="22"/>
          <w:szCs w:val="22"/>
        </w:rPr>
        <w:t xml:space="preserve"> McCarthy NS</w:t>
      </w:r>
      <w:r w:rsidRPr="00A120A9">
        <w:rPr>
          <w:rFonts w:asciiTheme="minorHAnsi" w:hAnsiTheme="minorHAnsi" w:cs="Times New Roman"/>
          <w:iCs/>
          <w:color w:val="auto"/>
          <w:sz w:val="22"/>
          <w:szCs w:val="22"/>
          <w:vertAlign w:val="superscript"/>
        </w:rPr>
        <w:t>1,2</w:t>
      </w:r>
      <w:r w:rsidRPr="00A120A9">
        <w:rPr>
          <w:rFonts w:asciiTheme="minorHAnsi" w:hAnsiTheme="minorHAnsi" w:cs="Times New Roman"/>
          <w:iCs/>
          <w:color w:val="auto"/>
          <w:sz w:val="22"/>
          <w:szCs w:val="22"/>
        </w:rPr>
        <w:t>, Vangjeli C</w:t>
      </w:r>
      <w:r w:rsidRPr="00A120A9">
        <w:rPr>
          <w:rFonts w:asciiTheme="minorHAnsi" w:hAnsiTheme="minorHAnsi" w:cs="Times New Roman"/>
          <w:iCs/>
          <w:color w:val="auto"/>
          <w:sz w:val="22"/>
          <w:szCs w:val="22"/>
          <w:vertAlign w:val="superscript"/>
        </w:rPr>
        <w:t>1</w:t>
      </w:r>
      <w:r w:rsidRPr="00A120A9">
        <w:rPr>
          <w:rFonts w:asciiTheme="minorHAnsi" w:hAnsiTheme="minorHAnsi" w:cs="Times New Roman"/>
          <w:iCs/>
          <w:color w:val="auto"/>
          <w:sz w:val="22"/>
          <w:szCs w:val="22"/>
        </w:rPr>
        <w:t>, Surendran P</w:t>
      </w:r>
      <w:r w:rsidRPr="00A120A9">
        <w:rPr>
          <w:rFonts w:asciiTheme="minorHAnsi" w:hAnsiTheme="minorHAnsi" w:cs="Times New Roman"/>
          <w:iCs/>
          <w:color w:val="auto"/>
          <w:sz w:val="22"/>
          <w:szCs w:val="22"/>
          <w:vertAlign w:val="superscript"/>
        </w:rPr>
        <w:t>1,3</w:t>
      </w:r>
      <w:r w:rsidRPr="00A120A9">
        <w:rPr>
          <w:rFonts w:asciiTheme="minorHAnsi" w:hAnsiTheme="minorHAnsi" w:cs="Times New Roman"/>
          <w:iCs/>
          <w:color w:val="auto"/>
          <w:sz w:val="22"/>
          <w:szCs w:val="22"/>
        </w:rPr>
        <w:t>, Treumann A</w:t>
      </w:r>
      <w:r w:rsidRPr="00A120A9">
        <w:rPr>
          <w:rFonts w:asciiTheme="minorHAnsi" w:hAnsiTheme="minorHAnsi" w:cs="Times New Roman"/>
          <w:iCs/>
          <w:color w:val="auto"/>
          <w:sz w:val="22"/>
          <w:szCs w:val="22"/>
          <w:vertAlign w:val="superscript"/>
        </w:rPr>
        <w:t>4</w:t>
      </w:r>
      <w:r w:rsidRPr="00A120A9">
        <w:rPr>
          <w:rFonts w:asciiTheme="minorHAnsi" w:hAnsiTheme="minorHAnsi" w:cs="Times New Roman"/>
          <w:iCs/>
          <w:color w:val="auto"/>
          <w:sz w:val="22"/>
          <w:szCs w:val="22"/>
        </w:rPr>
        <w:t>, Rooney C</w:t>
      </w:r>
      <w:r w:rsidRPr="00A120A9">
        <w:rPr>
          <w:rFonts w:asciiTheme="minorHAnsi" w:hAnsiTheme="minorHAnsi" w:cs="Times New Roman"/>
          <w:iCs/>
          <w:color w:val="auto"/>
          <w:sz w:val="22"/>
          <w:szCs w:val="22"/>
          <w:vertAlign w:val="superscript"/>
        </w:rPr>
        <w:t>1</w:t>
      </w:r>
      <w:r w:rsidRPr="00A120A9">
        <w:rPr>
          <w:rFonts w:asciiTheme="minorHAnsi" w:hAnsiTheme="minorHAnsi" w:cs="Times New Roman"/>
          <w:iCs/>
          <w:color w:val="auto"/>
          <w:sz w:val="22"/>
          <w:szCs w:val="22"/>
        </w:rPr>
        <w:t>, Ho E</w:t>
      </w:r>
      <w:r w:rsidRPr="00A120A9">
        <w:rPr>
          <w:rFonts w:asciiTheme="minorHAnsi" w:hAnsiTheme="minorHAnsi" w:cs="Times New Roman"/>
          <w:iCs/>
          <w:color w:val="auto"/>
          <w:sz w:val="22"/>
          <w:szCs w:val="22"/>
          <w:vertAlign w:val="superscript"/>
        </w:rPr>
        <w:t>1</w:t>
      </w:r>
      <w:r w:rsidRPr="00A120A9">
        <w:rPr>
          <w:rFonts w:asciiTheme="minorHAnsi" w:hAnsiTheme="minorHAnsi" w:cs="Times New Roman"/>
          <w:iCs/>
          <w:color w:val="auto"/>
          <w:sz w:val="22"/>
          <w:szCs w:val="22"/>
        </w:rPr>
        <w:t>, Sever P</w:t>
      </w:r>
      <w:r w:rsidRPr="00A120A9">
        <w:rPr>
          <w:rFonts w:asciiTheme="minorHAnsi" w:hAnsiTheme="minorHAnsi" w:cs="Times New Roman"/>
          <w:iCs/>
          <w:color w:val="auto"/>
          <w:sz w:val="22"/>
          <w:szCs w:val="22"/>
          <w:vertAlign w:val="superscript"/>
        </w:rPr>
        <w:t>5</w:t>
      </w:r>
      <w:r w:rsidRPr="00A120A9">
        <w:rPr>
          <w:rFonts w:asciiTheme="minorHAnsi" w:hAnsiTheme="minorHAnsi" w:cs="Times New Roman"/>
          <w:iCs/>
          <w:color w:val="auto"/>
          <w:sz w:val="22"/>
          <w:szCs w:val="22"/>
        </w:rPr>
        <w:t>, Thom S</w:t>
      </w:r>
      <w:r w:rsidRPr="00A120A9">
        <w:rPr>
          <w:rFonts w:asciiTheme="minorHAnsi" w:hAnsiTheme="minorHAnsi" w:cs="Times New Roman"/>
          <w:iCs/>
          <w:color w:val="auto"/>
          <w:sz w:val="22"/>
          <w:szCs w:val="22"/>
          <w:vertAlign w:val="superscript"/>
        </w:rPr>
        <w:t>5</w:t>
      </w:r>
      <w:r w:rsidRPr="00A120A9">
        <w:rPr>
          <w:rFonts w:asciiTheme="minorHAnsi" w:hAnsiTheme="minorHAnsi" w:cs="Times New Roman"/>
          <w:iCs/>
          <w:color w:val="auto"/>
          <w:sz w:val="22"/>
          <w:szCs w:val="22"/>
        </w:rPr>
        <w:t>, Hughes AD</w:t>
      </w:r>
      <w:r w:rsidRPr="00A120A9">
        <w:rPr>
          <w:rFonts w:asciiTheme="minorHAnsi" w:hAnsiTheme="minorHAnsi" w:cs="Times New Roman"/>
          <w:iCs/>
          <w:color w:val="auto"/>
          <w:sz w:val="22"/>
          <w:szCs w:val="22"/>
          <w:vertAlign w:val="superscript"/>
        </w:rPr>
        <w:t>5</w:t>
      </w:r>
      <w:r w:rsidRPr="00A120A9">
        <w:rPr>
          <w:rFonts w:asciiTheme="minorHAnsi" w:hAnsiTheme="minorHAnsi" w:cs="Times New Roman"/>
          <w:iCs/>
          <w:color w:val="auto"/>
          <w:sz w:val="22"/>
          <w:szCs w:val="22"/>
        </w:rPr>
        <w:t>, Munroe PB</w:t>
      </w:r>
      <w:r w:rsidRPr="00A120A9">
        <w:rPr>
          <w:rFonts w:asciiTheme="minorHAnsi" w:hAnsiTheme="minorHAnsi" w:cs="Times New Roman"/>
          <w:iCs/>
          <w:color w:val="auto"/>
          <w:sz w:val="22"/>
          <w:szCs w:val="22"/>
          <w:vertAlign w:val="superscript"/>
        </w:rPr>
        <w:t>6</w:t>
      </w:r>
      <w:r w:rsidRPr="00A120A9">
        <w:rPr>
          <w:rFonts w:asciiTheme="minorHAnsi" w:hAnsiTheme="minorHAnsi" w:cs="Times New Roman"/>
          <w:iCs/>
          <w:color w:val="auto"/>
          <w:sz w:val="22"/>
          <w:szCs w:val="22"/>
        </w:rPr>
        <w:t>, Howard P</w:t>
      </w:r>
      <w:r w:rsidRPr="00A120A9">
        <w:rPr>
          <w:rFonts w:asciiTheme="minorHAnsi" w:hAnsiTheme="minorHAnsi" w:cs="Times New Roman"/>
          <w:iCs/>
          <w:color w:val="auto"/>
          <w:sz w:val="22"/>
          <w:szCs w:val="22"/>
          <w:vertAlign w:val="superscript"/>
        </w:rPr>
        <w:t>6</w:t>
      </w:r>
      <w:r w:rsidRPr="00A120A9">
        <w:rPr>
          <w:rFonts w:asciiTheme="minorHAnsi" w:hAnsiTheme="minorHAnsi" w:cs="Times New Roman"/>
          <w:iCs/>
          <w:color w:val="auto"/>
          <w:sz w:val="22"/>
          <w:szCs w:val="22"/>
        </w:rPr>
        <w:t>, Johnson T</w:t>
      </w:r>
      <w:r w:rsidRPr="00A120A9">
        <w:rPr>
          <w:rFonts w:asciiTheme="minorHAnsi" w:hAnsiTheme="minorHAnsi" w:cs="Times New Roman"/>
          <w:iCs/>
          <w:color w:val="auto"/>
          <w:sz w:val="22"/>
          <w:szCs w:val="22"/>
          <w:vertAlign w:val="superscript"/>
        </w:rPr>
        <w:t>6,7</w:t>
      </w:r>
      <w:r w:rsidRPr="00A120A9">
        <w:rPr>
          <w:rFonts w:asciiTheme="minorHAnsi" w:hAnsiTheme="minorHAnsi" w:cs="Times New Roman"/>
          <w:iCs/>
          <w:color w:val="auto"/>
          <w:sz w:val="22"/>
          <w:szCs w:val="22"/>
        </w:rPr>
        <w:t>, Caulfield M</w:t>
      </w:r>
      <w:r w:rsidRPr="00A120A9">
        <w:rPr>
          <w:rFonts w:asciiTheme="minorHAnsi" w:hAnsiTheme="minorHAnsi" w:cs="Times New Roman"/>
          <w:iCs/>
          <w:color w:val="auto"/>
          <w:sz w:val="22"/>
          <w:szCs w:val="22"/>
          <w:vertAlign w:val="superscript"/>
        </w:rPr>
        <w:t>6</w:t>
      </w:r>
      <w:r w:rsidRPr="00A120A9">
        <w:rPr>
          <w:rFonts w:asciiTheme="minorHAnsi" w:hAnsiTheme="minorHAnsi" w:cs="Times New Roman"/>
          <w:iCs/>
          <w:color w:val="auto"/>
          <w:sz w:val="22"/>
          <w:szCs w:val="22"/>
        </w:rPr>
        <w:t>, Shields DC</w:t>
      </w:r>
      <w:r w:rsidRPr="00A120A9">
        <w:rPr>
          <w:rFonts w:asciiTheme="minorHAnsi" w:hAnsiTheme="minorHAnsi" w:cs="Times New Roman"/>
          <w:iCs/>
          <w:color w:val="auto"/>
          <w:sz w:val="22"/>
          <w:szCs w:val="22"/>
          <w:vertAlign w:val="superscript"/>
        </w:rPr>
        <w:t>3</w:t>
      </w:r>
      <w:r w:rsidRPr="00A120A9">
        <w:rPr>
          <w:rFonts w:asciiTheme="minorHAnsi" w:hAnsiTheme="minorHAnsi" w:cs="Times New Roman"/>
          <w:iCs/>
          <w:color w:val="auto"/>
          <w:sz w:val="22"/>
          <w:szCs w:val="22"/>
        </w:rPr>
        <w:t>, O’Brien E</w:t>
      </w:r>
      <w:r w:rsidRPr="00A120A9">
        <w:rPr>
          <w:rFonts w:asciiTheme="minorHAnsi" w:hAnsiTheme="minorHAnsi" w:cs="Times New Roman"/>
          <w:iCs/>
          <w:color w:val="auto"/>
          <w:sz w:val="22"/>
          <w:szCs w:val="22"/>
          <w:vertAlign w:val="superscript"/>
        </w:rPr>
        <w:t>3</w:t>
      </w:r>
      <w:r w:rsidRPr="00A120A9">
        <w:rPr>
          <w:rFonts w:asciiTheme="minorHAnsi" w:hAnsiTheme="minorHAnsi" w:cs="Times New Roman"/>
          <w:iCs/>
          <w:color w:val="auto"/>
          <w:sz w:val="22"/>
          <w:szCs w:val="22"/>
        </w:rPr>
        <w:t>, Fitzgerald DJ</w:t>
      </w:r>
      <w:r w:rsidRPr="00A120A9">
        <w:rPr>
          <w:rFonts w:asciiTheme="minorHAnsi" w:hAnsiTheme="minorHAnsi" w:cs="Times New Roman"/>
          <w:iCs/>
          <w:color w:val="auto"/>
          <w:sz w:val="22"/>
          <w:szCs w:val="22"/>
          <w:vertAlign w:val="superscript"/>
        </w:rPr>
        <w:t>3</w:t>
      </w:r>
      <w:r w:rsidRPr="00A120A9">
        <w:rPr>
          <w:rFonts w:asciiTheme="minorHAnsi" w:hAnsiTheme="minorHAnsi" w:cs="Times New Roman"/>
          <w:iCs/>
          <w:color w:val="auto"/>
          <w:sz w:val="22"/>
          <w:szCs w:val="22"/>
        </w:rPr>
        <w:t>, Stanton AV</w:t>
      </w:r>
      <w:r w:rsidRPr="00A120A9">
        <w:rPr>
          <w:rFonts w:asciiTheme="minorHAnsi" w:hAnsiTheme="minorHAnsi" w:cs="Times New Roman"/>
          <w:iCs/>
          <w:color w:val="auto"/>
          <w:sz w:val="22"/>
          <w:szCs w:val="22"/>
          <w:vertAlign w:val="superscript"/>
        </w:rPr>
        <w:t>1</w:t>
      </w:r>
      <w:r w:rsidRPr="00A120A9">
        <w:rPr>
          <w:rFonts w:asciiTheme="minorHAnsi" w:hAnsiTheme="minorHAnsi" w:cs="Times New Roman"/>
          <w:iCs/>
          <w:color w:val="auto"/>
          <w:sz w:val="22"/>
          <w:szCs w:val="22"/>
        </w:rPr>
        <w:t xml:space="preserve">. </w:t>
      </w:r>
    </w:p>
    <w:p w:rsidR="001E41CE" w:rsidRPr="00A120A9" w:rsidRDefault="001E41CE" w:rsidP="00A63171">
      <w:pPr>
        <w:spacing w:line="480" w:lineRule="auto"/>
        <w:rPr>
          <w:rFonts w:asciiTheme="minorHAnsi" w:hAnsiTheme="minorHAnsi" w:cs="Times New Roman"/>
          <w:iCs/>
          <w:color w:val="auto"/>
          <w:sz w:val="22"/>
          <w:szCs w:val="22"/>
        </w:rPr>
      </w:pPr>
    </w:p>
    <w:p w:rsidR="001E41CE" w:rsidRPr="00A120A9" w:rsidRDefault="001E41CE" w:rsidP="00A63171">
      <w:pPr>
        <w:spacing w:line="480" w:lineRule="auto"/>
        <w:rPr>
          <w:rFonts w:asciiTheme="minorHAnsi" w:hAnsiTheme="minorHAnsi" w:cs="Times New Roman"/>
          <w:iCs/>
          <w:color w:val="auto"/>
          <w:sz w:val="22"/>
          <w:szCs w:val="22"/>
        </w:rPr>
      </w:pPr>
      <w:r w:rsidRPr="00A120A9">
        <w:rPr>
          <w:rFonts w:asciiTheme="minorHAnsi" w:hAnsiTheme="minorHAnsi" w:cs="Times New Roman"/>
          <w:iCs/>
          <w:color w:val="auto"/>
          <w:sz w:val="22"/>
          <w:szCs w:val="22"/>
          <w:vertAlign w:val="superscript"/>
        </w:rPr>
        <w:t>1</w:t>
      </w:r>
      <w:r w:rsidRPr="00A120A9">
        <w:rPr>
          <w:rFonts w:asciiTheme="minorHAnsi" w:hAnsiTheme="minorHAnsi" w:cs="Times New Roman"/>
          <w:iCs/>
          <w:color w:val="auto"/>
          <w:sz w:val="22"/>
          <w:szCs w:val="22"/>
        </w:rPr>
        <w:t>Molecular and Cellular Therapeutics, Royal College of Surgeons in Ireland, RCSI, Dublin, Ireland</w:t>
      </w:r>
    </w:p>
    <w:p w:rsidR="001E41CE" w:rsidRPr="00A120A9" w:rsidRDefault="001E41CE" w:rsidP="00A63171">
      <w:pPr>
        <w:spacing w:line="480" w:lineRule="auto"/>
        <w:rPr>
          <w:rFonts w:asciiTheme="minorHAnsi" w:hAnsiTheme="minorHAnsi" w:cs="Times New Roman"/>
          <w:iCs/>
          <w:color w:val="auto"/>
          <w:sz w:val="22"/>
          <w:szCs w:val="22"/>
        </w:rPr>
      </w:pPr>
      <w:r w:rsidRPr="00A120A9">
        <w:rPr>
          <w:rFonts w:asciiTheme="minorHAnsi" w:hAnsiTheme="minorHAnsi" w:cs="Times New Roman"/>
          <w:iCs/>
          <w:color w:val="auto"/>
          <w:sz w:val="22"/>
          <w:szCs w:val="22"/>
          <w:vertAlign w:val="superscript"/>
        </w:rPr>
        <w:t>2</w:t>
      </w:r>
      <w:r w:rsidRPr="00A120A9">
        <w:rPr>
          <w:rFonts w:asciiTheme="minorHAnsi" w:hAnsiTheme="minorHAnsi" w:cs="Times New Roman"/>
          <w:iCs/>
          <w:color w:val="auto"/>
          <w:sz w:val="22"/>
          <w:szCs w:val="22"/>
        </w:rPr>
        <w:t>Centre for the Genetic Origins of Health and Disease, University of Western Australia, Perth, Australia</w:t>
      </w:r>
    </w:p>
    <w:p w:rsidR="001E41CE" w:rsidRPr="00A120A9" w:rsidRDefault="001E41CE" w:rsidP="00A63171">
      <w:pPr>
        <w:spacing w:line="480" w:lineRule="auto"/>
        <w:rPr>
          <w:rFonts w:asciiTheme="minorHAnsi" w:hAnsiTheme="minorHAnsi" w:cs="Times New Roman"/>
          <w:iCs/>
          <w:color w:val="auto"/>
          <w:sz w:val="22"/>
          <w:szCs w:val="22"/>
        </w:rPr>
      </w:pPr>
      <w:r w:rsidRPr="00A120A9">
        <w:rPr>
          <w:rFonts w:asciiTheme="minorHAnsi" w:hAnsiTheme="minorHAnsi" w:cs="Times New Roman"/>
          <w:iCs/>
          <w:color w:val="auto"/>
          <w:sz w:val="22"/>
          <w:szCs w:val="22"/>
          <w:vertAlign w:val="superscript"/>
        </w:rPr>
        <w:t>3</w:t>
      </w:r>
      <w:r w:rsidRPr="00A120A9">
        <w:rPr>
          <w:rFonts w:asciiTheme="minorHAnsi" w:hAnsiTheme="minorHAnsi" w:cs="Times New Roman"/>
          <w:color w:val="auto"/>
          <w:sz w:val="22"/>
          <w:szCs w:val="22"/>
        </w:rPr>
        <w:t>School of Medicine, UCD Conway Institute,</w:t>
      </w:r>
      <w:r w:rsidRPr="00A120A9">
        <w:rPr>
          <w:rFonts w:asciiTheme="minorHAnsi" w:hAnsiTheme="minorHAnsi" w:cs="Times New Roman"/>
          <w:iCs/>
          <w:color w:val="auto"/>
          <w:sz w:val="22"/>
          <w:szCs w:val="22"/>
        </w:rPr>
        <w:t xml:space="preserve"> University College Dublin, Dublin.</w:t>
      </w:r>
    </w:p>
    <w:p w:rsidR="001E41CE" w:rsidRPr="00A120A9" w:rsidRDefault="001E41CE" w:rsidP="00A63171">
      <w:pPr>
        <w:pStyle w:val="PlainText"/>
        <w:spacing w:line="480" w:lineRule="auto"/>
        <w:rPr>
          <w:rFonts w:asciiTheme="minorHAnsi" w:hAnsiTheme="minorHAnsi" w:cs="Times New Roman"/>
          <w:color w:val="auto"/>
          <w:sz w:val="22"/>
          <w:szCs w:val="22"/>
        </w:rPr>
      </w:pPr>
      <w:r w:rsidRPr="00A120A9">
        <w:rPr>
          <w:rFonts w:asciiTheme="minorHAnsi" w:hAnsiTheme="minorHAnsi" w:cs="Times New Roman"/>
          <w:color w:val="auto"/>
          <w:sz w:val="22"/>
          <w:szCs w:val="22"/>
          <w:vertAlign w:val="superscript"/>
        </w:rPr>
        <w:t>4</w:t>
      </w:r>
      <w:r w:rsidRPr="00A120A9">
        <w:rPr>
          <w:rFonts w:asciiTheme="minorHAnsi" w:hAnsiTheme="minorHAnsi" w:cs="Times New Roman"/>
          <w:color w:val="auto"/>
          <w:sz w:val="22"/>
          <w:szCs w:val="22"/>
        </w:rPr>
        <w:t>Newcastle University Protein and Proteome Analysis (NUPPA), University of Newcastle, Newcastle upon Tyne, United Kingdom</w:t>
      </w:r>
    </w:p>
    <w:p w:rsidR="001E41CE" w:rsidRPr="00A120A9" w:rsidRDefault="001E41CE" w:rsidP="00A63171">
      <w:pPr>
        <w:pStyle w:val="Heading1"/>
        <w:spacing w:before="0" w:after="0" w:line="480" w:lineRule="auto"/>
        <w:rPr>
          <w:rFonts w:asciiTheme="minorHAnsi" w:hAnsiTheme="minorHAnsi"/>
          <w:b w:val="0"/>
          <w:color w:val="auto"/>
          <w:sz w:val="22"/>
          <w:szCs w:val="22"/>
        </w:rPr>
      </w:pPr>
      <w:r w:rsidRPr="00A120A9">
        <w:rPr>
          <w:rFonts w:asciiTheme="minorHAnsi" w:hAnsiTheme="minorHAnsi"/>
          <w:b w:val="0"/>
          <w:iCs/>
          <w:color w:val="auto"/>
          <w:sz w:val="22"/>
          <w:szCs w:val="22"/>
          <w:vertAlign w:val="superscript"/>
          <w:lang w:val="en-GB"/>
        </w:rPr>
        <w:t>5</w:t>
      </w:r>
      <w:r w:rsidRPr="00A120A9">
        <w:rPr>
          <w:rFonts w:asciiTheme="minorHAnsi" w:hAnsiTheme="minorHAnsi"/>
          <w:b w:val="0"/>
          <w:color w:val="auto"/>
          <w:sz w:val="22"/>
          <w:szCs w:val="22"/>
        </w:rPr>
        <w:t>International Centre for Circulatory Health, Imperial College London, London, UK</w:t>
      </w:r>
    </w:p>
    <w:p w:rsidR="001E41CE" w:rsidRPr="00A120A9" w:rsidRDefault="001E41CE" w:rsidP="00A63171">
      <w:pPr>
        <w:spacing w:line="480" w:lineRule="auto"/>
        <w:rPr>
          <w:rFonts w:asciiTheme="minorHAnsi" w:hAnsiTheme="minorHAnsi" w:cs="Times New Roman"/>
          <w:color w:val="auto"/>
          <w:sz w:val="22"/>
          <w:szCs w:val="22"/>
        </w:rPr>
      </w:pPr>
      <w:r w:rsidRPr="00A120A9">
        <w:rPr>
          <w:rFonts w:asciiTheme="minorHAnsi" w:hAnsiTheme="minorHAnsi" w:cs="Times New Roman"/>
          <w:iCs/>
          <w:color w:val="auto"/>
          <w:sz w:val="22"/>
          <w:szCs w:val="22"/>
          <w:vertAlign w:val="superscript"/>
        </w:rPr>
        <w:t>6</w:t>
      </w:r>
      <w:r w:rsidRPr="00A120A9">
        <w:rPr>
          <w:rFonts w:asciiTheme="minorHAnsi" w:hAnsiTheme="minorHAnsi" w:cs="Times New Roman"/>
          <w:color w:val="auto"/>
          <w:sz w:val="22"/>
          <w:szCs w:val="22"/>
        </w:rPr>
        <w:t>Clinical Pharmacology, William Harvey Research Institute, Barts and the London Medical School, Queen Mary University of London and NIHR Barts Cardiovascular Biomedical Research Unit, London, UK</w:t>
      </w:r>
    </w:p>
    <w:p w:rsidR="001E41CE" w:rsidRPr="00A120A9" w:rsidRDefault="001E41CE" w:rsidP="00A63171">
      <w:pPr>
        <w:spacing w:line="480" w:lineRule="auto"/>
        <w:rPr>
          <w:rFonts w:asciiTheme="minorHAnsi" w:hAnsiTheme="minorHAnsi" w:cs="Times New Roman"/>
          <w:color w:val="auto"/>
          <w:sz w:val="22"/>
          <w:szCs w:val="22"/>
        </w:rPr>
      </w:pPr>
      <w:r w:rsidRPr="00A120A9">
        <w:rPr>
          <w:rFonts w:asciiTheme="minorHAnsi" w:hAnsiTheme="minorHAnsi" w:cs="Times New Roman"/>
          <w:color w:val="auto"/>
          <w:sz w:val="22"/>
          <w:szCs w:val="22"/>
          <w:vertAlign w:val="superscript"/>
        </w:rPr>
        <w:t>7</w:t>
      </w:r>
      <w:r w:rsidRPr="00A120A9">
        <w:rPr>
          <w:rFonts w:asciiTheme="minorHAnsi" w:hAnsiTheme="minorHAnsi" w:cs="Times New Roman"/>
          <w:color w:val="auto"/>
          <w:sz w:val="22"/>
          <w:szCs w:val="22"/>
        </w:rPr>
        <w:t>GlaxoSmithKline, Gunnels Wood Road, Stevenage SG1 2NY, UK</w:t>
      </w:r>
    </w:p>
    <w:p w:rsidR="001E41CE" w:rsidRPr="00A120A9" w:rsidRDefault="001E41CE" w:rsidP="00A63171">
      <w:pPr>
        <w:spacing w:line="480" w:lineRule="auto"/>
        <w:rPr>
          <w:rFonts w:asciiTheme="minorHAnsi" w:eastAsia="Adobe Kaiti Std R" w:hAnsiTheme="minorHAnsi" w:cs="Times New Roman"/>
          <w:bCs/>
          <w:color w:val="auto"/>
          <w:sz w:val="22"/>
          <w:szCs w:val="22"/>
        </w:rPr>
      </w:pPr>
    </w:p>
    <w:p w:rsidR="001E41CE" w:rsidRPr="00A120A9" w:rsidRDefault="001E41CE" w:rsidP="00A63171">
      <w:pPr>
        <w:spacing w:line="480" w:lineRule="auto"/>
        <w:rPr>
          <w:rFonts w:asciiTheme="minorHAnsi" w:eastAsia="Adobe Kaiti Std R" w:hAnsiTheme="minorHAnsi" w:cs="Times New Roman"/>
          <w:b/>
          <w:bCs/>
          <w:color w:val="auto"/>
          <w:sz w:val="22"/>
          <w:szCs w:val="22"/>
        </w:rPr>
      </w:pPr>
      <w:r w:rsidRPr="00A120A9">
        <w:rPr>
          <w:rFonts w:asciiTheme="minorHAnsi" w:eastAsia="Adobe Kaiti Std R" w:hAnsiTheme="minorHAnsi" w:cs="Times New Roman"/>
          <w:b/>
          <w:bCs/>
          <w:color w:val="auto"/>
          <w:sz w:val="22"/>
          <w:szCs w:val="22"/>
        </w:rPr>
        <w:t xml:space="preserve">Corresponding author address: </w:t>
      </w:r>
    </w:p>
    <w:p w:rsidR="001E41CE" w:rsidRPr="00A120A9" w:rsidRDefault="001E41CE" w:rsidP="00A63171">
      <w:pPr>
        <w:spacing w:line="480" w:lineRule="auto"/>
        <w:rPr>
          <w:rFonts w:asciiTheme="minorHAnsi" w:eastAsia="Adobe Kaiti Std R" w:hAnsiTheme="minorHAnsi" w:cs="Times New Roman"/>
          <w:bCs/>
          <w:color w:val="auto"/>
          <w:sz w:val="22"/>
          <w:szCs w:val="22"/>
        </w:rPr>
      </w:pPr>
      <w:r w:rsidRPr="00A120A9">
        <w:rPr>
          <w:rFonts w:asciiTheme="minorHAnsi" w:eastAsia="Adobe Kaiti Std R" w:hAnsiTheme="minorHAnsi" w:cs="Times New Roman"/>
          <w:bCs/>
          <w:color w:val="auto"/>
          <w:sz w:val="22"/>
          <w:szCs w:val="22"/>
        </w:rPr>
        <w:t>Name: Nina S. McCarthy</w:t>
      </w:r>
    </w:p>
    <w:p w:rsidR="001E41CE" w:rsidRPr="00A120A9" w:rsidRDefault="001E41CE" w:rsidP="00A63171">
      <w:pPr>
        <w:spacing w:line="480" w:lineRule="auto"/>
        <w:rPr>
          <w:rFonts w:asciiTheme="minorHAnsi" w:hAnsiTheme="minorHAnsi" w:cs="Times New Roman"/>
          <w:iCs/>
          <w:color w:val="auto"/>
          <w:sz w:val="22"/>
          <w:szCs w:val="22"/>
        </w:rPr>
      </w:pPr>
      <w:r w:rsidRPr="00A120A9">
        <w:rPr>
          <w:rFonts w:asciiTheme="minorHAnsi" w:hAnsiTheme="minorHAnsi" w:cs="Times New Roman"/>
          <w:iCs/>
          <w:color w:val="auto"/>
          <w:sz w:val="22"/>
          <w:szCs w:val="22"/>
        </w:rPr>
        <w:t xml:space="preserve">Street Address: </w:t>
      </w:r>
    </w:p>
    <w:p w:rsidR="001E41CE" w:rsidRPr="00A120A9" w:rsidRDefault="001E41CE" w:rsidP="00A63171">
      <w:pPr>
        <w:spacing w:line="480" w:lineRule="auto"/>
        <w:rPr>
          <w:rFonts w:asciiTheme="minorHAnsi" w:hAnsiTheme="minorHAnsi" w:cs="Times New Roman"/>
          <w:iCs/>
          <w:color w:val="auto"/>
          <w:sz w:val="22"/>
          <w:szCs w:val="22"/>
        </w:rPr>
      </w:pPr>
      <w:r w:rsidRPr="00A120A9">
        <w:rPr>
          <w:rFonts w:asciiTheme="minorHAnsi" w:hAnsiTheme="minorHAnsi" w:cs="Times New Roman"/>
          <w:iCs/>
          <w:color w:val="auto"/>
          <w:sz w:val="22"/>
          <w:szCs w:val="22"/>
        </w:rPr>
        <w:t>Centre for the Genetic Origins of Health and Disease, Level 5,</w:t>
      </w:r>
    </w:p>
    <w:p w:rsidR="001E41CE" w:rsidRPr="00A120A9" w:rsidRDefault="001E41CE" w:rsidP="00A63171">
      <w:pPr>
        <w:spacing w:line="480" w:lineRule="auto"/>
        <w:rPr>
          <w:rFonts w:asciiTheme="minorHAnsi" w:hAnsiTheme="minorHAnsi" w:cs="Times New Roman"/>
          <w:iCs/>
          <w:color w:val="auto"/>
          <w:sz w:val="22"/>
          <w:szCs w:val="22"/>
        </w:rPr>
      </w:pPr>
      <w:r w:rsidRPr="00A120A9">
        <w:rPr>
          <w:rFonts w:asciiTheme="minorHAnsi" w:hAnsiTheme="minorHAnsi" w:cs="Times New Roman"/>
          <w:iCs/>
          <w:color w:val="auto"/>
          <w:sz w:val="22"/>
          <w:szCs w:val="22"/>
        </w:rPr>
        <w:lastRenderedPageBreak/>
        <w:t xml:space="preserve">MRF Building, </w:t>
      </w:r>
    </w:p>
    <w:p w:rsidR="001E41CE" w:rsidRPr="00A120A9" w:rsidRDefault="001E41CE" w:rsidP="00A63171">
      <w:pPr>
        <w:spacing w:line="480" w:lineRule="auto"/>
        <w:rPr>
          <w:rFonts w:asciiTheme="minorHAnsi" w:hAnsiTheme="minorHAnsi" w:cs="Times New Roman"/>
          <w:iCs/>
          <w:color w:val="auto"/>
          <w:sz w:val="22"/>
          <w:szCs w:val="22"/>
        </w:rPr>
      </w:pPr>
      <w:r w:rsidRPr="00A120A9">
        <w:rPr>
          <w:rFonts w:asciiTheme="minorHAnsi" w:hAnsiTheme="minorHAnsi" w:cs="Times New Roman"/>
          <w:iCs/>
          <w:color w:val="auto"/>
          <w:sz w:val="22"/>
          <w:szCs w:val="22"/>
        </w:rPr>
        <w:t>50 Murray St,</w:t>
      </w:r>
    </w:p>
    <w:p w:rsidR="001E41CE" w:rsidRPr="00A120A9" w:rsidRDefault="001E41CE" w:rsidP="00A63171">
      <w:pPr>
        <w:spacing w:line="480" w:lineRule="auto"/>
        <w:rPr>
          <w:rFonts w:asciiTheme="minorHAnsi" w:hAnsiTheme="minorHAnsi" w:cs="Times New Roman"/>
          <w:iCs/>
          <w:color w:val="auto"/>
          <w:sz w:val="22"/>
          <w:szCs w:val="22"/>
        </w:rPr>
      </w:pPr>
      <w:r w:rsidRPr="00A120A9">
        <w:rPr>
          <w:rFonts w:asciiTheme="minorHAnsi" w:hAnsiTheme="minorHAnsi" w:cs="Times New Roman"/>
          <w:iCs/>
          <w:color w:val="auto"/>
          <w:sz w:val="22"/>
          <w:szCs w:val="22"/>
        </w:rPr>
        <w:t>WA 6000</w:t>
      </w:r>
    </w:p>
    <w:p w:rsidR="001E41CE" w:rsidRPr="00A120A9" w:rsidRDefault="001E41CE" w:rsidP="00A63171">
      <w:pPr>
        <w:spacing w:line="480" w:lineRule="auto"/>
        <w:rPr>
          <w:rFonts w:asciiTheme="minorHAnsi" w:hAnsiTheme="minorHAnsi" w:cs="Times New Roman"/>
          <w:iCs/>
          <w:color w:val="auto"/>
          <w:sz w:val="22"/>
          <w:szCs w:val="22"/>
        </w:rPr>
      </w:pPr>
      <w:r w:rsidRPr="00A120A9">
        <w:rPr>
          <w:rFonts w:asciiTheme="minorHAnsi" w:hAnsiTheme="minorHAnsi" w:cs="Times New Roman"/>
          <w:iCs/>
          <w:color w:val="auto"/>
          <w:sz w:val="22"/>
          <w:szCs w:val="22"/>
        </w:rPr>
        <w:t xml:space="preserve">Australia </w:t>
      </w:r>
    </w:p>
    <w:p w:rsidR="001E41CE" w:rsidRPr="00A120A9" w:rsidRDefault="001E41CE" w:rsidP="00A63171">
      <w:pPr>
        <w:spacing w:line="480" w:lineRule="auto"/>
        <w:rPr>
          <w:rFonts w:asciiTheme="minorHAnsi" w:eastAsia="Adobe Kaiti Std R" w:hAnsiTheme="minorHAnsi" w:cs="Times New Roman"/>
          <w:bCs/>
          <w:color w:val="auto"/>
          <w:sz w:val="22"/>
          <w:szCs w:val="22"/>
        </w:rPr>
      </w:pPr>
      <w:r w:rsidRPr="00A120A9">
        <w:rPr>
          <w:rFonts w:asciiTheme="minorHAnsi" w:eastAsia="Adobe Kaiti Std R" w:hAnsiTheme="minorHAnsi" w:cs="Times New Roman"/>
          <w:bCs/>
          <w:color w:val="auto"/>
          <w:sz w:val="22"/>
          <w:szCs w:val="22"/>
        </w:rPr>
        <w:t>Tel: +61(0)424567369</w:t>
      </w:r>
    </w:p>
    <w:p w:rsidR="001E41CE" w:rsidRPr="00A120A9" w:rsidRDefault="001E41CE" w:rsidP="00A63171">
      <w:pPr>
        <w:spacing w:line="480" w:lineRule="auto"/>
        <w:rPr>
          <w:rFonts w:asciiTheme="minorHAnsi" w:eastAsia="Adobe Kaiti Std R" w:hAnsiTheme="minorHAnsi" w:cs="Times New Roman"/>
          <w:bCs/>
          <w:color w:val="auto"/>
          <w:sz w:val="22"/>
          <w:szCs w:val="22"/>
        </w:rPr>
      </w:pPr>
      <w:r w:rsidRPr="00A120A9">
        <w:rPr>
          <w:rFonts w:asciiTheme="minorHAnsi" w:eastAsia="Adobe Kaiti Std R" w:hAnsiTheme="minorHAnsi" w:cs="Times New Roman"/>
          <w:bCs/>
          <w:color w:val="auto"/>
          <w:sz w:val="22"/>
          <w:szCs w:val="22"/>
        </w:rPr>
        <w:t>Email: nina.mccarthy@uwa.edu</w:t>
      </w:r>
    </w:p>
    <w:p w:rsidR="001E41CE" w:rsidRPr="00A120A9" w:rsidRDefault="001E41CE" w:rsidP="00A63171">
      <w:pPr>
        <w:spacing w:line="480" w:lineRule="auto"/>
        <w:rPr>
          <w:rFonts w:asciiTheme="minorHAnsi" w:eastAsia="Adobe Kaiti Std R" w:hAnsiTheme="minorHAnsi" w:cs="Times New Roman"/>
          <w:b/>
          <w:bCs/>
          <w:color w:val="auto"/>
          <w:sz w:val="22"/>
          <w:szCs w:val="22"/>
          <w:u w:val="single"/>
        </w:rPr>
      </w:pPr>
    </w:p>
    <w:p w:rsidR="001E41CE" w:rsidRPr="00A120A9" w:rsidRDefault="001E41CE" w:rsidP="00A63171">
      <w:pPr>
        <w:spacing w:line="480" w:lineRule="auto"/>
        <w:rPr>
          <w:rFonts w:asciiTheme="minorHAnsi" w:hAnsiTheme="minorHAnsi" w:cs="Times New Roman"/>
          <w:color w:val="auto"/>
          <w:sz w:val="22"/>
          <w:szCs w:val="22"/>
          <w:lang w:val="en-AU" w:eastAsia="en-AU"/>
        </w:rPr>
      </w:pPr>
      <w:r w:rsidRPr="00A120A9">
        <w:rPr>
          <w:rFonts w:asciiTheme="minorHAnsi" w:hAnsiTheme="minorHAnsi" w:cs="Times New Roman"/>
          <w:b/>
          <w:color w:val="auto"/>
          <w:sz w:val="22"/>
          <w:szCs w:val="22"/>
          <w:lang w:val="en-AU" w:eastAsia="en-AU"/>
        </w:rPr>
        <w:t>Total Word Count:</w:t>
      </w:r>
      <w:r w:rsidRPr="00A120A9">
        <w:rPr>
          <w:rFonts w:asciiTheme="minorHAnsi" w:hAnsiTheme="minorHAnsi" w:cs="Times New Roman"/>
          <w:color w:val="auto"/>
          <w:sz w:val="22"/>
          <w:szCs w:val="22"/>
          <w:lang w:val="en-AU" w:eastAsia="en-AU"/>
        </w:rPr>
        <w:t xml:space="preserve"> 3,822 (</w:t>
      </w:r>
      <w:r w:rsidRPr="00A120A9">
        <w:rPr>
          <w:rFonts w:asciiTheme="minorHAnsi" w:hAnsiTheme="minorHAnsi"/>
          <w:color w:val="auto"/>
          <w:sz w:val="22"/>
          <w:szCs w:val="22"/>
          <w:shd w:val="clear" w:color="auto" w:fill="FFFFFF"/>
        </w:rPr>
        <w:t>incl abstract, text, tables and figures legends</w:t>
      </w:r>
      <w:r w:rsidRPr="00A120A9">
        <w:rPr>
          <w:rFonts w:asciiTheme="minorHAnsi" w:hAnsiTheme="minorHAnsi" w:cs="Times New Roman"/>
          <w:color w:val="auto"/>
          <w:sz w:val="22"/>
          <w:szCs w:val="22"/>
          <w:lang w:val="en-AU" w:eastAsia="en-AU"/>
        </w:rPr>
        <w:t>)</w:t>
      </w:r>
    </w:p>
    <w:p w:rsidR="001E41CE" w:rsidRPr="00A120A9" w:rsidRDefault="001E41CE" w:rsidP="00A63171">
      <w:pPr>
        <w:spacing w:line="480" w:lineRule="auto"/>
        <w:rPr>
          <w:rFonts w:asciiTheme="minorHAnsi" w:eastAsia="Adobe Kaiti Std R" w:hAnsiTheme="minorHAnsi" w:cs="Times New Roman"/>
          <w:bCs/>
          <w:color w:val="auto"/>
          <w:sz w:val="22"/>
          <w:szCs w:val="22"/>
        </w:rPr>
      </w:pPr>
      <w:r w:rsidRPr="00A120A9">
        <w:rPr>
          <w:rFonts w:asciiTheme="minorHAnsi" w:eastAsia="Adobe Kaiti Std R" w:hAnsiTheme="minorHAnsi" w:cs="Times New Roman"/>
          <w:b/>
          <w:bCs/>
          <w:color w:val="auto"/>
          <w:sz w:val="22"/>
          <w:szCs w:val="22"/>
        </w:rPr>
        <w:t xml:space="preserve">Number of Figures: </w:t>
      </w:r>
      <w:r w:rsidRPr="00A120A9">
        <w:rPr>
          <w:rFonts w:asciiTheme="minorHAnsi" w:eastAsia="Adobe Kaiti Std R" w:hAnsiTheme="minorHAnsi" w:cs="Times New Roman"/>
          <w:bCs/>
          <w:color w:val="auto"/>
          <w:sz w:val="22"/>
          <w:szCs w:val="22"/>
        </w:rPr>
        <w:t>2</w:t>
      </w:r>
    </w:p>
    <w:p w:rsidR="001E41CE" w:rsidRPr="00A120A9" w:rsidRDefault="001E41CE" w:rsidP="00A63171">
      <w:pPr>
        <w:spacing w:line="480" w:lineRule="auto"/>
        <w:rPr>
          <w:rFonts w:asciiTheme="minorHAnsi" w:eastAsia="Adobe Kaiti Std R" w:hAnsiTheme="minorHAnsi" w:cs="Times New Roman"/>
          <w:bCs/>
          <w:color w:val="auto"/>
          <w:sz w:val="22"/>
          <w:szCs w:val="22"/>
        </w:rPr>
      </w:pPr>
      <w:r w:rsidRPr="00A120A9">
        <w:rPr>
          <w:rFonts w:asciiTheme="minorHAnsi" w:eastAsia="Adobe Kaiti Std R" w:hAnsiTheme="minorHAnsi" w:cs="Times New Roman"/>
          <w:b/>
          <w:bCs/>
          <w:color w:val="auto"/>
          <w:sz w:val="22"/>
          <w:szCs w:val="22"/>
        </w:rPr>
        <w:t>Number of Tables</w:t>
      </w:r>
      <w:r w:rsidRPr="00A120A9">
        <w:rPr>
          <w:rFonts w:asciiTheme="minorHAnsi" w:eastAsia="Adobe Kaiti Std R" w:hAnsiTheme="minorHAnsi" w:cs="Times New Roman"/>
          <w:bCs/>
          <w:color w:val="auto"/>
          <w:sz w:val="22"/>
          <w:szCs w:val="22"/>
        </w:rPr>
        <w:t>: 3</w:t>
      </w:r>
    </w:p>
    <w:p w:rsidR="001E41CE" w:rsidRPr="00A120A9" w:rsidRDefault="001E41CE" w:rsidP="00A63171">
      <w:pPr>
        <w:spacing w:line="480" w:lineRule="auto"/>
        <w:rPr>
          <w:rFonts w:asciiTheme="minorHAnsi" w:eastAsia="Adobe Kaiti Std R" w:hAnsiTheme="minorHAnsi" w:cs="Times New Roman"/>
          <w:bCs/>
          <w:color w:val="auto"/>
          <w:sz w:val="22"/>
          <w:szCs w:val="22"/>
        </w:rPr>
      </w:pPr>
      <w:r w:rsidRPr="00A120A9">
        <w:rPr>
          <w:rFonts w:asciiTheme="minorHAnsi" w:eastAsia="Adobe Kaiti Std R" w:hAnsiTheme="minorHAnsi" w:cs="Times New Roman"/>
          <w:b/>
          <w:bCs/>
          <w:color w:val="auto"/>
          <w:sz w:val="22"/>
          <w:szCs w:val="22"/>
        </w:rPr>
        <w:t xml:space="preserve">Number of Supplementary Files: </w:t>
      </w:r>
      <w:r w:rsidRPr="00A120A9">
        <w:rPr>
          <w:rFonts w:asciiTheme="minorHAnsi" w:eastAsia="Adobe Kaiti Std R" w:hAnsiTheme="minorHAnsi" w:cs="Times New Roman"/>
          <w:bCs/>
          <w:color w:val="auto"/>
          <w:sz w:val="22"/>
          <w:szCs w:val="22"/>
        </w:rPr>
        <w:t>1</w:t>
      </w:r>
    </w:p>
    <w:p w:rsidR="001E41CE" w:rsidRPr="00A120A9" w:rsidRDefault="001E41CE" w:rsidP="00A63171">
      <w:pPr>
        <w:spacing w:line="480" w:lineRule="auto"/>
        <w:rPr>
          <w:rFonts w:asciiTheme="minorHAnsi" w:eastAsia="Adobe Kaiti Std R" w:hAnsiTheme="minorHAnsi" w:cs="Times New Roman"/>
          <w:b/>
          <w:bCs/>
          <w:color w:val="auto"/>
          <w:sz w:val="22"/>
          <w:szCs w:val="22"/>
          <w:u w:val="single"/>
        </w:rPr>
      </w:pPr>
    </w:p>
    <w:p w:rsidR="001E41CE" w:rsidRPr="00A120A9" w:rsidRDefault="001E41CE" w:rsidP="00A63171">
      <w:pPr>
        <w:spacing w:line="480" w:lineRule="auto"/>
        <w:rPr>
          <w:rFonts w:asciiTheme="minorHAnsi" w:eastAsia="Adobe Kaiti Std R" w:hAnsiTheme="minorHAnsi" w:cs="Times New Roman"/>
          <w:b/>
          <w:bCs/>
          <w:color w:val="auto"/>
          <w:sz w:val="22"/>
          <w:szCs w:val="22"/>
        </w:rPr>
      </w:pPr>
      <w:r w:rsidRPr="00A120A9">
        <w:rPr>
          <w:rFonts w:asciiTheme="minorHAnsi" w:eastAsia="Adobe Kaiti Std R" w:hAnsiTheme="minorHAnsi" w:cs="Times New Roman"/>
          <w:b/>
          <w:bCs/>
          <w:color w:val="auto"/>
          <w:sz w:val="22"/>
          <w:szCs w:val="22"/>
        </w:rPr>
        <w:t xml:space="preserve">Journal Subject Terms: </w:t>
      </w:r>
    </w:p>
    <w:p w:rsidR="001E41CE" w:rsidRPr="00A120A9" w:rsidRDefault="001E41CE" w:rsidP="00A63171">
      <w:pPr>
        <w:numPr>
          <w:ilvl w:val="0"/>
          <w:numId w:val="13"/>
        </w:numPr>
        <w:spacing w:line="480" w:lineRule="auto"/>
        <w:rPr>
          <w:rFonts w:asciiTheme="minorHAnsi" w:eastAsia="Adobe Kaiti Std R" w:hAnsiTheme="minorHAnsi" w:cs="Times New Roman"/>
          <w:bCs/>
          <w:color w:val="auto"/>
          <w:sz w:val="22"/>
          <w:szCs w:val="22"/>
        </w:rPr>
      </w:pPr>
      <w:r w:rsidRPr="00A120A9">
        <w:rPr>
          <w:rFonts w:asciiTheme="minorHAnsi" w:eastAsia="Adobe Kaiti Std R" w:hAnsiTheme="minorHAnsi" w:cs="Times New Roman"/>
          <w:bCs/>
          <w:color w:val="auto"/>
          <w:sz w:val="22"/>
          <w:szCs w:val="22"/>
        </w:rPr>
        <w:t xml:space="preserve">Genetic, Association Studies  </w:t>
      </w:r>
    </w:p>
    <w:p w:rsidR="001E41CE" w:rsidRPr="00A120A9" w:rsidRDefault="001E41CE" w:rsidP="00A63171">
      <w:pPr>
        <w:numPr>
          <w:ilvl w:val="0"/>
          <w:numId w:val="13"/>
        </w:numPr>
        <w:spacing w:line="480" w:lineRule="auto"/>
        <w:rPr>
          <w:rFonts w:asciiTheme="minorHAnsi" w:eastAsia="Adobe Kaiti Std R" w:hAnsiTheme="minorHAnsi" w:cs="Times New Roman"/>
          <w:bCs/>
          <w:color w:val="auto"/>
          <w:sz w:val="22"/>
          <w:szCs w:val="22"/>
        </w:rPr>
      </w:pPr>
      <w:r w:rsidRPr="00A120A9">
        <w:rPr>
          <w:rFonts w:asciiTheme="minorHAnsi" w:eastAsia="Adobe Kaiti Std R" w:hAnsiTheme="minorHAnsi" w:cs="Times New Roman"/>
          <w:bCs/>
          <w:color w:val="auto"/>
          <w:sz w:val="22"/>
          <w:szCs w:val="22"/>
        </w:rPr>
        <w:t xml:space="preserve">Thrombosis </w:t>
      </w:r>
    </w:p>
    <w:p w:rsidR="001E41CE" w:rsidRPr="00A120A9" w:rsidRDefault="001E41CE" w:rsidP="00A63171">
      <w:pPr>
        <w:spacing w:line="480" w:lineRule="auto"/>
        <w:rPr>
          <w:rFonts w:asciiTheme="minorHAnsi" w:eastAsia="Adobe Kaiti Std R" w:hAnsiTheme="minorHAnsi" w:cs="Times New Roman"/>
          <w:bCs/>
          <w:color w:val="auto"/>
          <w:sz w:val="22"/>
          <w:szCs w:val="22"/>
        </w:rPr>
      </w:pPr>
    </w:p>
    <w:p w:rsidR="001E41CE" w:rsidRPr="00A120A9" w:rsidRDefault="001E41CE" w:rsidP="00A63171">
      <w:pPr>
        <w:spacing w:line="480" w:lineRule="auto"/>
        <w:rPr>
          <w:rFonts w:asciiTheme="minorHAnsi" w:eastAsia="Adobe Kaiti Std R" w:hAnsiTheme="minorHAnsi" w:cs="Times New Roman"/>
          <w:bCs/>
          <w:color w:val="auto"/>
          <w:sz w:val="22"/>
          <w:szCs w:val="22"/>
        </w:rPr>
      </w:pPr>
    </w:p>
    <w:p w:rsidR="001E41CE" w:rsidRPr="00A120A9" w:rsidRDefault="001E41CE" w:rsidP="00A63171">
      <w:pPr>
        <w:spacing w:line="480" w:lineRule="auto"/>
        <w:rPr>
          <w:rFonts w:asciiTheme="minorHAnsi" w:eastAsia="Adobe Kaiti Std R" w:hAnsiTheme="minorHAnsi" w:cs="Times New Roman"/>
          <w:b/>
          <w:bCs/>
          <w:color w:val="auto"/>
          <w:sz w:val="22"/>
          <w:szCs w:val="22"/>
        </w:rPr>
      </w:pPr>
    </w:p>
    <w:p w:rsidR="001E41CE" w:rsidRPr="00A120A9" w:rsidRDefault="001E41CE" w:rsidP="00A63171">
      <w:pPr>
        <w:spacing w:line="480" w:lineRule="auto"/>
        <w:rPr>
          <w:rFonts w:asciiTheme="minorHAnsi" w:eastAsia="Adobe Kaiti Std R" w:hAnsiTheme="minorHAnsi" w:cs="Times New Roman"/>
          <w:b/>
          <w:bCs/>
          <w:color w:val="auto"/>
          <w:sz w:val="22"/>
          <w:szCs w:val="22"/>
        </w:rPr>
      </w:pPr>
    </w:p>
    <w:p w:rsidR="001E41CE" w:rsidRPr="00A120A9" w:rsidRDefault="001E41CE" w:rsidP="00A63171">
      <w:pPr>
        <w:spacing w:line="480" w:lineRule="auto"/>
        <w:rPr>
          <w:rFonts w:asciiTheme="minorHAnsi" w:eastAsia="Adobe Kaiti Std R" w:hAnsiTheme="minorHAnsi" w:cs="Times New Roman"/>
          <w:b/>
          <w:bCs/>
          <w:color w:val="auto"/>
          <w:sz w:val="22"/>
          <w:szCs w:val="22"/>
        </w:rPr>
      </w:pPr>
    </w:p>
    <w:p w:rsidR="001E41CE" w:rsidRPr="00A120A9" w:rsidRDefault="001E41CE" w:rsidP="00A63171">
      <w:pPr>
        <w:spacing w:line="480" w:lineRule="auto"/>
        <w:rPr>
          <w:rFonts w:asciiTheme="minorHAnsi" w:eastAsia="Adobe Kaiti Std R" w:hAnsiTheme="minorHAnsi" w:cs="Times New Roman"/>
          <w:b/>
          <w:bCs/>
          <w:color w:val="auto"/>
          <w:sz w:val="22"/>
          <w:szCs w:val="22"/>
        </w:rPr>
      </w:pPr>
    </w:p>
    <w:p w:rsidR="001E41CE" w:rsidRPr="00A120A9" w:rsidRDefault="001E41CE" w:rsidP="00A63171">
      <w:pPr>
        <w:spacing w:line="480" w:lineRule="auto"/>
        <w:rPr>
          <w:rFonts w:asciiTheme="minorHAnsi" w:eastAsia="Adobe Kaiti Std R" w:hAnsiTheme="minorHAnsi" w:cs="Times New Roman"/>
          <w:b/>
          <w:bCs/>
          <w:color w:val="auto"/>
          <w:sz w:val="22"/>
          <w:szCs w:val="22"/>
        </w:rPr>
      </w:pPr>
    </w:p>
    <w:p w:rsidR="001E41CE" w:rsidRPr="00A120A9" w:rsidRDefault="001E41CE" w:rsidP="00A63171">
      <w:pPr>
        <w:spacing w:line="480" w:lineRule="auto"/>
        <w:rPr>
          <w:rFonts w:asciiTheme="minorHAnsi" w:eastAsia="Adobe Kaiti Std R" w:hAnsiTheme="minorHAnsi" w:cs="Times New Roman"/>
          <w:b/>
          <w:bCs/>
          <w:color w:val="auto"/>
          <w:sz w:val="22"/>
          <w:szCs w:val="22"/>
        </w:rPr>
      </w:pPr>
    </w:p>
    <w:p w:rsidR="001E41CE" w:rsidRPr="00A120A9" w:rsidRDefault="001E41CE" w:rsidP="00A63171">
      <w:pPr>
        <w:spacing w:line="480" w:lineRule="auto"/>
        <w:rPr>
          <w:rFonts w:asciiTheme="minorHAnsi" w:eastAsia="Adobe Kaiti Std R" w:hAnsiTheme="minorHAnsi" w:cs="Times New Roman"/>
          <w:b/>
          <w:bCs/>
          <w:color w:val="auto"/>
          <w:sz w:val="22"/>
          <w:szCs w:val="22"/>
        </w:rPr>
      </w:pPr>
    </w:p>
    <w:p w:rsidR="001E41CE" w:rsidRPr="00A120A9" w:rsidRDefault="001E41CE" w:rsidP="00A63171">
      <w:pPr>
        <w:spacing w:line="480" w:lineRule="auto"/>
        <w:rPr>
          <w:rFonts w:asciiTheme="minorHAnsi" w:eastAsia="Adobe Kaiti Std R" w:hAnsiTheme="minorHAnsi" w:cs="Times New Roman"/>
          <w:b/>
          <w:bCs/>
          <w:color w:val="auto"/>
          <w:sz w:val="22"/>
          <w:szCs w:val="22"/>
        </w:rPr>
      </w:pPr>
    </w:p>
    <w:p w:rsidR="001E41CE" w:rsidRPr="00A120A9" w:rsidRDefault="001E41CE" w:rsidP="00A63171">
      <w:pPr>
        <w:spacing w:line="480" w:lineRule="auto"/>
        <w:rPr>
          <w:rFonts w:asciiTheme="minorHAnsi" w:eastAsia="Adobe Kaiti Std R" w:hAnsiTheme="minorHAnsi" w:cs="Times New Roman"/>
          <w:b/>
          <w:bCs/>
          <w:color w:val="auto"/>
          <w:sz w:val="22"/>
          <w:szCs w:val="22"/>
        </w:rPr>
      </w:pPr>
    </w:p>
    <w:p w:rsidR="001E41CE" w:rsidRPr="00A120A9" w:rsidRDefault="001E41CE" w:rsidP="00A63171">
      <w:pPr>
        <w:spacing w:line="480" w:lineRule="auto"/>
        <w:rPr>
          <w:rFonts w:asciiTheme="minorHAnsi" w:eastAsia="Adobe Kaiti Std R" w:hAnsiTheme="minorHAnsi" w:cs="Times New Roman"/>
          <w:b/>
          <w:bCs/>
          <w:color w:val="auto"/>
          <w:sz w:val="22"/>
          <w:szCs w:val="22"/>
          <w:u w:val="single"/>
        </w:rPr>
      </w:pPr>
      <w:r w:rsidRPr="00A120A9">
        <w:rPr>
          <w:rFonts w:asciiTheme="minorHAnsi" w:eastAsia="Adobe Kaiti Std R" w:hAnsiTheme="minorHAnsi" w:cs="Times New Roman"/>
          <w:b/>
          <w:bCs/>
          <w:color w:val="auto"/>
          <w:sz w:val="22"/>
          <w:szCs w:val="22"/>
          <w:u w:val="single"/>
        </w:rPr>
        <w:lastRenderedPageBreak/>
        <w:t xml:space="preserve">Abstract </w:t>
      </w:r>
    </w:p>
    <w:p w:rsidR="001E41CE" w:rsidRPr="00A120A9" w:rsidRDefault="001E41CE" w:rsidP="00A63171">
      <w:pPr>
        <w:spacing w:line="480" w:lineRule="auto"/>
        <w:rPr>
          <w:rFonts w:asciiTheme="minorHAnsi" w:eastAsia="Adobe Kaiti Std R" w:hAnsiTheme="minorHAnsi" w:cs="Times New Roman"/>
          <w:color w:val="auto"/>
          <w:sz w:val="22"/>
          <w:szCs w:val="22"/>
        </w:rPr>
      </w:pPr>
      <w:r w:rsidRPr="00A120A9">
        <w:rPr>
          <w:rStyle w:val="Strong"/>
          <w:rFonts w:asciiTheme="minorHAnsi" w:hAnsiTheme="minorHAnsi" w:cs="Times New Roman"/>
          <w:color w:val="auto"/>
          <w:sz w:val="22"/>
          <w:szCs w:val="22"/>
        </w:rPr>
        <w:t>Rationale</w:t>
      </w:r>
      <w:r w:rsidRPr="00A120A9">
        <w:rPr>
          <w:rFonts w:asciiTheme="minorHAnsi" w:eastAsia="Adobe Kaiti Std R" w:hAnsiTheme="minorHAnsi" w:cs="Times New Roman"/>
          <w:b/>
          <w:color w:val="auto"/>
          <w:sz w:val="22"/>
          <w:szCs w:val="22"/>
        </w:rPr>
        <w:t xml:space="preserve"> and Objective:</w:t>
      </w:r>
      <w:r w:rsidRPr="00A120A9">
        <w:rPr>
          <w:rFonts w:asciiTheme="minorHAnsi" w:eastAsia="Adobe Kaiti Std R" w:hAnsiTheme="minorHAnsi" w:cs="Times New Roman"/>
          <w:color w:val="auto"/>
          <w:sz w:val="22"/>
          <w:szCs w:val="22"/>
        </w:rPr>
        <w:t xml:space="preserve"> Elevated urinary </w:t>
      </w:r>
      <w:r w:rsidRPr="00A120A9">
        <w:rPr>
          <w:rFonts w:asciiTheme="minorHAnsi" w:hAnsiTheme="minorHAnsi" w:cs="Times New Roman"/>
          <w:color w:val="auto"/>
          <w:sz w:val="22"/>
          <w:szCs w:val="22"/>
        </w:rPr>
        <w:t>11-dehydro thromboxane B</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xml:space="preserve"> (TxB</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a measure of thromboxane A</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xml:space="preserve"> formation in vivo, predicts future </w:t>
      </w:r>
      <w:r w:rsidRPr="00A120A9">
        <w:rPr>
          <w:rFonts w:asciiTheme="minorHAnsi" w:eastAsia="Adobe Kaiti Std R" w:hAnsiTheme="minorHAnsi" w:cs="Times New Roman"/>
          <w:color w:val="auto"/>
          <w:sz w:val="22"/>
          <w:szCs w:val="22"/>
        </w:rPr>
        <w:t xml:space="preserve">atherothrombotic events. To further understand this relationship, </w:t>
      </w:r>
      <w:r w:rsidRPr="00A120A9">
        <w:rPr>
          <w:rFonts w:asciiTheme="minorHAnsi" w:hAnsiTheme="minorHAnsi" w:cs="Times New Roman"/>
          <w:color w:val="auto"/>
          <w:sz w:val="22"/>
          <w:szCs w:val="22"/>
        </w:rPr>
        <w:t>the genetic determinants of 11-dehydro TxB</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xml:space="preserve"> and their associations with </w:t>
      </w:r>
      <w:r w:rsidRPr="00A120A9">
        <w:rPr>
          <w:rFonts w:asciiTheme="minorHAnsi" w:eastAsia="Adobe Kaiti Std R" w:hAnsiTheme="minorHAnsi" w:cs="Times New Roman"/>
          <w:color w:val="auto"/>
          <w:sz w:val="22"/>
          <w:szCs w:val="22"/>
        </w:rPr>
        <w:t>cardiovascular morbidity were investigated in this study.</w:t>
      </w:r>
    </w:p>
    <w:p w:rsidR="001E41CE" w:rsidRPr="00A120A9" w:rsidRDefault="001E41CE" w:rsidP="00A63171">
      <w:pPr>
        <w:spacing w:line="480" w:lineRule="auto"/>
        <w:rPr>
          <w:rFonts w:asciiTheme="minorHAnsi" w:hAnsiTheme="minorHAnsi" w:cs="Times New Roman"/>
          <w:b/>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r w:rsidRPr="00A120A9">
        <w:rPr>
          <w:rFonts w:asciiTheme="minorHAnsi" w:hAnsiTheme="minorHAnsi" w:cs="Times New Roman"/>
          <w:b/>
          <w:color w:val="auto"/>
          <w:sz w:val="22"/>
          <w:szCs w:val="22"/>
        </w:rPr>
        <w:t>Methods and Results:</w:t>
      </w:r>
      <w:r w:rsidRPr="00A120A9">
        <w:rPr>
          <w:rFonts w:asciiTheme="minorHAnsi" w:hAnsiTheme="minorHAnsi" w:cs="Times New Roman"/>
          <w:color w:val="auto"/>
          <w:sz w:val="22"/>
          <w:szCs w:val="22"/>
        </w:rPr>
        <w:t xml:space="preserve"> G</w:t>
      </w:r>
      <w:r w:rsidRPr="00A120A9">
        <w:rPr>
          <w:rFonts w:asciiTheme="minorHAnsi" w:eastAsia="Adobe Kaiti Std R" w:hAnsiTheme="minorHAnsi" w:cs="Times New Roman"/>
          <w:bCs/>
          <w:color w:val="auto"/>
          <w:sz w:val="22"/>
          <w:szCs w:val="22"/>
        </w:rPr>
        <w:t xml:space="preserve">enome-wide and targeted genetic association studies of urinary </w:t>
      </w:r>
      <w:r w:rsidRPr="00A120A9">
        <w:rPr>
          <w:rFonts w:asciiTheme="minorHAnsi" w:hAnsiTheme="minorHAnsi" w:cs="Times New Roman"/>
          <w:color w:val="auto"/>
          <w:sz w:val="22"/>
          <w:szCs w:val="22"/>
        </w:rPr>
        <w:t>11-dehydro TxB</w:t>
      </w:r>
      <w:r w:rsidRPr="00A120A9">
        <w:rPr>
          <w:rFonts w:asciiTheme="minorHAnsi" w:hAnsiTheme="minorHAnsi" w:cs="Times New Roman"/>
          <w:color w:val="auto"/>
          <w:sz w:val="22"/>
          <w:szCs w:val="22"/>
          <w:vertAlign w:val="subscript"/>
        </w:rPr>
        <w:t>2</w:t>
      </w:r>
      <w:r w:rsidRPr="00A120A9">
        <w:rPr>
          <w:rFonts w:asciiTheme="minorHAnsi" w:eastAsia="Adobe Kaiti Std R" w:hAnsiTheme="minorHAnsi" w:cs="Times New Roman"/>
          <w:bCs/>
          <w:color w:val="auto"/>
          <w:sz w:val="22"/>
          <w:szCs w:val="22"/>
        </w:rPr>
        <w:t xml:space="preserve"> were conducted in 806 </w:t>
      </w:r>
      <w:r w:rsidRPr="00A120A9">
        <w:rPr>
          <w:rFonts w:asciiTheme="minorHAnsi" w:eastAsia="Adobe Kaiti Std R" w:hAnsiTheme="minorHAnsi" w:cs="Times New Roman"/>
          <w:color w:val="auto"/>
          <w:sz w:val="22"/>
          <w:szCs w:val="22"/>
        </w:rPr>
        <w:t>Anglo-Scandinavian Cardiac Outcomes Trial</w:t>
      </w:r>
      <w:r w:rsidRPr="00A120A9">
        <w:rPr>
          <w:rFonts w:asciiTheme="minorHAnsi" w:eastAsia="Adobe Kaiti Std R" w:hAnsiTheme="minorHAnsi" w:cs="Times New Roman"/>
          <w:bCs/>
          <w:color w:val="auto"/>
          <w:sz w:val="22"/>
          <w:szCs w:val="22"/>
        </w:rPr>
        <w:t xml:space="preserve"> (ASCOT) participants. The strongest associations were in </w:t>
      </w:r>
      <w:r w:rsidRPr="00A120A9">
        <w:rPr>
          <w:rFonts w:asciiTheme="minorHAnsi" w:hAnsiTheme="minorHAnsi" w:cs="Times New Roman"/>
          <w:i/>
          <w:color w:val="auto"/>
          <w:sz w:val="22"/>
          <w:szCs w:val="22"/>
        </w:rPr>
        <w:t>PPARGC1B (</w:t>
      </w:r>
      <w:r w:rsidRPr="00A120A9">
        <w:rPr>
          <w:rFonts w:asciiTheme="minorHAnsi" w:hAnsiTheme="minorHAnsi" w:cs="Times New Roman"/>
          <w:color w:val="auto"/>
          <w:sz w:val="22"/>
          <w:szCs w:val="22"/>
        </w:rPr>
        <w:t xml:space="preserve">rs4235745, rs32582, rs10515638) and </w:t>
      </w:r>
      <w:r w:rsidRPr="00A120A9">
        <w:rPr>
          <w:rFonts w:asciiTheme="minorHAnsi" w:hAnsiTheme="minorHAnsi" w:cs="Times New Roman"/>
          <w:i/>
          <w:color w:val="auto"/>
          <w:sz w:val="22"/>
          <w:szCs w:val="22"/>
        </w:rPr>
        <w:t>CNTN4</w:t>
      </w:r>
      <w:r w:rsidRPr="00A120A9">
        <w:rPr>
          <w:rFonts w:asciiTheme="minorHAnsi" w:hAnsiTheme="minorHAnsi" w:cs="Times New Roman"/>
          <w:color w:val="auto"/>
          <w:sz w:val="22"/>
          <w:szCs w:val="22"/>
        </w:rPr>
        <w:t xml:space="preserve"> (rs10510230, rs4684343) – these 5 single nucleotide polymorphisms (SNPs) were independently associated with 11-dehydro TxB</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xml:space="preserve"> formation. Haplotypes of 11-dehydro TxB</w:t>
      </w:r>
      <w:r w:rsidRPr="00A120A9">
        <w:rPr>
          <w:rFonts w:asciiTheme="minorHAnsi" w:hAnsiTheme="minorHAnsi" w:cs="Times New Roman"/>
          <w:color w:val="auto"/>
          <w:sz w:val="22"/>
          <w:szCs w:val="22"/>
          <w:vertAlign w:val="subscript"/>
        </w:rPr>
        <w:t xml:space="preserve">2 </w:t>
      </w:r>
      <w:r w:rsidRPr="00A120A9">
        <w:rPr>
          <w:rFonts w:asciiTheme="minorHAnsi" w:eastAsia="Adobe Kaiti Std R" w:hAnsiTheme="minorHAnsi" w:cs="Times New Roman"/>
          <w:bCs/>
          <w:color w:val="auto"/>
          <w:sz w:val="22"/>
          <w:szCs w:val="22"/>
        </w:rPr>
        <w:t xml:space="preserve">increasing alleles for both </w:t>
      </w:r>
      <w:r w:rsidRPr="00A120A9">
        <w:rPr>
          <w:rFonts w:asciiTheme="minorHAnsi" w:eastAsia="Adobe Kaiti Std R" w:hAnsiTheme="minorHAnsi" w:cs="Times New Roman"/>
          <w:bCs/>
          <w:i/>
          <w:color w:val="auto"/>
          <w:sz w:val="22"/>
          <w:szCs w:val="22"/>
        </w:rPr>
        <w:t xml:space="preserve">PPARGC1B </w:t>
      </w:r>
      <w:r w:rsidRPr="00A120A9">
        <w:rPr>
          <w:rFonts w:asciiTheme="minorHAnsi" w:eastAsia="Adobe Kaiti Std R" w:hAnsiTheme="minorHAnsi" w:cs="Times New Roman"/>
          <w:bCs/>
          <w:color w:val="auto"/>
          <w:sz w:val="22"/>
          <w:szCs w:val="22"/>
        </w:rPr>
        <w:t xml:space="preserve">and </w:t>
      </w:r>
      <w:r w:rsidRPr="00A120A9">
        <w:rPr>
          <w:rFonts w:asciiTheme="minorHAnsi" w:eastAsia="Adobe Kaiti Std R" w:hAnsiTheme="minorHAnsi" w:cs="Times New Roman"/>
          <w:bCs/>
          <w:i/>
          <w:color w:val="auto"/>
          <w:sz w:val="22"/>
          <w:szCs w:val="22"/>
        </w:rPr>
        <w:t>CNTN4</w:t>
      </w:r>
      <w:r w:rsidRPr="00A120A9">
        <w:rPr>
          <w:rFonts w:asciiTheme="minorHAnsi" w:eastAsia="Adobe Kaiti Std R" w:hAnsiTheme="minorHAnsi" w:cs="Times New Roman"/>
          <w:bCs/>
          <w:color w:val="auto"/>
          <w:sz w:val="22"/>
          <w:szCs w:val="22"/>
        </w:rPr>
        <w:t xml:space="preserve"> </w:t>
      </w:r>
      <w:r w:rsidRPr="00A120A9">
        <w:rPr>
          <w:rFonts w:asciiTheme="minorHAnsi" w:hAnsiTheme="minorHAnsi" w:cs="Times New Roman"/>
          <w:color w:val="auto"/>
          <w:sz w:val="22"/>
          <w:szCs w:val="22"/>
        </w:rPr>
        <w:t>were significantly associated with 11-dehydro TxB</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explaining 5.2% and 4.5% of the</w:t>
      </w:r>
      <w:r w:rsidRPr="00A120A9">
        <w:rPr>
          <w:rFonts w:asciiTheme="minorHAnsi" w:hAnsiTheme="minorHAnsi" w:cs="Times New Roman"/>
          <w:color w:val="auto"/>
          <w:sz w:val="22"/>
          <w:szCs w:val="22"/>
          <w:vertAlign w:val="subscript"/>
        </w:rPr>
        <w:t xml:space="preserve"> </w:t>
      </w:r>
      <w:r w:rsidRPr="00A120A9">
        <w:rPr>
          <w:rFonts w:asciiTheme="minorHAnsi" w:hAnsiTheme="minorHAnsi" w:cs="Times New Roman"/>
          <w:color w:val="auto"/>
          <w:sz w:val="22"/>
          <w:szCs w:val="22"/>
        </w:rPr>
        <w:t xml:space="preserve">variation in the whole cohort, and 8.8% and 7.9% in participants not taking aspirin, respectively. In a second ASCOT population </w:t>
      </w:r>
      <w:r w:rsidRPr="00A120A9">
        <w:rPr>
          <w:rFonts w:asciiTheme="minorHAnsi" w:eastAsia="Calibri" w:hAnsiTheme="minorHAnsi" w:cs="Times New Roman"/>
          <w:color w:val="auto"/>
          <w:sz w:val="22"/>
          <w:szCs w:val="22"/>
          <w:lang w:val="en-AU"/>
        </w:rPr>
        <w:t>(n=6,199)</w:t>
      </w:r>
      <w:r w:rsidRPr="00A120A9">
        <w:rPr>
          <w:rFonts w:asciiTheme="minorHAnsi" w:hAnsiTheme="minorHAnsi" w:cs="Times New Roman"/>
          <w:color w:val="auto"/>
          <w:sz w:val="22"/>
          <w:szCs w:val="22"/>
        </w:rPr>
        <w:t xml:space="preserve">, addition of these 5 SNPs significantly improved the covariate-only cox proportional hazards model for cardiovascular events (chisq=14.7, P=0.01). </w:t>
      </w:r>
      <w:r w:rsidRPr="00A120A9">
        <w:rPr>
          <w:rFonts w:asciiTheme="minorHAnsi" w:eastAsia="Calibri" w:hAnsiTheme="minorHAnsi" w:cs="Times New Roman"/>
          <w:color w:val="auto"/>
          <w:sz w:val="22"/>
          <w:szCs w:val="22"/>
          <w:lang w:val="en-AU"/>
        </w:rPr>
        <w:t>Two</w:t>
      </w:r>
      <w:r w:rsidRPr="00A120A9">
        <w:rPr>
          <w:rFonts w:asciiTheme="minorHAnsi" w:hAnsiTheme="minorHAnsi" w:cs="Times New Roman"/>
          <w:color w:val="auto"/>
          <w:sz w:val="22"/>
          <w:szCs w:val="22"/>
        </w:rPr>
        <w:t xml:space="preserve"> of the risk alleles associated with increased urinary 11-dehydro TxB</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xml:space="preserve"> were individually associated with greater incidences of cardiovascular events - </w:t>
      </w:r>
      <w:r w:rsidRPr="00A120A9">
        <w:rPr>
          <w:rFonts w:asciiTheme="minorHAnsi" w:eastAsia="Calibri" w:hAnsiTheme="minorHAnsi" w:cs="Times New Roman"/>
          <w:color w:val="auto"/>
          <w:sz w:val="22"/>
          <w:szCs w:val="22"/>
          <w:lang w:val="en-AU"/>
        </w:rPr>
        <w:t>rs10515638 (</w:t>
      </w:r>
      <w:r w:rsidRPr="00A120A9">
        <w:rPr>
          <w:rFonts w:asciiTheme="minorHAnsi" w:hAnsiTheme="minorHAnsi" w:cs="Times New Roman"/>
          <w:color w:val="auto"/>
          <w:sz w:val="22"/>
          <w:szCs w:val="22"/>
        </w:rPr>
        <w:t xml:space="preserve">HR =1.31, </w:t>
      </w:r>
      <w:r w:rsidRPr="00A120A9">
        <w:rPr>
          <w:rFonts w:asciiTheme="minorHAnsi" w:hAnsiTheme="minorHAnsi" w:cs="Times New Roman"/>
          <w:i/>
          <w:color w:val="auto"/>
          <w:sz w:val="22"/>
          <w:szCs w:val="22"/>
        </w:rPr>
        <w:t>P</w:t>
      </w:r>
      <w:r w:rsidRPr="00A120A9">
        <w:rPr>
          <w:rFonts w:asciiTheme="minorHAnsi" w:hAnsiTheme="minorHAnsi" w:cs="Times New Roman"/>
          <w:color w:val="auto"/>
          <w:sz w:val="22"/>
          <w:szCs w:val="22"/>
        </w:rPr>
        <w:t>=0.01)</w:t>
      </w:r>
      <w:r w:rsidRPr="00A120A9">
        <w:rPr>
          <w:rFonts w:asciiTheme="minorHAnsi" w:eastAsia="Calibri" w:hAnsiTheme="minorHAnsi" w:cs="Times New Roman"/>
          <w:color w:val="auto"/>
          <w:sz w:val="22"/>
          <w:szCs w:val="22"/>
          <w:lang w:val="en-AU"/>
        </w:rPr>
        <w:t xml:space="preserve"> and rs10510230</w:t>
      </w:r>
      <w:r w:rsidRPr="00A120A9">
        <w:rPr>
          <w:rFonts w:asciiTheme="minorHAnsi" w:hAnsiTheme="minorHAnsi" w:cs="Times New Roman"/>
          <w:color w:val="auto"/>
          <w:sz w:val="22"/>
          <w:szCs w:val="22"/>
        </w:rPr>
        <w:t xml:space="preserve"> (HR=1.25, </w:t>
      </w:r>
      <w:r w:rsidRPr="00A120A9">
        <w:rPr>
          <w:rFonts w:asciiTheme="minorHAnsi" w:hAnsiTheme="minorHAnsi" w:cs="Times New Roman"/>
          <w:i/>
          <w:color w:val="auto"/>
          <w:sz w:val="22"/>
          <w:szCs w:val="22"/>
        </w:rPr>
        <w:t>P</w:t>
      </w:r>
      <w:r w:rsidRPr="00A120A9">
        <w:rPr>
          <w:rFonts w:asciiTheme="minorHAnsi" w:hAnsiTheme="minorHAnsi" w:cs="Times New Roman"/>
          <w:color w:val="auto"/>
          <w:sz w:val="22"/>
          <w:szCs w:val="22"/>
        </w:rPr>
        <w:t>=0.007); effect sizes were larger in those not taking aspirin.</w:t>
      </w:r>
    </w:p>
    <w:p w:rsidR="001E41CE" w:rsidRPr="00A120A9" w:rsidRDefault="001E41CE" w:rsidP="00A63171">
      <w:pPr>
        <w:spacing w:line="480" w:lineRule="auto"/>
        <w:rPr>
          <w:rFonts w:asciiTheme="minorHAnsi" w:eastAsia="Adobe Kaiti Std R" w:hAnsiTheme="minorHAnsi" w:cs="Times New Roman"/>
          <w:b/>
          <w:color w:val="auto"/>
          <w:sz w:val="22"/>
          <w:szCs w:val="22"/>
        </w:rPr>
      </w:pPr>
    </w:p>
    <w:p w:rsidR="001E41CE" w:rsidRPr="00A120A9" w:rsidRDefault="001E41CE" w:rsidP="00A63171">
      <w:pPr>
        <w:spacing w:line="480" w:lineRule="auto"/>
        <w:rPr>
          <w:rFonts w:asciiTheme="minorHAnsi" w:eastAsia="Adobe Kaiti Std R" w:hAnsiTheme="minorHAnsi" w:cs="Times New Roman"/>
          <w:color w:val="auto"/>
          <w:sz w:val="22"/>
          <w:szCs w:val="22"/>
        </w:rPr>
      </w:pPr>
      <w:r w:rsidRPr="00A120A9">
        <w:rPr>
          <w:rFonts w:asciiTheme="minorHAnsi" w:eastAsia="Adobe Kaiti Std R" w:hAnsiTheme="minorHAnsi" w:cs="Times New Roman"/>
          <w:b/>
          <w:color w:val="auto"/>
          <w:sz w:val="22"/>
          <w:szCs w:val="22"/>
        </w:rPr>
        <w:t xml:space="preserve">Conclusions: </w:t>
      </w:r>
      <w:r w:rsidRPr="00A120A9">
        <w:rPr>
          <w:rFonts w:asciiTheme="minorHAnsi" w:hAnsiTheme="minorHAnsi" w:cs="Times New Roman"/>
          <w:i/>
          <w:color w:val="auto"/>
          <w:sz w:val="22"/>
          <w:szCs w:val="22"/>
        </w:rPr>
        <w:t>PPARGC1B</w:t>
      </w:r>
      <w:r w:rsidRPr="00A120A9">
        <w:rPr>
          <w:rFonts w:asciiTheme="minorHAnsi" w:eastAsia="Adobe Kaiti Std R" w:hAnsiTheme="minorHAnsi" w:cs="Times New Roman"/>
          <w:color w:val="auto"/>
          <w:sz w:val="22"/>
          <w:szCs w:val="22"/>
        </w:rPr>
        <w:t xml:space="preserve"> and </w:t>
      </w:r>
      <w:r w:rsidRPr="00A120A9">
        <w:rPr>
          <w:rFonts w:asciiTheme="minorHAnsi" w:eastAsia="Adobe Kaiti Std R" w:hAnsiTheme="minorHAnsi" w:cs="Times New Roman"/>
          <w:i/>
          <w:color w:val="auto"/>
          <w:sz w:val="22"/>
          <w:szCs w:val="22"/>
        </w:rPr>
        <w:t xml:space="preserve">CNTN4 </w:t>
      </w:r>
      <w:r w:rsidRPr="00A120A9">
        <w:rPr>
          <w:rFonts w:asciiTheme="minorHAnsi" w:eastAsia="Adobe Kaiti Std R" w:hAnsiTheme="minorHAnsi" w:cs="Times New Roman"/>
          <w:color w:val="auto"/>
          <w:sz w:val="22"/>
          <w:szCs w:val="22"/>
        </w:rPr>
        <w:t>genotypes are associated with elevated thromboxane A</w:t>
      </w:r>
      <w:r w:rsidRPr="00A120A9">
        <w:rPr>
          <w:rFonts w:asciiTheme="minorHAnsi" w:eastAsia="Adobe Kaiti Std R" w:hAnsiTheme="minorHAnsi" w:cs="Times New Roman"/>
          <w:color w:val="auto"/>
          <w:sz w:val="22"/>
          <w:szCs w:val="22"/>
          <w:vertAlign w:val="subscript"/>
        </w:rPr>
        <w:t xml:space="preserve">2 </w:t>
      </w:r>
      <w:r w:rsidRPr="00A120A9">
        <w:rPr>
          <w:rFonts w:asciiTheme="minorHAnsi" w:eastAsia="Adobe Kaiti Std R" w:hAnsiTheme="minorHAnsi" w:cs="Times New Roman"/>
          <w:color w:val="auto"/>
          <w:sz w:val="22"/>
          <w:szCs w:val="22"/>
        </w:rPr>
        <w:t xml:space="preserve">formation and with an excess of cardiovascular events. </w:t>
      </w:r>
      <w:r w:rsidRPr="00A120A9">
        <w:rPr>
          <w:rFonts w:asciiTheme="minorHAnsi" w:eastAsia="Adobe Kaiti Std R" w:hAnsiTheme="minorHAnsi" w:cs="Times New Roman"/>
          <w:bCs/>
          <w:color w:val="auto"/>
          <w:sz w:val="22"/>
          <w:szCs w:val="22"/>
        </w:rPr>
        <w:t xml:space="preserve">Aspirin appears to blunt these associations. </w:t>
      </w:r>
    </w:p>
    <w:p w:rsidR="001E41CE" w:rsidRPr="00A120A9" w:rsidRDefault="001E41CE" w:rsidP="00A63171">
      <w:pPr>
        <w:spacing w:line="480" w:lineRule="auto"/>
        <w:rPr>
          <w:rFonts w:asciiTheme="minorHAnsi" w:eastAsia="Adobe Kaiti Std R" w:hAnsiTheme="minorHAnsi" w:cs="Times New Roman"/>
          <w:bCs/>
          <w:color w:val="auto"/>
          <w:sz w:val="22"/>
          <w:szCs w:val="22"/>
        </w:rPr>
      </w:pPr>
      <w:r w:rsidRPr="00A120A9">
        <w:rPr>
          <w:rFonts w:asciiTheme="minorHAnsi" w:eastAsia="Adobe Kaiti Std R" w:hAnsiTheme="minorHAnsi" w:cs="Times New Roman"/>
          <w:bCs/>
          <w:color w:val="auto"/>
          <w:sz w:val="22"/>
          <w:szCs w:val="22"/>
        </w:rPr>
        <w:t xml:space="preserve">If specific protection of </w:t>
      </w:r>
      <w:r w:rsidRPr="00A120A9">
        <w:rPr>
          <w:rFonts w:asciiTheme="minorHAnsi" w:hAnsiTheme="minorHAnsi" w:cs="Times New Roman"/>
          <w:i/>
          <w:color w:val="auto"/>
          <w:sz w:val="22"/>
          <w:szCs w:val="22"/>
        </w:rPr>
        <w:t>PPARGC1B</w:t>
      </w:r>
      <w:r w:rsidRPr="00A120A9">
        <w:rPr>
          <w:rFonts w:asciiTheme="minorHAnsi" w:eastAsia="Adobe Kaiti Std R" w:hAnsiTheme="minorHAnsi" w:cs="Times New Roman"/>
          <w:color w:val="auto"/>
          <w:sz w:val="22"/>
          <w:szCs w:val="22"/>
        </w:rPr>
        <w:t xml:space="preserve"> and </w:t>
      </w:r>
      <w:r w:rsidRPr="00A120A9">
        <w:rPr>
          <w:rFonts w:asciiTheme="minorHAnsi" w:eastAsia="Adobe Kaiti Std R" w:hAnsiTheme="minorHAnsi" w:cs="Times New Roman"/>
          <w:i/>
          <w:color w:val="auto"/>
          <w:sz w:val="22"/>
          <w:szCs w:val="22"/>
        </w:rPr>
        <w:t xml:space="preserve">CNTN4 </w:t>
      </w:r>
      <w:r w:rsidRPr="00A120A9">
        <w:rPr>
          <w:rFonts w:asciiTheme="minorHAnsi" w:eastAsia="Adobe Kaiti Std R" w:hAnsiTheme="minorHAnsi" w:cs="Times New Roman"/>
          <w:color w:val="auto"/>
          <w:sz w:val="22"/>
          <w:szCs w:val="22"/>
        </w:rPr>
        <w:t xml:space="preserve">variant carriers </w:t>
      </w:r>
      <w:r w:rsidRPr="00A120A9">
        <w:rPr>
          <w:rFonts w:asciiTheme="minorHAnsi" w:eastAsia="Adobe Kaiti Std R" w:hAnsiTheme="minorHAnsi" w:cs="Times New Roman"/>
          <w:bCs/>
          <w:color w:val="auto"/>
          <w:sz w:val="22"/>
          <w:szCs w:val="22"/>
        </w:rPr>
        <w:t xml:space="preserve">by aspirin is confirmed </w:t>
      </w:r>
      <w:r w:rsidRPr="00A120A9">
        <w:rPr>
          <w:rFonts w:asciiTheme="minorHAnsi" w:eastAsia="Adobe Kaiti Std R" w:hAnsiTheme="minorHAnsi" w:cs="Times New Roman"/>
          <w:color w:val="auto"/>
          <w:sz w:val="22"/>
          <w:szCs w:val="22"/>
        </w:rPr>
        <w:t xml:space="preserve">by additional studies, </w:t>
      </w:r>
      <w:r w:rsidRPr="00A120A9">
        <w:rPr>
          <w:rFonts w:asciiTheme="minorHAnsi" w:hAnsiTheme="minorHAnsi" w:cs="Times New Roman"/>
          <w:i/>
          <w:color w:val="auto"/>
          <w:sz w:val="22"/>
          <w:szCs w:val="22"/>
        </w:rPr>
        <w:t>PPARGC1B</w:t>
      </w:r>
      <w:r w:rsidRPr="00A120A9">
        <w:rPr>
          <w:rFonts w:asciiTheme="minorHAnsi" w:eastAsia="Adobe Kaiti Std R" w:hAnsiTheme="minorHAnsi" w:cs="Times New Roman"/>
          <w:color w:val="auto"/>
          <w:sz w:val="22"/>
          <w:szCs w:val="22"/>
        </w:rPr>
        <w:t xml:space="preserve"> and </w:t>
      </w:r>
      <w:r w:rsidRPr="00A120A9">
        <w:rPr>
          <w:rFonts w:asciiTheme="minorHAnsi" w:eastAsia="Adobe Kaiti Std R" w:hAnsiTheme="minorHAnsi" w:cs="Times New Roman"/>
          <w:i/>
          <w:color w:val="auto"/>
          <w:sz w:val="22"/>
          <w:szCs w:val="22"/>
        </w:rPr>
        <w:t>CNTN4</w:t>
      </w:r>
      <w:r w:rsidRPr="00A120A9">
        <w:rPr>
          <w:rFonts w:asciiTheme="minorHAnsi" w:eastAsia="Adobe Kaiti Std R" w:hAnsiTheme="minorHAnsi" w:cs="Times New Roman"/>
          <w:color w:val="auto"/>
          <w:sz w:val="22"/>
          <w:szCs w:val="22"/>
        </w:rPr>
        <w:t xml:space="preserve"> genotyping could potentially assist in clinical decision making regarding the use of aspirin </w:t>
      </w:r>
      <w:r w:rsidRPr="00A120A9">
        <w:rPr>
          <w:rFonts w:asciiTheme="minorHAnsi" w:eastAsia="Adobe Kaiti Std R" w:hAnsiTheme="minorHAnsi" w:cs="Times New Roman"/>
          <w:bCs/>
          <w:color w:val="auto"/>
          <w:sz w:val="22"/>
          <w:szCs w:val="22"/>
        </w:rPr>
        <w:t>in primary prevention.</w:t>
      </w:r>
    </w:p>
    <w:p w:rsidR="001E41CE" w:rsidRPr="00A120A9" w:rsidRDefault="001E41CE" w:rsidP="00A63171">
      <w:pPr>
        <w:spacing w:line="480" w:lineRule="auto"/>
        <w:rPr>
          <w:rFonts w:asciiTheme="minorHAnsi" w:eastAsia="Adobe Kaiti Std R" w:hAnsiTheme="minorHAnsi" w:cs="Times New Roman"/>
          <w:bCs/>
          <w:color w:val="auto"/>
          <w:sz w:val="22"/>
          <w:szCs w:val="22"/>
        </w:rPr>
      </w:pPr>
    </w:p>
    <w:p w:rsidR="001E41CE" w:rsidRPr="00A120A9" w:rsidRDefault="001E41CE" w:rsidP="00A63171">
      <w:pPr>
        <w:spacing w:line="480" w:lineRule="auto"/>
        <w:rPr>
          <w:rFonts w:asciiTheme="minorHAnsi" w:eastAsia="Adobe Kaiti Std R" w:hAnsiTheme="minorHAnsi" w:cs="Times New Roman"/>
          <w:bCs/>
          <w:color w:val="auto"/>
          <w:sz w:val="22"/>
          <w:szCs w:val="22"/>
        </w:rPr>
      </w:pPr>
      <w:r w:rsidRPr="00A120A9">
        <w:rPr>
          <w:rFonts w:asciiTheme="minorHAnsi" w:eastAsia="Adobe Kaiti Std R" w:hAnsiTheme="minorHAnsi" w:cs="Times New Roman"/>
          <w:b/>
          <w:bCs/>
          <w:color w:val="auto"/>
          <w:sz w:val="22"/>
          <w:szCs w:val="22"/>
        </w:rPr>
        <w:t xml:space="preserve">Key words: </w:t>
      </w:r>
      <w:r w:rsidRPr="00A120A9">
        <w:rPr>
          <w:rFonts w:asciiTheme="minorHAnsi" w:eastAsia="Adobe Kaiti Std R" w:hAnsiTheme="minorHAnsi" w:cs="Times New Roman"/>
          <w:bCs/>
          <w:color w:val="auto"/>
          <w:sz w:val="22"/>
          <w:szCs w:val="22"/>
        </w:rPr>
        <w:t>Genome wide association study, thromboxane, thrombosis</w:t>
      </w:r>
    </w:p>
    <w:p w:rsidR="001E41CE" w:rsidRPr="00A120A9" w:rsidRDefault="001E41CE" w:rsidP="00A63171">
      <w:pPr>
        <w:spacing w:line="480" w:lineRule="auto"/>
        <w:rPr>
          <w:rFonts w:asciiTheme="minorHAnsi" w:eastAsia="Adobe Kaiti Std R" w:hAnsiTheme="minorHAnsi" w:cs="Times New Roman"/>
          <w:b/>
          <w:bCs/>
          <w:color w:val="auto"/>
          <w:sz w:val="22"/>
          <w:szCs w:val="22"/>
          <w:u w:val="single"/>
        </w:rPr>
      </w:pPr>
      <w:r w:rsidRPr="00A120A9">
        <w:rPr>
          <w:rFonts w:asciiTheme="minorHAnsi" w:eastAsia="Adobe Kaiti Std R" w:hAnsiTheme="minorHAnsi" w:cs="Times New Roman"/>
          <w:b/>
          <w:bCs/>
          <w:color w:val="auto"/>
          <w:sz w:val="22"/>
          <w:szCs w:val="22"/>
          <w:u w:val="single"/>
        </w:rPr>
        <w:lastRenderedPageBreak/>
        <w:t>Introduction</w:t>
      </w:r>
    </w:p>
    <w:p w:rsidR="001E41CE" w:rsidRPr="00A120A9" w:rsidRDefault="001E41CE" w:rsidP="00A63171">
      <w:pPr>
        <w:autoSpaceDE w:val="0"/>
        <w:autoSpaceDN w:val="0"/>
        <w:adjustRightInd w:val="0"/>
        <w:spacing w:line="480" w:lineRule="auto"/>
        <w:rPr>
          <w:rFonts w:asciiTheme="minorHAnsi" w:hAnsiTheme="minorHAnsi" w:cs="Times New Roman"/>
          <w:color w:val="auto"/>
          <w:sz w:val="22"/>
          <w:szCs w:val="22"/>
        </w:rPr>
      </w:pPr>
      <w:r w:rsidRPr="00A120A9">
        <w:rPr>
          <w:rFonts w:asciiTheme="minorHAnsi" w:hAnsiTheme="minorHAnsi" w:cs="Times New Roman"/>
          <w:color w:val="auto"/>
          <w:sz w:val="22"/>
          <w:szCs w:val="22"/>
        </w:rPr>
        <w:t>Thromboxane A</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xml:space="preserve"> (TxA</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is a potent platelet agonist formed during platelet activation and contributes to the risk of arterial thrombosis [1]. Aspirin exerts its major antithrombotic effect by irreversibly acetylating platelet cyclo-oxygenase-1 (COX-1), inhibiting production of TxA</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In high risk patients, low-dose aspirin reduces the risk of major cardiovascular events by about 20% [2]. Direct measurement of TxA</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xml:space="preserve"> is not feasible as it is rapidly metabolised in vivo to its stable metabolite, thromboxane B</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xml:space="preserve"> (TxB</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Measurement of plasma or urinary levels of 11-dehydro TxB</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xml:space="preserve"> by mass spectrometry gives an accurate reflection of </w:t>
      </w:r>
      <w:r w:rsidRPr="00A120A9">
        <w:rPr>
          <w:rFonts w:asciiTheme="minorHAnsi" w:hAnsiTheme="minorHAnsi" w:cs="Times New Roman"/>
          <w:iCs/>
          <w:color w:val="auto"/>
          <w:sz w:val="22"/>
          <w:szCs w:val="22"/>
        </w:rPr>
        <w:t>in vivo</w:t>
      </w:r>
      <w:r w:rsidRPr="00A120A9">
        <w:rPr>
          <w:rFonts w:asciiTheme="minorHAnsi" w:hAnsiTheme="minorHAnsi" w:cs="Times New Roman"/>
          <w:color w:val="auto"/>
          <w:sz w:val="22"/>
          <w:szCs w:val="22"/>
        </w:rPr>
        <w:t xml:space="preserve"> TxA</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xml:space="preserve"> production [3,4]. Increased</w:t>
      </w:r>
      <w:r w:rsidRPr="00A120A9">
        <w:rPr>
          <w:rFonts w:asciiTheme="minorHAnsi" w:eastAsia="Adobe Kaiti Std R" w:hAnsiTheme="minorHAnsi" w:cs="Times New Roman"/>
          <w:color w:val="auto"/>
          <w:sz w:val="22"/>
          <w:szCs w:val="22"/>
        </w:rPr>
        <w:t xml:space="preserve"> urinary </w:t>
      </w:r>
      <w:r w:rsidRPr="00A120A9">
        <w:rPr>
          <w:rFonts w:asciiTheme="minorHAnsi" w:hAnsiTheme="minorHAnsi" w:cs="Times New Roman"/>
          <w:color w:val="auto"/>
          <w:sz w:val="22"/>
          <w:szCs w:val="22"/>
        </w:rPr>
        <w:t>11-dehydro TxB</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xml:space="preserve"> concentration is an </w:t>
      </w:r>
      <w:r w:rsidRPr="00A120A9">
        <w:rPr>
          <w:rFonts w:asciiTheme="minorHAnsi" w:eastAsia="Adobe Kaiti Std R" w:hAnsiTheme="minorHAnsi" w:cs="Times New Roman"/>
          <w:color w:val="auto"/>
          <w:sz w:val="22"/>
          <w:szCs w:val="22"/>
        </w:rPr>
        <w:t xml:space="preserve">independent predictor of atherothrombotic events even in </w:t>
      </w:r>
      <w:r w:rsidRPr="00A120A9">
        <w:rPr>
          <w:rStyle w:val="highlight"/>
          <w:rFonts w:asciiTheme="minorHAnsi" w:hAnsiTheme="minorHAnsi" w:cs="Times New Roman"/>
          <w:color w:val="auto"/>
          <w:sz w:val="22"/>
          <w:szCs w:val="22"/>
        </w:rPr>
        <w:t>aspirin</w:t>
      </w:r>
      <w:r w:rsidRPr="00A120A9">
        <w:rPr>
          <w:rFonts w:asciiTheme="minorHAnsi" w:hAnsiTheme="minorHAnsi" w:cs="Times New Roman"/>
          <w:color w:val="auto"/>
          <w:sz w:val="22"/>
          <w:szCs w:val="22"/>
        </w:rPr>
        <w:t>-treated patients [5,6].</w:t>
      </w: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pStyle w:val="CommentText"/>
        <w:spacing w:line="480" w:lineRule="auto"/>
        <w:rPr>
          <w:rStyle w:val="Emphasis"/>
          <w:rFonts w:asciiTheme="minorHAnsi" w:hAnsiTheme="minorHAnsi" w:cs="Times New Roman"/>
          <w:i w:val="0"/>
          <w:iCs w:val="0"/>
          <w:color w:val="auto"/>
          <w:sz w:val="22"/>
          <w:szCs w:val="22"/>
        </w:rPr>
      </w:pPr>
      <w:r w:rsidRPr="00A120A9">
        <w:rPr>
          <w:rFonts w:asciiTheme="minorHAnsi" w:hAnsiTheme="minorHAnsi" w:cs="Times New Roman"/>
          <w:color w:val="auto"/>
          <w:sz w:val="22"/>
          <w:szCs w:val="22"/>
        </w:rPr>
        <w:t>Measures of TxA</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including urinary [7] and plasma [8] 11-dehydro TxB</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xml:space="preserve"> have been shown to be heritable in Caucasian populations off and on aspirin (h</w:t>
      </w:r>
      <w:r w:rsidRPr="00A120A9">
        <w:rPr>
          <w:rFonts w:asciiTheme="minorHAnsi" w:hAnsiTheme="minorHAnsi" w:cs="Times New Roman"/>
          <w:color w:val="auto"/>
          <w:sz w:val="22"/>
          <w:szCs w:val="22"/>
          <w:vertAlign w:val="superscript"/>
        </w:rPr>
        <w:t>2</w:t>
      </w:r>
      <w:r w:rsidRPr="00A120A9">
        <w:rPr>
          <w:rFonts w:asciiTheme="minorHAnsi" w:hAnsiTheme="minorHAnsi" w:cs="Times New Roman"/>
          <w:color w:val="auto"/>
          <w:sz w:val="22"/>
          <w:szCs w:val="22"/>
        </w:rPr>
        <w:t xml:space="preserve"> = 0.5-0.7 and 0.2-0.4 respectively). Genetic studies have largely focused on the influence of the functional COX-2 single nucleotide polymorphism (SNP) </w:t>
      </w:r>
      <w:r w:rsidRPr="00A120A9">
        <w:rPr>
          <w:rFonts w:asciiTheme="minorHAnsi" w:hAnsiTheme="minorHAnsi" w:cs="Times New Roman"/>
          <w:noProof/>
          <w:color w:val="auto"/>
          <w:sz w:val="22"/>
          <w:szCs w:val="22"/>
        </w:rPr>
        <w:t>rs20417 (–765G&gt;C) on cardiovascular endpoints</w:t>
      </w:r>
      <w:r w:rsidRPr="00A120A9">
        <w:rPr>
          <w:rFonts w:asciiTheme="minorHAnsi" w:hAnsiTheme="minorHAnsi" w:cs="Times New Roman"/>
          <w:color w:val="auto"/>
          <w:sz w:val="22"/>
          <w:szCs w:val="22"/>
        </w:rPr>
        <w:t xml:space="preserve">; a </w:t>
      </w:r>
      <w:r w:rsidRPr="00A120A9">
        <w:rPr>
          <w:rFonts w:asciiTheme="minorHAnsi" w:eastAsia="Adobe Kaiti Std R" w:hAnsiTheme="minorHAnsi" w:cs="Times New Roman"/>
          <w:bCs/>
          <w:color w:val="auto"/>
          <w:sz w:val="22"/>
          <w:szCs w:val="22"/>
        </w:rPr>
        <w:t xml:space="preserve">recent meta-analysis (n=49,232) reported the minor allele was associated with reduced risk of cardiovascular events and lower urinary </w:t>
      </w:r>
      <w:r w:rsidRPr="00A120A9">
        <w:rPr>
          <w:rFonts w:asciiTheme="minorHAnsi" w:hAnsiTheme="minorHAnsi" w:cs="Times New Roman"/>
          <w:color w:val="auto"/>
          <w:sz w:val="22"/>
          <w:szCs w:val="22"/>
        </w:rPr>
        <w:t>11-dehydro TxB</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xml:space="preserve"> [9]</w:t>
      </w:r>
      <w:r w:rsidRPr="00A120A9">
        <w:rPr>
          <w:rFonts w:asciiTheme="minorHAnsi" w:eastAsia="Adobe Kaiti Std R" w:hAnsiTheme="minorHAnsi" w:cs="Times New Roman"/>
          <w:bCs/>
          <w:color w:val="auto"/>
          <w:sz w:val="22"/>
          <w:szCs w:val="22"/>
        </w:rPr>
        <w:t>.</w:t>
      </w: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r w:rsidRPr="00A120A9">
        <w:rPr>
          <w:rFonts w:asciiTheme="minorHAnsi" w:hAnsiTheme="minorHAnsi" w:cs="Times New Roman"/>
          <w:color w:val="auto"/>
          <w:sz w:val="22"/>
          <w:szCs w:val="22"/>
        </w:rPr>
        <w:t>To more comprehensively assess genetic contribution to TxA</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xml:space="preserve"> levels, </w:t>
      </w:r>
      <w:r w:rsidRPr="00A120A9">
        <w:rPr>
          <w:rFonts w:asciiTheme="minorHAnsi" w:eastAsia="Adobe Kaiti Std R" w:hAnsiTheme="minorHAnsi" w:cs="Times New Roman"/>
          <w:bCs/>
          <w:color w:val="auto"/>
          <w:sz w:val="22"/>
          <w:szCs w:val="22"/>
        </w:rPr>
        <w:t xml:space="preserve">we conducted genome-wide and targeted genetic association studies of urinary </w:t>
      </w:r>
      <w:r w:rsidRPr="00A120A9">
        <w:rPr>
          <w:rFonts w:asciiTheme="minorHAnsi" w:hAnsiTheme="minorHAnsi" w:cs="Times New Roman"/>
          <w:color w:val="auto"/>
          <w:sz w:val="22"/>
          <w:szCs w:val="22"/>
        </w:rPr>
        <w:t>11-dehydro TxB</w:t>
      </w:r>
      <w:r w:rsidRPr="00A120A9">
        <w:rPr>
          <w:rFonts w:asciiTheme="minorHAnsi" w:hAnsiTheme="minorHAnsi" w:cs="Times New Roman"/>
          <w:color w:val="auto"/>
          <w:sz w:val="22"/>
          <w:szCs w:val="22"/>
          <w:vertAlign w:val="subscript"/>
        </w:rPr>
        <w:t>2</w:t>
      </w:r>
      <w:r w:rsidRPr="00A120A9">
        <w:rPr>
          <w:rFonts w:asciiTheme="minorHAnsi" w:eastAsia="Adobe Kaiti Std R" w:hAnsiTheme="minorHAnsi" w:cs="Times New Roman"/>
          <w:bCs/>
          <w:color w:val="auto"/>
          <w:sz w:val="22"/>
          <w:szCs w:val="22"/>
        </w:rPr>
        <w:t xml:space="preserve"> in a subset of participants from the </w:t>
      </w:r>
      <w:r w:rsidRPr="00A120A9">
        <w:rPr>
          <w:rFonts w:asciiTheme="minorHAnsi" w:eastAsia="Adobe Kaiti Std R" w:hAnsiTheme="minorHAnsi" w:cs="Times New Roman"/>
          <w:color w:val="auto"/>
          <w:sz w:val="22"/>
          <w:szCs w:val="22"/>
        </w:rPr>
        <w:t>Anglo-Scandinavian Cardiac Outcomes Trial</w:t>
      </w:r>
      <w:r w:rsidRPr="00A120A9">
        <w:rPr>
          <w:rFonts w:asciiTheme="minorHAnsi" w:eastAsia="Adobe Kaiti Std R" w:hAnsiTheme="minorHAnsi" w:cs="Times New Roman"/>
          <w:bCs/>
          <w:color w:val="auto"/>
          <w:sz w:val="22"/>
          <w:szCs w:val="22"/>
        </w:rPr>
        <w:t xml:space="preserve"> (ASCOT). In addition, we investigated whether variants associated with elevated </w:t>
      </w:r>
      <w:r w:rsidRPr="00A120A9">
        <w:rPr>
          <w:rFonts w:asciiTheme="minorHAnsi" w:hAnsiTheme="minorHAnsi" w:cs="Times New Roman"/>
          <w:color w:val="auto"/>
          <w:sz w:val="22"/>
          <w:szCs w:val="22"/>
        </w:rPr>
        <w:t>11-dehydro TxB</w:t>
      </w:r>
      <w:r w:rsidRPr="00A120A9">
        <w:rPr>
          <w:rFonts w:asciiTheme="minorHAnsi" w:hAnsiTheme="minorHAnsi" w:cs="Times New Roman"/>
          <w:color w:val="auto"/>
          <w:sz w:val="22"/>
          <w:szCs w:val="22"/>
          <w:vertAlign w:val="subscript"/>
        </w:rPr>
        <w:t>2</w:t>
      </w:r>
      <w:r w:rsidRPr="00A120A9">
        <w:rPr>
          <w:rFonts w:asciiTheme="minorHAnsi" w:eastAsia="Adobe Kaiti Std R" w:hAnsiTheme="minorHAnsi" w:cs="Times New Roman"/>
          <w:bCs/>
          <w:color w:val="auto"/>
          <w:sz w:val="22"/>
          <w:szCs w:val="22"/>
        </w:rPr>
        <w:t xml:space="preserve"> levels increased the risk of </w:t>
      </w:r>
      <w:r w:rsidRPr="00A120A9">
        <w:rPr>
          <w:rFonts w:asciiTheme="minorHAnsi" w:eastAsia="Adobe Kaiti Std R" w:hAnsiTheme="minorHAnsi" w:cs="Times New Roman"/>
          <w:color w:val="auto"/>
          <w:sz w:val="22"/>
          <w:szCs w:val="22"/>
        </w:rPr>
        <w:t>atherothrombotic events</w:t>
      </w:r>
      <w:r w:rsidRPr="00A120A9">
        <w:rPr>
          <w:rFonts w:asciiTheme="minorHAnsi" w:eastAsia="Adobe Kaiti Std R" w:hAnsiTheme="minorHAnsi" w:cs="Times New Roman"/>
          <w:bCs/>
          <w:color w:val="auto"/>
          <w:sz w:val="22"/>
          <w:szCs w:val="22"/>
        </w:rPr>
        <w:t xml:space="preserve"> in a second subset of ASCOT participants. </w:t>
      </w:r>
    </w:p>
    <w:p w:rsidR="001E41CE" w:rsidRPr="00A120A9" w:rsidRDefault="001E41CE" w:rsidP="00A63171">
      <w:pPr>
        <w:spacing w:line="480" w:lineRule="auto"/>
        <w:rPr>
          <w:rFonts w:asciiTheme="minorHAnsi" w:eastAsia="Adobe Kaiti Std R" w:hAnsiTheme="minorHAnsi" w:cs="Times New Roman"/>
          <w:b/>
          <w:bCs/>
          <w:color w:val="auto"/>
          <w:sz w:val="22"/>
          <w:szCs w:val="22"/>
          <w:u w:val="single"/>
        </w:rPr>
      </w:pPr>
    </w:p>
    <w:p w:rsidR="001E41CE" w:rsidRPr="00A120A9" w:rsidRDefault="001E41CE" w:rsidP="00A63171">
      <w:pPr>
        <w:spacing w:line="480" w:lineRule="auto"/>
        <w:rPr>
          <w:rFonts w:asciiTheme="minorHAnsi" w:eastAsia="Adobe Kaiti Std R" w:hAnsiTheme="minorHAnsi" w:cs="Times New Roman"/>
          <w:b/>
          <w:bCs/>
          <w:color w:val="auto"/>
          <w:sz w:val="22"/>
          <w:szCs w:val="22"/>
          <w:u w:val="single"/>
        </w:rPr>
      </w:pPr>
    </w:p>
    <w:p w:rsidR="001E41CE" w:rsidRPr="00A120A9" w:rsidRDefault="001E41CE" w:rsidP="00A63171">
      <w:pPr>
        <w:spacing w:line="480" w:lineRule="auto"/>
        <w:rPr>
          <w:rFonts w:asciiTheme="minorHAnsi" w:eastAsia="Adobe Kaiti Std R" w:hAnsiTheme="minorHAnsi" w:cs="Times New Roman"/>
          <w:b/>
          <w:bCs/>
          <w:color w:val="auto"/>
          <w:sz w:val="22"/>
          <w:szCs w:val="22"/>
          <w:u w:val="single"/>
        </w:rPr>
      </w:pPr>
    </w:p>
    <w:p w:rsidR="001E41CE" w:rsidRPr="00A120A9" w:rsidRDefault="001E41CE" w:rsidP="00A63171">
      <w:pPr>
        <w:spacing w:line="480" w:lineRule="auto"/>
        <w:rPr>
          <w:rFonts w:asciiTheme="minorHAnsi" w:eastAsia="Adobe Kaiti Std R" w:hAnsiTheme="minorHAnsi" w:cs="Times New Roman"/>
          <w:b/>
          <w:bCs/>
          <w:color w:val="auto"/>
          <w:sz w:val="22"/>
          <w:szCs w:val="22"/>
          <w:u w:val="single"/>
        </w:rPr>
      </w:pPr>
      <w:r w:rsidRPr="00A120A9">
        <w:rPr>
          <w:rFonts w:asciiTheme="minorHAnsi" w:eastAsia="Adobe Kaiti Std R" w:hAnsiTheme="minorHAnsi" w:cs="Times New Roman"/>
          <w:b/>
          <w:bCs/>
          <w:color w:val="auto"/>
          <w:sz w:val="22"/>
          <w:szCs w:val="22"/>
          <w:u w:val="single"/>
        </w:rPr>
        <w:lastRenderedPageBreak/>
        <w:t>Methods</w:t>
      </w:r>
    </w:p>
    <w:p w:rsidR="001E41CE" w:rsidRPr="00A120A9" w:rsidRDefault="001E41CE" w:rsidP="00A63171">
      <w:pPr>
        <w:spacing w:line="480" w:lineRule="auto"/>
        <w:rPr>
          <w:rFonts w:asciiTheme="minorHAnsi" w:hAnsiTheme="minorHAnsi" w:cs="Times New Roman"/>
          <w:color w:val="auto"/>
          <w:sz w:val="22"/>
          <w:szCs w:val="22"/>
        </w:rPr>
      </w:pPr>
      <w:r w:rsidRPr="00A120A9">
        <w:rPr>
          <w:rFonts w:asciiTheme="minorHAnsi" w:hAnsiTheme="minorHAnsi" w:cs="Times New Roman"/>
          <w:color w:val="auto"/>
          <w:sz w:val="22"/>
          <w:szCs w:val="22"/>
        </w:rPr>
        <w:t xml:space="preserve">The </w:t>
      </w:r>
      <w:r w:rsidRPr="00A120A9">
        <w:rPr>
          <w:rFonts w:asciiTheme="minorHAnsi" w:eastAsia="Adobe Kaiti Std R" w:hAnsiTheme="minorHAnsi" w:cs="Times New Roman"/>
          <w:color w:val="auto"/>
          <w:sz w:val="22"/>
          <w:szCs w:val="22"/>
        </w:rPr>
        <w:t>ASCOT trial was a randomized, multicentre trial comparing the long-term effects of two antihypertensive regimens on myocardial infarction [10].</w:t>
      </w:r>
      <w:r w:rsidRPr="00A120A9">
        <w:rPr>
          <w:rFonts w:asciiTheme="minorHAnsi" w:hAnsiTheme="minorHAnsi" w:cs="Times New Roman"/>
          <w:color w:val="auto"/>
          <w:sz w:val="22"/>
          <w:szCs w:val="22"/>
        </w:rPr>
        <w:t xml:space="preserve"> The population characteristics, genotyping, and imputation of the subsets of ASCOT participants investigated in this study are described in full in supplementary material online. </w:t>
      </w:r>
      <w:r w:rsidRPr="00A120A9">
        <w:rPr>
          <w:rFonts w:asciiTheme="minorHAnsi" w:eastAsia="Adobe Kaiti Std R" w:hAnsiTheme="minorHAnsi" w:cs="Times New Roman"/>
          <w:color w:val="auto"/>
          <w:sz w:val="22"/>
          <w:szCs w:val="22"/>
        </w:rPr>
        <w:t xml:space="preserve">All patients gave written informed consent. </w:t>
      </w:r>
      <w:r w:rsidRPr="00A120A9">
        <w:rPr>
          <w:rFonts w:asciiTheme="minorHAnsi" w:hAnsiTheme="minorHAnsi" w:cs="Times New Roman"/>
          <w:color w:val="auto"/>
          <w:sz w:val="22"/>
          <w:szCs w:val="22"/>
        </w:rPr>
        <w:t xml:space="preserve">Written informed consent and approval by local research ethics committees and/or institutional review boards were obtained for ASCOT, the ASCOT DNA Repository, and the </w:t>
      </w:r>
      <w:r w:rsidRPr="00A120A9">
        <w:rPr>
          <w:rFonts w:asciiTheme="minorHAnsi" w:eastAsia="Adobe Kaiti Std R" w:hAnsiTheme="minorHAnsi" w:cs="Times New Roman"/>
          <w:color w:val="auto"/>
          <w:sz w:val="22"/>
          <w:szCs w:val="22"/>
        </w:rPr>
        <w:t>Hypertension Associated Cardiovascular Disease (HACVD</w:t>
      </w:r>
      <w:r w:rsidRPr="00A120A9">
        <w:rPr>
          <w:rFonts w:asciiTheme="minorHAnsi" w:hAnsiTheme="minorHAnsi" w:cs="Times New Roman"/>
          <w:color w:val="auto"/>
          <w:sz w:val="22"/>
          <w:szCs w:val="22"/>
        </w:rPr>
        <w:t xml:space="preserve">) sub-study. </w:t>
      </w:r>
    </w:p>
    <w:p w:rsidR="001E41CE" w:rsidRPr="00A120A9" w:rsidRDefault="001E41CE" w:rsidP="00A63171">
      <w:pPr>
        <w:spacing w:line="480" w:lineRule="auto"/>
        <w:rPr>
          <w:rFonts w:asciiTheme="minorHAnsi" w:hAnsiTheme="minorHAnsi" w:cs="Times New Roman"/>
          <w:b/>
          <w:color w:val="auto"/>
          <w:sz w:val="22"/>
          <w:szCs w:val="22"/>
        </w:rPr>
      </w:pPr>
    </w:p>
    <w:p w:rsidR="001E41CE" w:rsidRPr="00A120A9" w:rsidRDefault="001E41CE" w:rsidP="00A63171">
      <w:pPr>
        <w:spacing w:line="480" w:lineRule="auto"/>
        <w:rPr>
          <w:rFonts w:asciiTheme="minorHAnsi" w:hAnsiTheme="minorHAnsi" w:cs="Times New Roman"/>
          <w:b/>
          <w:bCs/>
          <w:color w:val="auto"/>
          <w:sz w:val="22"/>
          <w:szCs w:val="22"/>
        </w:rPr>
      </w:pPr>
      <w:r w:rsidRPr="00A120A9">
        <w:rPr>
          <w:rFonts w:asciiTheme="minorHAnsi" w:hAnsiTheme="minorHAnsi" w:cs="Times New Roman"/>
          <w:b/>
          <w:color w:val="auto"/>
          <w:sz w:val="22"/>
          <w:szCs w:val="22"/>
          <w:lang w:eastAsia="en-GB"/>
        </w:rPr>
        <w:t>Genotypes Associated with Elevated Thromboxane A2:</w:t>
      </w:r>
    </w:p>
    <w:p w:rsidR="001E41CE" w:rsidRPr="00A120A9" w:rsidRDefault="001E41CE" w:rsidP="00A63171">
      <w:pPr>
        <w:spacing w:line="480" w:lineRule="auto"/>
        <w:rPr>
          <w:rFonts w:asciiTheme="minorHAnsi" w:eastAsia="Adobe Kaiti Std R" w:hAnsiTheme="minorHAnsi" w:cs="Times New Roman"/>
          <w:color w:val="auto"/>
          <w:sz w:val="22"/>
          <w:szCs w:val="22"/>
        </w:rPr>
      </w:pPr>
      <w:r w:rsidRPr="00A120A9">
        <w:rPr>
          <w:rFonts w:asciiTheme="minorHAnsi" w:eastAsia="Adobe Kaiti Std R" w:hAnsiTheme="minorHAnsi" w:cs="Times New Roman"/>
          <w:color w:val="auto"/>
          <w:sz w:val="22"/>
          <w:szCs w:val="22"/>
        </w:rPr>
        <w:t xml:space="preserve">Fasting urinary </w:t>
      </w:r>
      <w:r w:rsidRPr="00A120A9">
        <w:rPr>
          <w:rFonts w:asciiTheme="minorHAnsi" w:hAnsiTheme="minorHAnsi" w:cs="Times New Roman"/>
          <w:color w:val="auto"/>
          <w:sz w:val="22"/>
          <w:szCs w:val="22"/>
        </w:rPr>
        <w:t>11-dehydro TxB</w:t>
      </w:r>
      <w:r w:rsidRPr="00A120A9">
        <w:rPr>
          <w:rFonts w:asciiTheme="minorHAnsi" w:hAnsiTheme="minorHAnsi" w:cs="Times New Roman"/>
          <w:color w:val="auto"/>
          <w:sz w:val="22"/>
          <w:szCs w:val="22"/>
          <w:vertAlign w:val="subscript"/>
        </w:rPr>
        <w:t>2</w:t>
      </w:r>
      <w:r w:rsidRPr="00A120A9">
        <w:rPr>
          <w:rFonts w:asciiTheme="minorHAnsi" w:eastAsia="Adobe Kaiti Std R" w:hAnsiTheme="minorHAnsi" w:cs="Times New Roman"/>
          <w:color w:val="auto"/>
          <w:sz w:val="22"/>
          <w:szCs w:val="22"/>
        </w:rPr>
        <w:t xml:space="preserve"> was measured by mass spectrometry in 1,006 participants of the HACVD sub-study [11] of the ASCOT trial, and expressed as pg </w:t>
      </w:r>
      <w:r w:rsidRPr="00A120A9">
        <w:rPr>
          <w:rFonts w:asciiTheme="minorHAnsi" w:hAnsiTheme="minorHAnsi" w:cs="Times New Roman"/>
          <w:color w:val="auto"/>
          <w:sz w:val="22"/>
          <w:szCs w:val="22"/>
        </w:rPr>
        <w:t>11-dehydro TxB</w:t>
      </w:r>
      <w:r w:rsidRPr="00A120A9">
        <w:rPr>
          <w:rFonts w:asciiTheme="minorHAnsi" w:hAnsiTheme="minorHAnsi" w:cs="Times New Roman"/>
          <w:color w:val="auto"/>
          <w:sz w:val="22"/>
          <w:szCs w:val="22"/>
          <w:vertAlign w:val="subscript"/>
        </w:rPr>
        <w:t>2</w:t>
      </w:r>
      <w:r w:rsidRPr="00A120A9">
        <w:rPr>
          <w:rFonts w:asciiTheme="minorHAnsi" w:eastAsia="Adobe Kaiti Std R" w:hAnsiTheme="minorHAnsi" w:cs="Times New Roman"/>
          <w:color w:val="auto"/>
          <w:sz w:val="22"/>
          <w:szCs w:val="22"/>
        </w:rPr>
        <w:t xml:space="preserve"> /mg creatinine to normalize for urinary output. </w:t>
      </w:r>
      <w:r w:rsidRPr="00A120A9">
        <w:rPr>
          <w:rFonts w:asciiTheme="minorHAnsi" w:hAnsiTheme="minorHAnsi" w:cs="Times New Roman"/>
          <w:bCs/>
          <w:color w:val="auto"/>
          <w:sz w:val="22"/>
          <w:szCs w:val="22"/>
        </w:rPr>
        <w:t>Genotyping</w:t>
      </w:r>
      <w:r w:rsidRPr="00A120A9">
        <w:rPr>
          <w:rFonts w:asciiTheme="minorHAnsi" w:hAnsiTheme="minorHAnsi" w:cs="Times New Roman"/>
          <w:color w:val="auto"/>
          <w:sz w:val="22"/>
          <w:szCs w:val="22"/>
        </w:rPr>
        <w:t xml:space="preserve"> was performed using the genome-wide Illumina HumanCNV370-Duo array (CNV370) and/or the Illumina HumanCVD BeadChip (CVD50k, targeting &gt;2,000 genic regions related to cardiovascular disease (CVD)), and quality control exclusions applied as described previously [12, 13]. After further excluding all copy number variant (CNV) markers and SNPs with minor allele frequency (MAF) &lt;5%, 272,166 genotyped SNPs (2,031,499 including imputed SNPs) on the CNV370 chip and 31,570 SNPs on the CVD50K chip were analysed in n=777 and n=544 individuals with 11-dehydro TxB</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xml:space="preserve"> measurements, respectively (Figure M1).</w:t>
      </w: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contextualSpacing/>
        <w:rPr>
          <w:rFonts w:asciiTheme="minorHAnsi" w:hAnsiTheme="minorHAnsi" w:cs="Times New Roman"/>
          <w:color w:val="auto"/>
          <w:sz w:val="22"/>
          <w:szCs w:val="22"/>
        </w:rPr>
      </w:pPr>
      <w:r w:rsidRPr="00A120A9">
        <w:rPr>
          <w:rFonts w:asciiTheme="minorHAnsi" w:hAnsiTheme="minorHAnsi" w:cs="Times New Roman"/>
          <w:color w:val="auto"/>
          <w:sz w:val="22"/>
          <w:szCs w:val="22"/>
        </w:rPr>
        <w:t>For each SNP, a linear regression was performed of genotype (assuming an additive genetic model) on urinary 11-dehydro TxB</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xml:space="preserve"> level (a continuous trait) in PLINK v1.07 [14]. Unless otherwise stated, analyses were adjusted for the covariates: age, sex, smoking habit (current smokers vs. never &amp; ex-smokers), presence of type 2 diabetes, systolic blood pressure (SBP), body mass index (BMI), high density lipoprotein (HDL), low density lipoprotein (LDL), randomized anti-hypertensive regimen, reported aspirin use, study location (UK/Ireland or Scandinavia)</w:t>
      </w:r>
      <w:r w:rsidRPr="00A120A9">
        <w:rPr>
          <w:rStyle w:val="CommentReference"/>
          <w:rFonts w:asciiTheme="minorHAnsi" w:hAnsiTheme="minorHAnsi" w:cs="Times New Roman"/>
          <w:color w:val="auto"/>
          <w:sz w:val="22"/>
          <w:szCs w:val="22"/>
        </w:rPr>
        <w:t xml:space="preserve">, and the </w:t>
      </w:r>
      <w:r w:rsidRPr="00A120A9">
        <w:rPr>
          <w:rFonts w:asciiTheme="minorHAnsi" w:hAnsiTheme="minorHAnsi" w:cs="Times New Roman"/>
          <w:color w:val="auto"/>
          <w:sz w:val="22"/>
          <w:szCs w:val="22"/>
        </w:rPr>
        <w:t xml:space="preserve">first ten vectors from </w:t>
      </w:r>
      <w:r w:rsidRPr="00A120A9">
        <w:rPr>
          <w:rFonts w:asciiTheme="minorHAnsi" w:hAnsiTheme="minorHAnsi" w:cs="Times New Roman"/>
          <w:color w:val="auto"/>
          <w:sz w:val="22"/>
          <w:szCs w:val="22"/>
        </w:rPr>
        <w:lastRenderedPageBreak/>
        <w:t>ancestry principal component analysis to avoid confounding due to population stratification. Haplotypes were imputed in PLINK using the standard E-M algorithm. Bonferroni threshold for the CNV370 chip was P=1.8E-07</w:t>
      </w:r>
      <w:r w:rsidRPr="00A120A9">
        <w:rPr>
          <w:rFonts w:asciiTheme="minorHAnsi" w:hAnsiTheme="minorHAnsi" w:cs="Times New Roman"/>
          <w:color w:val="auto"/>
          <w:sz w:val="22"/>
          <w:szCs w:val="22"/>
          <w:vertAlign w:val="superscript"/>
        </w:rPr>
        <w:t xml:space="preserve"> </w:t>
      </w:r>
      <w:r w:rsidRPr="00A120A9">
        <w:rPr>
          <w:rFonts w:asciiTheme="minorHAnsi" w:hAnsiTheme="minorHAnsi" w:cs="Times New Roman"/>
          <w:color w:val="auto"/>
          <w:sz w:val="22"/>
          <w:szCs w:val="22"/>
        </w:rPr>
        <w:t>(0.05/272,166 genotyped SNPs) to account for multiple testing with a 5% false positive rate. As many SNPs on the dense CVD50K chip are correlated, correction for the 21,180 effective tests on the chip is appropriate [13], resulting in a Bonferroni threshold of P=2.4E-06 (0.05/21,180). SNPs associated at P&lt;1E-03 were considered suggestive of association on both chips.</w:t>
      </w:r>
    </w:p>
    <w:p w:rsidR="001E41CE" w:rsidRPr="00A120A9" w:rsidRDefault="001E41CE" w:rsidP="00A63171">
      <w:pPr>
        <w:spacing w:line="480" w:lineRule="auto"/>
        <w:contextualSpacing/>
        <w:rPr>
          <w:rFonts w:asciiTheme="minorHAnsi" w:hAnsiTheme="minorHAnsi" w:cs="Times New Roman"/>
          <w:b/>
          <w:color w:val="auto"/>
          <w:sz w:val="22"/>
          <w:szCs w:val="22"/>
        </w:rPr>
      </w:pPr>
    </w:p>
    <w:p w:rsidR="001E41CE" w:rsidRPr="00A120A9" w:rsidRDefault="001E41CE" w:rsidP="00A63171">
      <w:pPr>
        <w:spacing w:line="480" w:lineRule="auto"/>
        <w:rPr>
          <w:rFonts w:asciiTheme="minorHAnsi" w:hAnsiTheme="minorHAnsi" w:cs="Times New Roman"/>
          <w:b/>
          <w:color w:val="auto"/>
          <w:sz w:val="22"/>
          <w:szCs w:val="22"/>
        </w:rPr>
      </w:pPr>
      <w:r w:rsidRPr="00A120A9">
        <w:rPr>
          <w:rFonts w:asciiTheme="minorHAnsi" w:hAnsiTheme="minorHAnsi" w:cs="Times New Roman"/>
          <w:b/>
          <w:color w:val="auto"/>
          <w:sz w:val="22"/>
          <w:szCs w:val="22"/>
        </w:rPr>
        <w:t xml:space="preserve">Effect of PPARGC1B and CNTN4 genotypes on Cardiovascular Event Free Survival: </w:t>
      </w:r>
    </w:p>
    <w:p w:rsidR="001E41CE" w:rsidRPr="00A120A9" w:rsidRDefault="001E41CE" w:rsidP="00A63171">
      <w:pPr>
        <w:spacing w:line="480" w:lineRule="auto"/>
        <w:rPr>
          <w:rFonts w:asciiTheme="minorHAnsi" w:hAnsiTheme="minorHAnsi" w:cs="Times New Roman"/>
          <w:color w:val="auto"/>
          <w:sz w:val="22"/>
          <w:szCs w:val="22"/>
        </w:rPr>
      </w:pPr>
      <w:r w:rsidRPr="00A120A9">
        <w:rPr>
          <w:rFonts w:asciiTheme="minorHAnsi" w:hAnsiTheme="minorHAnsi" w:cs="Times New Roman"/>
          <w:color w:val="auto"/>
          <w:sz w:val="22"/>
          <w:szCs w:val="22"/>
        </w:rPr>
        <w:t>All ASCOT participants with DNA (n=9,063) were considered for inclusion in the survival analysis. The following exclusions were applied: study participants with prior cardiovascular event at baseline (n=1,382), other non- ischemic/haemorrhagic event during the study (n=342), self-declared non-European ancestry (n=370), missing phenotype data or DNA (n=770) (Figure M1). The 5 SNPs independently associated with 11-dehydro TxB</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xml:space="preserve"> were successfully genotyped in 6,199 participants (n=3,369 from Scandinavian centres and n=2,851 from UK/Ireland centres). The primary endpoint was a composite endpoint including all ischaemic cardiovascular events and procedures, defined as any of: fatal and non-fatal myocardial infarction (MI), fatal and non-fatal heart failure, fatal and non-fatal ischaemic stroke and transient ischaemic attack, angina (stable and unstable), peripheral arterial disease, revascularization procedures, and retinal vascular thrombosis. Where participants had multiple events, the earliest qualifying event was used. The study was stopped after 5.5 patient-years of follow-up because of benefits of the amlodipine-based regimen on all-cause mortality and stroke outcomes. Study participants with no qualifying event were censored at the earlier of the date of withdrawal from the study or the date of study termination (median, range: 5.7 [1.1-7.1] years). </w:t>
      </w: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lang w:val="en-AU" w:eastAsia="en-AU"/>
        </w:rPr>
      </w:pPr>
      <w:r w:rsidRPr="00A120A9">
        <w:rPr>
          <w:rFonts w:asciiTheme="minorHAnsi" w:hAnsiTheme="minorHAnsi" w:cs="Times New Roman"/>
          <w:color w:val="auto"/>
          <w:sz w:val="22"/>
          <w:szCs w:val="22"/>
        </w:rPr>
        <w:lastRenderedPageBreak/>
        <w:t xml:space="preserve">Survival analyses were conducted using the R packages ‘survival’ version 3.2.0 and ‘survivalROC’ version 1.0.3 [15]. The proportional hazards assumption was met for all variables (Table M1). Multivariate </w:t>
      </w:r>
      <w:r w:rsidRPr="00A120A9">
        <w:rPr>
          <w:rFonts w:asciiTheme="minorHAnsi" w:hAnsiTheme="minorHAnsi" w:cs="Times New Roman"/>
          <w:bCs/>
          <w:color w:val="auto"/>
          <w:sz w:val="22"/>
          <w:szCs w:val="22"/>
        </w:rPr>
        <w:t xml:space="preserve">Cox proportional hazards models were used to collectively analyse all clinical </w:t>
      </w:r>
      <w:r w:rsidRPr="00A120A9">
        <w:rPr>
          <w:rFonts w:asciiTheme="minorHAnsi" w:eastAsia="Calibri" w:hAnsiTheme="minorHAnsi" w:cs="Times New Roman"/>
          <w:color w:val="auto"/>
          <w:sz w:val="22"/>
          <w:szCs w:val="22"/>
          <w:lang w:val="en-AU"/>
        </w:rPr>
        <w:t xml:space="preserve">covariates </w:t>
      </w:r>
      <w:r w:rsidRPr="00A120A9">
        <w:rPr>
          <w:rFonts w:asciiTheme="minorHAnsi" w:hAnsiTheme="minorHAnsi" w:cs="Times New Roman"/>
          <w:color w:val="auto"/>
          <w:sz w:val="22"/>
          <w:szCs w:val="22"/>
        </w:rPr>
        <w:t xml:space="preserve">listed in Table 3 </w:t>
      </w:r>
      <w:r w:rsidRPr="00A120A9">
        <w:rPr>
          <w:rFonts w:asciiTheme="minorHAnsi" w:eastAsia="Calibri" w:hAnsiTheme="minorHAnsi" w:cs="Times New Roman"/>
          <w:color w:val="auto"/>
          <w:sz w:val="22"/>
          <w:szCs w:val="22"/>
          <w:lang w:val="en-AU"/>
        </w:rPr>
        <w:t xml:space="preserve">(covariates-only model) followed by all covariates plus all genotypes (covariates + genotypes model). </w:t>
      </w:r>
      <w:r w:rsidRPr="00A120A9">
        <w:rPr>
          <w:rFonts w:asciiTheme="minorHAnsi" w:hAnsiTheme="minorHAnsi" w:cs="Times New Roman"/>
          <w:color w:val="auto"/>
          <w:sz w:val="22"/>
          <w:szCs w:val="22"/>
        </w:rPr>
        <w:t>Chi square comparison of the log likelihoods was</w:t>
      </w:r>
      <w:r w:rsidRPr="00A120A9">
        <w:rPr>
          <w:rFonts w:asciiTheme="minorHAnsi" w:eastAsia="Calibri" w:hAnsiTheme="minorHAnsi" w:cs="Times New Roman"/>
          <w:color w:val="auto"/>
          <w:sz w:val="22"/>
          <w:szCs w:val="22"/>
          <w:lang w:val="en-AU"/>
        </w:rPr>
        <w:t xml:space="preserve"> used to test the alternative hypothesis that the addition of thromboxane-associated SNPs would significantly improve the risk model for CV events</w:t>
      </w:r>
      <w:r w:rsidRPr="00A120A9">
        <w:rPr>
          <w:rFonts w:asciiTheme="minorHAnsi" w:hAnsiTheme="minorHAnsi" w:cs="Times New Roman"/>
          <w:color w:val="auto"/>
          <w:sz w:val="22"/>
          <w:szCs w:val="22"/>
        </w:rPr>
        <w:t>. We hypothesized that genotypes associated with increased urinary 11-dehydro TxB</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xml:space="preserve"> in the association study would be inversely correlated with cardiovascular event-free survival, therefore </w:t>
      </w:r>
      <w:r w:rsidRPr="00A120A9">
        <w:rPr>
          <w:rFonts w:asciiTheme="minorHAnsi" w:hAnsiTheme="minorHAnsi" w:cs="Times New Roman"/>
          <w:i/>
          <w:iCs/>
          <w:color w:val="auto"/>
          <w:sz w:val="22"/>
          <w:szCs w:val="22"/>
          <w:lang w:val="en-AU" w:eastAsia="en-AU"/>
        </w:rPr>
        <w:t xml:space="preserve">P </w:t>
      </w:r>
      <w:r w:rsidRPr="00A120A9">
        <w:rPr>
          <w:rFonts w:asciiTheme="minorHAnsi" w:hAnsiTheme="minorHAnsi" w:cs="Times New Roman"/>
          <w:color w:val="auto"/>
          <w:sz w:val="22"/>
          <w:szCs w:val="22"/>
          <w:lang w:val="en-AU" w:eastAsia="en-AU"/>
        </w:rPr>
        <w:t xml:space="preserve">values and confidence intervals </w:t>
      </w:r>
      <w:r w:rsidRPr="00A120A9">
        <w:rPr>
          <w:rFonts w:asciiTheme="minorHAnsi" w:hAnsiTheme="minorHAnsi" w:cs="Times New Roman"/>
          <w:color w:val="auto"/>
          <w:sz w:val="22"/>
          <w:szCs w:val="22"/>
        </w:rPr>
        <w:t>reported</w:t>
      </w:r>
      <w:r w:rsidRPr="00A120A9">
        <w:rPr>
          <w:rFonts w:asciiTheme="minorHAnsi" w:hAnsiTheme="minorHAnsi" w:cs="Times New Roman"/>
          <w:color w:val="auto"/>
          <w:sz w:val="22"/>
          <w:szCs w:val="22"/>
          <w:lang w:val="en-AU" w:eastAsia="en-AU"/>
        </w:rPr>
        <w:t xml:space="preserve"> for individual SNPs are based on a 1-tailed test.</w:t>
      </w:r>
    </w:p>
    <w:p w:rsidR="001E41CE" w:rsidRPr="00A120A9" w:rsidRDefault="001E41CE" w:rsidP="00A63171">
      <w:pPr>
        <w:spacing w:line="480" w:lineRule="auto"/>
        <w:rPr>
          <w:rFonts w:asciiTheme="minorHAnsi" w:hAnsiTheme="minorHAnsi" w:cs="Times New Roman"/>
          <w:color w:val="auto"/>
          <w:sz w:val="22"/>
          <w:szCs w:val="22"/>
          <w:lang w:val="en-AU" w:eastAsia="en-AU"/>
        </w:rPr>
      </w:pPr>
    </w:p>
    <w:p w:rsidR="001E41CE" w:rsidRPr="00A120A9" w:rsidRDefault="001E41CE" w:rsidP="00A63171">
      <w:pPr>
        <w:spacing w:line="480" w:lineRule="auto"/>
        <w:rPr>
          <w:rFonts w:asciiTheme="minorHAnsi" w:hAnsiTheme="minorHAnsi" w:cs="Times New Roman"/>
          <w:color w:val="auto"/>
          <w:sz w:val="22"/>
          <w:szCs w:val="22"/>
          <w:lang w:val="en-AU" w:eastAsia="en-AU"/>
        </w:rPr>
      </w:pPr>
    </w:p>
    <w:p w:rsidR="001E41CE" w:rsidRPr="00A120A9" w:rsidRDefault="001E41CE" w:rsidP="00A63171">
      <w:pPr>
        <w:spacing w:line="480" w:lineRule="auto"/>
        <w:rPr>
          <w:rFonts w:asciiTheme="minorHAnsi" w:hAnsiTheme="minorHAnsi" w:cs="Times New Roman"/>
          <w:b/>
          <w:bCs/>
          <w:color w:val="auto"/>
          <w:sz w:val="22"/>
          <w:szCs w:val="22"/>
          <w:u w:val="single"/>
        </w:rPr>
      </w:pPr>
      <w:r w:rsidRPr="00A120A9">
        <w:rPr>
          <w:rFonts w:asciiTheme="minorHAnsi" w:hAnsiTheme="minorHAnsi" w:cs="Times New Roman"/>
          <w:b/>
          <w:bCs/>
          <w:color w:val="auto"/>
          <w:sz w:val="22"/>
          <w:szCs w:val="22"/>
          <w:u w:val="single"/>
        </w:rPr>
        <w:t>Results</w:t>
      </w:r>
    </w:p>
    <w:p w:rsidR="001E41CE" w:rsidRPr="00A120A9" w:rsidRDefault="001E41CE" w:rsidP="00A63171">
      <w:pPr>
        <w:spacing w:line="480" w:lineRule="auto"/>
        <w:rPr>
          <w:rFonts w:asciiTheme="minorHAnsi" w:hAnsiTheme="minorHAnsi" w:cs="Times New Roman"/>
          <w:b/>
          <w:bCs/>
          <w:color w:val="auto"/>
          <w:sz w:val="22"/>
          <w:szCs w:val="22"/>
        </w:rPr>
      </w:pPr>
      <w:r w:rsidRPr="00A120A9">
        <w:rPr>
          <w:rFonts w:asciiTheme="minorHAnsi" w:hAnsiTheme="minorHAnsi" w:cs="Times New Roman"/>
          <w:b/>
          <w:color w:val="auto"/>
          <w:sz w:val="22"/>
          <w:szCs w:val="22"/>
          <w:lang w:eastAsia="en-GB"/>
        </w:rPr>
        <w:t>Genotypes Associated with Elevated Thromboxane A</w:t>
      </w:r>
      <w:r w:rsidRPr="00A120A9">
        <w:rPr>
          <w:rFonts w:asciiTheme="minorHAnsi" w:hAnsiTheme="minorHAnsi" w:cs="Times New Roman"/>
          <w:b/>
          <w:color w:val="auto"/>
          <w:sz w:val="22"/>
          <w:szCs w:val="22"/>
          <w:vertAlign w:val="subscript"/>
          <w:lang w:eastAsia="en-GB"/>
        </w:rPr>
        <w:t>2</w:t>
      </w:r>
      <w:r w:rsidRPr="00A120A9">
        <w:rPr>
          <w:rFonts w:asciiTheme="minorHAnsi" w:hAnsiTheme="minorHAnsi" w:cs="Times New Roman"/>
          <w:b/>
          <w:color w:val="auto"/>
          <w:sz w:val="22"/>
          <w:szCs w:val="22"/>
          <w:lang w:eastAsia="en-GB"/>
        </w:rPr>
        <w:t>.</w:t>
      </w:r>
    </w:p>
    <w:p w:rsidR="001E41CE" w:rsidRPr="00A120A9" w:rsidRDefault="001E41CE" w:rsidP="00A63171">
      <w:pPr>
        <w:spacing w:line="480" w:lineRule="auto"/>
        <w:rPr>
          <w:rFonts w:asciiTheme="minorHAnsi" w:hAnsiTheme="minorHAnsi" w:cs="Times New Roman"/>
          <w:color w:val="auto"/>
          <w:sz w:val="22"/>
          <w:szCs w:val="22"/>
        </w:rPr>
      </w:pPr>
      <w:r w:rsidRPr="00A120A9">
        <w:rPr>
          <w:rFonts w:asciiTheme="minorHAnsi" w:hAnsiTheme="minorHAnsi" w:cs="Times New Roman"/>
          <w:bCs/>
          <w:color w:val="auto"/>
          <w:sz w:val="22"/>
          <w:szCs w:val="22"/>
        </w:rPr>
        <w:t xml:space="preserve">Baseline characteristics of the cohort are shown in Table 1. Approximately half of the patients </w:t>
      </w:r>
      <w:r w:rsidRPr="00A120A9">
        <w:rPr>
          <w:rFonts w:asciiTheme="minorHAnsi" w:hAnsiTheme="minorHAnsi" w:cs="Times New Roman"/>
          <w:color w:val="auto"/>
          <w:sz w:val="22"/>
          <w:szCs w:val="22"/>
        </w:rPr>
        <w:t xml:space="preserve">reported taking </w:t>
      </w:r>
      <w:r w:rsidRPr="00A120A9">
        <w:rPr>
          <w:rFonts w:asciiTheme="minorHAnsi" w:hAnsiTheme="minorHAnsi" w:cs="Times New Roman"/>
          <w:bCs/>
          <w:color w:val="auto"/>
          <w:sz w:val="22"/>
          <w:szCs w:val="22"/>
        </w:rPr>
        <w:t xml:space="preserve">aspirin at the time of urinary </w:t>
      </w:r>
      <w:r w:rsidRPr="00A120A9">
        <w:rPr>
          <w:rFonts w:asciiTheme="minorHAnsi" w:hAnsiTheme="minorHAnsi" w:cs="Times New Roman"/>
          <w:color w:val="auto"/>
          <w:sz w:val="22"/>
          <w:szCs w:val="22"/>
        </w:rPr>
        <w:t>11-dehydro TxB</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xml:space="preserve"> measurement. As expected, 11-dehydro TxB</w:t>
      </w:r>
      <w:r w:rsidRPr="00A120A9">
        <w:rPr>
          <w:rFonts w:asciiTheme="minorHAnsi" w:hAnsiTheme="minorHAnsi" w:cs="Times New Roman"/>
          <w:color w:val="auto"/>
          <w:sz w:val="22"/>
          <w:szCs w:val="22"/>
          <w:vertAlign w:val="subscript"/>
        </w:rPr>
        <w:t xml:space="preserve">2 </w:t>
      </w:r>
      <w:r w:rsidRPr="00A120A9">
        <w:rPr>
          <w:rFonts w:asciiTheme="minorHAnsi" w:hAnsiTheme="minorHAnsi" w:cs="Times New Roman"/>
          <w:color w:val="auto"/>
          <w:sz w:val="22"/>
          <w:szCs w:val="22"/>
        </w:rPr>
        <w:t xml:space="preserve">levels were significantly lower in those on aspirin. </w:t>
      </w: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r w:rsidRPr="00A120A9">
        <w:rPr>
          <w:rFonts w:asciiTheme="minorHAnsi" w:hAnsiTheme="minorHAnsi" w:cs="Times New Roman"/>
          <w:color w:val="auto"/>
          <w:sz w:val="22"/>
          <w:szCs w:val="22"/>
        </w:rPr>
        <w:t>Manhattan plots (Figure 1) show that none of the SNPs was individually associated with 11-dehydro TxB</w:t>
      </w:r>
      <w:r w:rsidRPr="00A120A9">
        <w:rPr>
          <w:rFonts w:asciiTheme="minorHAnsi" w:hAnsiTheme="minorHAnsi" w:cs="Times New Roman"/>
          <w:color w:val="auto"/>
          <w:sz w:val="22"/>
          <w:szCs w:val="22"/>
          <w:vertAlign w:val="subscript"/>
        </w:rPr>
        <w:t xml:space="preserve">2 </w:t>
      </w:r>
      <w:r w:rsidRPr="00A120A9">
        <w:rPr>
          <w:rFonts w:asciiTheme="minorHAnsi" w:hAnsiTheme="minorHAnsi" w:cs="Times New Roman"/>
          <w:color w:val="auto"/>
          <w:sz w:val="22"/>
          <w:szCs w:val="22"/>
        </w:rPr>
        <w:t>level beyond Bonferroni threshold. There were no associations between COX-1 (</w:t>
      </w:r>
      <w:r w:rsidRPr="00A120A9">
        <w:rPr>
          <w:rStyle w:val="Emphasis"/>
          <w:rFonts w:asciiTheme="minorHAnsi" w:hAnsiTheme="minorHAnsi" w:cs="Times New Roman"/>
          <w:color w:val="auto"/>
          <w:sz w:val="22"/>
          <w:szCs w:val="22"/>
        </w:rPr>
        <w:t>PTGS1</w:t>
      </w:r>
      <w:r w:rsidRPr="00A120A9">
        <w:rPr>
          <w:rFonts w:asciiTheme="minorHAnsi" w:hAnsiTheme="minorHAnsi" w:cs="Times New Roman"/>
          <w:color w:val="auto"/>
          <w:sz w:val="22"/>
          <w:szCs w:val="22"/>
        </w:rPr>
        <w:t>) and COX-2 (</w:t>
      </w:r>
      <w:r w:rsidRPr="00A120A9">
        <w:rPr>
          <w:rStyle w:val="Emphasis"/>
          <w:rFonts w:asciiTheme="minorHAnsi" w:hAnsiTheme="minorHAnsi" w:cs="Times New Roman"/>
          <w:color w:val="auto"/>
          <w:sz w:val="22"/>
          <w:szCs w:val="22"/>
        </w:rPr>
        <w:t>PTGS2</w:t>
      </w:r>
      <w:r w:rsidRPr="00A120A9">
        <w:rPr>
          <w:rFonts w:asciiTheme="minorHAnsi" w:hAnsiTheme="minorHAnsi" w:cs="Times New Roman"/>
          <w:color w:val="auto"/>
          <w:sz w:val="22"/>
          <w:szCs w:val="22"/>
        </w:rPr>
        <w:t xml:space="preserve">) SNPs </w:t>
      </w:r>
      <w:r w:rsidRPr="00A120A9">
        <w:rPr>
          <w:rFonts w:asciiTheme="minorHAnsi" w:eastAsia="Adobe Kaiti Std R" w:hAnsiTheme="minorHAnsi" w:cs="Times New Roman"/>
          <w:bCs/>
          <w:color w:val="auto"/>
          <w:sz w:val="22"/>
          <w:szCs w:val="22"/>
        </w:rPr>
        <w:t xml:space="preserve">and </w:t>
      </w:r>
      <w:r w:rsidRPr="00A120A9">
        <w:rPr>
          <w:rFonts w:asciiTheme="minorHAnsi" w:hAnsiTheme="minorHAnsi" w:cs="Times New Roman"/>
          <w:color w:val="auto"/>
          <w:sz w:val="22"/>
          <w:szCs w:val="22"/>
        </w:rPr>
        <w:t>11-dehydro TxB</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xml:space="preserve"> in this study, even at the suggestive level (</w:t>
      </w:r>
      <w:r w:rsidRPr="00A120A9">
        <w:rPr>
          <w:rFonts w:asciiTheme="minorHAnsi" w:hAnsiTheme="minorHAnsi" w:cs="Times New Roman"/>
          <w:i/>
          <w:color w:val="auto"/>
          <w:sz w:val="22"/>
          <w:szCs w:val="22"/>
        </w:rPr>
        <w:t>P</w:t>
      </w:r>
      <w:r w:rsidRPr="00A120A9">
        <w:rPr>
          <w:rFonts w:asciiTheme="minorHAnsi" w:hAnsiTheme="minorHAnsi" w:cs="Times New Roman"/>
          <w:color w:val="auto"/>
          <w:sz w:val="22"/>
          <w:szCs w:val="22"/>
        </w:rPr>
        <w:t>&lt;1E-03, Table R1).</w:t>
      </w: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pStyle w:val="NormalWeb"/>
        <w:shd w:val="clear" w:color="auto" w:fill="FFFFFF"/>
        <w:spacing w:before="0" w:after="0" w:line="480" w:lineRule="auto"/>
        <w:rPr>
          <w:rFonts w:asciiTheme="minorHAnsi" w:hAnsiTheme="minorHAnsi"/>
          <w:color w:val="auto"/>
          <w:sz w:val="22"/>
          <w:szCs w:val="22"/>
          <w:u w:val="single"/>
        </w:rPr>
      </w:pPr>
      <w:r w:rsidRPr="00A120A9">
        <w:rPr>
          <w:rFonts w:asciiTheme="minorHAnsi" w:hAnsiTheme="minorHAnsi"/>
          <w:color w:val="auto"/>
          <w:sz w:val="22"/>
          <w:szCs w:val="22"/>
          <w:u w:val="single"/>
        </w:rPr>
        <w:t xml:space="preserve">Analysis of CVD50K chip: a </w:t>
      </w:r>
      <w:r w:rsidRPr="00A120A9">
        <w:rPr>
          <w:rFonts w:asciiTheme="minorHAnsi" w:hAnsiTheme="minorHAnsi"/>
          <w:i/>
          <w:color w:val="auto"/>
          <w:sz w:val="22"/>
          <w:szCs w:val="22"/>
          <w:u w:val="single"/>
        </w:rPr>
        <w:t>PPARGC1B</w:t>
      </w:r>
      <w:r w:rsidRPr="00A120A9">
        <w:rPr>
          <w:rFonts w:asciiTheme="minorHAnsi" w:hAnsiTheme="minorHAnsi"/>
          <w:color w:val="auto"/>
          <w:sz w:val="22"/>
          <w:szCs w:val="22"/>
          <w:u w:val="single"/>
        </w:rPr>
        <w:t xml:space="preserve"> haplotype is significantly associated with 11-dehydro TxB</w:t>
      </w:r>
      <w:r w:rsidRPr="00A120A9">
        <w:rPr>
          <w:rFonts w:asciiTheme="minorHAnsi" w:hAnsiTheme="minorHAnsi"/>
          <w:color w:val="auto"/>
          <w:sz w:val="22"/>
          <w:szCs w:val="22"/>
          <w:u w:val="single"/>
          <w:vertAlign w:val="subscript"/>
        </w:rPr>
        <w:t>2</w:t>
      </w:r>
    </w:p>
    <w:p w:rsidR="001E41CE" w:rsidRPr="00A120A9" w:rsidRDefault="001E41CE" w:rsidP="00A63171">
      <w:pPr>
        <w:pStyle w:val="NormalWeb"/>
        <w:shd w:val="clear" w:color="auto" w:fill="FFFFFF"/>
        <w:spacing w:before="0" w:after="0" w:line="480" w:lineRule="auto"/>
        <w:rPr>
          <w:rFonts w:asciiTheme="minorHAnsi" w:hAnsiTheme="minorHAnsi"/>
          <w:color w:val="auto"/>
          <w:sz w:val="22"/>
          <w:szCs w:val="22"/>
        </w:rPr>
      </w:pPr>
      <w:r w:rsidRPr="00A120A9">
        <w:rPr>
          <w:rFonts w:asciiTheme="minorHAnsi" w:hAnsiTheme="minorHAnsi"/>
          <w:color w:val="auto"/>
          <w:sz w:val="22"/>
          <w:szCs w:val="22"/>
        </w:rPr>
        <w:t xml:space="preserve">The strongest association signal from the CVD50K chip was in the </w:t>
      </w:r>
      <w:r w:rsidRPr="00A120A9">
        <w:rPr>
          <w:rFonts w:asciiTheme="minorHAnsi" w:hAnsiTheme="minorHAnsi"/>
          <w:i/>
          <w:color w:val="auto"/>
          <w:sz w:val="22"/>
          <w:szCs w:val="22"/>
        </w:rPr>
        <w:t>PPARGC1B</w:t>
      </w:r>
      <w:r w:rsidRPr="00A120A9">
        <w:rPr>
          <w:rFonts w:asciiTheme="minorHAnsi" w:hAnsiTheme="minorHAnsi"/>
          <w:color w:val="auto"/>
          <w:sz w:val="22"/>
          <w:szCs w:val="22"/>
        </w:rPr>
        <w:t xml:space="preserve"> (peroxisome proliferator-activated receptor gamma, coactivator 1 beta) gene (Figure 1), where</w:t>
      </w:r>
      <w:r w:rsidRPr="00A120A9">
        <w:rPr>
          <w:rStyle w:val="Strong"/>
          <w:rFonts w:asciiTheme="minorHAnsi" w:hAnsiTheme="minorHAnsi"/>
          <w:color w:val="auto"/>
          <w:sz w:val="22"/>
          <w:szCs w:val="22"/>
        </w:rPr>
        <w:t xml:space="preserve"> </w:t>
      </w:r>
      <w:r w:rsidRPr="00A120A9">
        <w:rPr>
          <w:rStyle w:val="Strong"/>
          <w:rFonts w:asciiTheme="minorHAnsi" w:hAnsiTheme="minorHAnsi"/>
          <w:b w:val="0"/>
          <w:color w:val="auto"/>
          <w:sz w:val="22"/>
          <w:szCs w:val="22"/>
        </w:rPr>
        <w:t>14</w:t>
      </w:r>
      <w:r w:rsidRPr="00A120A9">
        <w:rPr>
          <w:rStyle w:val="Strong"/>
          <w:rFonts w:asciiTheme="minorHAnsi" w:hAnsiTheme="minorHAnsi"/>
          <w:color w:val="auto"/>
          <w:sz w:val="22"/>
          <w:szCs w:val="22"/>
        </w:rPr>
        <w:t xml:space="preserve"> </w:t>
      </w:r>
      <w:r w:rsidRPr="00A120A9">
        <w:rPr>
          <w:rStyle w:val="Strong"/>
          <w:rFonts w:asciiTheme="minorHAnsi" w:hAnsiTheme="minorHAnsi"/>
          <w:b w:val="0"/>
          <w:color w:val="auto"/>
          <w:sz w:val="22"/>
          <w:szCs w:val="22"/>
        </w:rPr>
        <w:t>SNPs</w:t>
      </w:r>
      <w:r w:rsidRPr="00A120A9">
        <w:rPr>
          <w:rStyle w:val="Strong"/>
          <w:rFonts w:asciiTheme="minorHAnsi" w:hAnsiTheme="minorHAnsi"/>
          <w:color w:val="auto"/>
          <w:sz w:val="22"/>
          <w:szCs w:val="22"/>
        </w:rPr>
        <w:t xml:space="preserve"> </w:t>
      </w:r>
      <w:r w:rsidRPr="00A120A9">
        <w:rPr>
          <w:rFonts w:asciiTheme="minorHAnsi" w:hAnsiTheme="minorHAnsi"/>
          <w:color w:val="auto"/>
          <w:sz w:val="22"/>
          <w:szCs w:val="22"/>
        </w:rPr>
        <w:t>were suggestive of association with 11-dehydro TxB</w:t>
      </w:r>
      <w:r w:rsidRPr="00A120A9">
        <w:rPr>
          <w:rFonts w:asciiTheme="minorHAnsi" w:hAnsiTheme="minorHAnsi"/>
          <w:color w:val="auto"/>
          <w:sz w:val="22"/>
          <w:szCs w:val="22"/>
          <w:vertAlign w:val="subscript"/>
        </w:rPr>
        <w:t>2</w:t>
      </w:r>
      <w:r w:rsidRPr="00A120A9">
        <w:rPr>
          <w:rFonts w:asciiTheme="minorHAnsi" w:hAnsiTheme="minorHAnsi"/>
          <w:color w:val="auto"/>
          <w:sz w:val="22"/>
          <w:szCs w:val="22"/>
        </w:rPr>
        <w:t xml:space="preserve"> (Table R2). </w:t>
      </w:r>
      <w:bookmarkStart w:id="1" w:name="_Toc305484929"/>
      <w:bookmarkStart w:id="2" w:name="_Toc302918523"/>
      <w:bookmarkStart w:id="3" w:name="_Toc302670599"/>
      <w:bookmarkStart w:id="4" w:name="_Toc312068569"/>
      <w:bookmarkEnd w:id="1"/>
      <w:bookmarkEnd w:id="2"/>
      <w:bookmarkEnd w:id="3"/>
      <w:bookmarkEnd w:id="4"/>
      <w:r w:rsidRPr="00A120A9">
        <w:rPr>
          <w:rFonts w:asciiTheme="minorHAnsi" w:hAnsiTheme="minorHAnsi"/>
          <w:color w:val="auto"/>
          <w:sz w:val="22"/>
          <w:szCs w:val="22"/>
        </w:rPr>
        <w:t xml:space="preserve">The most significant SNP at this locus was </w:t>
      </w:r>
      <w:r w:rsidRPr="00A120A9">
        <w:rPr>
          <w:rFonts w:asciiTheme="minorHAnsi" w:hAnsiTheme="minorHAnsi"/>
          <w:color w:val="auto"/>
          <w:sz w:val="22"/>
          <w:szCs w:val="22"/>
        </w:rPr>
        <w:lastRenderedPageBreak/>
        <w:t>rs4235745 (</w:t>
      </w:r>
      <w:r w:rsidRPr="00A120A9">
        <w:rPr>
          <w:rFonts w:asciiTheme="minorHAnsi" w:hAnsiTheme="minorHAnsi"/>
          <w:i/>
          <w:color w:val="auto"/>
          <w:sz w:val="22"/>
          <w:szCs w:val="22"/>
        </w:rPr>
        <w:t>P</w:t>
      </w:r>
      <w:r w:rsidRPr="00A120A9">
        <w:rPr>
          <w:rFonts w:asciiTheme="minorHAnsi" w:hAnsiTheme="minorHAnsi"/>
          <w:color w:val="auto"/>
          <w:sz w:val="22"/>
          <w:szCs w:val="22"/>
        </w:rPr>
        <w:t>=4.3E-06, Table 2). Conditioning on rs4235745 genotype, two SNPs (rs32582 and rs10515638) remained associated with 11-dehydro TxB</w:t>
      </w:r>
      <w:r w:rsidRPr="00A120A9">
        <w:rPr>
          <w:rFonts w:asciiTheme="minorHAnsi" w:hAnsiTheme="minorHAnsi"/>
          <w:color w:val="auto"/>
          <w:sz w:val="22"/>
          <w:szCs w:val="22"/>
          <w:vertAlign w:val="subscript"/>
        </w:rPr>
        <w:t>2</w:t>
      </w:r>
      <w:r w:rsidRPr="00A120A9">
        <w:rPr>
          <w:rFonts w:asciiTheme="minorHAnsi" w:hAnsiTheme="minorHAnsi"/>
          <w:color w:val="auto"/>
          <w:sz w:val="22"/>
          <w:szCs w:val="22"/>
        </w:rPr>
        <w:t xml:space="preserve"> and were not correlated with each other (r</w:t>
      </w:r>
      <w:r w:rsidRPr="00A120A9">
        <w:rPr>
          <w:rFonts w:asciiTheme="minorHAnsi" w:hAnsiTheme="minorHAnsi"/>
          <w:color w:val="auto"/>
          <w:sz w:val="22"/>
          <w:szCs w:val="22"/>
          <w:vertAlign w:val="superscript"/>
        </w:rPr>
        <w:t>2</w:t>
      </w:r>
      <w:r w:rsidRPr="00A120A9">
        <w:rPr>
          <w:rFonts w:asciiTheme="minorHAnsi" w:hAnsiTheme="minorHAnsi"/>
          <w:color w:val="auto"/>
          <w:sz w:val="22"/>
          <w:szCs w:val="22"/>
        </w:rPr>
        <w:t xml:space="preserve">=0.15, Table R3, Figure R1). </w:t>
      </w:r>
      <w:r w:rsidR="00A63171" w:rsidRPr="00A120A9">
        <w:rPr>
          <w:rFonts w:asciiTheme="minorHAnsi" w:hAnsiTheme="minorHAnsi"/>
          <w:color w:val="auto"/>
          <w:sz w:val="22"/>
          <w:szCs w:val="22"/>
        </w:rPr>
        <w:t>Although rs4235745 and rs32582 were not genotyped on the CNV370 chip, other variants in the gene did show some evidence of association with 11-dehydro TxB</w:t>
      </w:r>
      <w:r w:rsidR="00A63171" w:rsidRPr="00A120A9">
        <w:rPr>
          <w:rFonts w:asciiTheme="minorHAnsi" w:hAnsiTheme="minorHAnsi"/>
          <w:color w:val="auto"/>
          <w:sz w:val="22"/>
          <w:szCs w:val="22"/>
          <w:vertAlign w:val="subscript"/>
        </w:rPr>
        <w:t>2</w:t>
      </w:r>
      <w:r w:rsidR="00A120A9" w:rsidRPr="00A120A9">
        <w:rPr>
          <w:rFonts w:asciiTheme="minorHAnsi" w:hAnsiTheme="minorHAnsi"/>
          <w:color w:val="auto"/>
          <w:sz w:val="22"/>
          <w:szCs w:val="22"/>
        </w:rPr>
        <w:t xml:space="preserve"> </w:t>
      </w:r>
      <w:r w:rsidR="00A63171" w:rsidRPr="00A120A9">
        <w:rPr>
          <w:rFonts w:asciiTheme="minorHAnsi" w:hAnsiTheme="minorHAnsi"/>
          <w:color w:val="auto"/>
          <w:sz w:val="22"/>
          <w:szCs w:val="22"/>
        </w:rPr>
        <w:t>(</w:t>
      </w:r>
      <w:r w:rsidR="00D2790C" w:rsidRPr="00A120A9">
        <w:rPr>
          <w:rFonts w:asciiTheme="minorHAnsi" w:hAnsiTheme="minorHAnsi"/>
          <w:color w:val="auto"/>
          <w:sz w:val="22"/>
          <w:szCs w:val="22"/>
        </w:rPr>
        <w:t>S</w:t>
      </w:r>
      <w:r w:rsidR="00A63171" w:rsidRPr="00A120A9">
        <w:rPr>
          <w:rFonts w:asciiTheme="minorHAnsi" w:hAnsiTheme="minorHAnsi"/>
          <w:color w:val="auto"/>
          <w:sz w:val="22"/>
          <w:szCs w:val="22"/>
        </w:rPr>
        <w:t>upp</w:t>
      </w:r>
      <w:r w:rsidR="00D2790C" w:rsidRPr="00A120A9">
        <w:rPr>
          <w:rFonts w:asciiTheme="minorHAnsi" w:hAnsiTheme="minorHAnsi"/>
          <w:color w:val="auto"/>
          <w:sz w:val="22"/>
          <w:szCs w:val="22"/>
        </w:rPr>
        <w:t>lementary T</w:t>
      </w:r>
      <w:r w:rsidR="00037231" w:rsidRPr="00A120A9">
        <w:rPr>
          <w:rFonts w:asciiTheme="minorHAnsi" w:hAnsiTheme="minorHAnsi"/>
          <w:color w:val="auto"/>
          <w:sz w:val="22"/>
          <w:szCs w:val="22"/>
        </w:rPr>
        <w:t xml:space="preserve">able </w:t>
      </w:r>
      <w:r w:rsidR="00D2790C" w:rsidRPr="00A120A9">
        <w:rPr>
          <w:rFonts w:asciiTheme="minorHAnsi" w:hAnsiTheme="minorHAnsi"/>
          <w:color w:val="auto"/>
          <w:sz w:val="22"/>
          <w:szCs w:val="22"/>
        </w:rPr>
        <w:t>1</w:t>
      </w:r>
      <w:r w:rsidR="00037231" w:rsidRPr="00A120A9">
        <w:rPr>
          <w:rFonts w:asciiTheme="minorHAnsi" w:hAnsiTheme="minorHAnsi"/>
          <w:color w:val="auto"/>
          <w:sz w:val="22"/>
          <w:szCs w:val="22"/>
        </w:rPr>
        <w:t xml:space="preserve"> and Figure 1</w:t>
      </w:r>
      <w:r w:rsidR="00A63171" w:rsidRPr="00A120A9">
        <w:rPr>
          <w:rFonts w:asciiTheme="minorHAnsi" w:hAnsiTheme="minorHAnsi"/>
          <w:color w:val="auto"/>
          <w:sz w:val="22"/>
          <w:szCs w:val="22"/>
        </w:rPr>
        <w:t>).</w:t>
      </w:r>
    </w:p>
    <w:p w:rsidR="001E41CE" w:rsidRPr="00A120A9" w:rsidRDefault="001E41CE" w:rsidP="00A63171">
      <w:pPr>
        <w:pStyle w:val="NormalWeb"/>
        <w:shd w:val="clear" w:color="auto" w:fill="FFFFFF"/>
        <w:spacing w:before="0" w:after="0" w:line="480" w:lineRule="auto"/>
        <w:rPr>
          <w:rFonts w:asciiTheme="minorHAnsi" w:hAnsiTheme="minorHAnsi"/>
          <w:color w:val="auto"/>
          <w:sz w:val="22"/>
          <w:szCs w:val="22"/>
        </w:rPr>
      </w:pPr>
    </w:p>
    <w:p w:rsidR="001E41CE" w:rsidRPr="00A120A9" w:rsidRDefault="001E41CE" w:rsidP="00A63171">
      <w:pPr>
        <w:pStyle w:val="NormalWeb"/>
        <w:shd w:val="clear" w:color="auto" w:fill="FFFFFF"/>
        <w:spacing w:before="0" w:after="0" w:line="480" w:lineRule="auto"/>
        <w:rPr>
          <w:rFonts w:asciiTheme="minorHAnsi" w:hAnsiTheme="minorHAnsi"/>
          <w:color w:val="auto"/>
          <w:sz w:val="22"/>
          <w:szCs w:val="22"/>
        </w:rPr>
      </w:pPr>
      <w:r w:rsidRPr="00A120A9">
        <w:rPr>
          <w:rFonts w:asciiTheme="minorHAnsi" w:hAnsiTheme="minorHAnsi"/>
          <w:color w:val="auto"/>
          <w:sz w:val="22"/>
          <w:szCs w:val="22"/>
        </w:rPr>
        <w:t>The haplotype of 11-dehydro TxB</w:t>
      </w:r>
      <w:r w:rsidRPr="00A120A9">
        <w:rPr>
          <w:rFonts w:asciiTheme="minorHAnsi" w:hAnsiTheme="minorHAnsi"/>
          <w:color w:val="auto"/>
          <w:sz w:val="22"/>
          <w:szCs w:val="22"/>
          <w:vertAlign w:val="subscript"/>
        </w:rPr>
        <w:t>2</w:t>
      </w:r>
      <w:r w:rsidRPr="00A120A9">
        <w:rPr>
          <w:rFonts w:asciiTheme="minorHAnsi" w:hAnsiTheme="minorHAnsi"/>
          <w:color w:val="auto"/>
          <w:sz w:val="22"/>
          <w:szCs w:val="22"/>
        </w:rPr>
        <w:t>-increasing alleles of the three independently associated SNPs (TTA, frequency 6%) was significantly associated with an increase of 382pg/mg creatinine 11-dehydro TxB</w:t>
      </w:r>
      <w:r w:rsidRPr="00A120A9">
        <w:rPr>
          <w:rFonts w:asciiTheme="minorHAnsi" w:hAnsiTheme="minorHAnsi"/>
          <w:color w:val="auto"/>
          <w:sz w:val="22"/>
          <w:szCs w:val="22"/>
          <w:vertAlign w:val="subscript"/>
        </w:rPr>
        <w:t>2</w:t>
      </w:r>
      <w:r w:rsidRPr="00A120A9">
        <w:rPr>
          <w:rFonts w:asciiTheme="minorHAnsi" w:hAnsiTheme="minorHAnsi"/>
          <w:color w:val="auto"/>
          <w:sz w:val="22"/>
          <w:szCs w:val="22"/>
        </w:rPr>
        <w:t>, surpassing Bonferroni threshold (P=2.0E-06, Table 2). This haplotype explained 5.2% of the variation in 11-dehydro TxB</w:t>
      </w:r>
      <w:r w:rsidRPr="00A120A9">
        <w:rPr>
          <w:rFonts w:asciiTheme="minorHAnsi" w:hAnsiTheme="minorHAnsi"/>
          <w:color w:val="auto"/>
          <w:sz w:val="22"/>
          <w:szCs w:val="22"/>
          <w:vertAlign w:val="subscript"/>
        </w:rPr>
        <w:t>2</w:t>
      </w:r>
      <w:r w:rsidRPr="00A120A9">
        <w:rPr>
          <w:rFonts w:asciiTheme="minorHAnsi" w:hAnsiTheme="minorHAnsi"/>
          <w:color w:val="auto"/>
          <w:sz w:val="22"/>
          <w:szCs w:val="22"/>
        </w:rPr>
        <w:t xml:space="preserve"> in all subjects, 8.8% in subjects not on aspirin, and 1.8% in those on aspirin (multiple R</w:t>
      </w:r>
      <w:r w:rsidRPr="00A120A9">
        <w:rPr>
          <w:rFonts w:asciiTheme="minorHAnsi" w:hAnsiTheme="minorHAnsi"/>
          <w:color w:val="auto"/>
          <w:sz w:val="22"/>
          <w:szCs w:val="22"/>
          <w:vertAlign w:val="superscript"/>
        </w:rPr>
        <w:t>2</w:t>
      </w:r>
      <w:r w:rsidRPr="00A120A9">
        <w:rPr>
          <w:rFonts w:asciiTheme="minorHAnsi" w:hAnsiTheme="minorHAnsi"/>
          <w:color w:val="auto"/>
          <w:sz w:val="22"/>
          <w:szCs w:val="22"/>
        </w:rPr>
        <w:t xml:space="preserve"> values calculated in R). The 11-dehydro TxB</w:t>
      </w:r>
      <w:r w:rsidRPr="00A120A9">
        <w:rPr>
          <w:rFonts w:asciiTheme="minorHAnsi" w:hAnsiTheme="minorHAnsi"/>
          <w:color w:val="auto"/>
          <w:sz w:val="22"/>
          <w:szCs w:val="22"/>
          <w:vertAlign w:val="subscript"/>
        </w:rPr>
        <w:t>2</w:t>
      </w:r>
      <w:r w:rsidRPr="00A120A9">
        <w:rPr>
          <w:rFonts w:asciiTheme="minorHAnsi" w:hAnsiTheme="minorHAnsi"/>
          <w:color w:val="auto"/>
          <w:sz w:val="22"/>
          <w:szCs w:val="22"/>
        </w:rPr>
        <w:t>-decreasing alleles haplotype (GCC, frequency 66%) was associated with a decrease of 146pg/mg creatinine (Table R5).</w:t>
      </w:r>
    </w:p>
    <w:p w:rsidR="001E41CE" w:rsidRPr="00A120A9" w:rsidRDefault="001E41CE" w:rsidP="00A63171">
      <w:pPr>
        <w:pStyle w:val="NormalWeb"/>
        <w:shd w:val="clear" w:color="auto" w:fill="FFFFFF"/>
        <w:spacing w:before="0" w:after="0" w:line="480" w:lineRule="auto"/>
        <w:rPr>
          <w:rFonts w:asciiTheme="minorHAnsi" w:hAnsiTheme="minorHAnsi"/>
          <w:color w:val="auto"/>
          <w:sz w:val="22"/>
          <w:szCs w:val="22"/>
          <w:u w:val="single"/>
        </w:rPr>
      </w:pPr>
    </w:p>
    <w:p w:rsidR="001E41CE" w:rsidRPr="00A120A9" w:rsidRDefault="001E41CE" w:rsidP="00A63171">
      <w:pPr>
        <w:pStyle w:val="NormalWeb"/>
        <w:shd w:val="clear" w:color="auto" w:fill="FFFFFF"/>
        <w:spacing w:before="0" w:after="0" w:line="480" w:lineRule="auto"/>
        <w:rPr>
          <w:rFonts w:asciiTheme="minorHAnsi" w:hAnsiTheme="minorHAnsi"/>
          <w:color w:val="auto"/>
          <w:sz w:val="22"/>
          <w:szCs w:val="22"/>
          <w:u w:val="single"/>
        </w:rPr>
      </w:pPr>
      <w:r w:rsidRPr="00A120A9">
        <w:rPr>
          <w:rFonts w:asciiTheme="minorHAnsi" w:hAnsiTheme="minorHAnsi"/>
          <w:color w:val="auto"/>
          <w:sz w:val="22"/>
          <w:szCs w:val="22"/>
          <w:u w:val="single"/>
        </w:rPr>
        <w:t xml:space="preserve">Analysis of CNV370 chip: a </w:t>
      </w:r>
      <w:r w:rsidRPr="00A120A9">
        <w:rPr>
          <w:rFonts w:asciiTheme="minorHAnsi" w:hAnsiTheme="minorHAnsi"/>
          <w:i/>
          <w:color w:val="auto"/>
          <w:sz w:val="22"/>
          <w:szCs w:val="22"/>
          <w:u w:val="single"/>
        </w:rPr>
        <w:t>CNTN4</w:t>
      </w:r>
      <w:r w:rsidRPr="00A120A9">
        <w:rPr>
          <w:rFonts w:asciiTheme="minorHAnsi" w:hAnsiTheme="minorHAnsi"/>
          <w:color w:val="auto"/>
          <w:sz w:val="22"/>
          <w:szCs w:val="22"/>
          <w:u w:val="single"/>
        </w:rPr>
        <w:t xml:space="preserve"> haplotype is significantly associated with 11-dehydro TxB</w:t>
      </w:r>
      <w:r w:rsidRPr="00A120A9">
        <w:rPr>
          <w:rFonts w:asciiTheme="minorHAnsi" w:hAnsiTheme="minorHAnsi"/>
          <w:color w:val="auto"/>
          <w:sz w:val="22"/>
          <w:szCs w:val="22"/>
          <w:u w:val="single"/>
          <w:vertAlign w:val="subscript"/>
        </w:rPr>
        <w:t>2.</w:t>
      </w:r>
    </w:p>
    <w:p w:rsidR="00A63171" w:rsidRPr="00A120A9" w:rsidRDefault="001E41CE" w:rsidP="00A63171">
      <w:pPr>
        <w:widowControl w:val="0"/>
        <w:autoSpaceDE w:val="0"/>
        <w:autoSpaceDN w:val="0"/>
        <w:adjustRightInd w:val="0"/>
        <w:spacing w:line="480" w:lineRule="auto"/>
        <w:rPr>
          <w:rFonts w:asciiTheme="minorHAnsi" w:hAnsiTheme="minorHAnsi" w:cs="Helvetica"/>
          <w:color w:val="auto"/>
          <w:sz w:val="22"/>
          <w:szCs w:val="22"/>
        </w:rPr>
      </w:pPr>
      <w:r w:rsidRPr="00A120A9">
        <w:rPr>
          <w:rFonts w:asciiTheme="minorHAnsi" w:hAnsiTheme="minorHAnsi"/>
          <w:color w:val="auto"/>
          <w:sz w:val="22"/>
          <w:szCs w:val="22"/>
        </w:rPr>
        <w:t xml:space="preserve">The strongest association signal from the CNV370 analysis was in the </w:t>
      </w:r>
      <w:r w:rsidRPr="00A120A9">
        <w:rPr>
          <w:rFonts w:asciiTheme="minorHAnsi" w:hAnsiTheme="minorHAnsi"/>
          <w:i/>
          <w:color w:val="auto"/>
          <w:sz w:val="22"/>
          <w:szCs w:val="22"/>
        </w:rPr>
        <w:t>CNTN4</w:t>
      </w:r>
      <w:r w:rsidRPr="00A120A9">
        <w:rPr>
          <w:rFonts w:asciiTheme="minorHAnsi" w:hAnsiTheme="minorHAnsi"/>
          <w:color w:val="auto"/>
          <w:sz w:val="22"/>
          <w:szCs w:val="22"/>
        </w:rPr>
        <w:t xml:space="preserve"> (contactin 4) gene (Figure 1), where 13 SNPs were suggestive of association with 11-dehydro TxB</w:t>
      </w:r>
      <w:r w:rsidRPr="00A120A9">
        <w:rPr>
          <w:rFonts w:asciiTheme="minorHAnsi" w:hAnsiTheme="minorHAnsi"/>
          <w:color w:val="auto"/>
          <w:sz w:val="22"/>
          <w:szCs w:val="22"/>
          <w:vertAlign w:val="subscript"/>
        </w:rPr>
        <w:t>2</w:t>
      </w:r>
      <w:r w:rsidRPr="00A120A9">
        <w:rPr>
          <w:rFonts w:asciiTheme="minorHAnsi" w:hAnsiTheme="minorHAnsi"/>
          <w:color w:val="auto"/>
          <w:sz w:val="22"/>
          <w:szCs w:val="22"/>
        </w:rPr>
        <w:t xml:space="preserve"> (Table R6). The most significant genotyped SNP at this locus was rs10510230 (P=5.1E-07, Table 2) and conditioning on this genotype revealed one other SNP, rs4684343, independently associated with 11-dehydro TxB</w:t>
      </w:r>
      <w:r w:rsidRPr="00A120A9">
        <w:rPr>
          <w:rFonts w:asciiTheme="minorHAnsi" w:hAnsiTheme="minorHAnsi"/>
          <w:color w:val="auto"/>
          <w:sz w:val="22"/>
          <w:szCs w:val="22"/>
          <w:vertAlign w:val="subscript"/>
        </w:rPr>
        <w:t>2</w:t>
      </w:r>
      <w:r w:rsidRPr="00A120A9">
        <w:rPr>
          <w:rFonts w:asciiTheme="minorHAnsi" w:hAnsiTheme="minorHAnsi"/>
          <w:color w:val="auto"/>
          <w:sz w:val="22"/>
          <w:szCs w:val="22"/>
        </w:rPr>
        <w:t xml:space="preserve"> and not correlated with rs10510230 (r</w:t>
      </w:r>
      <w:r w:rsidRPr="00A120A9">
        <w:rPr>
          <w:rFonts w:asciiTheme="minorHAnsi" w:hAnsiTheme="minorHAnsi"/>
          <w:color w:val="auto"/>
          <w:sz w:val="22"/>
          <w:szCs w:val="22"/>
          <w:vertAlign w:val="superscript"/>
        </w:rPr>
        <w:t>2</w:t>
      </w:r>
      <w:r w:rsidRPr="00A120A9">
        <w:rPr>
          <w:rFonts w:asciiTheme="minorHAnsi" w:hAnsiTheme="minorHAnsi"/>
          <w:color w:val="auto"/>
          <w:sz w:val="22"/>
          <w:szCs w:val="22"/>
        </w:rPr>
        <w:t xml:space="preserve"> =0.09, Table R7 and Figure R2). </w:t>
      </w:r>
      <w:r w:rsidR="00A63171" w:rsidRPr="00A120A9">
        <w:rPr>
          <w:rFonts w:asciiTheme="minorHAnsi" w:hAnsiTheme="minorHAnsi" w:cs="Helvetica"/>
          <w:color w:val="auto"/>
          <w:sz w:val="22"/>
          <w:szCs w:val="22"/>
        </w:rPr>
        <w:t>Only SNPs in the CNTN4 gene was genotyped on the CVD50k chip, which was not very close to either of the top hit CNTN4 SNPs (rs10510230 or rs4684343), hence there was very little signal at the CNTN4 gene on the CVD50K chip (</w:t>
      </w:r>
      <w:r w:rsidR="00D2790C" w:rsidRPr="00A120A9">
        <w:rPr>
          <w:rFonts w:asciiTheme="minorHAnsi" w:hAnsiTheme="minorHAnsi"/>
          <w:color w:val="auto"/>
          <w:sz w:val="22"/>
          <w:szCs w:val="22"/>
        </w:rPr>
        <w:t>Supplementary Table 1 and Figure 1</w:t>
      </w:r>
      <w:r w:rsidR="00A63171" w:rsidRPr="00A120A9">
        <w:rPr>
          <w:rFonts w:asciiTheme="minorHAnsi" w:hAnsiTheme="minorHAnsi"/>
          <w:color w:val="auto"/>
          <w:sz w:val="22"/>
          <w:szCs w:val="22"/>
        </w:rPr>
        <w:t>)</w:t>
      </w:r>
    </w:p>
    <w:p w:rsidR="001E41CE" w:rsidRPr="00A120A9" w:rsidRDefault="001E41CE" w:rsidP="00A63171">
      <w:pPr>
        <w:pStyle w:val="NormalWeb"/>
        <w:shd w:val="clear" w:color="auto" w:fill="FFFFFF"/>
        <w:spacing w:before="0" w:after="0" w:line="480" w:lineRule="auto"/>
        <w:rPr>
          <w:rFonts w:asciiTheme="minorHAnsi" w:hAnsiTheme="minorHAnsi"/>
          <w:color w:val="auto"/>
          <w:sz w:val="22"/>
          <w:szCs w:val="22"/>
        </w:rPr>
      </w:pPr>
    </w:p>
    <w:p w:rsidR="001E41CE" w:rsidRPr="00A120A9" w:rsidRDefault="001E41CE" w:rsidP="00A63171">
      <w:pPr>
        <w:pStyle w:val="NormalWeb"/>
        <w:shd w:val="clear" w:color="auto" w:fill="FFFFFF"/>
        <w:spacing w:before="0" w:after="0" w:line="480" w:lineRule="auto"/>
        <w:rPr>
          <w:rFonts w:asciiTheme="minorHAnsi" w:hAnsiTheme="minorHAnsi"/>
          <w:color w:val="auto"/>
          <w:sz w:val="22"/>
          <w:szCs w:val="22"/>
        </w:rPr>
      </w:pPr>
      <w:r w:rsidRPr="00A120A9">
        <w:rPr>
          <w:rFonts w:asciiTheme="minorHAnsi" w:hAnsiTheme="minorHAnsi"/>
          <w:color w:val="auto"/>
          <w:sz w:val="22"/>
          <w:szCs w:val="22"/>
        </w:rPr>
        <w:t>The haplotype of both 11-dehydro TxB</w:t>
      </w:r>
      <w:r w:rsidRPr="00A120A9">
        <w:rPr>
          <w:rFonts w:asciiTheme="minorHAnsi" w:hAnsiTheme="minorHAnsi"/>
          <w:color w:val="auto"/>
          <w:sz w:val="22"/>
          <w:szCs w:val="22"/>
          <w:vertAlign w:val="subscript"/>
        </w:rPr>
        <w:t>2</w:t>
      </w:r>
      <w:r w:rsidRPr="00A120A9">
        <w:rPr>
          <w:rFonts w:asciiTheme="minorHAnsi" w:hAnsiTheme="minorHAnsi"/>
          <w:color w:val="auto"/>
          <w:sz w:val="22"/>
          <w:szCs w:val="22"/>
        </w:rPr>
        <w:t>–increasing alleles of rs10510230 and rs4684343 (CG, frequency 13%) was significantly associated with increased 11-dehydro TxB</w:t>
      </w:r>
      <w:r w:rsidRPr="00A120A9">
        <w:rPr>
          <w:rFonts w:asciiTheme="minorHAnsi" w:hAnsiTheme="minorHAnsi"/>
          <w:color w:val="auto"/>
          <w:sz w:val="22"/>
          <w:szCs w:val="22"/>
          <w:vertAlign w:val="subscript"/>
        </w:rPr>
        <w:t>2</w:t>
      </w:r>
      <w:r w:rsidRPr="00A120A9">
        <w:rPr>
          <w:rFonts w:asciiTheme="minorHAnsi" w:hAnsiTheme="minorHAnsi"/>
          <w:color w:val="auto"/>
          <w:sz w:val="22"/>
          <w:szCs w:val="22"/>
        </w:rPr>
        <w:t>, surpassing Bonferroni threshold (</w:t>
      </w:r>
      <w:r w:rsidRPr="00A120A9">
        <w:rPr>
          <w:rFonts w:asciiTheme="minorHAnsi" w:hAnsiTheme="minorHAnsi"/>
          <w:i/>
          <w:color w:val="auto"/>
          <w:sz w:val="22"/>
          <w:szCs w:val="22"/>
        </w:rPr>
        <w:t>P</w:t>
      </w:r>
      <w:r w:rsidRPr="00A120A9">
        <w:rPr>
          <w:rFonts w:asciiTheme="minorHAnsi" w:hAnsiTheme="minorHAnsi"/>
          <w:color w:val="auto"/>
          <w:sz w:val="22"/>
          <w:szCs w:val="22"/>
        </w:rPr>
        <w:t>=2E-09, Table 2). This haplotype explained 4.5% of the variation in 11-dehydro TxB</w:t>
      </w:r>
      <w:r w:rsidRPr="00A120A9">
        <w:rPr>
          <w:rFonts w:asciiTheme="minorHAnsi" w:hAnsiTheme="minorHAnsi"/>
          <w:color w:val="auto"/>
          <w:sz w:val="22"/>
          <w:szCs w:val="22"/>
          <w:vertAlign w:val="subscript"/>
        </w:rPr>
        <w:t>2</w:t>
      </w:r>
      <w:r w:rsidRPr="00A120A9">
        <w:rPr>
          <w:rFonts w:asciiTheme="minorHAnsi" w:hAnsiTheme="minorHAnsi"/>
          <w:color w:val="auto"/>
          <w:sz w:val="22"/>
          <w:szCs w:val="22"/>
        </w:rPr>
        <w:t xml:space="preserve"> in all </w:t>
      </w:r>
      <w:r w:rsidRPr="00A120A9">
        <w:rPr>
          <w:rFonts w:asciiTheme="minorHAnsi" w:hAnsiTheme="minorHAnsi"/>
          <w:color w:val="auto"/>
          <w:sz w:val="22"/>
          <w:szCs w:val="22"/>
        </w:rPr>
        <w:lastRenderedPageBreak/>
        <w:t>subjects, 7.9% for subjects not on aspirin, and 1.5% for those on aspirin. The 11-dehydro TxB</w:t>
      </w:r>
      <w:r w:rsidRPr="00A120A9">
        <w:rPr>
          <w:rFonts w:asciiTheme="minorHAnsi" w:hAnsiTheme="minorHAnsi"/>
          <w:color w:val="auto"/>
          <w:sz w:val="22"/>
          <w:szCs w:val="22"/>
          <w:vertAlign w:val="subscript"/>
        </w:rPr>
        <w:t>2</w:t>
      </w:r>
      <w:r w:rsidRPr="00A120A9">
        <w:rPr>
          <w:rFonts w:asciiTheme="minorHAnsi" w:hAnsiTheme="minorHAnsi"/>
          <w:color w:val="auto"/>
          <w:sz w:val="22"/>
          <w:szCs w:val="22"/>
        </w:rPr>
        <w:t>-decreasing alleles haplotype (AA, frequency 44%) was associated with a decrease of 128pg/mg creatinine (Table R9).</w:t>
      </w:r>
    </w:p>
    <w:p w:rsidR="001E41CE" w:rsidRPr="00A120A9" w:rsidRDefault="001E41CE" w:rsidP="00A63171">
      <w:pPr>
        <w:pStyle w:val="NormalWeb"/>
        <w:shd w:val="clear" w:color="auto" w:fill="FFFFFF"/>
        <w:spacing w:before="0" w:after="0" w:line="480" w:lineRule="auto"/>
        <w:rPr>
          <w:rFonts w:asciiTheme="minorHAnsi" w:hAnsiTheme="minorHAnsi"/>
          <w:color w:val="auto"/>
          <w:sz w:val="22"/>
          <w:szCs w:val="22"/>
        </w:rPr>
      </w:pPr>
    </w:p>
    <w:p w:rsidR="001E41CE" w:rsidRPr="00A120A9" w:rsidRDefault="001E41CE" w:rsidP="00A63171">
      <w:pPr>
        <w:pStyle w:val="NormalWeb"/>
        <w:shd w:val="clear" w:color="auto" w:fill="FFFFFF"/>
        <w:spacing w:before="0" w:after="0" w:line="480" w:lineRule="auto"/>
        <w:rPr>
          <w:rFonts w:asciiTheme="minorHAnsi" w:hAnsiTheme="minorHAnsi"/>
          <w:color w:val="auto"/>
          <w:sz w:val="22"/>
          <w:szCs w:val="22"/>
          <w:u w:val="single"/>
        </w:rPr>
      </w:pPr>
      <w:r w:rsidRPr="00A120A9">
        <w:rPr>
          <w:rFonts w:asciiTheme="minorHAnsi" w:hAnsiTheme="minorHAnsi"/>
          <w:color w:val="auto"/>
          <w:sz w:val="22"/>
          <w:szCs w:val="22"/>
          <w:u w:val="single"/>
        </w:rPr>
        <w:t>Interaction with aspirin</w:t>
      </w:r>
    </w:p>
    <w:p w:rsidR="001E41CE" w:rsidRPr="00A120A9" w:rsidRDefault="001E41CE" w:rsidP="00A63171">
      <w:pPr>
        <w:pStyle w:val="NormalWeb"/>
        <w:shd w:val="clear" w:color="auto" w:fill="FFFFFF"/>
        <w:spacing w:before="0" w:after="0" w:line="480" w:lineRule="auto"/>
        <w:rPr>
          <w:rFonts w:asciiTheme="minorHAnsi" w:hAnsiTheme="minorHAnsi"/>
          <w:color w:val="auto"/>
          <w:sz w:val="22"/>
          <w:szCs w:val="22"/>
        </w:rPr>
      </w:pPr>
      <w:r w:rsidRPr="00A120A9">
        <w:rPr>
          <w:rFonts w:asciiTheme="minorHAnsi" w:hAnsiTheme="minorHAnsi"/>
          <w:color w:val="auto"/>
          <w:sz w:val="22"/>
          <w:szCs w:val="22"/>
        </w:rPr>
        <w:t>The five independently associated PPARGC1B and CNTN4 SNPs showed evidence for interaction with aspirin use in a model including the main SNP and aspirin effects and all covariates, with a greater association between genotype and 11-dehydro TxB</w:t>
      </w:r>
      <w:r w:rsidRPr="00A120A9">
        <w:rPr>
          <w:rFonts w:asciiTheme="minorHAnsi" w:hAnsiTheme="minorHAnsi"/>
          <w:color w:val="auto"/>
          <w:sz w:val="22"/>
          <w:szCs w:val="22"/>
          <w:vertAlign w:val="subscript"/>
        </w:rPr>
        <w:t>2</w:t>
      </w:r>
      <w:r w:rsidRPr="00A120A9">
        <w:rPr>
          <w:rFonts w:asciiTheme="minorHAnsi" w:hAnsiTheme="minorHAnsi"/>
          <w:color w:val="auto"/>
          <w:sz w:val="22"/>
          <w:szCs w:val="22"/>
        </w:rPr>
        <w:t xml:space="preserve"> in those not taking aspirin (Figure 1, Table 2, Table R4, Table R8). The interaction was significant for three of these five SNPs after correction for multiple testing (P value threshold &lt;0.01; interaction P-values for PPARGC1B SNPs: rs4235745 (P=</w:t>
      </w:r>
      <w:r w:rsidRPr="00A120A9">
        <w:rPr>
          <w:rFonts w:asciiTheme="minorHAnsi" w:hAnsiTheme="minorHAnsi"/>
          <w:color w:val="auto"/>
          <w:sz w:val="22"/>
          <w:szCs w:val="22"/>
          <w:lang w:val="en-GB" w:eastAsia="en-GB"/>
        </w:rPr>
        <w:t>3.3E-04)</w:t>
      </w:r>
      <w:r w:rsidRPr="00A120A9">
        <w:rPr>
          <w:rFonts w:asciiTheme="minorHAnsi" w:hAnsiTheme="minorHAnsi"/>
          <w:color w:val="auto"/>
          <w:sz w:val="22"/>
          <w:szCs w:val="22"/>
        </w:rPr>
        <w:t>, rs32582 (P=</w:t>
      </w:r>
      <w:r w:rsidRPr="00A120A9">
        <w:rPr>
          <w:rFonts w:asciiTheme="minorHAnsi" w:hAnsiTheme="minorHAnsi"/>
          <w:color w:val="auto"/>
          <w:sz w:val="22"/>
          <w:szCs w:val="22"/>
          <w:lang w:val="en-GB" w:eastAsia="en-GB"/>
        </w:rPr>
        <w:t xml:space="preserve"> 3.0E-04)</w:t>
      </w:r>
      <w:r w:rsidRPr="00A120A9">
        <w:rPr>
          <w:rFonts w:asciiTheme="minorHAnsi" w:hAnsiTheme="minorHAnsi"/>
          <w:color w:val="auto"/>
          <w:sz w:val="22"/>
          <w:szCs w:val="22"/>
        </w:rPr>
        <w:t>, rs10515638 (P=0.02) and for CNTN4 SNPs: rs4684343 (P=0.02), rs10515638 (P=</w:t>
      </w:r>
      <w:r w:rsidRPr="00A120A9">
        <w:rPr>
          <w:rFonts w:asciiTheme="minorHAnsi" w:hAnsiTheme="minorHAnsi"/>
          <w:color w:val="auto"/>
          <w:sz w:val="22"/>
          <w:szCs w:val="22"/>
          <w:lang w:val="en-GB" w:eastAsia="en-GB"/>
        </w:rPr>
        <w:t xml:space="preserve"> 6.6E-05)</w:t>
      </w:r>
      <w:r w:rsidRPr="00A120A9">
        <w:rPr>
          <w:rFonts w:asciiTheme="minorHAnsi" w:hAnsiTheme="minorHAnsi"/>
          <w:color w:val="auto"/>
          <w:sz w:val="22"/>
          <w:szCs w:val="22"/>
        </w:rPr>
        <w:t xml:space="preserve">). </w:t>
      </w:r>
    </w:p>
    <w:p w:rsidR="001E41CE" w:rsidRPr="00A120A9" w:rsidRDefault="001E41CE" w:rsidP="00A63171">
      <w:pPr>
        <w:pStyle w:val="NormalWeb"/>
        <w:shd w:val="clear" w:color="auto" w:fill="FFFFFF"/>
        <w:spacing w:before="0" w:after="0" w:line="480" w:lineRule="auto"/>
        <w:rPr>
          <w:rFonts w:asciiTheme="minorHAnsi" w:hAnsiTheme="minorHAnsi"/>
          <w:color w:val="auto"/>
          <w:sz w:val="22"/>
          <w:szCs w:val="22"/>
        </w:rPr>
      </w:pPr>
    </w:p>
    <w:p w:rsidR="001E41CE" w:rsidRPr="00A120A9" w:rsidRDefault="001E41CE" w:rsidP="00A63171">
      <w:pPr>
        <w:pStyle w:val="NormalWeb"/>
        <w:shd w:val="clear" w:color="auto" w:fill="FFFFFF"/>
        <w:spacing w:before="0" w:after="0" w:line="480" w:lineRule="auto"/>
        <w:rPr>
          <w:rFonts w:asciiTheme="minorHAnsi" w:hAnsiTheme="minorHAnsi"/>
          <w:color w:val="auto"/>
          <w:sz w:val="22"/>
          <w:szCs w:val="22"/>
          <w:u w:val="single"/>
        </w:rPr>
      </w:pPr>
      <w:r w:rsidRPr="00A120A9">
        <w:rPr>
          <w:rFonts w:asciiTheme="minorHAnsi" w:hAnsiTheme="minorHAnsi"/>
          <w:color w:val="auto"/>
          <w:sz w:val="22"/>
          <w:szCs w:val="22"/>
          <w:u w:val="single"/>
        </w:rPr>
        <w:t>Function of 11-dehydro TxB</w:t>
      </w:r>
      <w:r w:rsidRPr="00A120A9">
        <w:rPr>
          <w:rFonts w:asciiTheme="minorHAnsi" w:hAnsiTheme="minorHAnsi"/>
          <w:color w:val="auto"/>
          <w:sz w:val="22"/>
          <w:szCs w:val="22"/>
          <w:u w:val="single"/>
          <w:vertAlign w:val="subscript"/>
        </w:rPr>
        <w:t>2</w:t>
      </w:r>
      <w:r w:rsidRPr="00A120A9">
        <w:rPr>
          <w:rFonts w:asciiTheme="minorHAnsi" w:hAnsiTheme="minorHAnsi"/>
          <w:color w:val="auto"/>
          <w:sz w:val="22"/>
          <w:szCs w:val="22"/>
          <w:u w:val="single"/>
        </w:rPr>
        <w:t xml:space="preserve"> – associated </w:t>
      </w:r>
      <w:r w:rsidRPr="00A120A9">
        <w:rPr>
          <w:rFonts w:asciiTheme="minorHAnsi" w:hAnsiTheme="minorHAnsi"/>
          <w:i/>
          <w:color w:val="auto"/>
          <w:sz w:val="22"/>
          <w:szCs w:val="22"/>
          <w:u w:val="single"/>
        </w:rPr>
        <w:t>CNTN4</w:t>
      </w:r>
      <w:r w:rsidRPr="00A120A9">
        <w:rPr>
          <w:rFonts w:asciiTheme="minorHAnsi" w:hAnsiTheme="minorHAnsi"/>
          <w:color w:val="auto"/>
          <w:sz w:val="22"/>
          <w:szCs w:val="22"/>
          <w:u w:val="single"/>
        </w:rPr>
        <w:t xml:space="preserve"> and</w:t>
      </w:r>
      <w:r w:rsidRPr="00A120A9">
        <w:rPr>
          <w:rFonts w:asciiTheme="minorHAnsi" w:hAnsiTheme="minorHAnsi"/>
          <w:i/>
          <w:color w:val="auto"/>
          <w:sz w:val="22"/>
          <w:szCs w:val="22"/>
          <w:u w:val="single"/>
        </w:rPr>
        <w:t xml:space="preserve"> PPARGC1B</w:t>
      </w:r>
      <w:r w:rsidRPr="00A120A9">
        <w:rPr>
          <w:rFonts w:asciiTheme="minorHAnsi" w:hAnsiTheme="minorHAnsi"/>
          <w:color w:val="auto"/>
          <w:sz w:val="22"/>
          <w:szCs w:val="22"/>
          <w:u w:val="single"/>
        </w:rPr>
        <w:t xml:space="preserve"> SNPs</w:t>
      </w:r>
    </w:p>
    <w:p w:rsidR="001E41CE" w:rsidRPr="00A120A9" w:rsidRDefault="001E41CE" w:rsidP="00A63171">
      <w:pPr>
        <w:pStyle w:val="Caption"/>
        <w:spacing w:line="480" w:lineRule="auto"/>
        <w:rPr>
          <w:rFonts w:asciiTheme="minorHAnsi" w:hAnsiTheme="minorHAnsi"/>
          <w:b w:val="0"/>
          <w:color w:val="auto"/>
          <w:sz w:val="22"/>
          <w:szCs w:val="22"/>
        </w:rPr>
      </w:pPr>
      <w:r w:rsidRPr="00A120A9">
        <w:rPr>
          <w:rFonts w:asciiTheme="minorHAnsi" w:hAnsiTheme="minorHAnsi"/>
          <w:b w:val="0"/>
          <w:color w:val="auto"/>
          <w:sz w:val="22"/>
          <w:szCs w:val="22"/>
        </w:rPr>
        <w:t xml:space="preserve">None of the independently associated SNPs nor their proxies were in exonic or predicted functional regions using the ensemble </w:t>
      </w:r>
      <w:r w:rsidRPr="00A120A9">
        <w:rPr>
          <w:b w:val="0"/>
          <w:color w:val="auto"/>
        </w:rPr>
        <w:t>variant effect predictor (</w:t>
      </w:r>
      <w:hyperlink r:id="rId8" w:history="1">
        <w:r w:rsidRPr="00A120A9">
          <w:rPr>
            <w:rStyle w:val="Hyperlink"/>
            <w:b w:val="0"/>
            <w:color w:val="auto"/>
          </w:rPr>
          <w:t>http://www.ensembl.org/Tools/VEP</w:t>
        </w:r>
      </w:hyperlink>
      <w:r w:rsidRPr="00A120A9">
        <w:rPr>
          <w:b w:val="0"/>
          <w:color w:val="auto"/>
        </w:rPr>
        <w:t>), nor were they</w:t>
      </w:r>
      <w:r w:rsidRPr="00A120A9">
        <w:rPr>
          <w:rFonts w:asciiTheme="minorHAnsi" w:hAnsiTheme="minorHAnsi"/>
          <w:b w:val="0"/>
          <w:color w:val="auto"/>
          <w:sz w:val="22"/>
          <w:szCs w:val="22"/>
        </w:rPr>
        <w:t xml:space="preserve"> associated with expression of any genes </w:t>
      </w:r>
      <w:r w:rsidRPr="00A120A9">
        <w:rPr>
          <w:rFonts w:asciiTheme="minorHAnsi" w:hAnsiTheme="minorHAnsi"/>
          <w:b w:val="0"/>
          <w:bCs w:val="0"/>
          <w:color w:val="auto"/>
          <w:sz w:val="22"/>
          <w:szCs w:val="22"/>
        </w:rPr>
        <w:t>in any tissues in the GTEx portal (</w:t>
      </w:r>
      <w:hyperlink r:id="rId9" w:history="1">
        <w:r w:rsidRPr="00A120A9">
          <w:rPr>
            <w:rStyle w:val="Hyperlink"/>
            <w:rFonts w:asciiTheme="minorHAnsi" w:hAnsiTheme="minorHAnsi"/>
            <w:b w:val="0"/>
            <w:bCs w:val="0"/>
            <w:color w:val="auto"/>
            <w:sz w:val="22"/>
            <w:szCs w:val="22"/>
          </w:rPr>
          <w:t>http://www.gtexportal.org/home/</w:t>
        </w:r>
      </w:hyperlink>
      <w:r w:rsidRPr="00A120A9">
        <w:rPr>
          <w:rFonts w:asciiTheme="minorHAnsi" w:hAnsiTheme="minorHAnsi"/>
          <w:b w:val="0"/>
          <w:bCs w:val="0"/>
          <w:color w:val="auto"/>
          <w:sz w:val="22"/>
          <w:szCs w:val="22"/>
        </w:rPr>
        <w:t xml:space="preserve">), </w:t>
      </w:r>
      <w:r w:rsidR="003F2F72" w:rsidRPr="00A120A9">
        <w:rPr>
          <w:rFonts w:asciiTheme="minorHAnsi" w:hAnsiTheme="minorHAnsi"/>
          <w:b w:val="0"/>
          <w:color w:val="auto"/>
          <w:sz w:val="22"/>
          <w:szCs w:val="22"/>
        </w:rPr>
        <w:t>(S</w:t>
      </w:r>
      <w:r w:rsidRPr="00A120A9">
        <w:rPr>
          <w:rFonts w:asciiTheme="minorHAnsi" w:hAnsiTheme="minorHAnsi"/>
          <w:b w:val="0"/>
          <w:color w:val="auto"/>
          <w:sz w:val="22"/>
          <w:szCs w:val="22"/>
        </w:rPr>
        <w:t xml:space="preserve">upplementary information </w:t>
      </w:r>
      <w:r w:rsidR="003F2F72" w:rsidRPr="00A120A9">
        <w:rPr>
          <w:rFonts w:asciiTheme="minorHAnsi" w:hAnsiTheme="minorHAnsi"/>
          <w:b w:val="0"/>
          <w:color w:val="auto"/>
          <w:sz w:val="22"/>
          <w:szCs w:val="22"/>
        </w:rPr>
        <w:t>T</w:t>
      </w:r>
      <w:r w:rsidRPr="00A120A9">
        <w:rPr>
          <w:rFonts w:asciiTheme="minorHAnsi" w:hAnsiTheme="minorHAnsi"/>
          <w:b w:val="0"/>
          <w:color w:val="auto"/>
          <w:sz w:val="22"/>
          <w:szCs w:val="22"/>
        </w:rPr>
        <w:t>able R1</w:t>
      </w:r>
      <w:r w:rsidR="003F2F72" w:rsidRPr="00A120A9">
        <w:rPr>
          <w:rFonts w:asciiTheme="minorHAnsi" w:hAnsiTheme="minorHAnsi"/>
          <w:b w:val="0"/>
          <w:color w:val="auto"/>
          <w:sz w:val="22"/>
          <w:szCs w:val="22"/>
        </w:rPr>
        <w:t>7</w:t>
      </w:r>
      <w:r w:rsidRPr="00A120A9">
        <w:rPr>
          <w:rFonts w:asciiTheme="minorHAnsi" w:hAnsiTheme="minorHAnsi"/>
          <w:b w:val="0"/>
          <w:color w:val="auto"/>
          <w:sz w:val="22"/>
          <w:szCs w:val="22"/>
        </w:rPr>
        <w:t>)</w:t>
      </w:r>
      <w:r w:rsidRPr="00A120A9">
        <w:rPr>
          <w:rFonts w:asciiTheme="minorHAnsi" w:hAnsiTheme="minorHAnsi"/>
          <w:b w:val="0"/>
          <w:bCs w:val="0"/>
          <w:color w:val="auto"/>
          <w:sz w:val="22"/>
          <w:szCs w:val="22"/>
        </w:rPr>
        <w:t xml:space="preserve">. </w:t>
      </w:r>
    </w:p>
    <w:p w:rsidR="001E41CE" w:rsidRPr="00A120A9" w:rsidRDefault="001E41CE" w:rsidP="00A63171">
      <w:pPr>
        <w:spacing w:line="480" w:lineRule="auto"/>
        <w:rPr>
          <w:rFonts w:asciiTheme="minorHAnsi" w:hAnsiTheme="minorHAnsi" w:cs="Times New Roman"/>
          <w:b/>
          <w:color w:val="auto"/>
          <w:sz w:val="22"/>
          <w:szCs w:val="22"/>
        </w:rPr>
      </w:pPr>
    </w:p>
    <w:p w:rsidR="001E41CE" w:rsidRPr="00A120A9" w:rsidRDefault="001E41CE" w:rsidP="00A63171">
      <w:pPr>
        <w:spacing w:line="480" w:lineRule="auto"/>
        <w:rPr>
          <w:rFonts w:asciiTheme="minorHAnsi" w:hAnsiTheme="minorHAnsi" w:cs="Times New Roman"/>
          <w:b/>
          <w:color w:val="auto"/>
          <w:sz w:val="22"/>
          <w:szCs w:val="22"/>
        </w:rPr>
      </w:pPr>
      <w:r w:rsidRPr="00A120A9">
        <w:rPr>
          <w:rFonts w:asciiTheme="minorHAnsi" w:hAnsiTheme="minorHAnsi" w:cs="Times New Roman"/>
          <w:b/>
          <w:color w:val="auto"/>
          <w:sz w:val="22"/>
          <w:szCs w:val="22"/>
        </w:rPr>
        <w:t xml:space="preserve">Effect of PPARGC1B and CNTN4 genotypes on Cardiovascular Event Free Survival. </w:t>
      </w:r>
    </w:p>
    <w:p w:rsidR="001E41CE" w:rsidRPr="00A120A9" w:rsidRDefault="001E41CE" w:rsidP="00A63171">
      <w:pPr>
        <w:spacing w:line="480" w:lineRule="auto"/>
        <w:rPr>
          <w:rFonts w:asciiTheme="minorHAnsi" w:hAnsiTheme="minorHAnsi" w:cs="Times New Roman"/>
          <w:color w:val="auto"/>
          <w:sz w:val="22"/>
          <w:szCs w:val="22"/>
        </w:rPr>
      </w:pPr>
      <w:r w:rsidRPr="00A120A9">
        <w:rPr>
          <w:rFonts w:asciiTheme="minorHAnsi" w:hAnsiTheme="minorHAnsi" w:cs="Times New Roman"/>
          <w:color w:val="auto"/>
          <w:sz w:val="22"/>
          <w:szCs w:val="22"/>
        </w:rPr>
        <w:t>Demographic and clinical characteristics of the survival analyses population are shown in Table 1.</w:t>
      </w: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eastAsia="Calibri" w:hAnsiTheme="minorHAnsi" w:cs="Times New Roman"/>
          <w:color w:val="auto"/>
          <w:sz w:val="22"/>
          <w:szCs w:val="22"/>
          <w:u w:val="single"/>
          <w:lang w:val="en-AU"/>
        </w:rPr>
      </w:pPr>
      <w:r w:rsidRPr="00A120A9">
        <w:rPr>
          <w:rFonts w:asciiTheme="minorHAnsi" w:eastAsia="Calibri" w:hAnsiTheme="minorHAnsi" w:cs="Times New Roman"/>
          <w:color w:val="auto"/>
          <w:sz w:val="22"/>
          <w:szCs w:val="22"/>
          <w:u w:val="single"/>
          <w:lang w:val="en-AU"/>
        </w:rPr>
        <w:t xml:space="preserve">Addition of the </w:t>
      </w:r>
      <w:r w:rsidRPr="00A120A9">
        <w:rPr>
          <w:rFonts w:asciiTheme="minorHAnsi" w:hAnsiTheme="minorHAnsi" w:cs="Times New Roman"/>
          <w:color w:val="auto"/>
          <w:sz w:val="22"/>
          <w:szCs w:val="22"/>
          <w:u w:val="single"/>
        </w:rPr>
        <w:t>11-dehydro TxB</w:t>
      </w:r>
      <w:r w:rsidRPr="00A120A9">
        <w:rPr>
          <w:rFonts w:asciiTheme="minorHAnsi" w:hAnsiTheme="minorHAnsi" w:cs="Times New Roman"/>
          <w:color w:val="auto"/>
          <w:sz w:val="22"/>
          <w:szCs w:val="22"/>
          <w:u w:val="single"/>
          <w:vertAlign w:val="subscript"/>
        </w:rPr>
        <w:t>2</w:t>
      </w:r>
      <w:r w:rsidRPr="00A120A9">
        <w:rPr>
          <w:rFonts w:asciiTheme="minorHAnsi" w:hAnsiTheme="minorHAnsi" w:cs="Times New Roman"/>
          <w:color w:val="auto"/>
          <w:sz w:val="22"/>
          <w:szCs w:val="22"/>
          <w:u w:val="single"/>
        </w:rPr>
        <w:t xml:space="preserve">-associated </w:t>
      </w:r>
      <w:r w:rsidRPr="00A120A9">
        <w:rPr>
          <w:rFonts w:asciiTheme="minorHAnsi" w:eastAsia="Calibri" w:hAnsiTheme="minorHAnsi" w:cs="Times New Roman"/>
          <w:color w:val="auto"/>
          <w:sz w:val="22"/>
          <w:szCs w:val="22"/>
          <w:u w:val="single"/>
          <w:lang w:val="en-AU"/>
        </w:rPr>
        <w:t>genotypes improves survival model.</w:t>
      </w:r>
    </w:p>
    <w:p w:rsidR="001E41CE" w:rsidRPr="00A120A9" w:rsidRDefault="001E41CE" w:rsidP="00A63171">
      <w:pPr>
        <w:spacing w:line="480" w:lineRule="auto"/>
        <w:rPr>
          <w:rFonts w:asciiTheme="minorHAnsi" w:hAnsiTheme="minorHAnsi" w:cs="Times New Roman"/>
          <w:color w:val="auto"/>
          <w:sz w:val="22"/>
          <w:szCs w:val="22"/>
        </w:rPr>
      </w:pPr>
      <w:r w:rsidRPr="00A120A9">
        <w:rPr>
          <w:rFonts w:asciiTheme="minorHAnsi" w:hAnsiTheme="minorHAnsi"/>
          <w:color w:val="auto"/>
          <w:sz w:val="22"/>
          <w:szCs w:val="22"/>
        </w:rPr>
        <w:t xml:space="preserve">The three </w:t>
      </w:r>
      <w:r w:rsidRPr="00A120A9">
        <w:rPr>
          <w:rFonts w:asciiTheme="minorHAnsi" w:hAnsiTheme="minorHAnsi"/>
          <w:i/>
          <w:color w:val="auto"/>
          <w:sz w:val="22"/>
          <w:szCs w:val="22"/>
        </w:rPr>
        <w:t>PPARGC1B</w:t>
      </w:r>
      <w:r w:rsidRPr="00A120A9">
        <w:rPr>
          <w:rFonts w:asciiTheme="minorHAnsi" w:hAnsiTheme="minorHAnsi"/>
          <w:color w:val="auto"/>
          <w:sz w:val="22"/>
          <w:szCs w:val="22"/>
        </w:rPr>
        <w:t xml:space="preserve"> and two </w:t>
      </w:r>
      <w:r w:rsidRPr="00A120A9">
        <w:rPr>
          <w:rFonts w:asciiTheme="minorHAnsi" w:hAnsiTheme="minorHAnsi"/>
          <w:i/>
          <w:color w:val="auto"/>
          <w:sz w:val="22"/>
          <w:szCs w:val="22"/>
        </w:rPr>
        <w:t xml:space="preserve">CNTN4 </w:t>
      </w:r>
      <w:r w:rsidRPr="00A120A9">
        <w:rPr>
          <w:rFonts w:asciiTheme="minorHAnsi" w:hAnsiTheme="minorHAnsi"/>
          <w:color w:val="auto"/>
          <w:sz w:val="22"/>
          <w:szCs w:val="22"/>
        </w:rPr>
        <w:t>independently associated</w:t>
      </w:r>
      <w:r w:rsidRPr="00A120A9">
        <w:rPr>
          <w:rFonts w:asciiTheme="minorHAnsi" w:hAnsiTheme="minorHAnsi"/>
          <w:i/>
          <w:color w:val="auto"/>
          <w:sz w:val="22"/>
          <w:szCs w:val="22"/>
        </w:rPr>
        <w:t xml:space="preserve"> </w:t>
      </w:r>
      <w:r w:rsidRPr="00A120A9">
        <w:rPr>
          <w:rFonts w:asciiTheme="minorHAnsi" w:hAnsiTheme="minorHAnsi"/>
          <w:color w:val="auto"/>
          <w:sz w:val="22"/>
          <w:szCs w:val="22"/>
        </w:rPr>
        <w:t>SNPs which comprised the haplotypes significantly associated with 11-dehydro TxB</w:t>
      </w:r>
      <w:r w:rsidRPr="00A120A9">
        <w:rPr>
          <w:rFonts w:asciiTheme="minorHAnsi" w:hAnsiTheme="minorHAnsi"/>
          <w:color w:val="auto"/>
          <w:sz w:val="22"/>
          <w:szCs w:val="22"/>
          <w:vertAlign w:val="subscript"/>
        </w:rPr>
        <w:t>2</w:t>
      </w:r>
      <w:r w:rsidRPr="00A120A9">
        <w:rPr>
          <w:rFonts w:asciiTheme="minorHAnsi" w:hAnsiTheme="minorHAnsi"/>
          <w:color w:val="auto"/>
          <w:sz w:val="22"/>
          <w:szCs w:val="22"/>
        </w:rPr>
        <w:t xml:space="preserve"> were included in the survival analysis. </w:t>
      </w:r>
      <w:r w:rsidRPr="00A120A9">
        <w:rPr>
          <w:rFonts w:asciiTheme="minorHAnsi" w:eastAsia="Calibri" w:hAnsiTheme="minorHAnsi"/>
          <w:color w:val="auto"/>
          <w:sz w:val="22"/>
          <w:szCs w:val="22"/>
          <w:lang w:val="en-AU"/>
        </w:rPr>
        <w:t>T</w:t>
      </w:r>
      <w:r w:rsidRPr="00A120A9">
        <w:rPr>
          <w:rFonts w:asciiTheme="minorHAnsi" w:hAnsiTheme="minorHAnsi"/>
          <w:color w:val="auto"/>
          <w:sz w:val="22"/>
          <w:szCs w:val="22"/>
        </w:rPr>
        <w:t xml:space="preserve">he addition of these five SNPs significantly improved the covariates-only Cox proportional hazards </w:t>
      </w:r>
      <w:r w:rsidRPr="00A120A9">
        <w:rPr>
          <w:rFonts w:asciiTheme="minorHAnsi" w:hAnsiTheme="minorHAnsi"/>
          <w:color w:val="auto"/>
          <w:sz w:val="22"/>
          <w:szCs w:val="22"/>
        </w:rPr>
        <w:lastRenderedPageBreak/>
        <w:t xml:space="preserve">model of </w:t>
      </w:r>
      <w:r w:rsidRPr="00A120A9">
        <w:rPr>
          <w:rFonts w:asciiTheme="minorHAnsi" w:hAnsiTheme="minorHAnsi"/>
          <w:bCs/>
          <w:color w:val="auto"/>
          <w:sz w:val="22"/>
          <w:szCs w:val="22"/>
          <w:lang w:eastAsia="en-AU"/>
        </w:rPr>
        <w:t xml:space="preserve">cardiovascular event free survival </w:t>
      </w:r>
      <w:r w:rsidRPr="00A120A9">
        <w:rPr>
          <w:rFonts w:asciiTheme="minorHAnsi" w:hAnsiTheme="minorHAnsi"/>
          <w:color w:val="auto"/>
          <w:sz w:val="22"/>
          <w:szCs w:val="22"/>
        </w:rPr>
        <w:t xml:space="preserve">(chisq comparison of the log likelihoods </w:t>
      </w:r>
      <w:r w:rsidRPr="00A120A9">
        <w:rPr>
          <w:rFonts w:asciiTheme="minorHAnsi" w:hAnsiTheme="minorHAnsi"/>
          <w:i/>
          <w:color w:val="auto"/>
          <w:sz w:val="22"/>
          <w:szCs w:val="22"/>
        </w:rPr>
        <w:t>P</w:t>
      </w:r>
      <w:r w:rsidRPr="00A120A9">
        <w:rPr>
          <w:rFonts w:asciiTheme="minorHAnsi" w:hAnsiTheme="minorHAnsi"/>
          <w:color w:val="auto"/>
          <w:sz w:val="22"/>
          <w:szCs w:val="22"/>
        </w:rPr>
        <w:t xml:space="preserve">=0.01, Table 3). Survival analysis of the PPARGC1B and CNTN4 haplotypes which were associated with the highest </w:t>
      </w:r>
      <w:r w:rsidRPr="00A120A9">
        <w:rPr>
          <w:rFonts w:asciiTheme="minorHAnsi" w:hAnsiTheme="minorHAnsi" w:cs="Times New Roman"/>
          <w:color w:val="auto"/>
          <w:sz w:val="22"/>
          <w:szCs w:val="22"/>
        </w:rPr>
        <w:t>11-dehydro TxB</w:t>
      </w:r>
      <w:r w:rsidRPr="00A120A9">
        <w:rPr>
          <w:rFonts w:asciiTheme="minorHAnsi" w:hAnsiTheme="minorHAnsi" w:cs="Times New Roman"/>
          <w:color w:val="auto"/>
          <w:sz w:val="22"/>
          <w:szCs w:val="22"/>
          <w:vertAlign w:val="subscript"/>
        </w:rPr>
        <w:t>2</w:t>
      </w:r>
      <w:r w:rsidRPr="00A120A9">
        <w:rPr>
          <w:rFonts w:asciiTheme="minorHAnsi" w:hAnsiTheme="minorHAnsi"/>
          <w:color w:val="auto"/>
          <w:sz w:val="22"/>
          <w:szCs w:val="22"/>
        </w:rPr>
        <w:t xml:space="preserve"> levels (Supplementary</w:t>
      </w:r>
      <w:r w:rsidR="00D2790C" w:rsidRPr="00A120A9">
        <w:rPr>
          <w:rFonts w:asciiTheme="minorHAnsi" w:hAnsiTheme="minorHAnsi"/>
          <w:color w:val="auto"/>
          <w:sz w:val="22"/>
          <w:szCs w:val="22"/>
        </w:rPr>
        <w:t xml:space="preserve"> information </w:t>
      </w:r>
      <w:r w:rsidR="00D2790C" w:rsidRPr="00A120A9">
        <w:rPr>
          <w:rFonts w:asciiTheme="minorHAnsi" w:hAnsiTheme="minorHAnsi" w:cs="Times New Roman"/>
          <w:color w:val="auto"/>
          <w:sz w:val="22"/>
          <w:szCs w:val="22"/>
        </w:rPr>
        <w:t>Table R16 and Figure R4)</w:t>
      </w:r>
      <w:r w:rsidRPr="00A120A9">
        <w:rPr>
          <w:rFonts w:asciiTheme="minorHAnsi" w:hAnsiTheme="minorHAnsi"/>
          <w:color w:val="auto"/>
          <w:sz w:val="22"/>
          <w:szCs w:val="22"/>
        </w:rPr>
        <w:t xml:space="preserve"> showed that carriership of one copy of the PPARGC1B haplotype (HR= 1.2</w:t>
      </w:r>
      <w:r w:rsidR="00A81B27" w:rsidRPr="00A120A9">
        <w:rPr>
          <w:rFonts w:asciiTheme="minorHAnsi" w:hAnsiTheme="minorHAnsi"/>
          <w:color w:val="auto"/>
          <w:sz w:val="22"/>
          <w:szCs w:val="22"/>
        </w:rPr>
        <w:t>1</w:t>
      </w:r>
      <w:r w:rsidRPr="00A120A9">
        <w:rPr>
          <w:rFonts w:asciiTheme="minorHAnsi" w:hAnsiTheme="minorHAnsi"/>
          <w:color w:val="auto"/>
          <w:sz w:val="22"/>
          <w:szCs w:val="22"/>
        </w:rPr>
        <w:t>, P=0.05) and of the CNTN4 haplotype (HR=1.3</w:t>
      </w:r>
      <w:r w:rsidR="00BC4B0E" w:rsidRPr="00A120A9">
        <w:rPr>
          <w:rFonts w:asciiTheme="minorHAnsi" w:hAnsiTheme="minorHAnsi"/>
          <w:color w:val="auto"/>
          <w:sz w:val="22"/>
          <w:szCs w:val="22"/>
        </w:rPr>
        <w:t>3</w:t>
      </w:r>
      <w:r w:rsidRPr="00A120A9">
        <w:rPr>
          <w:rFonts w:asciiTheme="minorHAnsi" w:hAnsiTheme="minorHAnsi"/>
          <w:color w:val="auto"/>
          <w:sz w:val="22"/>
          <w:szCs w:val="22"/>
        </w:rPr>
        <w:t>, P=0.00</w:t>
      </w:r>
      <w:r w:rsidR="00BC4B0E" w:rsidRPr="00A120A9">
        <w:rPr>
          <w:rFonts w:asciiTheme="minorHAnsi" w:hAnsiTheme="minorHAnsi"/>
          <w:color w:val="auto"/>
          <w:sz w:val="22"/>
          <w:szCs w:val="22"/>
        </w:rPr>
        <w:t>5</w:t>
      </w:r>
      <w:r w:rsidRPr="00A120A9">
        <w:rPr>
          <w:rFonts w:asciiTheme="minorHAnsi" w:hAnsiTheme="minorHAnsi"/>
          <w:color w:val="auto"/>
          <w:sz w:val="22"/>
          <w:szCs w:val="22"/>
        </w:rPr>
        <w:t>), had similar effect sizes on survival to those of the highest effect size SNPs in the haplotypes (</w:t>
      </w:r>
      <w:r w:rsidRPr="00A120A9">
        <w:rPr>
          <w:rFonts w:asciiTheme="minorHAnsi" w:hAnsiTheme="minorHAnsi" w:cs="Times New Roman"/>
          <w:color w:val="auto"/>
          <w:sz w:val="22"/>
          <w:szCs w:val="22"/>
        </w:rPr>
        <w:t>rs10515638 (HR=1.31, P=0.01) and rs10510230 (HR=1.25, P=0.007) respectively, Table 3)</w:t>
      </w:r>
      <w:r w:rsidR="00BC4B0E" w:rsidRPr="00A120A9">
        <w:rPr>
          <w:rFonts w:asciiTheme="minorHAnsi" w:hAnsiTheme="minorHAnsi" w:cs="Times New Roman"/>
          <w:color w:val="auto"/>
          <w:sz w:val="22"/>
          <w:szCs w:val="22"/>
        </w:rPr>
        <w:t>.</w:t>
      </w:r>
    </w:p>
    <w:p w:rsidR="003F2F72" w:rsidRPr="00A120A9" w:rsidRDefault="003F2F72" w:rsidP="00A63171">
      <w:pPr>
        <w:spacing w:line="480" w:lineRule="auto"/>
        <w:rPr>
          <w:rFonts w:asciiTheme="minorHAnsi" w:hAnsiTheme="minorHAnsi" w:cs="Times New Roman"/>
          <w:color w:val="auto"/>
          <w:sz w:val="22"/>
          <w:szCs w:val="22"/>
        </w:rPr>
      </w:pPr>
    </w:p>
    <w:p w:rsidR="001E41CE" w:rsidRPr="00A120A9" w:rsidRDefault="001E41CE" w:rsidP="00A63171">
      <w:pPr>
        <w:pStyle w:val="NormalWeb"/>
        <w:shd w:val="clear" w:color="auto" w:fill="FFFFFF"/>
        <w:spacing w:before="0" w:after="0" w:line="480" w:lineRule="auto"/>
        <w:rPr>
          <w:rFonts w:asciiTheme="minorHAnsi" w:hAnsiTheme="minorHAnsi"/>
          <w:color w:val="auto"/>
          <w:sz w:val="22"/>
          <w:szCs w:val="22"/>
        </w:rPr>
      </w:pPr>
      <w:r w:rsidRPr="00A120A9">
        <w:rPr>
          <w:rFonts w:asciiTheme="minorHAnsi" w:hAnsiTheme="minorHAnsi"/>
          <w:color w:val="auto"/>
          <w:sz w:val="22"/>
          <w:szCs w:val="22"/>
        </w:rPr>
        <w:t xml:space="preserve">None of the SNPs were associated with any of the cardiovascular risk factors with the exception of a slightly increased risk of type 2 diabetes in rs32582 and rs10510230 carriers (Table R10). </w:t>
      </w:r>
      <w:r w:rsidRPr="00A120A9">
        <w:rPr>
          <w:rFonts w:asciiTheme="minorHAnsi" w:eastAsia="Calibri" w:hAnsiTheme="minorHAnsi"/>
          <w:color w:val="auto"/>
          <w:sz w:val="22"/>
          <w:szCs w:val="22"/>
          <w:lang w:val="en-AU"/>
        </w:rPr>
        <w:t xml:space="preserve">Results of the univariate survival analysis </w:t>
      </w:r>
      <w:r w:rsidR="003F2F72" w:rsidRPr="00A120A9">
        <w:rPr>
          <w:rFonts w:asciiTheme="minorHAnsi" w:eastAsia="Calibri" w:hAnsiTheme="minorHAnsi"/>
          <w:color w:val="auto"/>
          <w:sz w:val="22"/>
          <w:szCs w:val="22"/>
          <w:lang w:val="en-AU"/>
        </w:rPr>
        <w:t>(S</w:t>
      </w:r>
      <w:r w:rsidRPr="00A120A9">
        <w:rPr>
          <w:rFonts w:asciiTheme="minorHAnsi" w:eastAsia="Calibri" w:hAnsiTheme="minorHAnsi"/>
          <w:color w:val="auto"/>
          <w:sz w:val="22"/>
          <w:szCs w:val="22"/>
          <w:lang w:val="en-AU"/>
        </w:rPr>
        <w:t xml:space="preserve">upplementary </w:t>
      </w:r>
      <w:r w:rsidR="003F2F72" w:rsidRPr="00A120A9">
        <w:rPr>
          <w:rFonts w:asciiTheme="minorHAnsi" w:hAnsiTheme="minorHAnsi"/>
          <w:color w:val="auto"/>
          <w:sz w:val="22"/>
          <w:szCs w:val="22"/>
        </w:rPr>
        <w:t xml:space="preserve">information </w:t>
      </w:r>
      <w:r w:rsidRPr="00A120A9">
        <w:rPr>
          <w:rFonts w:asciiTheme="minorHAnsi" w:eastAsia="Calibri" w:hAnsiTheme="minorHAnsi"/>
          <w:color w:val="auto"/>
          <w:sz w:val="22"/>
          <w:szCs w:val="22"/>
          <w:lang w:val="en-AU"/>
        </w:rPr>
        <w:t xml:space="preserve">Table R11) were consistent with those reported in the </w:t>
      </w:r>
      <w:r w:rsidR="003F2F72" w:rsidRPr="00A120A9">
        <w:rPr>
          <w:rFonts w:asciiTheme="minorHAnsi" w:eastAsia="Calibri" w:hAnsiTheme="minorHAnsi"/>
          <w:color w:val="auto"/>
          <w:sz w:val="22"/>
          <w:szCs w:val="22"/>
          <w:lang w:val="en-AU"/>
        </w:rPr>
        <w:t>multivariate analysis.</w:t>
      </w: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eastAsia="Calibri" w:hAnsiTheme="minorHAnsi" w:cs="Times New Roman"/>
          <w:color w:val="auto"/>
          <w:sz w:val="22"/>
          <w:szCs w:val="22"/>
          <w:u w:val="single"/>
          <w:lang w:val="en-AU"/>
        </w:rPr>
      </w:pPr>
      <w:r w:rsidRPr="00A120A9">
        <w:rPr>
          <w:rFonts w:asciiTheme="minorHAnsi" w:eastAsia="Calibri" w:hAnsiTheme="minorHAnsi" w:cs="Times New Roman"/>
          <w:color w:val="auto"/>
          <w:sz w:val="22"/>
          <w:szCs w:val="22"/>
          <w:u w:val="single"/>
          <w:lang w:val="en-AU"/>
        </w:rPr>
        <w:t>Two SNPs</w:t>
      </w:r>
      <w:r w:rsidRPr="00A120A9">
        <w:rPr>
          <w:rFonts w:asciiTheme="minorHAnsi" w:hAnsiTheme="minorHAnsi" w:cs="Times New Roman"/>
          <w:color w:val="auto"/>
          <w:sz w:val="22"/>
          <w:szCs w:val="22"/>
          <w:u w:val="single"/>
        </w:rPr>
        <w:t xml:space="preserve"> independently associated with risk of event</w:t>
      </w:r>
    </w:p>
    <w:p w:rsidR="001E41CE" w:rsidRPr="00A120A9" w:rsidRDefault="001E41CE" w:rsidP="00A63171">
      <w:pPr>
        <w:spacing w:line="480" w:lineRule="auto"/>
        <w:rPr>
          <w:rFonts w:asciiTheme="minorHAnsi" w:hAnsiTheme="minorHAnsi" w:cs="Times New Roman"/>
          <w:color w:val="auto"/>
          <w:sz w:val="22"/>
          <w:szCs w:val="22"/>
        </w:rPr>
      </w:pPr>
      <w:r w:rsidRPr="00A120A9">
        <w:rPr>
          <w:rFonts w:asciiTheme="minorHAnsi" w:hAnsiTheme="minorHAnsi" w:cs="Times New Roman"/>
          <w:color w:val="auto"/>
          <w:sz w:val="22"/>
          <w:szCs w:val="22"/>
        </w:rPr>
        <w:t>After Bonferroni correction for the 5 SNPs tested (P value threshold &lt;0.01),</w:t>
      </w:r>
      <w:r w:rsidRPr="00A120A9">
        <w:rPr>
          <w:rFonts w:asciiTheme="minorHAnsi" w:eastAsia="Calibri" w:hAnsiTheme="minorHAnsi" w:cs="Times New Roman"/>
          <w:color w:val="auto"/>
          <w:sz w:val="22"/>
          <w:szCs w:val="22"/>
          <w:lang w:val="en-AU"/>
        </w:rPr>
        <w:t xml:space="preserve"> rs10515638 (</w:t>
      </w:r>
      <w:r w:rsidRPr="00A120A9">
        <w:rPr>
          <w:rFonts w:asciiTheme="minorHAnsi" w:hAnsiTheme="minorHAnsi" w:cs="Times New Roman"/>
          <w:i/>
          <w:color w:val="auto"/>
          <w:sz w:val="22"/>
          <w:szCs w:val="22"/>
        </w:rPr>
        <w:t>PPARGC1B)</w:t>
      </w:r>
      <w:r w:rsidRPr="00A120A9">
        <w:rPr>
          <w:rFonts w:asciiTheme="minorHAnsi" w:eastAsia="Calibri" w:hAnsiTheme="minorHAnsi" w:cs="Times New Roman"/>
          <w:color w:val="auto"/>
          <w:sz w:val="22"/>
          <w:szCs w:val="22"/>
          <w:lang w:val="en-AU"/>
        </w:rPr>
        <w:t xml:space="preserve"> and rs10510230</w:t>
      </w:r>
      <w:r w:rsidRPr="00A120A9">
        <w:rPr>
          <w:rFonts w:asciiTheme="minorHAnsi" w:hAnsiTheme="minorHAnsi" w:cs="Times New Roman"/>
          <w:color w:val="auto"/>
          <w:sz w:val="22"/>
          <w:szCs w:val="22"/>
        </w:rPr>
        <w:t xml:space="preserve"> (</w:t>
      </w:r>
      <w:r w:rsidRPr="00A120A9">
        <w:rPr>
          <w:rFonts w:asciiTheme="minorHAnsi" w:hAnsiTheme="minorHAnsi" w:cs="Times New Roman"/>
          <w:i/>
          <w:color w:val="auto"/>
          <w:sz w:val="22"/>
          <w:szCs w:val="22"/>
        </w:rPr>
        <w:t>CNTN4</w:t>
      </w:r>
      <w:r w:rsidRPr="00A120A9">
        <w:rPr>
          <w:rFonts w:asciiTheme="minorHAnsi" w:hAnsiTheme="minorHAnsi" w:cs="Times New Roman"/>
          <w:color w:val="auto"/>
          <w:sz w:val="22"/>
          <w:szCs w:val="22"/>
        </w:rPr>
        <w:t>) were associated with increased risk of event in multivariate (P=0.01 and 6.9E-03 respectively) and univariate (P=0.03 and P=</w:t>
      </w:r>
      <w:r w:rsidRPr="00A120A9">
        <w:rPr>
          <w:rFonts w:asciiTheme="minorHAnsi" w:hAnsiTheme="minorHAnsi" w:cs="Times New Roman"/>
          <w:bCs/>
          <w:color w:val="auto"/>
          <w:sz w:val="22"/>
          <w:szCs w:val="22"/>
          <w:lang w:eastAsia="en-GB"/>
        </w:rPr>
        <w:t>8.5E-03</w:t>
      </w:r>
      <w:r w:rsidRPr="00A120A9">
        <w:rPr>
          <w:rFonts w:asciiTheme="minorHAnsi" w:hAnsiTheme="minorHAnsi" w:cs="Times New Roman"/>
          <w:color w:val="auto"/>
          <w:sz w:val="22"/>
          <w:szCs w:val="22"/>
        </w:rPr>
        <w:t xml:space="preserve"> respectively) survival models. </w:t>
      </w:r>
      <w:r w:rsidRPr="00A120A9">
        <w:rPr>
          <w:rFonts w:asciiTheme="minorHAnsi" w:hAnsiTheme="minorHAnsi" w:cs="Times New Roman"/>
          <w:bCs/>
          <w:color w:val="auto"/>
          <w:sz w:val="22"/>
          <w:szCs w:val="22"/>
          <w:lang w:eastAsia="en-AU"/>
        </w:rPr>
        <w:t>The magnitudes of effect on survival associated with carriage of each minor allele of rs10515638 (</w:t>
      </w:r>
      <w:r w:rsidRPr="00A120A9">
        <w:rPr>
          <w:rFonts w:asciiTheme="minorHAnsi" w:hAnsiTheme="minorHAnsi" w:cs="Times New Roman"/>
          <w:i/>
          <w:color w:val="auto"/>
          <w:sz w:val="22"/>
          <w:szCs w:val="22"/>
        </w:rPr>
        <w:t>PPARGC1B, HR=1.31</w:t>
      </w:r>
      <w:r w:rsidRPr="00A120A9">
        <w:rPr>
          <w:rFonts w:asciiTheme="minorHAnsi" w:hAnsiTheme="minorHAnsi" w:cs="Times New Roman"/>
          <w:bCs/>
          <w:color w:val="auto"/>
          <w:sz w:val="22"/>
          <w:szCs w:val="22"/>
          <w:lang w:eastAsia="en-AU"/>
        </w:rPr>
        <w:t xml:space="preserve">) and rs10510230 (CNTN4, HR=1.25) were similar to or greater than those associated with increments of 10 years age, 20 mmHg systolic BP, 1 mmol LDL-cholesterol, a diagnosis of diabetes mellitus, or use of amlodipine-based antihypertensive therapy in this cohort (Table 3).  </w:t>
      </w:r>
    </w:p>
    <w:p w:rsidR="001E41CE" w:rsidRPr="00A120A9" w:rsidRDefault="001E41CE" w:rsidP="00A63171">
      <w:pPr>
        <w:spacing w:line="480" w:lineRule="auto"/>
        <w:rPr>
          <w:rFonts w:asciiTheme="minorHAnsi" w:hAnsiTheme="minorHAnsi" w:cs="Times New Roman"/>
          <w:bCs/>
          <w:color w:val="auto"/>
          <w:sz w:val="22"/>
          <w:szCs w:val="22"/>
          <w:lang w:eastAsia="en-AU"/>
        </w:rPr>
      </w:pPr>
    </w:p>
    <w:p w:rsidR="001E41CE" w:rsidRPr="00A120A9" w:rsidRDefault="001E41CE" w:rsidP="00A63171">
      <w:pPr>
        <w:spacing w:line="480" w:lineRule="auto"/>
        <w:rPr>
          <w:rFonts w:asciiTheme="minorHAnsi" w:hAnsiTheme="minorHAnsi" w:cs="Times New Roman"/>
          <w:bCs/>
          <w:color w:val="auto"/>
          <w:sz w:val="22"/>
          <w:szCs w:val="22"/>
          <w:u w:val="single"/>
          <w:lang w:eastAsia="en-AU"/>
        </w:rPr>
      </w:pPr>
      <w:r w:rsidRPr="00A120A9">
        <w:rPr>
          <w:rFonts w:asciiTheme="minorHAnsi" w:hAnsiTheme="minorHAnsi" w:cs="Times New Roman"/>
          <w:bCs/>
          <w:color w:val="auto"/>
          <w:sz w:val="22"/>
          <w:szCs w:val="22"/>
          <w:u w:val="single"/>
          <w:lang w:eastAsia="en-AU"/>
        </w:rPr>
        <w:t>Stratification by aspirin use</w:t>
      </w:r>
    </w:p>
    <w:p w:rsidR="001E41CE" w:rsidRPr="00A120A9" w:rsidRDefault="001E41CE" w:rsidP="00A63171">
      <w:pPr>
        <w:spacing w:line="480" w:lineRule="auto"/>
        <w:rPr>
          <w:rFonts w:asciiTheme="minorHAnsi" w:hAnsiTheme="minorHAnsi" w:cs="Times New Roman"/>
          <w:color w:val="auto"/>
          <w:sz w:val="22"/>
          <w:szCs w:val="22"/>
        </w:rPr>
      </w:pPr>
      <w:r w:rsidRPr="00A120A9">
        <w:rPr>
          <w:rFonts w:asciiTheme="minorHAnsi" w:hAnsiTheme="minorHAnsi" w:cs="Times New Roman"/>
          <w:color w:val="auto"/>
          <w:sz w:val="22"/>
          <w:szCs w:val="22"/>
        </w:rPr>
        <w:t xml:space="preserve">Kaplan Meier plots of </w:t>
      </w:r>
      <w:r w:rsidRPr="00A120A9">
        <w:rPr>
          <w:rFonts w:asciiTheme="minorHAnsi" w:hAnsiTheme="minorHAnsi" w:cs="Times New Roman"/>
          <w:bCs/>
          <w:color w:val="auto"/>
          <w:sz w:val="22"/>
          <w:szCs w:val="22"/>
          <w:lang w:eastAsia="en-AU"/>
        </w:rPr>
        <w:t xml:space="preserve">survival </w:t>
      </w:r>
      <w:r w:rsidRPr="00A120A9">
        <w:rPr>
          <w:rFonts w:asciiTheme="minorHAnsi" w:eastAsia="Calibri" w:hAnsiTheme="minorHAnsi" w:cs="Times New Roman"/>
          <w:color w:val="auto"/>
          <w:sz w:val="22"/>
          <w:szCs w:val="22"/>
          <w:lang w:val="en-AU"/>
        </w:rPr>
        <w:t xml:space="preserve">analysis stratified by aspirin use for the two significant SNPs show that effect sizes were larger in </w:t>
      </w:r>
      <w:r w:rsidRPr="00A120A9">
        <w:rPr>
          <w:rFonts w:asciiTheme="minorHAnsi" w:hAnsiTheme="minorHAnsi" w:cs="Times New Roman"/>
          <w:color w:val="auto"/>
          <w:sz w:val="22"/>
          <w:szCs w:val="22"/>
        </w:rPr>
        <w:t xml:space="preserve">subjects not taking aspirin compared to those on aspirin (Figure 2 and </w:t>
      </w:r>
      <w:r w:rsidRPr="00A120A9">
        <w:rPr>
          <w:rFonts w:asciiTheme="minorHAnsi" w:hAnsiTheme="minorHAnsi" w:cs="Times New Roman"/>
          <w:color w:val="auto"/>
          <w:sz w:val="22"/>
          <w:szCs w:val="22"/>
        </w:rPr>
        <w:lastRenderedPageBreak/>
        <w:t>Table R12)</w:t>
      </w:r>
      <w:r w:rsidRPr="00A120A9">
        <w:rPr>
          <w:rFonts w:asciiTheme="minorHAnsi" w:hAnsiTheme="minorHAnsi" w:cs="Times New Roman"/>
          <w:bCs/>
          <w:color w:val="auto"/>
          <w:sz w:val="22"/>
          <w:szCs w:val="22"/>
          <w:lang w:eastAsia="en-AU"/>
        </w:rPr>
        <w:t xml:space="preserve">. </w:t>
      </w:r>
      <w:r w:rsidRPr="00A120A9">
        <w:rPr>
          <w:rFonts w:asciiTheme="minorHAnsi" w:eastAsia="Calibri" w:hAnsiTheme="minorHAnsi" w:cs="Times New Roman"/>
          <w:color w:val="auto"/>
          <w:sz w:val="22"/>
          <w:szCs w:val="22"/>
          <w:lang w:val="en-AU"/>
        </w:rPr>
        <w:t xml:space="preserve">However, </w:t>
      </w:r>
      <w:r w:rsidRPr="00A120A9">
        <w:rPr>
          <w:rFonts w:asciiTheme="minorHAnsi" w:hAnsiTheme="minorHAnsi" w:cs="Times New Roman"/>
          <w:color w:val="auto"/>
          <w:sz w:val="22"/>
          <w:szCs w:val="22"/>
        </w:rPr>
        <w:t>when Aspirin:SNP interaction terms were added to the multivariate survival analysis, none were significant beyond correction for multiple testing (Table R13).</w:t>
      </w: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u w:val="single"/>
        </w:rPr>
      </w:pPr>
      <w:r w:rsidRPr="00A120A9">
        <w:rPr>
          <w:rFonts w:asciiTheme="minorHAnsi" w:hAnsiTheme="minorHAnsi" w:cs="Times New Roman"/>
          <w:color w:val="auto"/>
          <w:sz w:val="22"/>
          <w:szCs w:val="22"/>
          <w:u w:val="single"/>
        </w:rPr>
        <w:t>Stratification by type of event</w:t>
      </w:r>
    </w:p>
    <w:p w:rsidR="001E41CE" w:rsidRPr="00A120A9" w:rsidRDefault="001E41CE" w:rsidP="00A63171">
      <w:pPr>
        <w:spacing w:line="480" w:lineRule="auto"/>
        <w:rPr>
          <w:rFonts w:asciiTheme="minorHAnsi" w:hAnsiTheme="minorHAnsi" w:cs="Times New Roman"/>
          <w:color w:val="auto"/>
          <w:sz w:val="22"/>
          <w:szCs w:val="22"/>
        </w:rPr>
      </w:pPr>
      <w:r w:rsidRPr="00A120A9">
        <w:rPr>
          <w:rFonts w:asciiTheme="minorHAnsi" w:hAnsiTheme="minorHAnsi" w:cs="Times New Roman"/>
          <w:color w:val="auto"/>
          <w:sz w:val="22"/>
          <w:szCs w:val="22"/>
        </w:rPr>
        <w:t>Comparing the separate stroke and coronary analyses, PPAR SNP (rs10515638) had a larger effect size for coronary (HR 1.41, P=0.002, 433 events) than stroke events and despite much lower power in the stroke analysis, CNTN4 (rs10510230) larger effect in stroke (1.31, P=0.17, 57 events) than in coronary events, especially in those not on aspirin (HR 2.71, P=0.003, 26 events)</w:t>
      </w:r>
      <w:r w:rsidR="003F2F72" w:rsidRPr="00A120A9">
        <w:rPr>
          <w:rFonts w:asciiTheme="minorHAnsi" w:hAnsiTheme="minorHAnsi" w:cs="Times New Roman"/>
          <w:color w:val="auto"/>
          <w:sz w:val="22"/>
          <w:szCs w:val="22"/>
        </w:rPr>
        <w:t>, S</w:t>
      </w:r>
      <w:r w:rsidRPr="00A120A9">
        <w:rPr>
          <w:rFonts w:asciiTheme="minorHAnsi" w:hAnsiTheme="minorHAnsi" w:cs="Times New Roman"/>
          <w:color w:val="auto"/>
          <w:sz w:val="22"/>
          <w:szCs w:val="22"/>
        </w:rPr>
        <w:t>upplementary information Table R15.</w:t>
      </w: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b/>
          <w:color w:val="auto"/>
          <w:sz w:val="22"/>
          <w:szCs w:val="22"/>
          <w:u w:val="single"/>
        </w:rPr>
      </w:pPr>
      <w:r w:rsidRPr="00A120A9">
        <w:rPr>
          <w:rFonts w:asciiTheme="minorHAnsi" w:hAnsiTheme="minorHAnsi" w:cs="Times New Roman"/>
          <w:b/>
          <w:color w:val="auto"/>
          <w:sz w:val="22"/>
          <w:szCs w:val="22"/>
          <w:u w:val="single"/>
        </w:rPr>
        <w:t>Conclusions</w:t>
      </w:r>
    </w:p>
    <w:p w:rsidR="001E41CE" w:rsidRPr="00A120A9" w:rsidRDefault="001E41CE" w:rsidP="00A63171">
      <w:pPr>
        <w:pStyle w:val="CommentText"/>
        <w:spacing w:line="480" w:lineRule="auto"/>
        <w:rPr>
          <w:rFonts w:asciiTheme="minorHAnsi" w:hAnsiTheme="minorHAnsi" w:cs="Times New Roman"/>
          <w:color w:val="auto"/>
          <w:sz w:val="22"/>
          <w:szCs w:val="22"/>
        </w:rPr>
      </w:pPr>
      <w:r w:rsidRPr="00A120A9">
        <w:rPr>
          <w:rFonts w:asciiTheme="minorHAnsi" w:hAnsiTheme="minorHAnsi" w:cs="Times New Roman"/>
          <w:color w:val="auto"/>
          <w:sz w:val="22"/>
          <w:szCs w:val="22"/>
        </w:rPr>
        <w:t xml:space="preserve">Association analysis of genome-wide and targeted, CVD-based genotype data revealed that a 3-SNP haplotype of </w:t>
      </w:r>
      <w:r w:rsidRPr="00A120A9">
        <w:rPr>
          <w:rFonts w:asciiTheme="minorHAnsi" w:hAnsiTheme="minorHAnsi" w:cs="Times New Roman"/>
          <w:i/>
          <w:color w:val="auto"/>
          <w:sz w:val="22"/>
          <w:szCs w:val="22"/>
        </w:rPr>
        <w:t>PPARGC1B</w:t>
      </w:r>
      <w:r w:rsidRPr="00A120A9">
        <w:rPr>
          <w:rFonts w:asciiTheme="minorHAnsi" w:hAnsiTheme="minorHAnsi" w:cs="Times New Roman"/>
          <w:color w:val="auto"/>
          <w:sz w:val="22"/>
          <w:szCs w:val="22"/>
        </w:rPr>
        <w:t xml:space="preserve"> and a 2-SNP haplotype of </w:t>
      </w:r>
      <w:r w:rsidRPr="00A120A9">
        <w:rPr>
          <w:rFonts w:asciiTheme="minorHAnsi" w:hAnsiTheme="minorHAnsi" w:cs="Times New Roman"/>
          <w:i/>
          <w:color w:val="auto"/>
          <w:sz w:val="22"/>
          <w:szCs w:val="22"/>
        </w:rPr>
        <w:t>CNTN4</w:t>
      </w:r>
      <w:r w:rsidRPr="00A120A9">
        <w:rPr>
          <w:rFonts w:asciiTheme="minorHAnsi" w:hAnsiTheme="minorHAnsi" w:cs="Times New Roman"/>
          <w:color w:val="auto"/>
          <w:sz w:val="22"/>
          <w:szCs w:val="22"/>
        </w:rPr>
        <w:t xml:space="preserve"> are significantly associated with urinary levels of 11-dehydro TxB</w:t>
      </w:r>
      <w:r w:rsidRPr="00A120A9">
        <w:rPr>
          <w:rFonts w:asciiTheme="minorHAnsi" w:hAnsiTheme="minorHAnsi" w:cs="Times New Roman"/>
          <w:color w:val="auto"/>
          <w:sz w:val="22"/>
          <w:szCs w:val="22"/>
          <w:vertAlign w:val="subscript"/>
        </w:rPr>
        <w:t xml:space="preserve">2, </w:t>
      </w:r>
      <w:r w:rsidRPr="00A120A9">
        <w:rPr>
          <w:rFonts w:asciiTheme="minorHAnsi" w:hAnsiTheme="minorHAnsi" w:cs="Times New Roman"/>
          <w:color w:val="auto"/>
          <w:sz w:val="22"/>
          <w:szCs w:val="22"/>
        </w:rPr>
        <w:t xml:space="preserve">a surrogate measure for thromboxane A2 in the HACVD cohort. The 5 constituent </w:t>
      </w:r>
      <w:r w:rsidRPr="00A120A9">
        <w:rPr>
          <w:rFonts w:asciiTheme="minorHAnsi" w:hAnsiTheme="minorHAnsi" w:cs="Times New Roman"/>
          <w:i/>
          <w:color w:val="auto"/>
          <w:sz w:val="22"/>
          <w:szCs w:val="22"/>
        </w:rPr>
        <w:t>PPARGC1B</w:t>
      </w:r>
      <w:r w:rsidRPr="00A120A9">
        <w:rPr>
          <w:rFonts w:asciiTheme="minorHAnsi" w:hAnsiTheme="minorHAnsi" w:cs="Times New Roman"/>
          <w:color w:val="auto"/>
          <w:sz w:val="22"/>
          <w:szCs w:val="22"/>
        </w:rPr>
        <w:t>/</w:t>
      </w:r>
      <w:r w:rsidRPr="00A120A9">
        <w:rPr>
          <w:rFonts w:asciiTheme="minorHAnsi" w:hAnsiTheme="minorHAnsi" w:cs="Times New Roman"/>
          <w:i/>
          <w:color w:val="auto"/>
          <w:sz w:val="22"/>
          <w:szCs w:val="22"/>
        </w:rPr>
        <w:t>CNTN4</w:t>
      </w:r>
      <w:r w:rsidRPr="00A120A9">
        <w:rPr>
          <w:rFonts w:asciiTheme="minorHAnsi" w:hAnsiTheme="minorHAnsi" w:cs="Times New Roman"/>
          <w:color w:val="auto"/>
          <w:sz w:val="22"/>
          <w:szCs w:val="22"/>
        </w:rPr>
        <w:t xml:space="preserve"> SNPs were genotyped in a second ASCOT cohort, and </w:t>
      </w:r>
      <w:r w:rsidRPr="00A120A9">
        <w:rPr>
          <w:rFonts w:asciiTheme="minorHAnsi" w:eastAsia="Calibri" w:hAnsiTheme="minorHAnsi" w:cs="Times New Roman"/>
          <w:color w:val="auto"/>
          <w:sz w:val="22"/>
          <w:szCs w:val="22"/>
          <w:lang w:val="en-AU"/>
        </w:rPr>
        <w:t xml:space="preserve">addition of these genotypes to clinical and demographic covariates significantly improved the Cox proportional hazards model of </w:t>
      </w:r>
      <w:r w:rsidRPr="00A120A9">
        <w:rPr>
          <w:rFonts w:asciiTheme="minorHAnsi" w:hAnsiTheme="minorHAnsi" w:cs="Times New Roman"/>
          <w:color w:val="auto"/>
          <w:sz w:val="22"/>
          <w:szCs w:val="22"/>
        </w:rPr>
        <w:t>cardiovascular event-free survival</w:t>
      </w:r>
      <w:r w:rsidRPr="00A120A9">
        <w:rPr>
          <w:rFonts w:asciiTheme="minorHAnsi" w:eastAsia="Calibri" w:hAnsiTheme="minorHAnsi" w:cs="Times New Roman"/>
          <w:color w:val="auto"/>
          <w:sz w:val="22"/>
          <w:szCs w:val="22"/>
          <w:lang w:val="en-AU"/>
        </w:rPr>
        <w:t xml:space="preserve">, with </w:t>
      </w:r>
      <w:r w:rsidRPr="00A120A9">
        <w:rPr>
          <w:rFonts w:asciiTheme="minorHAnsi" w:hAnsiTheme="minorHAnsi" w:cs="Times New Roman"/>
          <w:color w:val="auto"/>
          <w:sz w:val="22"/>
          <w:szCs w:val="22"/>
        </w:rPr>
        <w:t>11-dehydro TxB</w:t>
      </w:r>
      <w:r w:rsidRPr="00A120A9">
        <w:rPr>
          <w:rFonts w:asciiTheme="minorHAnsi" w:hAnsiTheme="minorHAnsi" w:cs="Times New Roman"/>
          <w:color w:val="auto"/>
          <w:sz w:val="22"/>
          <w:szCs w:val="22"/>
          <w:vertAlign w:val="subscript"/>
        </w:rPr>
        <w:t>2</w:t>
      </w:r>
      <w:r w:rsidRPr="00A120A9">
        <w:rPr>
          <w:rFonts w:asciiTheme="minorHAnsi" w:eastAsia="Calibri" w:hAnsiTheme="minorHAnsi" w:cs="Times New Roman"/>
          <w:color w:val="auto"/>
          <w:sz w:val="22"/>
          <w:szCs w:val="22"/>
          <w:lang w:val="en-AU"/>
        </w:rPr>
        <w:t>-increasing alleles associated with reduced event-free survival.</w:t>
      </w:r>
      <w:r w:rsidRPr="00A120A9">
        <w:rPr>
          <w:rFonts w:asciiTheme="minorHAnsi" w:hAnsiTheme="minorHAnsi" w:cs="Times New Roman"/>
          <w:color w:val="auto"/>
          <w:sz w:val="22"/>
          <w:szCs w:val="22"/>
        </w:rPr>
        <w:t xml:space="preserve"> In both the genetic association and the survival analyses, stratification by aspirin use showed that most of the genetic associations were more prominent in those not on aspirin. This may suggest that the genetic variants are primarily associated with COX1-synthesized thromboxane A</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xml:space="preserve">. </w:t>
      </w: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widowControl w:val="0"/>
        <w:autoSpaceDE w:val="0"/>
        <w:autoSpaceDN w:val="0"/>
        <w:adjustRightInd w:val="0"/>
        <w:spacing w:line="480" w:lineRule="auto"/>
        <w:rPr>
          <w:rFonts w:asciiTheme="minorHAnsi" w:hAnsiTheme="minorHAnsi" w:cs="Helvetica"/>
          <w:color w:val="auto"/>
          <w:sz w:val="22"/>
          <w:szCs w:val="22"/>
        </w:rPr>
      </w:pPr>
      <w:r w:rsidRPr="00A120A9">
        <w:rPr>
          <w:rFonts w:asciiTheme="minorHAnsi" w:hAnsiTheme="minorHAnsi" w:cs="Times New Roman"/>
          <w:color w:val="auto"/>
          <w:sz w:val="22"/>
          <w:szCs w:val="22"/>
        </w:rPr>
        <w:t>Unfortunately, suitable data were not available to formally replicate the genetic associations with 11-dehydro TxB</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xml:space="preserve"> in an independent cohort. </w:t>
      </w:r>
      <w:r w:rsidRPr="00A120A9">
        <w:rPr>
          <w:rFonts w:asciiTheme="minorHAnsi" w:hAnsiTheme="minorHAnsi" w:cs="Helvetica"/>
          <w:color w:val="auto"/>
          <w:sz w:val="22"/>
          <w:szCs w:val="22"/>
        </w:rPr>
        <w:t xml:space="preserve">However, </w:t>
      </w:r>
      <w:r w:rsidRPr="00A120A9">
        <w:rPr>
          <w:rFonts w:asciiTheme="minorHAnsi" w:hAnsiTheme="minorHAnsi" w:cs="Times New Roman"/>
          <w:color w:val="auto"/>
          <w:sz w:val="22"/>
          <w:szCs w:val="22"/>
        </w:rPr>
        <w:t>o</w:t>
      </w:r>
      <w:r w:rsidRPr="00A120A9">
        <w:rPr>
          <w:rFonts w:asciiTheme="minorHAnsi" w:hAnsiTheme="minorHAnsi" w:cs="Helvetica"/>
          <w:color w:val="auto"/>
          <w:sz w:val="22"/>
          <w:szCs w:val="22"/>
        </w:rPr>
        <w:t>ur finding that the 11-dehydro TxB</w:t>
      </w:r>
      <w:r w:rsidRPr="00A120A9">
        <w:rPr>
          <w:rFonts w:asciiTheme="minorHAnsi" w:hAnsiTheme="minorHAnsi" w:cs="Helvetica"/>
          <w:color w:val="auto"/>
          <w:sz w:val="22"/>
          <w:szCs w:val="22"/>
          <w:vertAlign w:val="subscript"/>
        </w:rPr>
        <w:t>2</w:t>
      </w:r>
      <w:r w:rsidRPr="00A120A9">
        <w:rPr>
          <w:rFonts w:asciiTheme="minorHAnsi" w:hAnsiTheme="minorHAnsi" w:cs="Helvetica"/>
          <w:color w:val="auto"/>
          <w:sz w:val="22"/>
          <w:szCs w:val="22"/>
        </w:rPr>
        <w:t xml:space="preserve">-increasing alleles of the same genetic variants increase the risk of cardiovascular events in an independent population does back up our finding that these variants are associated with increased </w:t>
      </w:r>
      <w:r w:rsidRPr="00A120A9">
        <w:rPr>
          <w:rFonts w:asciiTheme="minorHAnsi" w:hAnsiTheme="minorHAnsi" w:cs="Helvetica"/>
          <w:color w:val="auto"/>
          <w:sz w:val="22"/>
          <w:szCs w:val="22"/>
        </w:rPr>
        <w:lastRenderedPageBreak/>
        <w:t>11-dehydro TxB</w:t>
      </w:r>
      <w:r w:rsidRPr="00A120A9">
        <w:rPr>
          <w:rFonts w:asciiTheme="minorHAnsi" w:hAnsiTheme="minorHAnsi" w:cs="Helvetica"/>
          <w:color w:val="auto"/>
          <w:sz w:val="22"/>
          <w:szCs w:val="22"/>
          <w:vertAlign w:val="subscript"/>
        </w:rPr>
        <w:t>2</w:t>
      </w:r>
      <w:r w:rsidRPr="00A120A9">
        <w:rPr>
          <w:rFonts w:asciiTheme="minorHAnsi" w:hAnsiTheme="minorHAnsi" w:cs="Helvetica"/>
          <w:color w:val="auto"/>
          <w:sz w:val="22"/>
          <w:szCs w:val="22"/>
        </w:rPr>
        <w:t>, (an established cardiovascular risk factor). In addition, our finding that the same SNPs are associated with increased 11-dehydro TxB</w:t>
      </w:r>
      <w:r w:rsidRPr="00A120A9">
        <w:rPr>
          <w:rFonts w:asciiTheme="minorHAnsi" w:hAnsiTheme="minorHAnsi" w:cs="Helvetica"/>
          <w:color w:val="auto"/>
          <w:sz w:val="22"/>
          <w:szCs w:val="22"/>
          <w:vertAlign w:val="subscript"/>
        </w:rPr>
        <w:t>2</w:t>
      </w:r>
      <w:r w:rsidRPr="00A120A9">
        <w:rPr>
          <w:rFonts w:asciiTheme="minorHAnsi" w:hAnsiTheme="minorHAnsi" w:cs="Helvetica"/>
          <w:color w:val="auto"/>
          <w:sz w:val="22"/>
          <w:szCs w:val="22"/>
        </w:rPr>
        <w:t xml:space="preserve"> and increased risk of cardiovascular event (unconfounded by association with other measured cardiovascular risk factors) supports a causal relationship between 11-dehydro TxB</w:t>
      </w:r>
      <w:r w:rsidRPr="00A120A9">
        <w:rPr>
          <w:rFonts w:asciiTheme="minorHAnsi" w:hAnsiTheme="minorHAnsi" w:cs="Helvetica"/>
          <w:color w:val="auto"/>
          <w:sz w:val="22"/>
          <w:szCs w:val="22"/>
          <w:vertAlign w:val="subscript"/>
        </w:rPr>
        <w:t>2</w:t>
      </w:r>
      <w:r w:rsidRPr="00A120A9">
        <w:rPr>
          <w:rFonts w:asciiTheme="minorHAnsi" w:hAnsiTheme="minorHAnsi" w:cs="Helvetica"/>
          <w:color w:val="auto"/>
          <w:sz w:val="22"/>
          <w:szCs w:val="22"/>
        </w:rPr>
        <w:t xml:space="preserve"> and cardiovascular events. </w:t>
      </w: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autoSpaceDE w:val="0"/>
        <w:autoSpaceDN w:val="0"/>
        <w:adjustRightInd w:val="0"/>
        <w:spacing w:line="480" w:lineRule="auto"/>
        <w:rPr>
          <w:rFonts w:asciiTheme="minorHAnsi" w:hAnsiTheme="minorHAnsi" w:cs="Times New Roman"/>
          <w:color w:val="auto"/>
          <w:sz w:val="22"/>
          <w:szCs w:val="22"/>
        </w:rPr>
      </w:pPr>
      <w:r w:rsidRPr="00A120A9">
        <w:rPr>
          <w:rFonts w:asciiTheme="minorHAnsi" w:hAnsiTheme="minorHAnsi" w:cs="Times New Roman"/>
          <w:color w:val="auto"/>
          <w:sz w:val="22"/>
          <w:szCs w:val="22"/>
        </w:rPr>
        <w:t>All five 11-dehydro TxB</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xml:space="preserve">-associated SNPs are intronic. They are not in strong LD with neighbouring genes and it appears likely therefore that these tagging SNPs implicate </w:t>
      </w:r>
      <w:r w:rsidRPr="00A120A9">
        <w:rPr>
          <w:rFonts w:asciiTheme="minorHAnsi" w:hAnsiTheme="minorHAnsi" w:cs="Times New Roman"/>
          <w:i/>
          <w:color w:val="auto"/>
          <w:sz w:val="22"/>
          <w:szCs w:val="22"/>
        </w:rPr>
        <w:t>PPARGC1B</w:t>
      </w:r>
      <w:r w:rsidRPr="00A120A9">
        <w:rPr>
          <w:rFonts w:asciiTheme="minorHAnsi" w:hAnsiTheme="minorHAnsi" w:cs="Times New Roman"/>
          <w:color w:val="auto"/>
          <w:sz w:val="22"/>
          <w:szCs w:val="22"/>
        </w:rPr>
        <w:t xml:space="preserve"> and </w:t>
      </w:r>
      <w:r w:rsidRPr="00A120A9">
        <w:rPr>
          <w:rFonts w:asciiTheme="minorHAnsi" w:hAnsiTheme="minorHAnsi" w:cs="Times New Roman"/>
          <w:i/>
          <w:color w:val="auto"/>
          <w:sz w:val="22"/>
          <w:szCs w:val="22"/>
        </w:rPr>
        <w:t>CNTN4</w:t>
      </w:r>
      <w:r w:rsidRPr="00A120A9">
        <w:rPr>
          <w:rFonts w:asciiTheme="minorHAnsi" w:hAnsiTheme="minorHAnsi" w:cs="Times New Roman"/>
          <w:color w:val="auto"/>
          <w:sz w:val="22"/>
          <w:szCs w:val="22"/>
        </w:rPr>
        <w:t xml:space="preserve">, however substantial further work is required to ascertain the true causal variants behind the association signals. </w:t>
      </w:r>
    </w:p>
    <w:p w:rsidR="001E41CE" w:rsidRPr="00A120A9" w:rsidRDefault="001E41CE" w:rsidP="00A63171">
      <w:pPr>
        <w:autoSpaceDE w:val="0"/>
        <w:autoSpaceDN w:val="0"/>
        <w:adjustRightInd w:val="0"/>
        <w:spacing w:line="480" w:lineRule="auto"/>
        <w:rPr>
          <w:rFonts w:asciiTheme="minorHAnsi" w:hAnsiTheme="minorHAnsi" w:cs="Times New Roman"/>
          <w:color w:val="auto"/>
          <w:sz w:val="22"/>
          <w:szCs w:val="22"/>
        </w:rPr>
      </w:pPr>
    </w:p>
    <w:p w:rsidR="001E41CE" w:rsidRPr="00A120A9" w:rsidRDefault="001E41CE" w:rsidP="00A63171">
      <w:pPr>
        <w:autoSpaceDE w:val="0"/>
        <w:autoSpaceDN w:val="0"/>
        <w:adjustRightInd w:val="0"/>
        <w:spacing w:line="480" w:lineRule="auto"/>
        <w:rPr>
          <w:rFonts w:asciiTheme="minorHAnsi" w:hAnsiTheme="minorHAnsi" w:cs="Times New Roman"/>
          <w:color w:val="auto"/>
          <w:sz w:val="22"/>
          <w:szCs w:val="22"/>
          <w:lang w:val="en-IE"/>
        </w:rPr>
      </w:pPr>
      <w:r w:rsidRPr="00A120A9">
        <w:rPr>
          <w:rFonts w:asciiTheme="minorHAnsi" w:hAnsiTheme="minorHAnsi" w:cs="Times New Roman"/>
          <w:color w:val="auto"/>
          <w:sz w:val="22"/>
          <w:szCs w:val="22"/>
        </w:rPr>
        <w:t xml:space="preserve">The </w:t>
      </w:r>
      <w:r w:rsidRPr="00A120A9">
        <w:rPr>
          <w:rFonts w:asciiTheme="minorHAnsi" w:hAnsiTheme="minorHAnsi" w:cs="Times New Roman"/>
          <w:i/>
          <w:color w:val="auto"/>
          <w:sz w:val="22"/>
          <w:szCs w:val="22"/>
        </w:rPr>
        <w:t>PPARGC1B</w:t>
      </w:r>
      <w:r w:rsidRPr="00A120A9">
        <w:rPr>
          <w:rFonts w:asciiTheme="minorHAnsi" w:hAnsiTheme="minorHAnsi" w:cs="Times New Roman"/>
          <w:color w:val="auto"/>
          <w:sz w:val="22"/>
          <w:szCs w:val="22"/>
        </w:rPr>
        <w:t xml:space="preserve"> gene is a member of the peroxisome proliferator-activated receptor gamma coactivator-1 (</w:t>
      </w:r>
      <w:r w:rsidRPr="00A120A9">
        <w:rPr>
          <w:rFonts w:asciiTheme="minorHAnsi" w:hAnsiTheme="minorHAnsi" w:cs="Times New Roman"/>
          <w:i/>
          <w:color w:val="auto"/>
          <w:sz w:val="22"/>
          <w:szCs w:val="22"/>
        </w:rPr>
        <w:t>PGC-1</w:t>
      </w:r>
      <w:r w:rsidRPr="00A120A9">
        <w:rPr>
          <w:rFonts w:asciiTheme="minorHAnsi" w:hAnsiTheme="minorHAnsi" w:cs="Times New Roman"/>
          <w:color w:val="auto"/>
          <w:sz w:val="22"/>
          <w:szCs w:val="22"/>
        </w:rPr>
        <w:t xml:space="preserve">) family, along with its homologue, </w:t>
      </w:r>
      <w:r w:rsidRPr="00A120A9">
        <w:rPr>
          <w:rFonts w:asciiTheme="minorHAnsi" w:hAnsiTheme="minorHAnsi" w:cs="Times New Roman"/>
          <w:i/>
          <w:color w:val="auto"/>
          <w:sz w:val="22"/>
          <w:szCs w:val="22"/>
        </w:rPr>
        <w:t>PPARGC1A</w:t>
      </w:r>
      <w:r w:rsidRPr="00A120A9">
        <w:rPr>
          <w:rFonts w:asciiTheme="minorHAnsi" w:hAnsiTheme="minorHAnsi" w:cs="Times New Roman"/>
          <w:color w:val="auto"/>
          <w:sz w:val="22"/>
          <w:szCs w:val="22"/>
        </w:rPr>
        <w:t>, and more distant relative PGC-1–related coactivator (</w:t>
      </w:r>
      <w:r w:rsidRPr="00A120A9">
        <w:rPr>
          <w:rFonts w:asciiTheme="minorHAnsi" w:hAnsiTheme="minorHAnsi" w:cs="Times New Roman"/>
          <w:i/>
          <w:color w:val="auto"/>
          <w:sz w:val="22"/>
          <w:szCs w:val="22"/>
        </w:rPr>
        <w:t>PRC</w:t>
      </w:r>
      <w:r w:rsidRPr="00A120A9">
        <w:rPr>
          <w:rFonts w:asciiTheme="minorHAnsi" w:hAnsiTheme="minorHAnsi" w:cs="Times New Roman"/>
          <w:color w:val="auto"/>
          <w:sz w:val="22"/>
          <w:szCs w:val="22"/>
        </w:rPr>
        <w:t xml:space="preserve">). </w:t>
      </w:r>
      <w:r w:rsidRPr="00A120A9">
        <w:rPr>
          <w:rFonts w:asciiTheme="minorHAnsi" w:hAnsiTheme="minorHAnsi" w:cs="Times New Roman"/>
          <w:i/>
          <w:color w:val="auto"/>
          <w:sz w:val="22"/>
          <w:szCs w:val="22"/>
        </w:rPr>
        <w:t>PPARGC1B</w:t>
      </w:r>
      <w:r w:rsidRPr="00A120A9">
        <w:rPr>
          <w:rFonts w:asciiTheme="minorHAnsi" w:hAnsiTheme="minorHAnsi" w:cs="Times New Roman"/>
          <w:color w:val="auto"/>
          <w:sz w:val="22"/>
          <w:szCs w:val="22"/>
        </w:rPr>
        <w:t xml:space="preserve"> and </w:t>
      </w:r>
      <w:r w:rsidRPr="00A120A9">
        <w:rPr>
          <w:rFonts w:asciiTheme="minorHAnsi" w:hAnsiTheme="minorHAnsi" w:cs="Times New Roman"/>
          <w:i/>
          <w:color w:val="auto"/>
          <w:sz w:val="22"/>
          <w:szCs w:val="22"/>
        </w:rPr>
        <w:t>PPARGC1A</w:t>
      </w:r>
      <w:r w:rsidRPr="00A120A9">
        <w:rPr>
          <w:rFonts w:asciiTheme="minorHAnsi" w:hAnsiTheme="minorHAnsi" w:cs="Times New Roman"/>
          <w:color w:val="auto"/>
          <w:sz w:val="22"/>
          <w:szCs w:val="22"/>
        </w:rPr>
        <w:t xml:space="preserve"> appear to have overlapping function and they exhibit shared, wide tissue expression, especially in heart, skeletal muscle, brain and brown adipose tissue [16]. </w:t>
      </w:r>
      <w:r w:rsidRPr="00A120A9">
        <w:rPr>
          <w:rFonts w:asciiTheme="minorHAnsi" w:hAnsiTheme="minorHAnsi" w:cs="Times New Roman"/>
          <w:color w:val="auto"/>
          <w:sz w:val="22"/>
          <w:szCs w:val="22"/>
          <w:lang w:val="en-IE"/>
        </w:rPr>
        <w:t xml:space="preserve">A variety </w:t>
      </w:r>
      <w:r w:rsidRPr="00A120A9">
        <w:rPr>
          <w:rFonts w:asciiTheme="minorHAnsi" w:hAnsiTheme="minorHAnsi" w:cs="Times New Roman"/>
          <w:color w:val="auto"/>
          <w:sz w:val="22"/>
          <w:szCs w:val="22"/>
        </w:rPr>
        <w:t xml:space="preserve">of metabolic programs are regulated by PGC-1s, including in the heart where PGC-1s help maintain energy homeostasis and activate a broad program of angiogenic factors [17]. PGC-1s can co-activate a large range of transcription factors, including the nuclear receptor PPAR γ </w:t>
      </w:r>
      <w:r w:rsidRPr="00A120A9">
        <w:rPr>
          <w:rFonts w:asciiTheme="minorHAnsi" w:hAnsiTheme="minorHAnsi" w:cs="Times New Roman"/>
          <w:color w:val="auto"/>
          <w:sz w:val="22"/>
          <w:szCs w:val="22"/>
          <w:lang w:val="en-IE"/>
        </w:rPr>
        <w:t xml:space="preserve">(Figure D1) which plays an important role in metabolism, </w:t>
      </w:r>
      <w:r w:rsidRPr="00A120A9">
        <w:rPr>
          <w:rFonts w:asciiTheme="minorHAnsi" w:hAnsiTheme="minorHAnsi" w:cs="Times New Roman"/>
          <w:color w:val="auto"/>
          <w:sz w:val="22"/>
          <w:szCs w:val="22"/>
        </w:rPr>
        <w:t>is</w:t>
      </w:r>
      <w:r w:rsidRPr="00A120A9">
        <w:rPr>
          <w:rFonts w:asciiTheme="minorHAnsi" w:hAnsiTheme="minorHAnsi" w:cs="Times New Roman"/>
          <w:color w:val="auto"/>
          <w:sz w:val="22"/>
          <w:szCs w:val="22"/>
          <w:lang w:val="en-IE"/>
        </w:rPr>
        <w:t xml:space="preserve"> anti-atherosclerotic and anti-inflammatory, and regulates the expression of many genes involved in atherosclerosis including</w:t>
      </w:r>
      <w:r w:rsidRPr="00A120A9">
        <w:rPr>
          <w:rFonts w:asciiTheme="minorHAnsi" w:hAnsiTheme="minorHAnsi" w:cs="Times New Roman"/>
          <w:color w:val="auto"/>
          <w:sz w:val="22"/>
          <w:szCs w:val="22"/>
        </w:rPr>
        <w:t xml:space="preserve"> </w:t>
      </w:r>
      <w:r w:rsidRPr="00A120A9">
        <w:rPr>
          <w:rFonts w:asciiTheme="minorHAnsi" w:hAnsiTheme="minorHAnsi" w:cs="Times New Roman"/>
          <w:color w:val="auto"/>
          <w:sz w:val="22"/>
          <w:szCs w:val="22"/>
          <w:lang w:val="en-IE"/>
        </w:rPr>
        <w:t xml:space="preserve">COX-2 [18, 19]. </w:t>
      </w:r>
      <w:r w:rsidRPr="00A120A9">
        <w:rPr>
          <w:rFonts w:asciiTheme="minorHAnsi" w:hAnsiTheme="minorHAnsi" w:cs="Times New Roman"/>
          <w:color w:val="auto"/>
          <w:sz w:val="22"/>
          <w:szCs w:val="22"/>
        </w:rPr>
        <w:t>Regulation of COX-2 expression by PPAR γ</w:t>
      </w:r>
      <w:r w:rsidRPr="00A120A9">
        <w:rPr>
          <w:rFonts w:asciiTheme="minorHAnsi" w:hAnsiTheme="minorHAnsi" w:cs="Times New Roman"/>
          <w:color w:val="auto"/>
          <w:sz w:val="22"/>
          <w:szCs w:val="22"/>
          <w:lang w:val="en-IE"/>
        </w:rPr>
        <w:t xml:space="preserve"> signalling </w:t>
      </w:r>
      <w:r w:rsidRPr="00A120A9">
        <w:rPr>
          <w:rFonts w:asciiTheme="minorHAnsi" w:hAnsiTheme="minorHAnsi" w:cs="Times New Roman"/>
          <w:color w:val="auto"/>
          <w:sz w:val="22"/>
          <w:szCs w:val="22"/>
        </w:rPr>
        <w:t xml:space="preserve">may be the mechanism whereby polymorphisms in </w:t>
      </w:r>
      <w:r w:rsidRPr="00A120A9">
        <w:rPr>
          <w:rFonts w:asciiTheme="minorHAnsi" w:hAnsiTheme="minorHAnsi" w:cs="Times New Roman"/>
          <w:i/>
          <w:color w:val="auto"/>
          <w:sz w:val="22"/>
          <w:szCs w:val="22"/>
        </w:rPr>
        <w:t>PPARGC1B</w:t>
      </w:r>
      <w:r w:rsidRPr="00A120A9">
        <w:rPr>
          <w:rFonts w:asciiTheme="minorHAnsi" w:hAnsiTheme="minorHAnsi" w:cs="Times New Roman"/>
          <w:color w:val="auto"/>
          <w:sz w:val="22"/>
          <w:szCs w:val="22"/>
        </w:rPr>
        <w:t xml:space="preserve"> influence thromboxane A</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xml:space="preserve"> levels. However, the larger effect size in subjects not on aspirin suggest the effect is more likely mediated by the primary aspirin target, COX-1, or alternatively through influencing substrate availability or enzymes downstream of COX-1 in the thromboxane A</w:t>
      </w:r>
      <w:r w:rsidRPr="00A120A9">
        <w:rPr>
          <w:rFonts w:asciiTheme="minorHAnsi" w:hAnsiTheme="minorHAnsi" w:cs="Times New Roman"/>
          <w:color w:val="auto"/>
          <w:sz w:val="22"/>
          <w:szCs w:val="22"/>
          <w:vertAlign w:val="subscript"/>
        </w:rPr>
        <w:t xml:space="preserve">2 </w:t>
      </w:r>
      <w:r w:rsidRPr="00A120A9">
        <w:rPr>
          <w:rFonts w:asciiTheme="minorHAnsi" w:hAnsiTheme="minorHAnsi" w:cs="Times New Roman"/>
          <w:color w:val="auto"/>
          <w:sz w:val="22"/>
          <w:szCs w:val="22"/>
        </w:rPr>
        <w:t xml:space="preserve">synthetic pathway. </w:t>
      </w:r>
      <w:r w:rsidRPr="00A120A9">
        <w:rPr>
          <w:rFonts w:asciiTheme="minorHAnsi" w:hAnsiTheme="minorHAnsi" w:cs="Times New Roman"/>
          <w:color w:val="auto"/>
          <w:sz w:val="22"/>
          <w:szCs w:val="22"/>
          <w:lang w:val="en-IE"/>
        </w:rPr>
        <w:t xml:space="preserve">It is not known whether </w:t>
      </w:r>
      <w:r w:rsidRPr="00A120A9">
        <w:rPr>
          <w:rFonts w:asciiTheme="minorHAnsi" w:hAnsiTheme="minorHAnsi" w:cs="Times New Roman"/>
          <w:color w:val="auto"/>
          <w:sz w:val="22"/>
          <w:szCs w:val="22"/>
        </w:rPr>
        <w:t>PGC-1/ PPAR γ</w:t>
      </w:r>
      <w:r w:rsidRPr="00A120A9">
        <w:rPr>
          <w:rFonts w:asciiTheme="minorHAnsi" w:hAnsiTheme="minorHAnsi" w:cs="Times New Roman"/>
          <w:color w:val="auto"/>
          <w:sz w:val="22"/>
          <w:szCs w:val="22"/>
          <w:lang w:val="en-IE"/>
        </w:rPr>
        <w:t xml:space="preserve"> signalling</w:t>
      </w:r>
      <w:r w:rsidRPr="00A120A9">
        <w:rPr>
          <w:rFonts w:asciiTheme="minorHAnsi" w:hAnsiTheme="minorHAnsi" w:cs="Times New Roman"/>
          <w:color w:val="auto"/>
          <w:sz w:val="22"/>
          <w:szCs w:val="22"/>
        </w:rPr>
        <w:t xml:space="preserve"> </w:t>
      </w:r>
      <w:r w:rsidRPr="00A120A9">
        <w:rPr>
          <w:rFonts w:asciiTheme="minorHAnsi" w:hAnsiTheme="minorHAnsi" w:cs="Times New Roman"/>
          <w:color w:val="auto"/>
          <w:sz w:val="22"/>
          <w:szCs w:val="22"/>
          <w:lang w:val="en-IE"/>
        </w:rPr>
        <w:t xml:space="preserve">effects expression of COX-1.  </w:t>
      </w: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r w:rsidRPr="00A120A9">
        <w:rPr>
          <w:rFonts w:asciiTheme="minorHAnsi" w:hAnsiTheme="minorHAnsi" w:cs="Times New Roman"/>
          <w:color w:val="auto"/>
          <w:sz w:val="22"/>
          <w:szCs w:val="22"/>
          <w:lang w:val="en-AU"/>
        </w:rPr>
        <w:lastRenderedPageBreak/>
        <w:t xml:space="preserve">Contactin 4 is a member of the immunoglobulin superfamily and is a known neuronal membrane cell adhesion molecule. </w:t>
      </w:r>
      <w:r w:rsidRPr="00A120A9">
        <w:rPr>
          <w:rFonts w:asciiTheme="minorHAnsi" w:hAnsiTheme="minorHAnsi" w:cs="Times New Roman"/>
          <w:i/>
          <w:color w:val="auto"/>
          <w:sz w:val="22"/>
          <w:szCs w:val="22"/>
        </w:rPr>
        <w:t>CNTN4</w:t>
      </w:r>
      <w:r w:rsidRPr="00A120A9">
        <w:rPr>
          <w:rFonts w:asciiTheme="minorHAnsi" w:hAnsiTheme="minorHAnsi" w:cs="Times New Roman"/>
          <w:color w:val="auto"/>
          <w:sz w:val="22"/>
          <w:szCs w:val="22"/>
        </w:rPr>
        <w:t xml:space="preserve"> expression has been shown in many tissue types other than neuronal, however its role(s) there are not known [20]. </w:t>
      </w:r>
    </w:p>
    <w:p w:rsidR="001E41CE" w:rsidRPr="00A120A9" w:rsidRDefault="001E41CE" w:rsidP="00A63171">
      <w:pPr>
        <w:autoSpaceDE w:val="0"/>
        <w:autoSpaceDN w:val="0"/>
        <w:adjustRightInd w:val="0"/>
        <w:spacing w:line="480" w:lineRule="auto"/>
        <w:rPr>
          <w:rFonts w:asciiTheme="minorHAnsi" w:hAnsiTheme="minorHAnsi" w:cs="Times New Roman"/>
          <w:color w:val="auto"/>
          <w:sz w:val="22"/>
          <w:szCs w:val="22"/>
        </w:rPr>
      </w:pPr>
    </w:p>
    <w:p w:rsidR="001E41CE" w:rsidRPr="00A120A9" w:rsidRDefault="001E41CE" w:rsidP="00A63171">
      <w:pPr>
        <w:autoSpaceDE w:val="0"/>
        <w:autoSpaceDN w:val="0"/>
        <w:adjustRightInd w:val="0"/>
        <w:spacing w:line="480" w:lineRule="auto"/>
        <w:rPr>
          <w:rFonts w:asciiTheme="minorHAnsi" w:hAnsiTheme="minorHAnsi" w:cs="Times New Roman"/>
          <w:color w:val="auto"/>
          <w:sz w:val="22"/>
          <w:szCs w:val="22"/>
          <w:lang w:val="en-IE"/>
        </w:rPr>
      </w:pPr>
      <w:r w:rsidRPr="00A120A9">
        <w:rPr>
          <w:rFonts w:asciiTheme="minorHAnsi" w:hAnsiTheme="minorHAnsi" w:cs="Helvetica"/>
          <w:color w:val="auto"/>
          <w:sz w:val="22"/>
          <w:szCs w:val="22"/>
        </w:rPr>
        <w:t xml:space="preserve">We conducted a </w:t>
      </w:r>
      <w:r w:rsidRPr="00A120A9">
        <w:rPr>
          <w:rFonts w:asciiTheme="minorHAnsi" w:hAnsiTheme="minorHAnsi" w:cs="Times New Roman"/>
          <w:color w:val="auto"/>
          <w:sz w:val="22"/>
          <w:szCs w:val="22"/>
        </w:rPr>
        <w:t xml:space="preserve">search of the term ‘cardiovascular in the </w:t>
      </w:r>
      <w:r w:rsidRPr="00A120A9">
        <w:rPr>
          <w:rFonts w:asciiTheme="minorHAnsi" w:hAnsiTheme="minorHAnsi" w:cs="Helvetica"/>
          <w:color w:val="auto"/>
          <w:sz w:val="22"/>
          <w:szCs w:val="22"/>
        </w:rPr>
        <w:t>NHGRI-EBI GWAS catalogue-(</w:t>
      </w:r>
      <w:hyperlink r:id="rId10" w:history="1">
        <w:r w:rsidRPr="00A120A9">
          <w:rPr>
            <w:rStyle w:val="Hyperlink"/>
            <w:rFonts w:asciiTheme="minorHAnsi" w:hAnsiTheme="minorHAnsi" w:cs="Helvetica"/>
            <w:color w:val="auto"/>
            <w:sz w:val="22"/>
            <w:szCs w:val="22"/>
          </w:rPr>
          <w:t>https://www.ebi.ac.uk/gwas/search?query=cardiovascular</w:t>
        </w:r>
      </w:hyperlink>
      <w:r w:rsidRPr="00A120A9">
        <w:rPr>
          <w:rFonts w:asciiTheme="minorHAnsi" w:hAnsiTheme="minorHAnsi" w:cs="Times New Roman"/>
          <w:color w:val="auto"/>
          <w:sz w:val="22"/>
          <w:szCs w:val="22"/>
        </w:rPr>
        <w:t xml:space="preserve">, accessed </w:t>
      </w:r>
      <w:r w:rsidRPr="00A120A9">
        <w:rPr>
          <w:rFonts w:asciiTheme="minorHAnsi" w:hAnsiTheme="minorHAnsi" w:cs="Helvetica"/>
          <w:color w:val="auto"/>
          <w:sz w:val="22"/>
          <w:szCs w:val="22"/>
        </w:rPr>
        <w:t xml:space="preserve">25/10/17, </w:t>
      </w:r>
      <w:r w:rsidRPr="00A120A9">
        <w:rPr>
          <w:rFonts w:asciiTheme="minorHAnsi" w:hAnsiTheme="minorHAnsi" w:cs="Times New Roman"/>
          <w:color w:val="auto"/>
          <w:sz w:val="22"/>
          <w:szCs w:val="22"/>
          <w:lang w:val="en-AU"/>
        </w:rPr>
        <w:t xml:space="preserve">Supplementary Table </w:t>
      </w:r>
      <w:r w:rsidR="003F2F72" w:rsidRPr="00A120A9">
        <w:rPr>
          <w:rFonts w:asciiTheme="minorHAnsi" w:hAnsiTheme="minorHAnsi" w:cs="Times New Roman"/>
          <w:color w:val="auto"/>
          <w:sz w:val="22"/>
          <w:szCs w:val="22"/>
          <w:lang w:val="en-AU"/>
        </w:rPr>
        <w:t>2</w:t>
      </w:r>
      <w:r w:rsidRPr="00A120A9">
        <w:rPr>
          <w:rFonts w:asciiTheme="minorHAnsi" w:hAnsiTheme="minorHAnsi" w:cs="Helvetica"/>
          <w:color w:val="auto"/>
          <w:sz w:val="22"/>
          <w:szCs w:val="22"/>
        </w:rPr>
        <w:t>)</w:t>
      </w:r>
      <w:r w:rsidRPr="00A120A9">
        <w:rPr>
          <w:rFonts w:asciiTheme="minorHAnsi" w:hAnsiTheme="minorHAnsi" w:cs="Times New Roman"/>
          <w:color w:val="auto"/>
          <w:sz w:val="22"/>
          <w:szCs w:val="22"/>
        </w:rPr>
        <w:t xml:space="preserve"> in order to put our findings in the context of the vast GWAS data now available. The </w:t>
      </w:r>
      <w:r w:rsidRPr="00A120A9">
        <w:rPr>
          <w:rFonts w:asciiTheme="minorHAnsi" w:hAnsiTheme="minorHAnsi" w:cs="Times New Roman"/>
          <w:i/>
          <w:color w:val="auto"/>
          <w:sz w:val="22"/>
          <w:szCs w:val="22"/>
        </w:rPr>
        <w:t xml:space="preserve">CNTN4 </w:t>
      </w:r>
      <w:r w:rsidRPr="00A120A9">
        <w:rPr>
          <w:rFonts w:asciiTheme="minorHAnsi" w:hAnsiTheme="minorHAnsi" w:cs="Times New Roman"/>
          <w:color w:val="auto"/>
          <w:sz w:val="22"/>
          <w:szCs w:val="22"/>
        </w:rPr>
        <w:t xml:space="preserve">gene has been associated with </w:t>
      </w:r>
      <w:r w:rsidRPr="00A120A9">
        <w:rPr>
          <w:rFonts w:asciiTheme="minorHAnsi" w:hAnsiTheme="minorHAnsi" w:cs="Times New Roman"/>
          <w:color w:val="auto"/>
          <w:sz w:val="22"/>
          <w:szCs w:val="22"/>
          <w:lang w:val="en-AU"/>
        </w:rPr>
        <w:t>serum uric acid levels in previous genome-wide association and linkage studies, [21, 22]</w:t>
      </w:r>
      <w:r w:rsidRPr="00A120A9">
        <w:rPr>
          <w:rFonts w:asciiTheme="minorHAnsi" w:hAnsiTheme="minorHAnsi" w:cs="Times New Roman"/>
          <w:color w:val="auto"/>
          <w:sz w:val="22"/>
          <w:szCs w:val="22"/>
        </w:rPr>
        <w:t>,</w:t>
      </w:r>
      <w:r w:rsidRPr="00A120A9">
        <w:rPr>
          <w:rFonts w:asciiTheme="minorHAnsi" w:hAnsiTheme="minorHAnsi" w:cs="Times New Roman"/>
          <w:color w:val="auto"/>
          <w:sz w:val="22"/>
          <w:szCs w:val="22"/>
          <w:lang w:val="en-AU"/>
        </w:rPr>
        <w:t xml:space="preserve"> itself correlated with a variety of CVD risk factors</w:t>
      </w:r>
      <w:r w:rsidRPr="00A120A9">
        <w:rPr>
          <w:rFonts w:asciiTheme="minorHAnsi" w:hAnsiTheme="minorHAnsi" w:cs="Times New Roman"/>
          <w:color w:val="auto"/>
          <w:sz w:val="22"/>
          <w:szCs w:val="22"/>
        </w:rPr>
        <w:t>. There is some evidence for cross talk between COX and uric acid pathways - uric acid has been shown to stimulate COX-2 synthesis [2</w:t>
      </w:r>
      <w:r w:rsidR="003C0564" w:rsidRPr="00A120A9">
        <w:rPr>
          <w:rFonts w:asciiTheme="minorHAnsi" w:hAnsiTheme="minorHAnsi" w:cs="Times New Roman"/>
          <w:color w:val="auto"/>
          <w:sz w:val="22"/>
          <w:szCs w:val="22"/>
        </w:rPr>
        <w:t>3</w:t>
      </w:r>
      <w:r w:rsidRPr="00A120A9">
        <w:rPr>
          <w:rFonts w:asciiTheme="minorHAnsi" w:hAnsiTheme="minorHAnsi" w:cs="Times New Roman"/>
          <w:color w:val="auto"/>
          <w:sz w:val="22"/>
          <w:szCs w:val="22"/>
        </w:rPr>
        <w:t>], for example. Although PPARGC1B does not feature in the GWAS catalogue results, genetic polymorphisms in the PPARGC1B genes have previously been putatively associated with type 2 diabetes [2</w:t>
      </w:r>
      <w:r w:rsidR="003C0564" w:rsidRPr="00A120A9">
        <w:rPr>
          <w:rFonts w:asciiTheme="minorHAnsi" w:hAnsiTheme="minorHAnsi" w:cs="Times New Roman"/>
          <w:color w:val="auto"/>
          <w:sz w:val="22"/>
          <w:szCs w:val="22"/>
        </w:rPr>
        <w:t>4</w:t>
      </w:r>
      <w:r w:rsidRPr="00A120A9">
        <w:rPr>
          <w:rFonts w:asciiTheme="minorHAnsi" w:hAnsiTheme="minorHAnsi" w:cs="Times New Roman"/>
          <w:color w:val="auto"/>
          <w:sz w:val="22"/>
          <w:szCs w:val="22"/>
        </w:rPr>
        <w:t>, 2</w:t>
      </w:r>
      <w:r w:rsidR="003C0564" w:rsidRPr="00A120A9">
        <w:rPr>
          <w:rFonts w:asciiTheme="minorHAnsi" w:hAnsiTheme="minorHAnsi" w:cs="Times New Roman"/>
          <w:color w:val="auto"/>
          <w:sz w:val="22"/>
          <w:szCs w:val="22"/>
        </w:rPr>
        <w:t>5</w:t>
      </w:r>
      <w:r w:rsidRPr="00A120A9">
        <w:rPr>
          <w:rFonts w:asciiTheme="minorHAnsi" w:hAnsiTheme="minorHAnsi" w:cs="Times New Roman"/>
          <w:color w:val="auto"/>
          <w:sz w:val="22"/>
          <w:szCs w:val="22"/>
        </w:rPr>
        <w:t xml:space="preserve">]. </w:t>
      </w: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widowControl w:val="0"/>
        <w:autoSpaceDE w:val="0"/>
        <w:autoSpaceDN w:val="0"/>
        <w:adjustRightInd w:val="0"/>
        <w:spacing w:line="480" w:lineRule="auto"/>
        <w:rPr>
          <w:rFonts w:asciiTheme="minorHAnsi" w:hAnsiTheme="minorHAnsi" w:cs="Helvetica"/>
          <w:color w:val="auto"/>
          <w:sz w:val="22"/>
          <w:szCs w:val="22"/>
        </w:rPr>
      </w:pPr>
      <w:r w:rsidRPr="00A120A9">
        <w:rPr>
          <w:rFonts w:asciiTheme="minorHAnsi" w:hAnsiTheme="minorHAnsi" w:cs="Helvetica"/>
          <w:color w:val="auto"/>
          <w:sz w:val="22"/>
          <w:szCs w:val="22"/>
        </w:rPr>
        <w:t xml:space="preserve">A search of the five </w:t>
      </w:r>
      <w:r w:rsidRPr="00A120A9">
        <w:rPr>
          <w:rFonts w:asciiTheme="minorHAnsi" w:hAnsiTheme="minorHAnsi" w:cs="Times New Roman"/>
          <w:color w:val="auto"/>
          <w:sz w:val="22"/>
          <w:szCs w:val="22"/>
        </w:rPr>
        <w:t>11-dehydro TxB</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xml:space="preserve"> </w:t>
      </w:r>
      <w:r w:rsidRPr="00A120A9">
        <w:rPr>
          <w:rFonts w:asciiTheme="minorHAnsi" w:hAnsiTheme="minorHAnsi" w:cs="Helvetica"/>
          <w:color w:val="auto"/>
          <w:sz w:val="22"/>
          <w:szCs w:val="22"/>
        </w:rPr>
        <w:t>SNPs reported in this study in GWAS central, (</w:t>
      </w:r>
      <w:hyperlink r:id="rId11" w:history="1">
        <w:r w:rsidRPr="00A120A9">
          <w:rPr>
            <w:rStyle w:val="Hyperlink"/>
            <w:rFonts w:asciiTheme="minorHAnsi" w:hAnsiTheme="minorHAnsi" w:cs="Helvetica"/>
            <w:color w:val="auto"/>
            <w:sz w:val="22"/>
            <w:szCs w:val="22"/>
          </w:rPr>
          <w:t>http://www.gwascentral.org/</w:t>
        </w:r>
      </w:hyperlink>
      <w:r w:rsidRPr="00A120A9">
        <w:rPr>
          <w:rFonts w:asciiTheme="minorHAnsi" w:hAnsiTheme="minorHAnsi" w:cs="Helvetica"/>
          <w:color w:val="auto"/>
          <w:sz w:val="22"/>
          <w:szCs w:val="22"/>
        </w:rPr>
        <w:t xml:space="preserve"> accessed 25/10/17), showed that none of the five SNPs have been included in GWAS of MI in this catalogue (Supplementary Table </w:t>
      </w:r>
      <w:r w:rsidR="003F2F72" w:rsidRPr="00A120A9">
        <w:rPr>
          <w:rFonts w:asciiTheme="minorHAnsi" w:hAnsiTheme="minorHAnsi" w:cs="Helvetica"/>
          <w:color w:val="auto"/>
          <w:sz w:val="22"/>
          <w:szCs w:val="22"/>
        </w:rPr>
        <w:t>3</w:t>
      </w:r>
      <w:r w:rsidRPr="00A120A9">
        <w:rPr>
          <w:rFonts w:asciiTheme="minorHAnsi" w:hAnsiTheme="minorHAnsi" w:cs="Helvetica"/>
          <w:color w:val="auto"/>
          <w:sz w:val="22"/>
          <w:szCs w:val="22"/>
        </w:rPr>
        <w:t xml:space="preserve">). Some of the SNPs have shown previous nominal associations (P&lt;0.05) with other cardiovascular phenotypes, including associations between rs32583 and ischemic stroke (Supplementary Table 2). It should be noted that the five </w:t>
      </w:r>
      <w:r w:rsidRPr="00A120A9">
        <w:rPr>
          <w:rFonts w:asciiTheme="minorHAnsi" w:hAnsiTheme="minorHAnsi" w:cs="Times New Roman"/>
          <w:color w:val="auto"/>
          <w:sz w:val="22"/>
          <w:szCs w:val="22"/>
        </w:rPr>
        <w:t>11-dehydro TxB</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xml:space="preserve"> -</w:t>
      </w:r>
      <w:r w:rsidRPr="00A120A9">
        <w:rPr>
          <w:rFonts w:asciiTheme="minorHAnsi" w:hAnsiTheme="minorHAnsi" w:cs="Helvetica"/>
          <w:color w:val="auto"/>
          <w:sz w:val="22"/>
          <w:szCs w:val="22"/>
        </w:rPr>
        <w:t>associated SNPs in this study were not present on most of the commonly used GWAS chips; rs4235745 for example is only on the IBC (CVD50K) chip (Supplementary Table 3). In addition, the thromboxane pathway represents one of many risk factors for a cardiovascular disease; therefore we would not necessarily expect the SNPs reported here to be among the top GWAS hits for CVD.</w:t>
      </w:r>
    </w:p>
    <w:p w:rsidR="001E41CE" w:rsidRPr="00A120A9" w:rsidRDefault="001E41CE" w:rsidP="00A63171">
      <w:pPr>
        <w:spacing w:line="480" w:lineRule="auto"/>
        <w:contextualSpacing/>
        <w:rPr>
          <w:rFonts w:asciiTheme="minorHAnsi" w:eastAsia="Adobe Kaiti Std R" w:hAnsiTheme="minorHAnsi" w:cs="Times New Roman"/>
          <w:bCs/>
          <w:color w:val="auto"/>
          <w:sz w:val="22"/>
          <w:szCs w:val="22"/>
        </w:rPr>
      </w:pPr>
    </w:p>
    <w:p w:rsidR="001E41CE" w:rsidRPr="00A120A9" w:rsidRDefault="001E41CE" w:rsidP="00A63171">
      <w:pPr>
        <w:pStyle w:val="CommentText"/>
        <w:spacing w:line="480" w:lineRule="auto"/>
        <w:rPr>
          <w:rFonts w:asciiTheme="minorHAnsi" w:hAnsiTheme="minorHAnsi" w:cs="Times New Roman"/>
          <w:color w:val="auto"/>
          <w:sz w:val="22"/>
          <w:szCs w:val="22"/>
        </w:rPr>
      </w:pPr>
      <w:r w:rsidRPr="00A120A9">
        <w:rPr>
          <w:rFonts w:asciiTheme="minorHAnsi" w:hAnsiTheme="minorHAnsi" w:cs="Times New Roman"/>
          <w:color w:val="auto"/>
          <w:sz w:val="22"/>
          <w:szCs w:val="22"/>
        </w:rPr>
        <w:lastRenderedPageBreak/>
        <w:t xml:space="preserve">This study adds strength to the finding by Eickelboom </w:t>
      </w:r>
      <w:r w:rsidRPr="00A120A9">
        <w:rPr>
          <w:rFonts w:asciiTheme="minorHAnsi" w:hAnsiTheme="minorHAnsi" w:cs="Times New Roman"/>
          <w:i/>
          <w:color w:val="auto"/>
          <w:sz w:val="22"/>
          <w:szCs w:val="22"/>
        </w:rPr>
        <w:t>et al</w:t>
      </w:r>
      <w:r w:rsidRPr="00A120A9">
        <w:rPr>
          <w:rFonts w:asciiTheme="minorHAnsi" w:hAnsiTheme="minorHAnsi" w:cs="Times New Roman"/>
          <w:color w:val="auto"/>
          <w:sz w:val="22"/>
          <w:szCs w:val="22"/>
        </w:rPr>
        <w:t xml:space="preserve"> that urinary 11-dehydro TxB</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xml:space="preserve"> is an independent risk factor for atherothrombotic events. Mendel’s observation that inheritance of one trait should be independent of the inheritance of other traits asserts that it is unlikely the same SNPs would be associated with both 11-dehydro TxB</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xml:space="preserve"> and CHD unless the phenotypes are causally linked. Whether the atherosclerosis causes the elevated 11-dehydro TxB</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xml:space="preserve"> or vice versa, however, cannot be clearly ascertained from these data.</w:t>
      </w:r>
    </w:p>
    <w:p w:rsidR="001E41CE" w:rsidRPr="00A120A9" w:rsidRDefault="001E41CE" w:rsidP="00A63171">
      <w:pPr>
        <w:spacing w:line="480" w:lineRule="auto"/>
        <w:rPr>
          <w:rFonts w:asciiTheme="minorHAnsi" w:eastAsia="Adobe Kaiti Std R" w:hAnsiTheme="minorHAnsi" w:cs="Times New Roman"/>
          <w:bCs/>
          <w:color w:val="auto"/>
          <w:sz w:val="22"/>
          <w:szCs w:val="22"/>
        </w:rPr>
      </w:pPr>
    </w:p>
    <w:p w:rsidR="001E41CE" w:rsidRPr="00A120A9" w:rsidRDefault="001E41CE" w:rsidP="00A63171">
      <w:pPr>
        <w:spacing w:line="480" w:lineRule="auto"/>
        <w:rPr>
          <w:rFonts w:asciiTheme="minorHAnsi" w:eastAsia="Adobe Kaiti Std R" w:hAnsiTheme="minorHAnsi" w:cs="Times New Roman"/>
          <w:bCs/>
          <w:color w:val="auto"/>
          <w:sz w:val="22"/>
          <w:szCs w:val="22"/>
        </w:rPr>
      </w:pPr>
      <w:r w:rsidRPr="00A120A9">
        <w:rPr>
          <w:rFonts w:asciiTheme="minorHAnsi" w:eastAsia="Adobe Kaiti Std R" w:hAnsiTheme="minorHAnsi" w:cs="Times New Roman"/>
          <w:bCs/>
          <w:color w:val="auto"/>
          <w:sz w:val="22"/>
          <w:szCs w:val="22"/>
        </w:rPr>
        <w:t>Identification of the genetic determinants of thromboxane A</w:t>
      </w:r>
      <w:r w:rsidRPr="00A120A9">
        <w:rPr>
          <w:rFonts w:asciiTheme="minorHAnsi" w:eastAsia="Adobe Kaiti Std R" w:hAnsiTheme="minorHAnsi" w:cs="Times New Roman"/>
          <w:bCs/>
          <w:color w:val="auto"/>
          <w:sz w:val="22"/>
          <w:szCs w:val="22"/>
          <w:vertAlign w:val="subscript"/>
        </w:rPr>
        <w:t>2</w:t>
      </w:r>
      <w:r w:rsidRPr="00A120A9">
        <w:rPr>
          <w:rFonts w:asciiTheme="minorHAnsi" w:eastAsia="Adobe Kaiti Std R" w:hAnsiTheme="minorHAnsi" w:cs="Times New Roman"/>
          <w:bCs/>
          <w:color w:val="auto"/>
          <w:sz w:val="22"/>
          <w:szCs w:val="22"/>
        </w:rPr>
        <w:t xml:space="preserve"> levels will help to improve our understanding of the physiology of this important prothrombotic agent. They may also prove to be useful biomarkers for assessing thromboxane levels without the need for urinary thromboxane measurement. If specific protection of </w:t>
      </w:r>
      <w:r w:rsidRPr="00A120A9">
        <w:rPr>
          <w:rFonts w:asciiTheme="minorHAnsi" w:hAnsiTheme="minorHAnsi" w:cs="Times New Roman"/>
          <w:i/>
          <w:color w:val="auto"/>
          <w:sz w:val="22"/>
          <w:szCs w:val="22"/>
        </w:rPr>
        <w:t>PPARGC1B</w:t>
      </w:r>
      <w:r w:rsidRPr="00A120A9">
        <w:rPr>
          <w:rFonts w:asciiTheme="minorHAnsi" w:eastAsia="Adobe Kaiti Std R" w:hAnsiTheme="minorHAnsi" w:cs="Times New Roman"/>
          <w:color w:val="auto"/>
          <w:sz w:val="22"/>
          <w:szCs w:val="22"/>
        </w:rPr>
        <w:t xml:space="preserve"> and </w:t>
      </w:r>
      <w:r w:rsidRPr="00A120A9">
        <w:rPr>
          <w:rFonts w:asciiTheme="minorHAnsi" w:eastAsia="Adobe Kaiti Std R" w:hAnsiTheme="minorHAnsi" w:cs="Times New Roman"/>
          <w:i/>
          <w:color w:val="auto"/>
          <w:sz w:val="22"/>
          <w:szCs w:val="22"/>
        </w:rPr>
        <w:t xml:space="preserve">CNTN4 </w:t>
      </w:r>
      <w:r w:rsidRPr="00A120A9">
        <w:rPr>
          <w:rFonts w:asciiTheme="minorHAnsi" w:eastAsia="Adobe Kaiti Std R" w:hAnsiTheme="minorHAnsi" w:cs="Times New Roman"/>
          <w:color w:val="auto"/>
          <w:sz w:val="22"/>
          <w:szCs w:val="22"/>
        </w:rPr>
        <w:t xml:space="preserve">variant carriers </w:t>
      </w:r>
      <w:r w:rsidRPr="00A120A9">
        <w:rPr>
          <w:rFonts w:asciiTheme="minorHAnsi" w:eastAsia="Adobe Kaiti Std R" w:hAnsiTheme="minorHAnsi" w:cs="Times New Roman"/>
          <w:bCs/>
          <w:color w:val="auto"/>
          <w:sz w:val="22"/>
          <w:szCs w:val="22"/>
        </w:rPr>
        <w:t xml:space="preserve">by aspirin is confirmed </w:t>
      </w:r>
      <w:r w:rsidRPr="00A120A9">
        <w:rPr>
          <w:rFonts w:asciiTheme="minorHAnsi" w:eastAsia="Adobe Kaiti Std R" w:hAnsiTheme="minorHAnsi" w:cs="Times New Roman"/>
          <w:color w:val="auto"/>
          <w:sz w:val="22"/>
          <w:szCs w:val="22"/>
        </w:rPr>
        <w:t xml:space="preserve">by additional studies, </w:t>
      </w:r>
      <w:r w:rsidRPr="00A120A9">
        <w:rPr>
          <w:rFonts w:asciiTheme="minorHAnsi" w:hAnsiTheme="minorHAnsi" w:cs="Times New Roman"/>
          <w:i/>
          <w:color w:val="auto"/>
          <w:sz w:val="22"/>
          <w:szCs w:val="22"/>
        </w:rPr>
        <w:t>PPARGC1B</w:t>
      </w:r>
      <w:r w:rsidRPr="00A120A9">
        <w:rPr>
          <w:rFonts w:asciiTheme="minorHAnsi" w:eastAsia="Adobe Kaiti Std R" w:hAnsiTheme="minorHAnsi" w:cs="Times New Roman"/>
          <w:color w:val="auto"/>
          <w:sz w:val="22"/>
          <w:szCs w:val="22"/>
        </w:rPr>
        <w:t xml:space="preserve"> and </w:t>
      </w:r>
      <w:r w:rsidRPr="00A120A9">
        <w:rPr>
          <w:rFonts w:asciiTheme="minorHAnsi" w:eastAsia="Adobe Kaiti Std R" w:hAnsiTheme="minorHAnsi" w:cs="Times New Roman"/>
          <w:i/>
          <w:color w:val="auto"/>
          <w:sz w:val="22"/>
          <w:szCs w:val="22"/>
        </w:rPr>
        <w:t>CNTN4</w:t>
      </w:r>
      <w:r w:rsidRPr="00A120A9">
        <w:rPr>
          <w:rFonts w:asciiTheme="minorHAnsi" w:eastAsia="Adobe Kaiti Std R" w:hAnsiTheme="minorHAnsi" w:cs="Times New Roman"/>
          <w:color w:val="auto"/>
          <w:sz w:val="22"/>
          <w:szCs w:val="22"/>
        </w:rPr>
        <w:t xml:space="preserve"> genotyping could potentially assist in clinical decision making regarding the use of aspirin </w:t>
      </w:r>
      <w:r w:rsidRPr="00A120A9">
        <w:rPr>
          <w:rFonts w:asciiTheme="minorHAnsi" w:eastAsia="Adobe Kaiti Std R" w:hAnsiTheme="minorHAnsi" w:cs="Times New Roman"/>
          <w:bCs/>
          <w:color w:val="auto"/>
          <w:sz w:val="22"/>
          <w:szCs w:val="22"/>
        </w:rPr>
        <w:t>in primary prevention.</w:t>
      </w:r>
    </w:p>
    <w:p w:rsidR="001E41CE" w:rsidRPr="00A120A9" w:rsidRDefault="001E41CE" w:rsidP="00A63171">
      <w:pPr>
        <w:spacing w:line="480" w:lineRule="auto"/>
        <w:rPr>
          <w:rFonts w:asciiTheme="minorHAnsi" w:hAnsiTheme="minorHAnsi" w:cs="Times New Roman"/>
          <w:b/>
          <w:color w:val="auto"/>
          <w:sz w:val="22"/>
          <w:szCs w:val="22"/>
        </w:rPr>
      </w:pPr>
    </w:p>
    <w:p w:rsidR="001E41CE" w:rsidRPr="00A120A9" w:rsidRDefault="001E41CE" w:rsidP="00A63171">
      <w:pPr>
        <w:spacing w:line="480" w:lineRule="auto"/>
        <w:rPr>
          <w:rFonts w:asciiTheme="minorHAnsi" w:hAnsiTheme="minorHAnsi" w:cs="Times New Roman"/>
          <w:b/>
          <w:color w:val="auto"/>
          <w:sz w:val="22"/>
          <w:szCs w:val="22"/>
        </w:rPr>
      </w:pPr>
    </w:p>
    <w:p w:rsidR="001E41CE" w:rsidRPr="00A120A9" w:rsidRDefault="001E41CE" w:rsidP="00A63171">
      <w:pPr>
        <w:spacing w:line="480" w:lineRule="auto"/>
        <w:rPr>
          <w:rFonts w:asciiTheme="minorHAnsi" w:hAnsiTheme="minorHAnsi" w:cs="Times New Roman"/>
          <w:b/>
          <w:color w:val="auto"/>
          <w:sz w:val="22"/>
          <w:szCs w:val="22"/>
        </w:rPr>
      </w:pPr>
      <w:r w:rsidRPr="00A120A9">
        <w:rPr>
          <w:rFonts w:asciiTheme="minorHAnsi" w:hAnsiTheme="minorHAnsi" w:cs="Times New Roman"/>
          <w:b/>
          <w:color w:val="auto"/>
          <w:sz w:val="22"/>
          <w:szCs w:val="22"/>
          <w:u w:val="single"/>
        </w:rPr>
        <w:t>Acknowledgements</w:t>
      </w:r>
    </w:p>
    <w:p w:rsidR="001E41CE" w:rsidRPr="00A120A9" w:rsidRDefault="001E41CE" w:rsidP="00A63171">
      <w:pPr>
        <w:spacing w:line="480" w:lineRule="auto"/>
        <w:rPr>
          <w:rFonts w:asciiTheme="minorHAnsi" w:hAnsiTheme="minorHAnsi" w:cs="Times New Roman"/>
          <w:color w:val="auto"/>
          <w:sz w:val="22"/>
          <w:szCs w:val="22"/>
        </w:rPr>
      </w:pPr>
      <w:r w:rsidRPr="00A120A9">
        <w:rPr>
          <w:rFonts w:asciiTheme="minorHAnsi" w:hAnsiTheme="minorHAnsi" w:cs="Times New Roman"/>
          <w:color w:val="auto"/>
          <w:sz w:val="22"/>
          <w:szCs w:val="22"/>
        </w:rPr>
        <w:t>We thank all ASCOT trial participants, physicians, nurses, and practices for their important contributions to the study.</w:t>
      </w: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b/>
          <w:color w:val="auto"/>
          <w:sz w:val="22"/>
          <w:szCs w:val="22"/>
          <w:u w:val="single"/>
        </w:rPr>
      </w:pPr>
      <w:r w:rsidRPr="00A120A9">
        <w:rPr>
          <w:rFonts w:asciiTheme="minorHAnsi" w:hAnsiTheme="minorHAnsi" w:cs="Times New Roman"/>
          <w:b/>
          <w:color w:val="auto"/>
          <w:sz w:val="22"/>
          <w:szCs w:val="22"/>
          <w:u w:val="single"/>
        </w:rPr>
        <w:t>Funding Sources</w:t>
      </w:r>
    </w:p>
    <w:p w:rsidR="001E41CE" w:rsidRPr="00A120A9" w:rsidRDefault="001E41CE" w:rsidP="00A63171">
      <w:pPr>
        <w:spacing w:line="480" w:lineRule="auto"/>
        <w:rPr>
          <w:rFonts w:asciiTheme="minorHAnsi" w:hAnsiTheme="minorHAnsi" w:cs="Times New Roman"/>
          <w:b/>
          <w:color w:val="auto"/>
          <w:sz w:val="22"/>
          <w:szCs w:val="22"/>
        </w:rPr>
      </w:pPr>
      <w:r w:rsidRPr="00A120A9">
        <w:rPr>
          <w:rFonts w:asciiTheme="minorHAnsi" w:hAnsiTheme="minorHAnsi" w:cs="Times New Roman"/>
          <w:color w:val="auto"/>
          <w:sz w:val="22"/>
          <w:szCs w:val="22"/>
        </w:rPr>
        <w:t>The HACVD sub-study was supported by an investigational grant by Pfizer International,</w:t>
      </w:r>
    </w:p>
    <w:p w:rsidR="001E41CE" w:rsidRPr="00A120A9" w:rsidRDefault="001E41CE" w:rsidP="00A63171">
      <w:pPr>
        <w:spacing w:line="480" w:lineRule="auto"/>
        <w:rPr>
          <w:rFonts w:asciiTheme="minorHAnsi" w:hAnsiTheme="minorHAnsi" w:cs="Times New Roman"/>
          <w:color w:val="auto"/>
          <w:sz w:val="22"/>
          <w:szCs w:val="22"/>
        </w:rPr>
      </w:pPr>
      <w:r w:rsidRPr="00A120A9">
        <w:rPr>
          <w:rFonts w:asciiTheme="minorHAnsi" w:hAnsiTheme="minorHAnsi" w:cs="Times New Roman"/>
          <w:color w:val="auto"/>
          <w:sz w:val="22"/>
          <w:szCs w:val="22"/>
        </w:rPr>
        <w:t>New York, NY, USA. The principal funding source for ASCOT was Pfizer, New York, NY, USA.</w:t>
      </w:r>
    </w:p>
    <w:p w:rsidR="001E41CE" w:rsidRPr="00A120A9" w:rsidRDefault="001E41CE" w:rsidP="00A63171">
      <w:pPr>
        <w:spacing w:line="480" w:lineRule="auto"/>
        <w:rPr>
          <w:rFonts w:asciiTheme="minorHAnsi" w:hAnsiTheme="minorHAnsi" w:cs="Times New Roman"/>
          <w:color w:val="auto"/>
          <w:sz w:val="22"/>
          <w:szCs w:val="22"/>
        </w:rPr>
      </w:pPr>
      <w:r w:rsidRPr="00A120A9">
        <w:rPr>
          <w:rFonts w:asciiTheme="minorHAnsi" w:hAnsiTheme="minorHAnsi" w:cs="Times New Roman"/>
          <w:color w:val="auto"/>
          <w:sz w:val="22"/>
          <w:szCs w:val="22"/>
        </w:rPr>
        <w:t>Additional funding for ASCOT was provided by Servier Research Group, Paris, France,</w:t>
      </w:r>
    </w:p>
    <w:p w:rsidR="001E41CE" w:rsidRPr="00A120A9" w:rsidRDefault="001E41CE" w:rsidP="00A63171">
      <w:pPr>
        <w:spacing w:line="480" w:lineRule="auto"/>
        <w:rPr>
          <w:rFonts w:asciiTheme="minorHAnsi" w:hAnsiTheme="minorHAnsi" w:cs="Times New Roman"/>
          <w:color w:val="auto"/>
          <w:sz w:val="22"/>
          <w:szCs w:val="22"/>
        </w:rPr>
      </w:pPr>
      <w:r w:rsidRPr="00A120A9">
        <w:rPr>
          <w:rFonts w:asciiTheme="minorHAnsi" w:hAnsiTheme="minorHAnsi" w:cs="Times New Roman"/>
          <w:color w:val="auto"/>
          <w:sz w:val="22"/>
          <w:szCs w:val="22"/>
        </w:rPr>
        <w:lastRenderedPageBreak/>
        <w:t>and Leo Laboratories, Copenhagen, Denmark. Genotyping was funded by Barts, the London School of Medicine and Dentistry, and by the Centre Nationale de Genotypage Paris. NMcC was funded by the Health Research Board in Ireland under grant number PHD/2007/11.</w:t>
      </w:r>
    </w:p>
    <w:p w:rsidR="001E41CE" w:rsidRPr="00A120A9" w:rsidRDefault="001E41CE" w:rsidP="00A63171">
      <w:pPr>
        <w:pStyle w:val="NoSpacing"/>
        <w:spacing w:line="480" w:lineRule="auto"/>
        <w:rPr>
          <w:rStyle w:val="SubtleReference"/>
          <w:rFonts w:asciiTheme="minorHAnsi" w:hAnsiTheme="minorHAnsi" w:cs="Times New Roman"/>
          <w:color w:val="auto"/>
          <w:sz w:val="22"/>
          <w:szCs w:val="22"/>
        </w:rPr>
      </w:pPr>
    </w:p>
    <w:p w:rsidR="001E41CE" w:rsidRPr="00A120A9" w:rsidRDefault="001E41CE" w:rsidP="00A63171">
      <w:pPr>
        <w:pStyle w:val="NoSpacing"/>
        <w:spacing w:line="480" w:lineRule="auto"/>
        <w:rPr>
          <w:rStyle w:val="SubtleReference"/>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u w:val="single"/>
        </w:rPr>
      </w:pPr>
      <w:r w:rsidRPr="00A120A9">
        <w:rPr>
          <w:rFonts w:asciiTheme="minorHAnsi" w:hAnsiTheme="minorHAnsi" w:cs="Times New Roman"/>
          <w:b/>
          <w:color w:val="auto"/>
          <w:sz w:val="22"/>
          <w:szCs w:val="22"/>
          <w:u w:val="single"/>
        </w:rPr>
        <w:t>Disclosures:</w:t>
      </w:r>
    </w:p>
    <w:p w:rsidR="001E41CE" w:rsidRPr="00A120A9" w:rsidRDefault="001E41CE" w:rsidP="00A63171">
      <w:pPr>
        <w:spacing w:line="480" w:lineRule="auto"/>
        <w:rPr>
          <w:rFonts w:asciiTheme="minorHAnsi" w:eastAsia="Adobe Kaiti Std R" w:hAnsiTheme="minorHAnsi" w:cs="Times New Roman"/>
          <w:color w:val="auto"/>
          <w:sz w:val="22"/>
          <w:szCs w:val="22"/>
        </w:rPr>
      </w:pPr>
      <w:r w:rsidRPr="00A120A9">
        <w:rPr>
          <w:rFonts w:asciiTheme="minorHAnsi" w:hAnsiTheme="minorHAnsi" w:cs="Times New Roman"/>
          <w:color w:val="auto"/>
          <w:sz w:val="22"/>
          <w:szCs w:val="22"/>
        </w:rPr>
        <w:t xml:space="preserve">TJ is a full time employee of GlaxoSmithKline and owns company stock. NMcC and AVS are named inventors on an RCSI filed patent application entitled “Identification of thrombosis or bleeding risk in an individual with and without antiplatelet therapy”, Patent application number 11166142.7 – 2402. </w:t>
      </w:r>
      <w:r w:rsidRPr="00A120A9">
        <w:rPr>
          <w:rFonts w:asciiTheme="minorHAnsi" w:eastAsia="Adobe Kaiti Std R" w:hAnsiTheme="minorHAnsi" w:cs="Times New Roman"/>
          <w:color w:val="auto"/>
          <w:sz w:val="22"/>
          <w:szCs w:val="22"/>
        </w:rPr>
        <w:t xml:space="preserve">All other authors: </w:t>
      </w:r>
      <w:r w:rsidRPr="00A120A9">
        <w:rPr>
          <w:rFonts w:asciiTheme="minorHAnsi" w:hAnsiTheme="minorHAnsi" w:cs="Times New Roman"/>
          <w:color w:val="auto"/>
          <w:sz w:val="22"/>
          <w:szCs w:val="22"/>
        </w:rPr>
        <w:t>none declared.</w:t>
      </w: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p>
    <w:p w:rsidR="001B4116" w:rsidRPr="00A120A9" w:rsidRDefault="001B4116"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b/>
          <w:bCs/>
          <w:color w:val="auto"/>
          <w:sz w:val="22"/>
          <w:szCs w:val="22"/>
        </w:rPr>
      </w:pPr>
      <w:r w:rsidRPr="00A120A9">
        <w:rPr>
          <w:rFonts w:asciiTheme="minorHAnsi" w:hAnsiTheme="minorHAnsi" w:cs="Times New Roman"/>
          <w:b/>
          <w:bCs/>
          <w:color w:val="auto"/>
          <w:sz w:val="22"/>
          <w:szCs w:val="22"/>
        </w:rPr>
        <w:lastRenderedPageBreak/>
        <w:t xml:space="preserve">Table 1. Baseline characteristics </w:t>
      </w:r>
    </w:p>
    <w:tbl>
      <w:tblPr>
        <w:tblW w:w="9140" w:type="dxa"/>
        <w:tblInd w:w="93" w:type="dxa"/>
        <w:tblLook w:val="04A0" w:firstRow="1" w:lastRow="0" w:firstColumn="1" w:lastColumn="0" w:noHBand="0" w:noVBand="1"/>
      </w:tblPr>
      <w:tblGrid>
        <w:gridCol w:w="4162"/>
        <w:gridCol w:w="1464"/>
        <w:gridCol w:w="1277"/>
        <w:gridCol w:w="1277"/>
        <w:gridCol w:w="960"/>
      </w:tblGrid>
      <w:tr w:rsidR="00A120A9" w:rsidRPr="00A120A9" w:rsidTr="00AE0C0D">
        <w:trPr>
          <w:trHeight w:val="765"/>
        </w:trPr>
        <w:tc>
          <w:tcPr>
            <w:tcW w:w="4162" w:type="dxa"/>
            <w:tcBorders>
              <w:top w:val="single" w:sz="4" w:space="0" w:color="auto"/>
              <w:left w:val="nil"/>
              <w:bottom w:val="single" w:sz="4"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rPr>
                <w:rFonts w:ascii="Calibri" w:hAnsi="Calibri" w:cs="Times New Roman"/>
                <w:b/>
                <w:bCs/>
                <w:color w:val="auto"/>
                <w:sz w:val="20"/>
                <w:szCs w:val="20"/>
                <w:lang w:eastAsia="en-GB"/>
              </w:rPr>
            </w:pPr>
            <w:r w:rsidRPr="00A120A9">
              <w:rPr>
                <w:rFonts w:ascii="Calibri" w:hAnsi="Calibri" w:cs="Times New Roman"/>
                <w:b/>
                <w:bCs/>
                <w:color w:val="auto"/>
                <w:sz w:val="20"/>
                <w:szCs w:val="20"/>
                <w:lang w:val="en-AU" w:eastAsia="en-GB"/>
              </w:rPr>
              <w:t>Baseline characteristics of the genetic association cohort (n=806).</w:t>
            </w:r>
          </w:p>
        </w:tc>
        <w:tc>
          <w:tcPr>
            <w:tcW w:w="1464" w:type="dxa"/>
            <w:tcBorders>
              <w:top w:val="single" w:sz="4" w:space="0" w:color="auto"/>
              <w:left w:val="nil"/>
              <w:bottom w:val="single" w:sz="4"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color w:val="auto"/>
                <w:sz w:val="20"/>
                <w:szCs w:val="20"/>
                <w:lang w:eastAsia="en-GB"/>
              </w:rPr>
            </w:pPr>
            <w:r w:rsidRPr="00A120A9">
              <w:rPr>
                <w:rFonts w:ascii="Calibri" w:hAnsi="Calibri" w:cs="Times New Roman"/>
                <w:b/>
                <w:bCs/>
                <w:color w:val="auto"/>
                <w:sz w:val="20"/>
                <w:szCs w:val="20"/>
                <w:lang w:val="en-AU" w:eastAsia="en-GB"/>
              </w:rPr>
              <w:t>All Subjects (n=806)</w:t>
            </w:r>
          </w:p>
        </w:tc>
        <w:tc>
          <w:tcPr>
            <w:tcW w:w="1277" w:type="dxa"/>
            <w:tcBorders>
              <w:top w:val="single" w:sz="4" w:space="0" w:color="auto"/>
              <w:left w:val="nil"/>
              <w:bottom w:val="single" w:sz="4"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color w:val="auto"/>
                <w:sz w:val="20"/>
                <w:szCs w:val="20"/>
                <w:lang w:eastAsia="en-GB"/>
              </w:rPr>
            </w:pPr>
            <w:r w:rsidRPr="00A120A9">
              <w:rPr>
                <w:rFonts w:ascii="Calibri" w:hAnsi="Calibri" w:cs="Times New Roman"/>
                <w:b/>
                <w:bCs/>
                <w:color w:val="auto"/>
                <w:sz w:val="20"/>
                <w:szCs w:val="20"/>
                <w:lang w:val="en-AU" w:eastAsia="en-GB"/>
              </w:rPr>
              <w:t>Not On Aspirin (n=415)</w:t>
            </w:r>
          </w:p>
        </w:tc>
        <w:tc>
          <w:tcPr>
            <w:tcW w:w="1277" w:type="dxa"/>
            <w:tcBorders>
              <w:top w:val="single" w:sz="4" w:space="0" w:color="auto"/>
              <w:left w:val="nil"/>
              <w:bottom w:val="single" w:sz="4"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color w:val="auto"/>
                <w:sz w:val="20"/>
                <w:szCs w:val="20"/>
                <w:lang w:eastAsia="en-GB"/>
              </w:rPr>
            </w:pPr>
            <w:r w:rsidRPr="00A120A9">
              <w:rPr>
                <w:rFonts w:ascii="Calibri" w:hAnsi="Calibri" w:cs="Times New Roman"/>
                <w:b/>
                <w:bCs/>
                <w:color w:val="auto"/>
                <w:sz w:val="20"/>
                <w:szCs w:val="20"/>
                <w:lang w:val="en-AU" w:eastAsia="en-GB"/>
              </w:rPr>
              <w:t>On Aspirin (n=391)</w:t>
            </w:r>
          </w:p>
        </w:tc>
        <w:tc>
          <w:tcPr>
            <w:tcW w:w="960" w:type="dxa"/>
            <w:tcBorders>
              <w:top w:val="single" w:sz="4" w:space="0" w:color="auto"/>
              <w:left w:val="nil"/>
              <w:bottom w:val="single" w:sz="4" w:space="0" w:color="auto"/>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i/>
                <w:iCs/>
                <w:color w:val="auto"/>
                <w:sz w:val="20"/>
                <w:szCs w:val="20"/>
                <w:lang w:eastAsia="en-GB"/>
              </w:rPr>
            </w:pPr>
            <w:r w:rsidRPr="00A120A9">
              <w:rPr>
                <w:rFonts w:ascii="Calibri" w:hAnsi="Calibri" w:cs="Times New Roman"/>
                <w:b/>
                <w:bCs/>
                <w:i/>
                <w:iCs/>
                <w:color w:val="auto"/>
                <w:sz w:val="20"/>
                <w:szCs w:val="20"/>
                <w:lang w:val="en-AU" w:eastAsia="en-GB"/>
              </w:rPr>
              <w:t>P</w:t>
            </w:r>
          </w:p>
        </w:tc>
      </w:tr>
      <w:tr w:rsidR="00A120A9" w:rsidRPr="00A120A9" w:rsidTr="00AE0C0D">
        <w:trPr>
          <w:trHeight w:val="300"/>
        </w:trPr>
        <w:tc>
          <w:tcPr>
            <w:tcW w:w="416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11-dehydro TxB</w:t>
            </w:r>
            <w:r w:rsidRPr="00A120A9">
              <w:rPr>
                <w:rFonts w:ascii="Calibri" w:hAnsi="Calibri" w:cs="Times New Roman"/>
                <w:color w:val="auto"/>
                <w:sz w:val="20"/>
                <w:szCs w:val="20"/>
                <w:vertAlign w:val="subscript"/>
                <w:lang w:val="en-AU" w:eastAsia="en-GB"/>
              </w:rPr>
              <w:t xml:space="preserve">2, </w:t>
            </w:r>
            <w:r w:rsidRPr="00A120A9">
              <w:rPr>
                <w:rFonts w:ascii="Calibri" w:hAnsi="Calibri" w:cs="Times New Roman"/>
                <w:color w:val="auto"/>
                <w:sz w:val="20"/>
                <w:szCs w:val="20"/>
                <w:lang w:val="en-AU" w:eastAsia="en-GB"/>
              </w:rPr>
              <w:t>pg/mg creatinine (median,IQR)</w:t>
            </w:r>
          </w:p>
        </w:tc>
        <w:tc>
          <w:tcPr>
            <w:tcW w:w="1464"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507(305-818)</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716(480-1072)</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331(224-552)</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2.00E-16</w:t>
            </w:r>
          </w:p>
        </w:tc>
      </w:tr>
      <w:tr w:rsidR="00A120A9" w:rsidRPr="00A120A9" w:rsidTr="00AE0C0D">
        <w:trPr>
          <w:trHeight w:val="300"/>
        </w:trPr>
        <w:tc>
          <w:tcPr>
            <w:tcW w:w="416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Age, years (mean±sd)</w:t>
            </w:r>
          </w:p>
        </w:tc>
        <w:tc>
          <w:tcPr>
            <w:tcW w:w="1464"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64.7±8.1</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64.2±8.1</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65.2±8.09</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0.09</w:t>
            </w:r>
          </w:p>
        </w:tc>
      </w:tr>
      <w:tr w:rsidR="00A120A9" w:rsidRPr="00A120A9" w:rsidTr="00AE0C0D">
        <w:trPr>
          <w:trHeight w:val="300"/>
        </w:trPr>
        <w:tc>
          <w:tcPr>
            <w:tcW w:w="416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Male (n,%)</w:t>
            </w:r>
          </w:p>
        </w:tc>
        <w:tc>
          <w:tcPr>
            <w:tcW w:w="1464"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626(78%)</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336(81%)</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290(74%)</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0.02</w:t>
            </w:r>
          </w:p>
        </w:tc>
      </w:tr>
      <w:tr w:rsidR="00A120A9" w:rsidRPr="00A120A9" w:rsidTr="00AE0C0D">
        <w:trPr>
          <w:trHeight w:val="300"/>
        </w:trPr>
        <w:tc>
          <w:tcPr>
            <w:tcW w:w="416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Current smoker (n,%)</w:t>
            </w:r>
          </w:p>
        </w:tc>
        <w:tc>
          <w:tcPr>
            <w:tcW w:w="1464"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186(23%)</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94(23%)</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92(23%)</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0.77</w:t>
            </w:r>
          </w:p>
        </w:tc>
      </w:tr>
      <w:tr w:rsidR="00A120A9" w:rsidRPr="00A120A9" w:rsidTr="00AE0C0D">
        <w:trPr>
          <w:trHeight w:val="300"/>
        </w:trPr>
        <w:tc>
          <w:tcPr>
            <w:tcW w:w="416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Current diabetes (n,%)</w:t>
            </w:r>
          </w:p>
        </w:tc>
        <w:tc>
          <w:tcPr>
            <w:tcW w:w="1464"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150(19%)</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55(13%)</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95(24%)</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6.00E-05</w:t>
            </w:r>
          </w:p>
        </w:tc>
      </w:tr>
      <w:tr w:rsidR="00A120A9" w:rsidRPr="00A120A9" w:rsidTr="00AE0C0D">
        <w:trPr>
          <w:trHeight w:val="300"/>
        </w:trPr>
        <w:tc>
          <w:tcPr>
            <w:tcW w:w="416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SBP, mmHg (mean±sd)</w:t>
            </w:r>
          </w:p>
        </w:tc>
        <w:tc>
          <w:tcPr>
            <w:tcW w:w="1464"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135.2±12.0</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133.1±12.5</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137.4±12.5</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2.00E-07</w:t>
            </w:r>
          </w:p>
        </w:tc>
      </w:tr>
      <w:tr w:rsidR="00A120A9" w:rsidRPr="00A120A9" w:rsidTr="00AE0C0D">
        <w:trPr>
          <w:trHeight w:val="300"/>
        </w:trPr>
        <w:tc>
          <w:tcPr>
            <w:tcW w:w="416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BMI, kg/m</w:t>
            </w:r>
            <w:r w:rsidRPr="00A120A9">
              <w:rPr>
                <w:rFonts w:ascii="Calibri" w:hAnsi="Calibri" w:cs="Times New Roman"/>
                <w:color w:val="auto"/>
                <w:sz w:val="20"/>
                <w:szCs w:val="20"/>
                <w:vertAlign w:val="superscript"/>
                <w:lang w:val="en-AU" w:eastAsia="en-GB"/>
              </w:rPr>
              <w:t>2</w:t>
            </w:r>
            <w:r w:rsidRPr="00A120A9">
              <w:rPr>
                <w:rFonts w:ascii="Calibri" w:hAnsi="Calibri" w:cs="Times New Roman"/>
                <w:color w:val="auto"/>
                <w:sz w:val="20"/>
                <w:szCs w:val="20"/>
                <w:lang w:val="en-AU" w:eastAsia="en-GB"/>
              </w:rPr>
              <w:t xml:space="preserve"> (mean±sd)</w:t>
            </w:r>
          </w:p>
        </w:tc>
        <w:tc>
          <w:tcPr>
            <w:tcW w:w="1464"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29.2±4.7</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29.1±4.7</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29.3±4.8</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0.53</w:t>
            </w:r>
          </w:p>
        </w:tc>
      </w:tr>
      <w:tr w:rsidR="00A120A9" w:rsidRPr="00A120A9" w:rsidTr="00AE0C0D">
        <w:trPr>
          <w:trHeight w:val="300"/>
        </w:trPr>
        <w:tc>
          <w:tcPr>
            <w:tcW w:w="416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HDL, mmol/L (mean±sd)</w:t>
            </w:r>
          </w:p>
        </w:tc>
        <w:tc>
          <w:tcPr>
            <w:tcW w:w="1464"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1.3±0.3</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1.3 ± 0.4</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1.3±0.3</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0.16</w:t>
            </w:r>
          </w:p>
        </w:tc>
      </w:tr>
      <w:tr w:rsidR="00A120A9" w:rsidRPr="00A120A9" w:rsidTr="00AE0C0D">
        <w:trPr>
          <w:trHeight w:val="300"/>
        </w:trPr>
        <w:tc>
          <w:tcPr>
            <w:tcW w:w="416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LDL, mmol/L (mean±sd)</w:t>
            </w:r>
          </w:p>
        </w:tc>
        <w:tc>
          <w:tcPr>
            <w:tcW w:w="1464"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3.0±0.9</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3.0 ± 0.9</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3.0±0.8</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0.17</w:t>
            </w:r>
          </w:p>
        </w:tc>
      </w:tr>
      <w:tr w:rsidR="00A120A9" w:rsidRPr="00A120A9" w:rsidTr="00AE0C0D">
        <w:trPr>
          <w:trHeight w:val="300"/>
        </w:trPr>
        <w:tc>
          <w:tcPr>
            <w:tcW w:w="416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Amlodipine treatment group (n,%)</w:t>
            </w:r>
          </w:p>
        </w:tc>
        <w:tc>
          <w:tcPr>
            <w:tcW w:w="1464"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407(50%)</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215(52%)</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192(49%)</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val="en-AU" w:eastAsia="en-GB"/>
              </w:rPr>
              <w:t>0.44</w:t>
            </w:r>
          </w:p>
        </w:tc>
      </w:tr>
      <w:tr w:rsidR="00A120A9" w:rsidRPr="00A120A9" w:rsidTr="00AE0C0D">
        <w:trPr>
          <w:trHeight w:val="510"/>
        </w:trPr>
        <w:tc>
          <w:tcPr>
            <w:tcW w:w="4162" w:type="dxa"/>
            <w:tcBorders>
              <w:top w:val="single" w:sz="4" w:space="0" w:color="auto"/>
              <w:left w:val="nil"/>
              <w:bottom w:val="single" w:sz="4"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rPr>
                <w:rFonts w:ascii="Calibri" w:hAnsi="Calibri" w:cs="Times New Roman"/>
                <w:b/>
                <w:bCs/>
                <w:color w:val="auto"/>
                <w:sz w:val="20"/>
                <w:szCs w:val="20"/>
                <w:lang w:eastAsia="en-GB"/>
              </w:rPr>
            </w:pPr>
            <w:r w:rsidRPr="00A120A9">
              <w:rPr>
                <w:rFonts w:ascii="Calibri" w:hAnsi="Calibri" w:cs="Times New Roman"/>
                <w:b/>
                <w:bCs/>
                <w:color w:val="auto"/>
                <w:sz w:val="20"/>
                <w:szCs w:val="20"/>
                <w:lang w:val="en-IE" w:eastAsia="en-GB"/>
              </w:rPr>
              <w:t>Baseline characteristics of the survival cohort (n=6,199)</w:t>
            </w:r>
          </w:p>
        </w:tc>
        <w:tc>
          <w:tcPr>
            <w:tcW w:w="1464" w:type="dxa"/>
            <w:tcBorders>
              <w:top w:val="single" w:sz="4" w:space="0" w:color="auto"/>
              <w:left w:val="nil"/>
              <w:bottom w:val="single" w:sz="4"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color w:val="auto"/>
                <w:sz w:val="20"/>
                <w:szCs w:val="20"/>
                <w:lang w:eastAsia="en-GB"/>
              </w:rPr>
            </w:pPr>
            <w:r w:rsidRPr="00A120A9">
              <w:rPr>
                <w:rFonts w:ascii="Calibri" w:hAnsi="Calibri" w:cs="Times New Roman"/>
                <w:b/>
                <w:bCs/>
                <w:color w:val="auto"/>
                <w:sz w:val="20"/>
                <w:szCs w:val="20"/>
                <w:lang w:eastAsia="en-GB"/>
              </w:rPr>
              <w:t>All subjects                     (n=6,199) </w:t>
            </w:r>
          </w:p>
        </w:tc>
        <w:tc>
          <w:tcPr>
            <w:tcW w:w="1277" w:type="dxa"/>
            <w:tcBorders>
              <w:top w:val="single" w:sz="4" w:space="0" w:color="auto"/>
              <w:left w:val="nil"/>
              <w:bottom w:val="single" w:sz="4"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color w:val="auto"/>
                <w:sz w:val="20"/>
                <w:szCs w:val="20"/>
                <w:lang w:eastAsia="en-GB"/>
              </w:rPr>
            </w:pPr>
            <w:r w:rsidRPr="00A120A9">
              <w:rPr>
                <w:rFonts w:ascii="Calibri" w:hAnsi="Calibri" w:cs="Times New Roman"/>
                <w:b/>
                <w:bCs/>
                <w:color w:val="auto"/>
                <w:sz w:val="20"/>
                <w:szCs w:val="20"/>
                <w:lang w:eastAsia="en-GB"/>
              </w:rPr>
              <w:t>Not on aspirin (n=4,355)</w:t>
            </w:r>
          </w:p>
        </w:tc>
        <w:tc>
          <w:tcPr>
            <w:tcW w:w="1277" w:type="dxa"/>
            <w:tcBorders>
              <w:top w:val="single" w:sz="4" w:space="0" w:color="auto"/>
              <w:left w:val="nil"/>
              <w:bottom w:val="single" w:sz="4"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color w:val="auto"/>
                <w:sz w:val="20"/>
                <w:szCs w:val="20"/>
                <w:lang w:eastAsia="en-GB"/>
              </w:rPr>
            </w:pPr>
            <w:r w:rsidRPr="00A120A9">
              <w:rPr>
                <w:rFonts w:ascii="Calibri" w:hAnsi="Calibri" w:cs="Times New Roman"/>
                <w:b/>
                <w:bCs/>
                <w:color w:val="auto"/>
                <w:sz w:val="20"/>
                <w:szCs w:val="20"/>
                <w:lang w:eastAsia="en-GB"/>
              </w:rPr>
              <w:t>On aspirin (n=1,844)</w:t>
            </w:r>
          </w:p>
        </w:tc>
        <w:tc>
          <w:tcPr>
            <w:tcW w:w="960" w:type="dxa"/>
            <w:tcBorders>
              <w:top w:val="single" w:sz="4" w:space="0" w:color="auto"/>
              <w:left w:val="nil"/>
              <w:bottom w:val="single" w:sz="4"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i/>
                <w:iCs/>
                <w:color w:val="auto"/>
                <w:sz w:val="20"/>
                <w:szCs w:val="20"/>
                <w:lang w:eastAsia="en-GB"/>
              </w:rPr>
            </w:pPr>
            <w:r w:rsidRPr="00A120A9">
              <w:rPr>
                <w:rFonts w:ascii="Calibri" w:hAnsi="Calibri" w:cs="Times New Roman"/>
                <w:b/>
                <w:bCs/>
                <w:i/>
                <w:iCs/>
                <w:color w:val="auto"/>
                <w:sz w:val="20"/>
                <w:szCs w:val="20"/>
                <w:lang w:eastAsia="en-GB"/>
              </w:rPr>
              <w:t>P</w:t>
            </w:r>
          </w:p>
        </w:tc>
      </w:tr>
      <w:tr w:rsidR="00A120A9" w:rsidRPr="00A120A9" w:rsidTr="00AE0C0D">
        <w:trPr>
          <w:trHeight w:val="300"/>
        </w:trPr>
        <w:tc>
          <w:tcPr>
            <w:tcW w:w="416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Age, years (mean±sd)</w:t>
            </w:r>
          </w:p>
        </w:tc>
        <w:tc>
          <w:tcPr>
            <w:tcW w:w="1464"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61.8±8.4</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61.2±8.4</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63.0±8.1</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2.40E-15</w:t>
            </w:r>
          </w:p>
        </w:tc>
      </w:tr>
      <w:tr w:rsidR="00A120A9" w:rsidRPr="00A120A9" w:rsidTr="00AE0C0D">
        <w:trPr>
          <w:trHeight w:val="300"/>
        </w:trPr>
        <w:tc>
          <w:tcPr>
            <w:tcW w:w="416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Male (n,%)</w:t>
            </w:r>
          </w:p>
        </w:tc>
        <w:tc>
          <w:tcPr>
            <w:tcW w:w="1464"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4,996(80.6)</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3,470(79.7)</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1,526(82.7)</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5.70E-03</w:t>
            </w:r>
          </w:p>
        </w:tc>
      </w:tr>
      <w:tr w:rsidR="00A120A9" w:rsidRPr="00A120A9" w:rsidTr="00AE0C0D">
        <w:trPr>
          <w:trHeight w:val="300"/>
        </w:trPr>
        <w:tc>
          <w:tcPr>
            <w:tcW w:w="416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Current smoker (n,%)</w:t>
            </w:r>
          </w:p>
        </w:tc>
        <w:tc>
          <w:tcPr>
            <w:tcW w:w="1464"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2,007(32.4)</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1,525(35.0)</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482(26.1)</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1.00E-11</w:t>
            </w:r>
          </w:p>
        </w:tc>
      </w:tr>
      <w:tr w:rsidR="00A120A9" w:rsidRPr="00A120A9" w:rsidTr="00AE0C0D">
        <w:trPr>
          <w:trHeight w:val="300"/>
        </w:trPr>
        <w:tc>
          <w:tcPr>
            <w:tcW w:w="416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Diabetes, type 2 (n,%)</w:t>
            </w:r>
          </w:p>
        </w:tc>
        <w:tc>
          <w:tcPr>
            <w:tcW w:w="1464"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1,404(22.6)</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894(20.5)</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510(27.6)</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1.10E-09</w:t>
            </w:r>
          </w:p>
        </w:tc>
      </w:tr>
      <w:tr w:rsidR="00A120A9" w:rsidRPr="00A120A9" w:rsidTr="00AE0C0D">
        <w:trPr>
          <w:trHeight w:val="300"/>
        </w:trPr>
        <w:tc>
          <w:tcPr>
            <w:tcW w:w="416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SBP, mmHg (mean±sd)</w:t>
            </w:r>
          </w:p>
        </w:tc>
        <w:tc>
          <w:tcPr>
            <w:tcW w:w="1464"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152.7±14.7</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153.3±14.9</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151.2±14.2</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5.40E-07</w:t>
            </w:r>
          </w:p>
        </w:tc>
      </w:tr>
      <w:tr w:rsidR="00A120A9" w:rsidRPr="00A120A9" w:rsidTr="00AE0C0D">
        <w:trPr>
          <w:trHeight w:val="300"/>
        </w:trPr>
        <w:tc>
          <w:tcPr>
            <w:tcW w:w="416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BMI, kg/m</w:t>
            </w:r>
            <w:r w:rsidRPr="00A120A9">
              <w:rPr>
                <w:rFonts w:ascii="Calibri" w:hAnsi="Calibri" w:cs="Times New Roman"/>
                <w:color w:val="auto"/>
                <w:sz w:val="20"/>
                <w:szCs w:val="20"/>
                <w:vertAlign w:val="superscript"/>
                <w:lang w:eastAsia="en-GB"/>
              </w:rPr>
              <w:t>2</w:t>
            </w:r>
            <w:r w:rsidRPr="00A120A9">
              <w:rPr>
                <w:rFonts w:ascii="Calibri" w:hAnsi="Calibri" w:cs="Times New Roman"/>
                <w:color w:val="auto"/>
                <w:sz w:val="20"/>
                <w:szCs w:val="20"/>
                <w:lang w:eastAsia="en-GB"/>
              </w:rPr>
              <w:t xml:space="preserve"> (mean±sd)</w:t>
            </w:r>
          </w:p>
        </w:tc>
        <w:tc>
          <w:tcPr>
            <w:tcW w:w="1464"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28.9±4.6</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28.8±4.6</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29.2±4.6</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9.90E-04</w:t>
            </w:r>
          </w:p>
        </w:tc>
      </w:tr>
      <w:tr w:rsidR="00A120A9" w:rsidRPr="00A120A9" w:rsidTr="00AE0C0D">
        <w:trPr>
          <w:trHeight w:val="300"/>
        </w:trPr>
        <w:tc>
          <w:tcPr>
            <w:tcW w:w="416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HDL, mmol/L (mean±sd)</w:t>
            </w:r>
          </w:p>
        </w:tc>
        <w:tc>
          <w:tcPr>
            <w:tcW w:w="1464"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1.28±0.34</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1.30±0.34</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1.25±0.32</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1.60E-06</w:t>
            </w:r>
          </w:p>
        </w:tc>
      </w:tr>
      <w:tr w:rsidR="00A120A9" w:rsidRPr="00A120A9" w:rsidTr="00AE0C0D">
        <w:trPr>
          <w:trHeight w:val="300"/>
        </w:trPr>
        <w:tc>
          <w:tcPr>
            <w:tcW w:w="416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LDL, mmol/L (mean±sd)</w:t>
            </w:r>
          </w:p>
        </w:tc>
        <w:tc>
          <w:tcPr>
            <w:tcW w:w="1464"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3.79±0.91</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3.78±0.89</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3.81±0.95</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0.4</w:t>
            </w:r>
          </w:p>
        </w:tc>
      </w:tr>
      <w:tr w:rsidR="00A120A9" w:rsidRPr="00A120A9" w:rsidTr="00AE0C0D">
        <w:trPr>
          <w:trHeight w:val="300"/>
        </w:trPr>
        <w:tc>
          <w:tcPr>
            <w:tcW w:w="416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UK/Ireland cohort (n,%)</w:t>
            </w:r>
          </w:p>
        </w:tc>
        <w:tc>
          <w:tcPr>
            <w:tcW w:w="1464"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2,830(45.6)</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1,534(35.2)</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1,296(70.3)</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&lt;2.2E-16</w:t>
            </w:r>
          </w:p>
        </w:tc>
      </w:tr>
      <w:tr w:rsidR="00A120A9" w:rsidRPr="00A120A9" w:rsidTr="00AE0C0D">
        <w:trPr>
          <w:trHeight w:val="300"/>
        </w:trPr>
        <w:tc>
          <w:tcPr>
            <w:tcW w:w="416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Amlodipine treatment group (n,%)</w:t>
            </w:r>
          </w:p>
        </w:tc>
        <w:tc>
          <w:tcPr>
            <w:tcW w:w="1464"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3,153(50.9)</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2,231(51.2)</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922(50.0)</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0.39</w:t>
            </w:r>
          </w:p>
        </w:tc>
      </w:tr>
      <w:tr w:rsidR="00A120A9" w:rsidRPr="00A120A9" w:rsidTr="00AE0C0D">
        <w:trPr>
          <w:trHeight w:val="300"/>
        </w:trPr>
        <w:tc>
          <w:tcPr>
            <w:tcW w:w="416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lastRenderedPageBreak/>
              <w:t>Follow-up, years (median, IQR)</w:t>
            </w:r>
          </w:p>
        </w:tc>
        <w:tc>
          <w:tcPr>
            <w:tcW w:w="1464"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5.6(5.1-6.0)</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5.7(5.2-6.1)</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5.5(5.0-6.0)</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6.60E-15</w:t>
            </w:r>
          </w:p>
        </w:tc>
      </w:tr>
      <w:tr w:rsidR="00A120A9" w:rsidRPr="00A120A9" w:rsidTr="00AE0C0D">
        <w:trPr>
          <w:trHeight w:val="300"/>
        </w:trPr>
        <w:tc>
          <w:tcPr>
            <w:tcW w:w="416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n events (composite endpoint)</w:t>
            </w:r>
          </w:p>
        </w:tc>
        <w:tc>
          <w:tcPr>
            <w:tcW w:w="1464"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477(7.7)</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189(4.3)</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288(15.6)</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&lt;2.2E-16</w:t>
            </w:r>
          </w:p>
        </w:tc>
      </w:tr>
      <w:tr w:rsidR="00A120A9" w:rsidRPr="00A120A9" w:rsidTr="00AE0C0D">
        <w:trPr>
          <w:trHeight w:val="300"/>
        </w:trPr>
        <w:tc>
          <w:tcPr>
            <w:tcW w:w="416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n events per 100 person-years (95%CI)</w:t>
            </w:r>
          </w:p>
        </w:tc>
        <w:tc>
          <w:tcPr>
            <w:tcW w:w="1464"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1.40(1.28-1.53)</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0.77(0.67-0.90)</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2.98(2.64-3.34)</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&lt;2.2E-16</w:t>
            </w:r>
          </w:p>
        </w:tc>
      </w:tr>
      <w:tr w:rsidR="00A120A9" w:rsidRPr="00A120A9" w:rsidTr="00AE0C0D">
        <w:trPr>
          <w:trHeight w:val="300"/>
        </w:trPr>
        <w:tc>
          <w:tcPr>
            <w:tcW w:w="416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 xml:space="preserve">   -Coronary revascularisation procedure (n)</w:t>
            </w:r>
          </w:p>
        </w:tc>
        <w:tc>
          <w:tcPr>
            <w:tcW w:w="1464"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149</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55</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94</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&lt;2.2E-16</w:t>
            </w:r>
          </w:p>
        </w:tc>
      </w:tr>
      <w:tr w:rsidR="00A120A9" w:rsidRPr="00A120A9" w:rsidTr="00AE0C0D">
        <w:trPr>
          <w:trHeight w:val="300"/>
        </w:trPr>
        <w:tc>
          <w:tcPr>
            <w:tcW w:w="416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 xml:space="preserve">   -Non-fatal MI (incl. silent) + fatal CHD (n)</w:t>
            </w:r>
          </w:p>
        </w:tc>
        <w:tc>
          <w:tcPr>
            <w:tcW w:w="1464"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271</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108</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163</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&lt;2.2E-16</w:t>
            </w:r>
          </w:p>
        </w:tc>
      </w:tr>
      <w:tr w:rsidR="00A120A9" w:rsidRPr="00A120A9" w:rsidTr="00AE0C0D">
        <w:trPr>
          <w:trHeight w:val="300"/>
        </w:trPr>
        <w:tc>
          <w:tcPr>
            <w:tcW w:w="416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 xml:space="preserve">   -Ischemic stroke (n)</w:t>
            </w:r>
          </w:p>
        </w:tc>
        <w:tc>
          <w:tcPr>
            <w:tcW w:w="1464"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44</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15</w:t>
            </w:r>
          </w:p>
        </w:tc>
        <w:tc>
          <w:tcPr>
            <w:tcW w:w="127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29</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9.20E-08</w:t>
            </w:r>
          </w:p>
        </w:tc>
      </w:tr>
      <w:tr w:rsidR="00A120A9" w:rsidRPr="00A120A9" w:rsidTr="00AE0C0D">
        <w:trPr>
          <w:trHeight w:val="300"/>
        </w:trPr>
        <w:tc>
          <w:tcPr>
            <w:tcW w:w="4162" w:type="dxa"/>
            <w:tcBorders>
              <w:top w:val="nil"/>
              <w:left w:val="nil"/>
              <w:bottom w:val="single" w:sz="4" w:space="0" w:color="auto"/>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 xml:space="preserve">   -Other (n)</w:t>
            </w:r>
          </w:p>
        </w:tc>
        <w:tc>
          <w:tcPr>
            <w:tcW w:w="1464" w:type="dxa"/>
            <w:tcBorders>
              <w:top w:val="nil"/>
              <w:left w:val="nil"/>
              <w:bottom w:val="single" w:sz="4" w:space="0" w:color="auto"/>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13</w:t>
            </w:r>
          </w:p>
        </w:tc>
        <w:tc>
          <w:tcPr>
            <w:tcW w:w="1277" w:type="dxa"/>
            <w:tcBorders>
              <w:top w:val="nil"/>
              <w:left w:val="nil"/>
              <w:bottom w:val="single" w:sz="4" w:space="0" w:color="auto"/>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11</w:t>
            </w:r>
          </w:p>
        </w:tc>
        <w:tc>
          <w:tcPr>
            <w:tcW w:w="1277" w:type="dxa"/>
            <w:tcBorders>
              <w:top w:val="nil"/>
              <w:left w:val="nil"/>
              <w:bottom w:val="single" w:sz="4" w:space="0" w:color="auto"/>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2</w:t>
            </w:r>
          </w:p>
        </w:tc>
        <w:tc>
          <w:tcPr>
            <w:tcW w:w="960" w:type="dxa"/>
            <w:tcBorders>
              <w:top w:val="nil"/>
              <w:left w:val="nil"/>
              <w:bottom w:val="single" w:sz="4" w:space="0" w:color="auto"/>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0.46</w:t>
            </w:r>
          </w:p>
        </w:tc>
      </w:tr>
    </w:tbl>
    <w:p w:rsidR="001E41CE" w:rsidRPr="00A120A9" w:rsidRDefault="001E41CE" w:rsidP="00A63171">
      <w:pPr>
        <w:spacing w:line="480" w:lineRule="auto"/>
        <w:rPr>
          <w:rFonts w:asciiTheme="minorHAnsi" w:hAnsiTheme="minorHAnsi" w:cs="Times New Roman"/>
          <w:color w:val="auto"/>
          <w:sz w:val="22"/>
          <w:szCs w:val="22"/>
        </w:rPr>
      </w:pPr>
      <w:r w:rsidRPr="00A120A9">
        <w:rPr>
          <w:rFonts w:asciiTheme="minorHAnsi" w:hAnsiTheme="minorHAnsi" w:cs="Times New Roman"/>
          <w:color w:val="auto"/>
          <w:sz w:val="22"/>
          <w:szCs w:val="22"/>
        </w:rPr>
        <w:t xml:space="preserve">Amlodipine treatment group: membership of amlodipine (vs atenolol) regime. SBP: Systolic blood pressure; BMI: Body mass index; HDL: High density lipoprotein; LDL: Low-density lipoprotein. UK/Ireland: UK/Ireland (vs Scandinavian) centres. Composite endpoint: total ischaemic cardiovascular events/procedures as described in methods. </w:t>
      </w:r>
      <w:r w:rsidRPr="00A120A9">
        <w:rPr>
          <w:rFonts w:asciiTheme="minorHAnsi" w:eastAsia="Calibri" w:hAnsiTheme="minorHAnsi" w:cs="Times New Roman"/>
          <w:color w:val="auto"/>
          <w:sz w:val="22"/>
          <w:szCs w:val="22"/>
          <w:lang w:val="en-AU"/>
        </w:rPr>
        <w:t>MI: myocardial infarction</w:t>
      </w:r>
      <w:r w:rsidRPr="00A120A9">
        <w:rPr>
          <w:rFonts w:asciiTheme="minorHAnsi" w:hAnsiTheme="minorHAnsi" w:cs="Times New Roman"/>
          <w:color w:val="auto"/>
          <w:sz w:val="22"/>
          <w:szCs w:val="22"/>
        </w:rPr>
        <w:t>. CHD: coronary heart disease. IQR: Inter quartile range; SD: Standard deviation; 95% CIs for events were calculated using an exact Poisson test</w:t>
      </w:r>
      <w:r w:rsidRPr="00A120A9">
        <w:rPr>
          <w:rFonts w:asciiTheme="minorHAnsi" w:eastAsia="Calibri" w:hAnsiTheme="minorHAnsi" w:cs="Times New Roman"/>
          <w:color w:val="auto"/>
          <w:sz w:val="22"/>
          <w:szCs w:val="22"/>
          <w:lang w:val="en-AU"/>
        </w:rPr>
        <w:t>.</w:t>
      </w:r>
      <w:r w:rsidRPr="00A120A9">
        <w:rPr>
          <w:rFonts w:asciiTheme="minorHAnsi" w:hAnsiTheme="minorHAnsi" w:cs="Times New Roman"/>
          <w:color w:val="auto"/>
          <w:sz w:val="22"/>
          <w:szCs w:val="22"/>
        </w:rPr>
        <w:t xml:space="preserve">  </w:t>
      </w:r>
      <w:r w:rsidRPr="00A120A9">
        <w:rPr>
          <w:rFonts w:asciiTheme="minorHAnsi" w:hAnsiTheme="minorHAnsi" w:cs="Times New Roman"/>
          <w:i/>
          <w:color w:val="auto"/>
          <w:sz w:val="22"/>
          <w:szCs w:val="22"/>
        </w:rPr>
        <w:t>P</w:t>
      </w:r>
      <w:r w:rsidRPr="00A120A9">
        <w:rPr>
          <w:rFonts w:asciiTheme="minorHAnsi" w:hAnsiTheme="minorHAnsi" w:cs="Times New Roman"/>
          <w:color w:val="auto"/>
          <w:sz w:val="22"/>
          <w:szCs w:val="22"/>
        </w:rPr>
        <w:t>:  comparison of on-aspirin and not-on-aspirin groups (Student's t-test or Mann-Whitney U test for normally and non-normally distributed variables respectively, or Pearson's chi-squared test of proportions).</w:t>
      </w: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sectPr w:rsidR="001E41CE" w:rsidRPr="00A120A9" w:rsidSect="007540F7">
          <w:headerReference w:type="default" r:id="rId12"/>
          <w:pgSz w:w="11906" w:h="16838"/>
          <w:pgMar w:top="1440" w:right="1440" w:bottom="1440" w:left="1440" w:header="708" w:footer="708" w:gutter="0"/>
          <w:cols w:space="708"/>
          <w:docGrid w:linePitch="360"/>
        </w:sectPr>
      </w:pPr>
    </w:p>
    <w:p w:rsidR="001E41CE" w:rsidRPr="00A120A9" w:rsidRDefault="001E41CE" w:rsidP="00A63171">
      <w:pPr>
        <w:pStyle w:val="Caption"/>
        <w:spacing w:line="480" w:lineRule="auto"/>
        <w:rPr>
          <w:rFonts w:asciiTheme="minorHAnsi" w:hAnsiTheme="minorHAnsi"/>
          <w:color w:val="auto"/>
          <w:sz w:val="22"/>
          <w:szCs w:val="22"/>
        </w:rPr>
      </w:pPr>
      <w:bookmarkStart w:id="5" w:name="_Ref305498810"/>
      <w:bookmarkStart w:id="6" w:name="_Ref298160497"/>
      <w:r w:rsidRPr="00A120A9">
        <w:rPr>
          <w:rFonts w:asciiTheme="minorHAnsi" w:hAnsiTheme="minorHAnsi"/>
          <w:color w:val="auto"/>
          <w:sz w:val="22"/>
          <w:szCs w:val="22"/>
        </w:rPr>
        <w:lastRenderedPageBreak/>
        <w:t xml:space="preserve">Table 2. </w:t>
      </w:r>
      <w:r w:rsidRPr="00A120A9">
        <w:rPr>
          <w:rFonts w:asciiTheme="minorHAnsi" w:hAnsiTheme="minorHAnsi"/>
          <w:i/>
          <w:color w:val="auto"/>
          <w:sz w:val="22"/>
          <w:szCs w:val="22"/>
        </w:rPr>
        <w:t>PPARGC1B</w:t>
      </w:r>
      <w:r w:rsidRPr="00A120A9">
        <w:rPr>
          <w:rFonts w:asciiTheme="minorHAnsi" w:hAnsiTheme="minorHAnsi"/>
          <w:color w:val="auto"/>
          <w:sz w:val="22"/>
          <w:szCs w:val="22"/>
        </w:rPr>
        <w:t xml:space="preserve"> and </w:t>
      </w:r>
      <w:r w:rsidRPr="00A120A9">
        <w:rPr>
          <w:rFonts w:asciiTheme="minorHAnsi" w:hAnsiTheme="minorHAnsi"/>
          <w:i/>
          <w:color w:val="auto"/>
          <w:sz w:val="22"/>
          <w:szCs w:val="22"/>
        </w:rPr>
        <w:t>CNTN4</w:t>
      </w:r>
      <w:r w:rsidRPr="00A120A9">
        <w:rPr>
          <w:rFonts w:asciiTheme="minorHAnsi" w:hAnsiTheme="minorHAnsi"/>
          <w:color w:val="auto"/>
          <w:sz w:val="22"/>
          <w:szCs w:val="22"/>
        </w:rPr>
        <w:t xml:space="preserve"> SNPs independently associated with 11-dehydro TxB</w:t>
      </w:r>
      <w:r w:rsidRPr="00A120A9">
        <w:rPr>
          <w:rFonts w:asciiTheme="minorHAnsi" w:hAnsiTheme="minorHAnsi"/>
          <w:color w:val="auto"/>
          <w:sz w:val="22"/>
          <w:szCs w:val="22"/>
          <w:vertAlign w:val="subscript"/>
        </w:rPr>
        <w:t>2</w:t>
      </w:r>
      <w:r w:rsidRPr="00A120A9">
        <w:rPr>
          <w:rFonts w:asciiTheme="minorHAnsi" w:hAnsiTheme="minorHAnsi"/>
          <w:color w:val="auto"/>
          <w:sz w:val="22"/>
          <w:szCs w:val="22"/>
        </w:rPr>
        <w:t xml:space="preserve">.  </w:t>
      </w:r>
    </w:p>
    <w:tbl>
      <w:tblPr>
        <w:tblW w:w="12320" w:type="dxa"/>
        <w:tblInd w:w="93" w:type="dxa"/>
        <w:tblLook w:val="04A0" w:firstRow="1" w:lastRow="0" w:firstColumn="1" w:lastColumn="0" w:noHBand="0" w:noVBand="1"/>
      </w:tblPr>
      <w:tblGrid>
        <w:gridCol w:w="501"/>
        <w:gridCol w:w="1180"/>
        <w:gridCol w:w="893"/>
        <w:gridCol w:w="680"/>
        <w:gridCol w:w="820"/>
        <w:gridCol w:w="620"/>
        <w:gridCol w:w="680"/>
        <w:gridCol w:w="920"/>
        <w:gridCol w:w="960"/>
        <w:gridCol w:w="960"/>
        <w:gridCol w:w="1060"/>
        <w:gridCol w:w="1060"/>
        <w:gridCol w:w="1060"/>
        <w:gridCol w:w="1060"/>
      </w:tblGrid>
      <w:tr w:rsidR="00A120A9" w:rsidRPr="00A120A9" w:rsidTr="00616530">
        <w:trPr>
          <w:trHeight w:val="510"/>
        </w:trPr>
        <w:tc>
          <w:tcPr>
            <w:tcW w:w="1620" w:type="dxa"/>
            <w:gridSpan w:val="2"/>
            <w:tcBorders>
              <w:top w:val="single" w:sz="8" w:space="0" w:color="auto"/>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b/>
                <w:bCs/>
                <w:i/>
                <w:iCs/>
                <w:color w:val="auto"/>
                <w:sz w:val="22"/>
                <w:szCs w:val="22"/>
                <w:lang w:eastAsia="en-GB"/>
              </w:rPr>
            </w:pPr>
            <w:r w:rsidRPr="00A120A9">
              <w:rPr>
                <w:rFonts w:ascii="Calibri" w:hAnsi="Calibri" w:cs="Times New Roman"/>
                <w:b/>
                <w:bCs/>
                <w:i/>
                <w:iCs/>
                <w:color w:val="auto"/>
                <w:sz w:val="22"/>
                <w:szCs w:val="22"/>
                <w:lang w:eastAsia="en-GB"/>
              </w:rPr>
              <w:t>PPARGC1B</w:t>
            </w:r>
            <w:r w:rsidRPr="00A120A9">
              <w:rPr>
                <w:rFonts w:ascii="Calibri" w:hAnsi="Calibri" w:cs="Times New Roman"/>
                <w:b/>
                <w:bCs/>
                <w:color w:val="auto"/>
                <w:sz w:val="22"/>
                <w:szCs w:val="22"/>
                <w:lang w:eastAsia="en-GB"/>
              </w:rPr>
              <w:t xml:space="preserve"> </w:t>
            </w:r>
          </w:p>
        </w:tc>
        <w:tc>
          <w:tcPr>
            <w:tcW w:w="820" w:type="dxa"/>
            <w:tcBorders>
              <w:top w:val="single" w:sz="8" w:space="0" w:color="auto"/>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 </w:t>
            </w:r>
          </w:p>
        </w:tc>
        <w:tc>
          <w:tcPr>
            <w:tcW w:w="680" w:type="dxa"/>
            <w:tcBorders>
              <w:top w:val="single" w:sz="8" w:space="0" w:color="auto"/>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 </w:t>
            </w:r>
          </w:p>
        </w:tc>
        <w:tc>
          <w:tcPr>
            <w:tcW w:w="820" w:type="dxa"/>
            <w:tcBorders>
              <w:top w:val="single" w:sz="8" w:space="0" w:color="auto"/>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 </w:t>
            </w:r>
          </w:p>
        </w:tc>
        <w:tc>
          <w:tcPr>
            <w:tcW w:w="620" w:type="dxa"/>
            <w:tcBorders>
              <w:top w:val="single" w:sz="8" w:space="0" w:color="auto"/>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 </w:t>
            </w:r>
          </w:p>
        </w:tc>
        <w:tc>
          <w:tcPr>
            <w:tcW w:w="680" w:type="dxa"/>
            <w:tcBorders>
              <w:top w:val="single" w:sz="8" w:space="0" w:color="auto"/>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 </w:t>
            </w:r>
          </w:p>
        </w:tc>
        <w:tc>
          <w:tcPr>
            <w:tcW w:w="2840" w:type="dxa"/>
            <w:gridSpan w:val="3"/>
            <w:tcBorders>
              <w:top w:val="single" w:sz="8" w:space="0" w:color="auto"/>
              <w:left w:val="nil"/>
              <w:bottom w:val="single" w:sz="8"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color w:val="auto"/>
                <w:sz w:val="20"/>
                <w:szCs w:val="20"/>
                <w:lang w:eastAsia="en-GB"/>
              </w:rPr>
            </w:pPr>
            <w:r w:rsidRPr="00A120A9">
              <w:rPr>
                <w:rFonts w:ascii="Calibri" w:hAnsi="Calibri" w:cs="Times New Roman"/>
                <w:b/>
                <w:bCs/>
                <w:color w:val="auto"/>
                <w:sz w:val="20"/>
                <w:szCs w:val="20"/>
                <w:lang w:eastAsia="en-GB"/>
              </w:rPr>
              <w:t>all subjects (n=544)</w:t>
            </w:r>
          </w:p>
        </w:tc>
        <w:tc>
          <w:tcPr>
            <w:tcW w:w="2120" w:type="dxa"/>
            <w:gridSpan w:val="2"/>
            <w:tcBorders>
              <w:top w:val="single" w:sz="8" w:space="0" w:color="auto"/>
              <w:left w:val="nil"/>
              <w:bottom w:val="single" w:sz="8"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color w:val="auto"/>
                <w:sz w:val="20"/>
                <w:szCs w:val="20"/>
                <w:lang w:eastAsia="en-GB"/>
              </w:rPr>
            </w:pPr>
            <w:r w:rsidRPr="00A120A9">
              <w:rPr>
                <w:rFonts w:ascii="Calibri" w:hAnsi="Calibri" w:cs="Times New Roman"/>
                <w:b/>
                <w:bCs/>
                <w:color w:val="auto"/>
                <w:sz w:val="20"/>
                <w:szCs w:val="20"/>
                <w:lang w:eastAsia="en-GB"/>
              </w:rPr>
              <w:t>subjects not on aspirin (n=276)</w:t>
            </w:r>
          </w:p>
        </w:tc>
        <w:tc>
          <w:tcPr>
            <w:tcW w:w="2120" w:type="dxa"/>
            <w:gridSpan w:val="2"/>
            <w:tcBorders>
              <w:top w:val="single" w:sz="8" w:space="0" w:color="auto"/>
              <w:left w:val="nil"/>
              <w:bottom w:val="single" w:sz="8"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color w:val="auto"/>
                <w:sz w:val="20"/>
                <w:szCs w:val="20"/>
                <w:lang w:eastAsia="en-GB"/>
              </w:rPr>
            </w:pPr>
            <w:r w:rsidRPr="00A120A9">
              <w:rPr>
                <w:rFonts w:ascii="Calibri" w:hAnsi="Calibri" w:cs="Times New Roman"/>
                <w:b/>
                <w:bCs/>
                <w:color w:val="auto"/>
                <w:sz w:val="20"/>
                <w:szCs w:val="20"/>
                <w:lang w:eastAsia="en-GB"/>
              </w:rPr>
              <w:t>subjects on aspirin (n=268)</w:t>
            </w:r>
          </w:p>
        </w:tc>
      </w:tr>
      <w:tr w:rsidR="00A120A9" w:rsidRPr="00A120A9" w:rsidTr="00616530">
        <w:trPr>
          <w:trHeight w:val="315"/>
        </w:trPr>
        <w:tc>
          <w:tcPr>
            <w:tcW w:w="440" w:type="dxa"/>
            <w:tcBorders>
              <w:top w:val="nil"/>
              <w:left w:val="nil"/>
              <w:bottom w:val="single" w:sz="8"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rPr>
                <w:rFonts w:ascii="Calibri" w:hAnsi="Calibri" w:cs="Times New Roman"/>
                <w:b/>
                <w:bCs/>
                <w:color w:val="auto"/>
                <w:sz w:val="20"/>
                <w:szCs w:val="20"/>
                <w:lang w:eastAsia="en-GB"/>
              </w:rPr>
            </w:pPr>
            <w:r w:rsidRPr="00A120A9">
              <w:rPr>
                <w:rFonts w:ascii="Calibri" w:hAnsi="Calibri" w:cs="Times New Roman"/>
                <w:b/>
                <w:bCs/>
                <w:color w:val="auto"/>
                <w:sz w:val="20"/>
                <w:szCs w:val="20"/>
                <w:lang w:eastAsia="en-GB"/>
              </w:rPr>
              <w:t>Chr</w:t>
            </w:r>
          </w:p>
        </w:tc>
        <w:tc>
          <w:tcPr>
            <w:tcW w:w="1180" w:type="dxa"/>
            <w:tcBorders>
              <w:top w:val="nil"/>
              <w:left w:val="nil"/>
              <w:bottom w:val="single" w:sz="8"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color w:val="auto"/>
                <w:sz w:val="20"/>
                <w:szCs w:val="20"/>
                <w:lang w:eastAsia="en-GB"/>
              </w:rPr>
            </w:pPr>
            <w:r w:rsidRPr="00A120A9">
              <w:rPr>
                <w:rFonts w:ascii="Calibri" w:hAnsi="Calibri" w:cs="Times New Roman"/>
                <w:b/>
                <w:bCs/>
                <w:color w:val="auto"/>
                <w:sz w:val="20"/>
                <w:szCs w:val="20"/>
                <w:lang w:eastAsia="en-GB"/>
              </w:rPr>
              <w:t>SNP</w:t>
            </w:r>
          </w:p>
        </w:tc>
        <w:tc>
          <w:tcPr>
            <w:tcW w:w="820" w:type="dxa"/>
            <w:tcBorders>
              <w:top w:val="nil"/>
              <w:left w:val="nil"/>
              <w:bottom w:val="single" w:sz="8"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color w:val="auto"/>
                <w:sz w:val="20"/>
                <w:szCs w:val="20"/>
                <w:lang w:eastAsia="en-GB"/>
              </w:rPr>
            </w:pPr>
            <w:r w:rsidRPr="00A120A9">
              <w:rPr>
                <w:rFonts w:ascii="Calibri" w:hAnsi="Calibri" w:cs="Times New Roman"/>
                <w:b/>
                <w:bCs/>
                <w:color w:val="auto"/>
                <w:sz w:val="20"/>
                <w:szCs w:val="20"/>
                <w:lang w:eastAsia="en-GB"/>
              </w:rPr>
              <w:t>Position</w:t>
            </w:r>
          </w:p>
        </w:tc>
        <w:tc>
          <w:tcPr>
            <w:tcW w:w="680" w:type="dxa"/>
            <w:tcBorders>
              <w:top w:val="nil"/>
              <w:left w:val="nil"/>
              <w:bottom w:val="single" w:sz="8"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color w:val="auto"/>
                <w:sz w:val="20"/>
                <w:szCs w:val="20"/>
                <w:lang w:eastAsia="en-GB"/>
              </w:rPr>
            </w:pPr>
            <w:r w:rsidRPr="00A120A9">
              <w:rPr>
                <w:rFonts w:ascii="Calibri" w:hAnsi="Calibri" w:cs="Times New Roman"/>
                <w:b/>
                <w:bCs/>
                <w:color w:val="auto"/>
                <w:sz w:val="20"/>
                <w:szCs w:val="20"/>
                <w:lang w:eastAsia="en-GB"/>
              </w:rPr>
              <w:t>MAF</w:t>
            </w:r>
          </w:p>
        </w:tc>
        <w:tc>
          <w:tcPr>
            <w:tcW w:w="820" w:type="dxa"/>
            <w:tcBorders>
              <w:top w:val="nil"/>
              <w:left w:val="nil"/>
              <w:bottom w:val="single" w:sz="8"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color w:val="auto"/>
                <w:sz w:val="20"/>
                <w:szCs w:val="20"/>
                <w:lang w:eastAsia="en-GB"/>
              </w:rPr>
            </w:pPr>
            <w:r w:rsidRPr="00A120A9">
              <w:rPr>
                <w:rFonts w:ascii="Calibri" w:hAnsi="Calibri" w:cs="Times New Roman"/>
                <w:b/>
                <w:bCs/>
                <w:color w:val="auto"/>
                <w:sz w:val="20"/>
                <w:szCs w:val="20"/>
                <w:lang w:eastAsia="en-GB"/>
              </w:rPr>
              <w:t xml:space="preserve">A1/2 </w:t>
            </w:r>
          </w:p>
        </w:tc>
        <w:tc>
          <w:tcPr>
            <w:tcW w:w="620" w:type="dxa"/>
            <w:tcBorders>
              <w:top w:val="nil"/>
              <w:left w:val="nil"/>
              <w:bottom w:val="single" w:sz="8"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color w:val="auto"/>
                <w:sz w:val="20"/>
                <w:szCs w:val="20"/>
                <w:lang w:eastAsia="en-GB"/>
              </w:rPr>
            </w:pPr>
            <w:r w:rsidRPr="00A120A9">
              <w:rPr>
                <w:rFonts w:ascii="Calibri" w:hAnsi="Calibri" w:cs="Times New Roman"/>
                <w:b/>
                <w:bCs/>
                <w:color w:val="auto"/>
                <w:sz w:val="20"/>
                <w:szCs w:val="20"/>
                <w:lang w:eastAsia="en-GB"/>
              </w:rPr>
              <w:t>r</w:t>
            </w:r>
            <w:r w:rsidRPr="00A120A9">
              <w:rPr>
                <w:rFonts w:ascii="Calibri" w:hAnsi="Calibri" w:cs="Times New Roman"/>
                <w:b/>
                <w:bCs/>
                <w:color w:val="auto"/>
                <w:sz w:val="20"/>
                <w:szCs w:val="20"/>
                <w:vertAlign w:val="superscript"/>
                <w:lang w:eastAsia="en-GB"/>
              </w:rPr>
              <w:t>2</w:t>
            </w:r>
            <w:r w:rsidRPr="00A120A9">
              <w:rPr>
                <w:rFonts w:ascii="Calibri" w:hAnsi="Calibri" w:cs="Times New Roman"/>
                <w:b/>
                <w:bCs/>
                <w:color w:val="auto"/>
                <w:sz w:val="20"/>
                <w:szCs w:val="20"/>
                <w:lang w:eastAsia="en-GB"/>
              </w:rPr>
              <w:t xml:space="preserve">  </w:t>
            </w:r>
          </w:p>
        </w:tc>
        <w:tc>
          <w:tcPr>
            <w:tcW w:w="680" w:type="dxa"/>
            <w:tcBorders>
              <w:top w:val="nil"/>
              <w:left w:val="nil"/>
              <w:bottom w:val="single" w:sz="8"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color w:val="auto"/>
                <w:sz w:val="20"/>
                <w:szCs w:val="20"/>
                <w:lang w:eastAsia="en-GB"/>
              </w:rPr>
            </w:pPr>
            <w:r w:rsidRPr="00A120A9">
              <w:rPr>
                <w:rFonts w:ascii="Calibri" w:hAnsi="Calibri" w:cs="Times New Roman"/>
                <w:b/>
                <w:bCs/>
                <w:color w:val="auto"/>
                <w:sz w:val="20"/>
                <w:szCs w:val="20"/>
                <w:lang w:eastAsia="en-GB"/>
              </w:rPr>
              <w:t>D'</w:t>
            </w:r>
          </w:p>
        </w:tc>
        <w:tc>
          <w:tcPr>
            <w:tcW w:w="920" w:type="dxa"/>
            <w:tcBorders>
              <w:top w:val="nil"/>
              <w:left w:val="nil"/>
              <w:bottom w:val="single" w:sz="8"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color w:val="auto"/>
                <w:sz w:val="20"/>
                <w:szCs w:val="20"/>
                <w:lang w:eastAsia="en-GB"/>
              </w:rPr>
            </w:pPr>
            <w:r w:rsidRPr="00A120A9">
              <w:rPr>
                <w:rFonts w:ascii="Calibri" w:hAnsi="Calibri" w:cs="Times New Roman"/>
                <w:b/>
                <w:bCs/>
                <w:color w:val="auto"/>
                <w:sz w:val="20"/>
                <w:szCs w:val="20"/>
                <w:lang w:eastAsia="en-GB"/>
              </w:rPr>
              <w:t>beta</w:t>
            </w:r>
          </w:p>
        </w:tc>
        <w:tc>
          <w:tcPr>
            <w:tcW w:w="960" w:type="dxa"/>
            <w:tcBorders>
              <w:top w:val="nil"/>
              <w:left w:val="nil"/>
              <w:bottom w:val="single" w:sz="8"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i/>
                <w:iCs/>
                <w:color w:val="auto"/>
                <w:sz w:val="20"/>
                <w:szCs w:val="20"/>
                <w:lang w:eastAsia="en-GB"/>
              </w:rPr>
            </w:pPr>
            <w:r w:rsidRPr="00A120A9">
              <w:rPr>
                <w:rFonts w:ascii="Calibri" w:hAnsi="Calibri" w:cs="Times New Roman"/>
                <w:b/>
                <w:bCs/>
                <w:i/>
                <w:iCs/>
                <w:color w:val="auto"/>
                <w:sz w:val="20"/>
                <w:szCs w:val="20"/>
                <w:lang w:eastAsia="en-GB"/>
              </w:rPr>
              <w:t>P</w:t>
            </w:r>
          </w:p>
        </w:tc>
        <w:tc>
          <w:tcPr>
            <w:tcW w:w="960" w:type="dxa"/>
            <w:tcBorders>
              <w:top w:val="nil"/>
              <w:left w:val="nil"/>
              <w:bottom w:val="single" w:sz="8"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i/>
                <w:iCs/>
                <w:color w:val="auto"/>
                <w:sz w:val="20"/>
                <w:szCs w:val="20"/>
                <w:lang w:eastAsia="en-GB"/>
              </w:rPr>
            </w:pPr>
            <w:r w:rsidRPr="00A120A9">
              <w:rPr>
                <w:rFonts w:ascii="Calibri" w:hAnsi="Calibri" w:cs="Times New Roman"/>
                <w:b/>
                <w:bCs/>
                <w:i/>
                <w:iCs/>
                <w:color w:val="auto"/>
                <w:sz w:val="20"/>
                <w:szCs w:val="20"/>
                <w:lang w:eastAsia="en-GB"/>
              </w:rPr>
              <w:t xml:space="preserve">P </w:t>
            </w:r>
            <w:r w:rsidRPr="00A120A9">
              <w:rPr>
                <w:rFonts w:ascii="Calibri" w:hAnsi="Calibri" w:cs="Times New Roman"/>
                <w:b/>
                <w:bCs/>
                <w:i/>
                <w:iCs/>
                <w:color w:val="auto"/>
                <w:sz w:val="20"/>
                <w:szCs w:val="20"/>
                <w:vertAlign w:val="superscript"/>
                <w:lang w:eastAsia="en-GB"/>
              </w:rPr>
              <w:t>SNP*Asp</w:t>
            </w:r>
          </w:p>
        </w:tc>
        <w:tc>
          <w:tcPr>
            <w:tcW w:w="1060" w:type="dxa"/>
            <w:tcBorders>
              <w:top w:val="nil"/>
              <w:left w:val="nil"/>
              <w:bottom w:val="single" w:sz="8"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color w:val="auto"/>
                <w:sz w:val="20"/>
                <w:szCs w:val="20"/>
                <w:lang w:eastAsia="en-GB"/>
              </w:rPr>
            </w:pPr>
            <w:r w:rsidRPr="00A120A9">
              <w:rPr>
                <w:rFonts w:ascii="Calibri" w:hAnsi="Calibri" w:cs="Times New Roman"/>
                <w:b/>
                <w:bCs/>
                <w:color w:val="auto"/>
                <w:sz w:val="20"/>
                <w:szCs w:val="20"/>
                <w:lang w:eastAsia="en-GB"/>
              </w:rPr>
              <w:t>beta</w:t>
            </w:r>
          </w:p>
        </w:tc>
        <w:tc>
          <w:tcPr>
            <w:tcW w:w="1060" w:type="dxa"/>
            <w:tcBorders>
              <w:top w:val="nil"/>
              <w:left w:val="nil"/>
              <w:bottom w:val="single" w:sz="8"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i/>
                <w:iCs/>
                <w:color w:val="auto"/>
                <w:sz w:val="20"/>
                <w:szCs w:val="20"/>
                <w:lang w:eastAsia="en-GB"/>
              </w:rPr>
            </w:pPr>
            <w:r w:rsidRPr="00A120A9">
              <w:rPr>
                <w:rFonts w:ascii="Calibri" w:hAnsi="Calibri" w:cs="Times New Roman"/>
                <w:b/>
                <w:bCs/>
                <w:i/>
                <w:iCs/>
                <w:color w:val="auto"/>
                <w:sz w:val="20"/>
                <w:szCs w:val="20"/>
                <w:lang w:eastAsia="en-GB"/>
              </w:rPr>
              <w:t>P</w:t>
            </w:r>
          </w:p>
        </w:tc>
        <w:tc>
          <w:tcPr>
            <w:tcW w:w="1060" w:type="dxa"/>
            <w:tcBorders>
              <w:top w:val="nil"/>
              <w:left w:val="nil"/>
              <w:bottom w:val="single" w:sz="8"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color w:val="auto"/>
                <w:sz w:val="20"/>
                <w:szCs w:val="20"/>
                <w:lang w:eastAsia="en-GB"/>
              </w:rPr>
            </w:pPr>
            <w:r w:rsidRPr="00A120A9">
              <w:rPr>
                <w:rFonts w:ascii="Calibri" w:hAnsi="Calibri" w:cs="Times New Roman"/>
                <w:b/>
                <w:bCs/>
                <w:color w:val="auto"/>
                <w:sz w:val="20"/>
                <w:szCs w:val="20"/>
                <w:lang w:eastAsia="en-GB"/>
              </w:rPr>
              <w:t>beta</w:t>
            </w:r>
          </w:p>
        </w:tc>
        <w:tc>
          <w:tcPr>
            <w:tcW w:w="1060" w:type="dxa"/>
            <w:tcBorders>
              <w:top w:val="nil"/>
              <w:left w:val="nil"/>
              <w:bottom w:val="single" w:sz="8"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i/>
                <w:iCs/>
                <w:color w:val="auto"/>
                <w:sz w:val="20"/>
                <w:szCs w:val="20"/>
                <w:lang w:eastAsia="en-GB"/>
              </w:rPr>
            </w:pPr>
            <w:r w:rsidRPr="00A120A9">
              <w:rPr>
                <w:rFonts w:ascii="Calibri" w:hAnsi="Calibri" w:cs="Times New Roman"/>
                <w:b/>
                <w:bCs/>
                <w:i/>
                <w:iCs/>
                <w:color w:val="auto"/>
                <w:sz w:val="20"/>
                <w:szCs w:val="20"/>
                <w:lang w:eastAsia="en-GB"/>
              </w:rPr>
              <w:t>P</w:t>
            </w:r>
          </w:p>
        </w:tc>
      </w:tr>
      <w:tr w:rsidR="00A120A9" w:rsidRPr="00A120A9" w:rsidTr="00616530">
        <w:trPr>
          <w:trHeight w:val="300"/>
        </w:trPr>
        <w:tc>
          <w:tcPr>
            <w:tcW w:w="44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5</w:t>
            </w:r>
          </w:p>
        </w:tc>
        <w:tc>
          <w:tcPr>
            <w:tcW w:w="118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rs10515638</w:t>
            </w:r>
          </w:p>
        </w:tc>
        <w:tc>
          <w:tcPr>
            <w:tcW w:w="82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intron 1</w:t>
            </w:r>
          </w:p>
        </w:tc>
        <w:tc>
          <w:tcPr>
            <w:tcW w:w="68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0.08</w:t>
            </w:r>
          </w:p>
        </w:tc>
        <w:tc>
          <w:tcPr>
            <w:tcW w:w="82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T/G</w:t>
            </w:r>
          </w:p>
        </w:tc>
        <w:tc>
          <w:tcPr>
            <w:tcW w:w="62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0.07</w:t>
            </w:r>
          </w:p>
        </w:tc>
        <w:tc>
          <w:tcPr>
            <w:tcW w:w="68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0.58</w:t>
            </w:r>
          </w:p>
        </w:tc>
        <w:tc>
          <w:tcPr>
            <w:tcW w:w="92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233.1 </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7.30E-04</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0.02</w:t>
            </w:r>
          </w:p>
        </w:tc>
        <w:tc>
          <w:tcPr>
            <w:tcW w:w="10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391.9</w:t>
            </w:r>
          </w:p>
        </w:tc>
        <w:tc>
          <w:tcPr>
            <w:tcW w:w="10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1.90E-03</w:t>
            </w:r>
          </w:p>
        </w:tc>
        <w:tc>
          <w:tcPr>
            <w:tcW w:w="10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74.7</w:t>
            </w:r>
          </w:p>
        </w:tc>
        <w:tc>
          <w:tcPr>
            <w:tcW w:w="10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0.12</w:t>
            </w:r>
          </w:p>
        </w:tc>
      </w:tr>
      <w:tr w:rsidR="00A120A9" w:rsidRPr="00A120A9" w:rsidTr="00616530">
        <w:trPr>
          <w:trHeight w:val="300"/>
        </w:trPr>
        <w:tc>
          <w:tcPr>
            <w:tcW w:w="44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5</w:t>
            </w:r>
          </w:p>
        </w:tc>
        <w:tc>
          <w:tcPr>
            <w:tcW w:w="118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rs4235745</w:t>
            </w:r>
          </w:p>
        </w:tc>
        <w:tc>
          <w:tcPr>
            <w:tcW w:w="82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intron 1</w:t>
            </w:r>
          </w:p>
        </w:tc>
        <w:tc>
          <w:tcPr>
            <w:tcW w:w="68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0.3</w:t>
            </w:r>
          </w:p>
        </w:tc>
        <w:tc>
          <w:tcPr>
            <w:tcW w:w="82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T/C</w:t>
            </w:r>
          </w:p>
        </w:tc>
        <w:tc>
          <w:tcPr>
            <w:tcW w:w="62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NA</w:t>
            </w:r>
          </w:p>
        </w:tc>
        <w:tc>
          <w:tcPr>
            <w:tcW w:w="68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NA</w:t>
            </w:r>
          </w:p>
        </w:tc>
        <w:tc>
          <w:tcPr>
            <w:tcW w:w="92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166.7</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4.30E-06</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3.30E-04</w:t>
            </w:r>
          </w:p>
        </w:tc>
        <w:tc>
          <w:tcPr>
            <w:tcW w:w="10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284.9</w:t>
            </w:r>
          </w:p>
        </w:tc>
        <w:tc>
          <w:tcPr>
            <w:tcW w:w="10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2.20E-05</w:t>
            </w:r>
          </w:p>
        </w:tc>
        <w:tc>
          <w:tcPr>
            <w:tcW w:w="10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50.5</w:t>
            </w:r>
          </w:p>
        </w:tc>
        <w:tc>
          <w:tcPr>
            <w:tcW w:w="10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0.06</w:t>
            </w:r>
          </w:p>
        </w:tc>
      </w:tr>
      <w:tr w:rsidR="00A120A9" w:rsidRPr="00A120A9" w:rsidTr="00616530">
        <w:trPr>
          <w:trHeight w:val="300"/>
        </w:trPr>
        <w:tc>
          <w:tcPr>
            <w:tcW w:w="44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5</w:t>
            </w:r>
          </w:p>
        </w:tc>
        <w:tc>
          <w:tcPr>
            <w:tcW w:w="118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rs32582</w:t>
            </w:r>
          </w:p>
        </w:tc>
        <w:tc>
          <w:tcPr>
            <w:tcW w:w="82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intron 2</w:t>
            </w:r>
          </w:p>
        </w:tc>
        <w:tc>
          <w:tcPr>
            <w:tcW w:w="68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0.18</w:t>
            </w:r>
          </w:p>
        </w:tc>
        <w:tc>
          <w:tcPr>
            <w:tcW w:w="82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A/C</w:t>
            </w:r>
          </w:p>
        </w:tc>
        <w:tc>
          <w:tcPr>
            <w:tcW w:w="62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0.42</w:t>
            </w:r>
          </w:p>
        </w:tc>
        <w:tc>
          <w:tcPr>
            <w:tcW w:w="68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0.93</w:t>
            </w:r>
          </w:p>
        </w:tc>
        <w:tc>
          <w:tcPr>
            <w:tcW w:w="92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201.1</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9.10E-06</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3.00E-04</w:t>
            </w:r>
          </w:p>
        </w:tc>
        <w:tc>
          <w:tcPr>
            <w:tcW w:w="10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353.1</w:t>
            </w:r>
          </w:p>
        </w:tc>
        <w:tc>
          <w:tcPr>
            <w:tcW w:w="10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2.10E-05</w:t>
            </w:r>
          </w:p>
        </w:tc>
        <w:tc>
          <w:tcPr>
            <w:tcW w:w="10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45.4</w:t>
            </w:r>
          </w:p>
        </w:tc>
        <w:tc>
          <w:tcPr>
            <w:tcW w:w="10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0.18</w:t>
            </w:r>
          </w:p>
        </w:tc>
      </w:tr>
      <w:tr w:rsidR="00A120A9" w:rsidRPr="00A120A9" w:rsidTr="00616530">
        <w:trPr>
          <w:trHeight w:val="510"/>
        </w:trPr>
        <w:tc>
          <w:tcPr>
            <w:tcW w:w="2440" w:type="dxa"/>
            <w:gridSpan w:val="3"/>
            <w:tcBorders>
              <w:top w:val="dotted" w:sz="4" w:space="0" w:color="auto"/>
              <w:left w:val="nil"/>
              <w:bottom w:val="single" w:sz="8"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rPr>
                <w:rFonts w:ascii="Calibri" w:hAnsi="Calibri" w:cs="Times New Roman"/>
                <w:b/>
                <w:bCs/>
                <w:color w:val="auto"/>
                <w:sz w:val="20"/>
                <w:szCs w:val="20"/>
                <w:lang w:eastAsia="en-GB"/>
              </w:rPr>
            </w:pPr>
            <w:r w:rsidRPr="00A120A9">
              <w:rPr>
                <w:rFonts w:ascii="Calibri" w:hAnsi="Calibri" w:cs="Times New Roman"/>
                <w:b/>
                <w:bCs/>
                <w:color w:val="auto"/>
                <w:sz w:val="20"/>
                <w:szCs w:val="20"/>
                <w:lang w:eastAsia="en-GB"/>
              </w:rPr>
              <w:t>3-SNP minor allele haplotype</w:t>
            </w:r>
          </w:p>
        </w:tc>
        <w:tc>
          <w:tcPr>
            <w:tcW w:w="680" w:type="dxa"/>
            <w:tcBorders>
              <w:top w:val="dotted" w:sz="4" w:space="0" w:color="auto"/>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0.06</w:t>
            </w:r>
          </w:p>
        </w:tc>
        <w:tc>
          <w:tcPr>
            <w:tcW w:w="820" w:type="dxa"/>
            <w:tcBorders>
              <w:top w:val="dotted" w:sz="4" w:space="0" w:color="auto"/>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TTA</w:t>
            </w:r>
          </w:p>
        </w:tc>
        <w:tc>
          <w:tcPr>
            <w:tcW w:w="620" w:type="dxa"/>
            <w:tcBorders>
              <w:top w:val="dotted" w:sz="4" w:space="0" w:color="auto"/>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 </w:t>
            </w:r>
          </w:p>
        </w:tc>
        <w:tc>
          <w:tcPr>
            <w:tcW w:w="680" w:type="dxa"/>
            <w:tcBorders>
              <w:top w:val="dotted" w:sz="4" w:space="0" w:color="auto"/>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 </w:t>
            </w:r>
          </w:p>
        </w:tc>
        <w:tc>
          <w:tcPr>
            <w:tcW w:w="920" w:type="dxa"/>
            <w:tcBorders>
              <w:top w:val="dotted" w:sz="4" w:space="0" w:color="auto"/>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382.4</w:t>
            </w:r>
          </w:p>
        </w:tc>
        <w:tc>
          <w:tcPr>
            <w:tcW w:w="960" w:type="dxa"/>
            <w:tcBorders>
              <w:top w:val="dotted" w:sz="4" w:space="0" w:color="auto"/>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2.10E-06</w:t>
            </w:r>
          </w:p>
        </w:tc>
        <w:tc>
          <w:tcPr>
            <w:tcW w:w="960" w:type="dxa"/>
            <w:tcBorders>
              <w:top w:val="dotted" w:sz="4" w:space="0" w:color="auto"/>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 </w:t>
            </w:r>
          </w:p>
        </w:tc>
        <w:tc>
          <w:tcPr>
            <w:tcW w:w="1060" w:type="dxa"/>
            <w:tcBorders>
              <w:top w:val="dotted" w:sz="4" w:space="0" w:color="auto"/>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658.7</w:t>
            </w:r>
          </w:p>
        </w:tc>
        <w:tc>
          <w:tcPr>
            <w:tcW w:w="1060" w:type="dxa"/>
            <w:tcBorders>
              <w:top w:val="dotted" w:sz="4" w:space="0" w:color="auto"/>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9.50E-06</w:t>
            </w:r>
          </w:p>
        </w:tc>
        <w:tc>
          <w:tcPr>
            <w:tcW w:w="1060" w:type="dxa"/>
            <w:tcBorders>
              <w:top w:val="dotted" w:sz="4" w:space="0" w:color="auto"/>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105.5</w:t>
            </w:r>
          </w:p>
        </w:tc>
        <w:tc>
          <w:tcPr>
            <w:tcW w:w="1060" w:type="dxa"/>
            <w:tcBorders>
              <w:top w:val="dotted" w:sz="4" w:space="0" w:color="auto"/>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8.00E-02</w:t>
            </w:r>
          </w:p>
        </w:tc>
      </w:tr>
      <w:tr w:rsidR="00A120A9" w:rsidRPr="00A120A9" w:rsidTr="00616530">
        <w:trPr>
          <w:trHeight w:val="510"/>
        </w:trPr>
        <w:tc>
          <w:tcPr>
            <w:tcW w:w="1620" w:type="dxa"/>
            <w:gridSpan w:val="2"/>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b/>
                <w:bCs/>
                <w:i/>
                <w:iCs/>
                <w:color w:val="auto"/>
                <w:sz w:val="20"/>
                <w:szCs w:val="20"/>
                <w:lang w:eastAsia="en-GB"/>
              </w:rPr>
            </w:pPr>
            <w:r w:rsidRPr="00A120A9">
              <w:rPr>
                <w:rFonts w:ascii="Calibri" w:hAnsi="Calibri" w:cs="Times New Roman"/>
                <w:b/>
                <w:bCs/>
                <w:i/>
                <w:iCs/>
                <w:color w:val="auto"/>
                <w:sz w:val="20"/>
                <w:szCs w:val="20"/>
                <w:lang w:eastAsia="en-GB"/>
              </w:rPr>
              <w:t>CNTN4</w:t>
            </w:r>
          </w:p>
        </w:tc>
        <w:tc>
          <w:tcPr>
            <w:tcW w:w="82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 </w:t>
            </w:r>
          </w:p>
        </w:tc>
        <w:tc>
          <w:tcPr>
            <w:tcW w:w="680" w:type="dxa"/>
            <w:tcBorders>
              <w:top w:val="single" w:sz="8" w:space="0" w:color="auto"/>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 </w:t>
            </w:r>
          </w:p>
        </w:tc>
        <w:tc>
          <w:tcPr>
            <w:tcW w:w="820" w:type="dxa"/>
            <w:tcBorders>
              <w:top w:val="single" w:sz="8" w:space="0" w:color="auto"/>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 </w:t>
            </w:r>
          </w:p>
        </w:tc>
        <w:tc>
          <w:tcPr>
            <w:tcW w:w="620" w:type="dxa"/>
            <w:tcBorders>
              <w:top w:val="single" w:sz="8" w:space="0" w:color="auto"/>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 </w:t>
            </w:r>
          </w:p>
        </w:tc>
        <w:tc>
          <w:tcPr>
            <w:tcW w:w="680" w:type="dxa"/>
            <w:tcBorders>
              <w:top w:val="single" w:sz="8" w:space="0" w:color="auto"/>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 </w:t>
            </w:r>
          </w:p>
        </w:tc>
        <w:tc>
          <w:tcPr>
            <w:tcW w:w="2840" w:type="dxa"/>
            <w:gridSpan w:val="3"/>
            <w:tcBorders>
              <w:top w:val="single" w:sz="8" w:space="0" w:color="auto"/>
              <w:left w:val="nil"/>
              <w:bottom w:val="single" w:sz="8"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color w:val="auto"/>
                <w:sz w:val="20"/>
                <w:szCs w:val="20"/>
                <w:lang w:eastAsia="en-GB"/>
              </w:rPr>
            </w:pPr>
            <w:r w:rsidRPr="00A120A9">
              <w:rPr>
                <w:rFonts w:ascii="Calibri" w:hAnsi="Calibri" w:cs="Times New Roman"/>
                <w:b/>
                <w:bCs/>
                <w:color w:val="auto"/>
                <w:sz w:val="20"/>
                <w:szCs w:val="20"/>
                <w:lang w:eastAsia="en-GB"/>
              </w:rPr>
              <w:t>all subjects (n=772)</w:t>
            </w:r>
          </w:p>
        </w:tc>
        <w:tc>
          <w:tcPr>
            <w:tcW w:w="2120" w:type="dxa"/>
            <w:gridSpan w:val="2"/>
            <w:tcBorders>
              <w:top w:val="single" w:sz="8" w:space="0" w:color="auto"/>
              <w:left w:val="nil"/>
              <w:bottom w:val="single" w:sz="8"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color w:val="auto"/>
                <w:sz w:val="20"/>
                <w:szCs w:val="20"/>
                <w:lang w:eastAsia="en-GB"/>
              </w:rPr>
            </w:pPr>
            <w:r w:rsidRPr="00A120A9">
              <w:rPr>
                <w:rFonts w:ascii="Calibri" w:hAnsi="Calibri" w:cs="Times New Roman"/>
                <w:b/>
                <w:bCs/>
                <w:color w:val="auto"/>
                <w:sz w:val="20"/>
                <w:szCs w:val="20"/>
                <w:lang w:eastAsia="en-GB"/>
              </w:rPr>
              <w:t>subjects not on aspirin (n=396)</w:t>
            </w:r>
          </w:p>
        </w:tc>
        <w:tc>
          <w:tcPr>
            <w:tcW w:w="2120" w:type="dxa"/>
            <w:gridSpan w:val="2"/>
            <w:tcBorders>
              <w:top w:val="single" w:sz="8" w:space="0" w:color="auto"/>
              <w:left w:val="nil"/>
              <w:bottom w:val="single" w:sz="8"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color w:val="auto"/>
                <w:sz w:val="20"/>
                <w:szCs w:val="20"/>
                <w:lang w:eastAsia="en-GB"/>
              </w:rPr>
            </w:pPr>
            <w:r w:rsidRPr="00A120A9">
              <w:rPr>
                <w:rFonts w:ascii="Calibri" w:hAnsi="Calibri" w:cs="Times New Roman"/>
                <w:b/>
                <w:bCs/>
                <w:color w:val="auto"/>
                <w:sz w:val="20"/>
                <w:szCs w:val="20"/>
                <w:lang w:eastAsia="en-GB"/>
              </w:rPr>
              <w:t>subjects on aspirin (n=376)</w:t>
            </w:r>
          </w:p>
        </w:tc>
      </w:tr>
      <w:tr w:rsidR="00A120A9" w:rsidRPr="00A120A9" w:rsidTr="00616530">
        <w:trPr>
          <w:trHeight w:val="300"/>
        </w:trPr>
        <w:tc>
          <w:tcPr>
            <w:tcW w:w="44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3</w:t>
            </w:r>
          </w:p>
        </w:tc>
        <w:tc>
          <w:tcPr>
            <w:tcW w:w="118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rs10510230</w:t>
            </w:r>
          </w:p>
        </w:tc>
        <w:tc>
          <w:tcPr>
            <w:tcW w:w="82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intron 1</w:t>
            </w:r>
          </w:p>
        </w:tc>
        <w:tc>
          <w:tcPr>
            <w:tcW w:w="68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0.15</w:t>
            </w:r>
          </w:p>
        </w:tc>
        <w:tc>
          <w:tcPr>
            <w:tcW w:w="82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C/A</w:t>
            </w:r>
          </w:p>
        </w:tc>
        <w:tc>
          <w:tcPr>
            <w:tcW w:w="62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NA</w:t>
            </w:r>
          </w:p>
        </w:tc>
        <w:tc>
          <w:tcPr>
            <w:tcW w:w="68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NA</w:t>
            </w:r>
          </w:p>
        </w:tc>
        <w:tc>
          <w:tcPr>
            <w:tcW w:w="92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189.8</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5.10E-07</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6.60E-05</w:t>
            </w:r>
          </w:p>
        </w:tc>
        <w:tc>
          <w:tcPr>
            <w:tcW w:w="10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329.5</w:t>
            </w:r>
          </w:p>
        </w:tc>
        <w:tc>
          <w:tcPr>
            <w:tcW w:w="10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1.50E-07</w:t>
            </w:r>
          </w:p>
        </w:tc>
        <w:tc>
          <w:tcPr>
            <w:tcW w:w="10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37.6</w:t>
            </w:r>
          </w:p>
        </w:tc>
        <w:tc>
          <w:tcPr>
            <w:tcW w:w="10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0.34</w:t>
            </w:r>
          </w:p>
        </w:tc>
      </w:tr>
      <w:tr w:rsidR="00A120A9" w:rsidRPr="00A120A9" w:rsidTr="00616530">
        <w:trPr>
          <w:trHeight w:val="300"/>
        </w:trPr>
        <w:tc>
          <w:tcPr>
            <w:tcW w:w="44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3</w:t>
            </w:r>
          </w:p>
        </w:tc>
        <w:tc>
          <w:tcPr>
            <w:tcW w:w="118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rs4684343</w:t>
            </w:r>
          </w:p>
        </w:tc>
        <w:tc>
          <w:tcPr>
            <w:tcW w:w="82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0"/>
                <w:szCs w:val="20"/>
                <w:lang w:eastAsia="en-GB"/>
              </w:rPr>
            </w:pPr>
            <w:r w:rsidRPr="00A120A9">
              <w:rPr>
                <w:rFonts w:ascii="Calibri" w:hAnsi="Calibri" w:cs="Times New Roman"/>
                <w:color w:val="auto"/>
                <w:sz w:val="20"/>
                <w:szCs w:val="20"/>
                <w:lang w:eastAsia="en-GB"/>
              </w:rPr>
              <w:t>intron 2</w:t>
            </w:r>
          </w:p>
        </w:tc>
        <w:tc>
          <w:tcPr>
            <w:tcW w:w="68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0.45</w:t>
            </w:r>
          </w:p>
        </w:tc>
        <w:tc>
          <w:tcPr>
            <w:tcW w:w="82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A/G</w:t>
            </w:r>
          </w:p>
        </w:tc>
        <w:tc>
          <w:tcPr>
            <w:tcW w:w="62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0.1</w:t>
            </w:r>
          </w:p>
        </w:tc>
        <w:tc>
          <w:tcPr>
            <w:tcW w:w="68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0.77</w:t>
            </w:r>
          </w:p>
        </w:tc>
        <w:tc>
          <w:tcPr>
            <w:tcW w:w="92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-133.4</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8.80E-07</w:t>
            </w:r>
          </w:p>
        </w:tc>
        <w:tc>
          <w:tcPr>
            <w:tcW w:w="9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1.90E-02</w:t>
            </w:r>
          </w:p>
        </w:tc>
        <w:tc>
          <w:tcPr>
            <w:tcW w:w="10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-194.6</w:t>
            </w:r>
          </w:p>
        </w:tc>
        <w:tc>
          <w:tcPr>
            <w:tcW w:w="10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2.50E-05</w:t>
            </w:r>
          </w:p>
        </w:tc>
        <w:tc>
          <w:tcPr>
            <w:tcW w:w="10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-65.2</w:t>
            </w:r>
          </w:p>
        </w:tc>
        <w:tc>
          <w:tcPr>
            <w:tcW w:w="1060"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0.02</w:t>
            </w:r>
          </w:p>
        </w:tc>
      </w:tr>
      <w:tr w:rsidR="00A120A9" w:rsidRPr="00A120A9" w:rsidTr="00616530">
        <w:trPr>
          <w:trHeight w:val="510"/>
        </w:trPr>
        <w:tc>
          <w:tcPr>
            <w:tcW w:w="2440" w:type="dxa"/>
            <w:gridSpan w:val="3"/>
            <w:tcBorders>
              <w:top w:val="dotted" w:sz="4" w:space="0" w:color="auto"/>
              <w:left w:val="nil"/>
              <w:bottom w:val="single" w:sz="8" w:space="0" w:color="auto"/>
              <w:right w:val="nil"/>
            </w:tcBorders>
            <w:shd w:val="clear" w:color="000000" w:fill="FFFFFF"/>
            <w:vAlign w:val="center"/>
            <w:hideMark/>
          </w:tcPr>
          <w:p w:rsidR="001E41CE" w:rsidRPr="00A120A9" w:rsidRDefault="001E41CE" w:rsidP="00A63171">
            <w:pPr>
              <w:tabs>
                <w:tab w:val="clear" w:pos="720"/>
              </w:tabs>
              <w:suppressAutoHyphens w:val="0"/>
              <w:spacing w:line="480" w:lineRule="auto"/>
              <w:rPr>
                <w:rFonts w:ascii="Calibri" w:hAnsi="Calibri" w:cs="Times New Roman"/>
                <w:b/>
                <w:bCs/>
                <w:color w:val="auto"/>
                <w:sz w:val="20"/>
                <w:szCs w:val="20"/>
                <w:lang w:eastAsia="en-GB"/>
              </w:rPr>
            </w:pPr>
            <w:r w:rsidRPr="00A120A9">
              <w:rPr>
                <w:rFonts w:ascii="Calibri" w:hAnsi="Calibri" w:cs="Times New Roman"/>
                <w:b/>
                <w:bCs/>
                <w:color w:val="auto"/>
                <w:sz w:val="20"/>
                <w:szCs w:val="20"/>
                <w:lang w:eastAsia="en-GB"/>
              </w:rPr>
              <w:t xml:space="preserve">2-SNP minor/major allele haplotype </w:t>
            </w:r>
          </w:p>
        </w:tc>
        <w:tc>
          <w:tcPr>
            <w:tcW w:w="680" w:type="dxa"/>
            <w:tcBorders>
              <w:top w:val="dotted" w:sz="4" w:space="0" w:color="auto"/>
              <w:left w:val="nil"/>
              <w:bottom w:val="single" w:sz="8" w:space="0" w:color="auto"/>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0.13</w:t>
            </w:r>
          </w:p>
        </w:tc>
        <w:tc>
          <w:tcPr>
            <w:tcW w:w="820" w:type="dxa"/>
            <w:tcBorders>
              <w:top w:val="dotted" w:sz="4" w:space="0" w:color="auto"/>
              <w:left w:val="nil"/>
              <w:bottom w:val="single" w:sz="8" w:space="0" w:color="auto"/>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CG</w:t>
            </w:r>
          </w:p>
        </w:tc>
        <w:tc>
          <w:tcPr>
            <w:tcW w:w="620" w:type="dxa"/>
            <w:tcBorders>
              <w:top w:val="dotted" w:sz="4" w:space="0" w:color="auto"/>
              <w:left w:val="nil"/>
              <w:bottom w:val="single" w:sz="8" w:space="0" w:color="auto"/>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 </w:t>
            </w:r>
          </w:p>
        </w:tc>
        <w:tc>
          <w:tcPr>
            <w:tcW w:w="680" w:type="dxa"/>
            <w:tcBorders>
              <w:top w:val="dotted" w:sz="4" w:space="0" w:color="auto"/>
              <w:left w:val="nil"/>
              <w:bottom w:val="single" w:sz="8" w:space="0" w:color="auto"/>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 </w:t>
            </w:r>
          </w:p>
        </w:tc>
        <w:tc>
          <w:tcPr>
            <w:tcW w:w="920" w:type="dxa"/>
            <w:tcBorders>
              <w:top w:val="dotted" w:sz="4" w:space="0" w:color="auto"/>
              <w:left w:val="nil"/>
              <w:bottom w:val="single" w:sz="8" w:space="0" w:color="auto"/>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249</w:t>
            </w:r>
          </w:p>
        </w:tc>
        <w:tc>
          <w:tcPr>
            <w:tcW w:w="960" w:type="dxa"/>
            <w:tcBorders>
              <w:top w:val="dotted" w:sz="4" w:space="0" w:color="auto"/>
              <w:left w:val="nil"/>
              <w:bottom w:val="single" w:sz="8" w:space="0" w:color="auto"/>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2.00E-09</w:t>
            </w:r>
          </w:p>
        </w:tc>
        <w:tc>
          <w:tcPr>
            <w:tcW w:w="960" w:type="dxa"/>
            <w:tcBorders>
              <w:top w:val="dotted" w:sz="4" w:space="0" w:color="auto"/>
              <w:left w:val="nil"/>
              <w:bottom w:val="single" w:sz="8" w:space="0" w:color="auto"/>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 </w:t>
            </w:r>
          </w:p>
        </w:tc>
        <w:tc>
          <w:tcPr>
            <w:tcW w:w="1060" w:type="dxa"/>
            <w:tcBorders>
              <w:top w:val="dotted" w:sz="4" w:space="0" w:color="auto"/>
              <w:left w:val="nil"/>
              <w:bottom w:val="single" w:sz="8" w:space="0" w:color="auto"/>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456.2</w:t>
            </w:r>
          </w:p>
        </w:tc>
        <w:tc>
          <w:tcPr>
            <w:tcW w:w="1060" w:type="dxa"/>
            <w:tcBorders>
              <w:top w:val="dotted" w:sz="4" w:space="0" w:color="auto"/>
              <w:left w:val="nil"/>
              <w:bottom w:val="single" w:sz="8" w:space="0" w:color="auto"/>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1.30E-10</w:t>
            </w:r>
          </w:p>
        </w:tc>
        <w:tc>
          <w:tcPr>
            <w:tcW w:w="1060" w:type="dxa"/>
            <w:tcBorders>
              <w:top w:val="dotted" w:sz="4" w:space="0" w:color="auto"/>
              <w:left w:val="nil"/>
              <w:bottom w:val="single" w:sz="8" w:space="0" w:color="auto"/>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48.4</w:t>
            </w:r>
          </w:p>
        </w:tc>
        <w:tc>
          <w:tcPr>
            <w:tcW w:w="1060" w:type="dxa"/>
            <w:tcBorders>
              <w:top w:val="dotted" w:sz="4" w:space="0" w:color="auto"/>
              <w:left w:val="nil"/>
              <w:bottom w:val="single" w:sz="8" w:space="0" w:color="auto"/>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0"/>
                <w:szCs w:val="20"/>
                <w:lang w:eastAsia="en-GB"/>
              </w:rPr>
            </w:pPr>
            <w:r w:rsidRPr="00A120A9">
              <w:rPr>
                <w:rFonts w:ascii="Calibri" w:hAnsi="Calibri" w:cs="Times New Roman"/>
                <w:color w:val="auto"/>
                <w:sz w:val="20"/>
                <w:szCs w:val="20"/>
                <w:lang w:eastAsia="en-GB"/>
              </w:rPr>
              <w:t>0.24</w:t>
            </w:r>
          </w:p>
        </w:tc>
      </w:tr>
    </w:tbl>
    <w:p w:rsidR="001E41CE" w:rsidRPr="00A120A9" w:rsidRDefault="001E41CE" w:rsidP="00A63171">
      <w:pPr>
        <w:pStyle w:val="Caption"/>
        <w:spacing w:line="480" w:lineRule="auto"/>
        <w:rPr>
          <w:rFonts w:asciiTheme="minorHAnsi" w:hAnsiTheme="minorHAnsi"/>
          <w:color w:val="auto"/>
          <w:sz w:val="22"/>
          <w:szCs w:val="22"/>
        </w:rPr>
        <w:sectPr w:rsidR="001E41CE" w:rsidRPr="00A120A9" w:rsidSect="007540F7">
          <w:pgSz w:w="16838" w:h="11906" w:orient="landscape"/>
          <w:pgMar w:top="1440" w:right="1440" w:bottom="1440" w:left="1440" w:header="708" w:footer="708" w:gutter="0"/>
          <w:cols w:space="708"/>
          <w:docGrid w:linePitch="360"/>
        </w:sectPr>
      </w:pPr>
      <w:r w:rsidRPr="00A120A9">
        <w:rPr>
          <w:rFonts w:asciiTheme="minorHAnsi" w:hAnsiTheme="minorHAnsi"/>
          <w:b w:val="0"/>
          <w:color w:val="auto"/>
          <w:sz w:val="22"/>
          <w:szCs w:val="22"/>
        </w:rPr>
        <w:t>CHR: chromosome, BP: base pair position, MAF: minor allele frequency, beta: change in 11-dehydro TxB</w:t>
      </w:r>
      <w:r w:rsidRPr="00A120A9">
        <w:rPr>
          <w:rFonts w:asciiTheme="minorHAnsi" w:hAnsiTheme="minorHAnsi"/>
          <w:b w:val="0"/>
          <w:color w:val="auto"/>
          <w:sz w:val="22"/>
          <w:szCs w:val="22"/>
          <w:vertAlign w:val="subscript"/>
        </w:rPr>
        <w:t>2</w:t>
      </w:r>
      <w:r w:rsidRPr="00A120A9">
        <w:rPr>
          <w:rFonts w:asciiTheme="minorHAnsi" w:hAnsiTheme="minorHAnsi"/>
          <w:b w:val="0"/>
          <w:color w:val="auto"/>
          <w:sz w:val="22"/>
          <w:szCs w:val="22"/>
        </w:rPr>
        <w:t xml:space="preserve"> associated with one copy of the minor allele / haplotype. Position: of the SNP in the </w:t>
      </w:r>
      <w:r w:rsidRPr="00A120A9">
        <w:rPr>
          <w:rFonts w:asciiTheme="minorHAnsi" w:hAnsiTheme="minorHAnsi"/>
          <w:b w:val="0"/>
          <w:i/>
          <w:color w:val="auto"/>
          <w:sz w:val="22"/>
          <w:szCs w:val="22"/>
        </w:rPr>
        <w:t>PPARGC1B</w:t>
      </w:r>
      <w:r w:rsidRPr="00A120A9">
        <w:rPr>
          <w:rFonts w:asciiTheme="minorHAnsi" w:hAnsiTheme="minorHAnsi"/>
          <w:b w:val="0"/>
          <w:color w:val="auto"/>
          <w:sz w:val="22"/>
          <w:szCs w:val="22"/>
        </w:rPr>
        <w:t xml:space="preserve"> gene, r</w:t>
      </w:r>
      <w:r w:rsidRPr="00A120A9">
        <w:rPr>
          <w:rFonts w:asciiTheme="minorHAnsi" w:hAnsiTheme="minorHAnsi"/>
          <w:b w:val="0"/>
          <w:color w:val="auto"/>
          <w:sz w:val="22"/>
          <w:szCs w:val="22"/>
          <w:vertAlign w:val="superscript"/>
        </w:rPr>
        <w:t>2</w:t>
      </w:r>
      <w:r w:rsidRPr="00A120A9">
        <w:rPr>
          <w:rFonts w:asciiTheme="minorHAnsi" w:hAnsiTheme="minorHAnsi"/>
          <w:b w:val="0"/>
          <w:color w:val="auto"/>
          <w:sz w:val="22"/>
          <w:szCs w:val="22"/>
        </w:rPr>
        <w:t xml:space="preserve">:  squared correlation coefficient between the genotype of the SNP and rs4235745. D’: the normalised </w:t>
      </w:r>
      <w:r w:rsidRPr="00A120A9">
        <w:rPr>
          <w:rFonts w:asciiTheme="minorHAnsi" w:hAnsiTheme="minorHAnsi" w:cs="Arial"/>
          <w:b w:val="0"/>
          <w:color w:val="auto"/>
          <w:sz w:val="22"/>
          <w:szCs w:val="22"/>
          <w:shd w:val="clear" w:color="auto" w:fill="FFFFFF"/>
        </w:rPr>
        <w:t>coefficient of linkage disequilibrium between</w:t>
      </w:r>
      <w:r w:rsidRPr="00A120A9">
        <w:rPr>
          <w:rFonts w:asciiTheme="minorHAnsi" w:hAnsiTheme="minorHAnsi" w:cs="Arial"/>
          <w:color w:val="auto"/>
          <w:sz w:val="22"/>
          <w:szCs w:val="22"/>
          <w:shd w:val="clear" w:color="auto" w:fill="FFFFFF"/>
        </w:rPr>
        <w:t xml:space="preserve"> </w:t>
      </w:r>
      <w:r w:rsidRPr="00A120A9">
        <w:rPr>
          <w:rFonts w:asciiTheme="minorHAnsi" w:hAnsiTheme="minorHAnsi"/>
          <w:b w:val="0"/>
          <w:color w:val="auto"/>
          <w:sz w:val="22"/>
          <w:szCs w:val="22"/>
        </w:rPr>
        <w:t>the genotype of the SNP and rs4235745.</w:t>
      </w:r>
      <w:r w:rsidRPr="00A120A9">
        <w:rPr>
          <w:rFonts w:asciiTheme="minorHAnsi" w:hAnsiTheme="minorHAnsi" w:cs="Arial"/>
          <w:color w:val="auto"/>
          <w:sz w:val="22"/>
          <w:szCs w:val="22"/>
          <w:shd w:val="clear" w:color="auto" w:fill="FFFFFF"/>
        </w:rPr>
        <w:t xml:space="preserve"> </w:t>
      </w:r>
      <w:r w:rsidRPr="00A120A9">
        <w:rPr>
          <w:rFonts w:asciiTheme="minorHAnsi" w:hAnsiTheme="minorHAnsi"/>
          <w:b w:val="0"/>
          <w:color w:val="auto"/>
          <w:sz w:val="22"/>
          <w:szCs w:val="22"/>
        </w:rPr>
        <w:t>A1: major allele, A2: minor allele</w:t>
      </w:r>
      <w:bookmarkEnd w:id="5"/>
      <w:bookmarkEnd w:id="6"/>
      <w:r w:rsidRPr="00A120A9">
        <w:rPr>
          <w:rFonts w:asciiTheme="minorHAnsi" w:hAnsiTheme="minorHAnsi"/>
          <w:b w:val="0"/>
          <w:color w:val="auto"/>
          <w:sz w:val="22"/>
          <w:szCs w:val="22"/>
        </w:rPr>
        <w:t xml:space="preserve">. </w:t>
      </w:r>
    </w:p>
    <w:p w:rsidR="001E41CE" w:rsidRPr="00A120A9" w:rsidRDefault="001E41CE" w:rsidP="00A63171">
      <w:pPr>
        <w:pStyle w:val="Caption"/>
        <w:spacing w:line="480" w:lineRule="auto"/>
        <w:rPr>
          <w:rFonts w:asciiTheme="minorHAnsi" w:hAnsiTheme="minorHAnsi"/>
          <w:color w:val="auto"/>
          <w:sz w:val="22"/>
          <w:szCs w:val="22"/>
        </w:rPr>
      </w:pPr>
      <w:r w:rsidRPr="00A120A9">
        <w:rPr>
          <w:rFonts w:asciiTheme="minorHAnsi" w:hAnsiTheme="minorHAnsi"/>
          <w:color w:val="auto"/>
          <w:sz w:val="22"/>
          <w:szCs w:val="22"/>
        </w:rPr>
        <w:lastRenderedPageBreak/>
        <w:t xml:space="preserve">Table 3. Multivariate Cox proportional hazards analysis of </w:t>
      </w:r>
      <w:r w:rsidR="00F63327" w:rsidRPr="00A120A9">
        <w:rPr>
          <w:rFonts w:asciiTheme="minorHAnsi" w:hAnsiTheme="minorHAnsi"/>
          <w:color w:val="auto"/>
          <w:sz w:val="22"/>
          <w:szCs w:val="22"/>
        </w:rPr>
        <w:t>the five</w:t>
      </w:r>
      <w:r w:rsidRPr="00A120A9">
        <w:rPr>
          <w:rFonts w:asciiTheme="minorHAnsi" w:hAnsiTheme="minorHAnsi"/>
          <w:color w:val="auto"/>
          <w:sz w:val="22"/>
          <w:szCs w:val="22"/>
        </w:rPr>
        <w:t xml:space="preserve"> </w:t>
      </w:r>
      <w:r w:rsidR="00F63327" w:rsidRPr="00A120A9">
        <w:rPr>
          <w:color w:val="auto"/>
          <w:sz w:val="22"/>
          <w:szCs w:val="22"/>
        </w:rPr>
        <w:t>11-dehydro TxB</w:t>
      </w:r>
      <w:r w:rsidR="00F63327" w:rsidRPr="00A120A9">
        <w:rPr>
          <w:color w:val="auto"/>
          <w:sz w:val="22"/>
          <w:szCs w:val="22"/>
          <w:vertAlign w:val="subscript"/>
        </w:rPr>
        <w:t>2</w:t>
      </w:r>
      <w:r w:rsidR="00F63327" w:rsidRPr="00A120A9">
        <w:rPr>
          <w:color w:val="auto"/>
          <w:sz w:val="22"/>
          <w:szCs w:val="22"/>
          <w:u w:val="single"/>
        </w:rPr>
        <w:t xml:space="preserve"> </w:t>
      </w:r>
      <w:r w:rsidRPr="00A120A9">
        <w:rPr>
          <w:rFonts w:asciiTheme="minorHAnsi" w:hAnsiTheme="minorHAnsi"/>
          <w:color w:val="auto"/>
          <w:sz w:val="22"/>
          <w:szCs w:val="22"/>
        </w:rPr>
        <w:t>-associated SNPs with a composite cardiovascular endpoint including all ischaemic cardiovascular events and procedures, including all significant covariates.</w:t>
      </w:r>
    </w:p>
    <w:tbl>
      <w:tblPr>
        <w:tblW w:w="6741" w:type="dxa"/>
        <w:tblInd w:w="93" w:type="dxa"/>
        <w:tblLook w:val="04A0" w:firstRow="1" w:lastRow="0" w:firstColumn="1" w:lastColumn="0" w:noHBand="0" w:noVBand="1"/>
      </w:tblPr>
      <w:tblGrid>
        <w:gridCol w:w="3941"/>
        <w:gridCol w:w="607"/>
        <w:gridCol w:w="1161"/>
        <w:gridCol w:w="1082"/>
      </w:tblGrid>
      <w:tr w:rsidR="00A120A9" w:rsidRPr="00A120A9" w:rsidTr="00A01E55">
        <w:trPr>
          <w:trHeight w:val="342"/>
        </w:trPr>
        <w:tc>
          <w:tcPr>
            <w:tcW w:w="6741" w:type="dxa"/>
            <w:gridSpan w:val="4"/>
            <w:tcBorders>
              <w:top w:val="single" w:sz="4" w:space="0" w:color="auto"/>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b/>
                <w:bCs/>
                <w:color w:val="auto"/>
                <w:sz w:val="22"/>
                <w:szCs w:val="22"/>
                <w:lang w:eastAsia="en-GB"/>
              </w:rPr>
            </w:pPr>
            <w:r w:rsidRPr="00A120A9">
              <w:rPr>
                <w:rFonts w:ascii="Calibri" w:hAnsi="Calibri" w:cs="Times New Roman"/>
                <w:b/>
                <w:bCs/>
                <w:color w:val="auto"/>
                <w:sz w:val="22"/>
                <w:szCs w:val="22"/>
                <w:lang w:eastAsia="en-GB"/>
              </w:rPr>
              <w:t>All subjects (n=6,199, 477 ischaemic cardiovascular events)</w:t>
            </w:r>
          </w:p>
        </w:tc>
      </w:tr>
      <w:tr w:rsidR="00A120A9" w:rsidRPr="00A120A9" w:rsidTr="00A01E55">
        <w:trPr>
          <w:trHeight w:val="342"/>
        </w:trPr>
        <w:tc>
          <w:tcPr>
            <w:tcW w:w="3941" w:type="dxa"/>
            <w:tcBorders>
              <w:top w:val="nil"/>
              <w:left w:val="nil"/>
              <w:bottom w:val="single" w:sz="4" w:space="0" w:color="auto"/>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 </w:t>
            </w:r>
          </w:p>
        </w:tc>
        <w:tc>
          <w:tcPr>
            <w:tcW w:w="557" w:type="dxa"/>
            <w:tcBorders>
              <w:top w:val="nil"/>
              <w:left w:val="nil"/>
              <w:bottom w:val="single" w:sz="4" w:space="0" w:color="auto"/>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color w:val="auto"/>
                <w:sz w:val="22"/>
                <w:szCs w:val="22"/>
                <w:lang w:eastAsia="en-GB"/>
              </w:rPr>
            </w:pPr>
            <w:r w:rsidRPr="00A120A9">
              <w:rPr>
                <w:rFonts w:ascii="Calibri" w:hAnsi="Calibri" w:cs="Times New Roman"/>
                <w:b/>
                <w:bCs/>
                <w:color w:val="auto"/>
                <w:sz w:val="22"/>
                <w:szCs w:val="22"/>
                <w:lang w:val="en-AU" w:eastAsia="en-GB"/>
              </w:rPr>
              <w:t xml:space="preserve">HR </w:t>
            </w:r>
          </w:p>
        </w:tc>
        <w:tc>
          <w:tcPr>
            <w:tcW w:w="1161" w:type="dxa"/>
            <w:tcBorders>
              <w:top w:val="nil"/>
              <w:left w:val="nil"/>
              <w:bottom w:val="single" w:sz="4" w:space="0" w:color="auto"/>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color w:val="auto"/>
                <w:sz w:val="22"/>
                <w:szCs w:val="22"/>
                <w:lang w:eastAsia="en-GB"/>
              </w:rPr>
            </w:pPr>
            <w:r w:rsidRPr="00A120A9">
              <w:rPr>
                <w:rFonts w:ascii="Calibri" w:hAnsi="Calibri" w:cs="Times New Roman"/>
                <w:b/>
                <w:bCs/>
                <w:color w:val="auto"/>
                <w:sz w:val="22"/>
                <w:szCs w:val="22"/>
                <w:lang w:val="en-AU" w:eastAsia="en-GB"/>
              </w:rPr>
              <w:t>95% CI</w:t>
            </w:r>
          </w:p>
        </w:tc>
        <w:tc>
          <w:tcPr>
            <w:tcW w:w="1082" w:type="dxa"/>
            <w:tcBorders>
              <w:top w:val="nil"/>
              <w:left w:val="nil"/>
              <w:bottom w:val="single" w:sz="4" w:space="0" w:color="auto"/>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b/>
                <w:bCs/>
                <w:i/>
                <w:iCs/>
                <w:color w:val="auto"/>
                <w:sz w:val="22"/>
                <w:szCs w:val="22"/>
                <w:lang w:eastAsia="en-GB"/>
              </w:rPr>
            </w:pPr>
            <w:r w:rsidRPr="00A120A9">
              <w:rPr>
                <w:rFonts w:ascii="Calibri" w:hAnsi="Calibri" w:cs="Times New Roman"/>
                <w:b/>
                <w:bCs/>
                <w:i/>
                <w:iCs/>
                <w:color w:val="auto"/>
                <w:sz w:val="22"/>
                <w:szCs w:val="22"/>
                <w:lang w:val="en-AU" w:eastAsia="en-GB"/>
              </w:rPr>
              <w:t xml:space="preserve">P </w:t>
            </w:r>
          </w:p>
        </w:tc>
      </w:tr>
      <w:tr w:rsidR="00A120A9" w:rsidRPr="00A120A9" w:rsidTr="00A01E55">
        <w:trPr>
          <w:trHeight w:val="342"/>
        </w:trPr>
        <w:tc>
          <w:tcPr>
            <w:tcW w:w="394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Age (yrs)</w:t>
            </w:r>
          </w:p>
        </w:tc>
        <w:tc>
          <w:tcPr>
            <w:tcW w:w="55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1.02</w:t>
            </w:r>
          </w:p>
        </w:tc>
        <w:tc>
          <w:tcPr>
            <w:tcW w:w="116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1.01-1.04</w:t>
            </w:r>
          </w:p>
        </w:tc>
        <w:tc>
          <w:tcPr>
            <w:tcW w:w="108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right"/>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7.70E-05</w:t>
            </w:r>
          </w:p>
        </w:tc>
      </w:tr>
      <w:tr w:rsidR="00A120A9" w:rsidRPr="00A120A9" w:rsidTr="00A01E55">
        <w:trPr>
          <w:trHeight w:val="342"/>
        </w:trPr>
        <w:tc>
          <w:tcPr>
            <w:tcW w:w="394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Male sex</w:t>
            </w:r>
          </w:p>
        </w:tc>
        <w:tc>
          <w:tcPr>
            <w:tcW w:w="55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1.54</w:t>
            </w:r>
          </w:p>
        </w:tc>
        <w:tc>
          <w:tcPr>
            <w:tcW w:w="116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1.17-2.02</w:t>
            </w:r>
          </w:p>
        </w:tc>
        <w:tc>
          <w:tcPr>
            <w:tcW w:w="108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right"/>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2.00E-03</w:t>
            </w:r>
          </w:p>
        </w:tc>
      </w:tr>
      <w:tr w:rsidR="00A120A9" w:rsidRPr="00A120A9" w:rsidTr="00A01E55">
        <w:trPr>
          <w:trHeight w:val="342"/>
        </w:trPr>
        <w:tc>
          <w:tcPr>
            <w:tcW w:w="394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Current smoker</w:t>
            </w:r>
          </w:p>
        </w:tc>
        <w:tc>
          <w:tcPr>
            <w:tcW w:w="55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1.43</w:t>
            </w:r>
          </w:p>
        </w:tc>
        <w:tc>
          <w:tcPr>
            <w:tcW w:w="116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1.17-1.74</w:t>
            </w:r>
          </w:p>
        </w:tc>
        <w:tc>
          <w:tcPr>
            <w:tcW w:w="108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right"/>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0.03</w:t>
            </w:r>
          </w:p>
        </w:tc>
      </w:tr>
      <w:tr w:rsidR="00A120A9" w:rsidRPr="00A120A9" w:rsidTr="00A01E55">
        <w:trPr>
          <w:trHeight w:val="342"/>
        </w:trPr>
        <w:tc>
          <w:tcPr>
            <w:tcW w:w="394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Type 2 diabetes</w:t>
            </w:r>
          </w:p>
        </w:tc>
        <w:tc>
          <w:tcPr>
            <w:tcW w:w="55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1.12</w:t>
            </w:r>
          </w:p>
        </w:tc>
        <w:tc>
          <w:tcPr>
            <w:tcW w:w="116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0.92-1.37</w:t>
            </w:r>
          </w:p>
        </w:tc>
        <w:tc>
          <w:tcPr>
            <w:tcW w:w="108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right"/>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5.30E-04</w:t>
            </w:r>
          </w:p>
        </w:tc>
      </w:tr>
      <w:tr w:rsidR="00A120A9" w:rsidRPr="00A120A9" w:rsidTr="00A01E55">
        <w:trPr>
          <w:trHeight w:val="342"/>
        </w:trPr>
        <w:tc>
          <w:tcPr>
            <w:tcW w:w="394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SBP (mmHg)</w:t>
            </w:r>
          </w:p>
        </w:tc>
        <w:tc>
          <w:tcPr>
            <w:tcW w:w="55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1.01</w:t>
            </w:r>
          </w:p>
        </w:tc>
        <w:tc>
          <w:tcPr>
            <w:tcW w:w="116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1.00-1.02</w:t>
            </w:r>
          </w:p>
        </w:tc>
        <w:tc>
          <w:tcPr>
            <w:tcW w:w="108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right"/>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0.06</w:t>
            </w:r>
          </w:p>
        </w:tc>
      </w:tr>
      <w:tr w:rsidR="00A120A9" w:rsidRPr="00A120A9" w:rsidTr="00A01E55">
        <w:trPr>
          <w:trHeight w:val="342"/>
        </w:trPr>
        <w:tc>
          <w:tcPr>
            <w:tcW w:w="394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BMI (kg/m</w:t>
            </w:r>
            <w:r w:rsidRPr="00A120A9">
              <w:rPr>
                <w:rFonts w:ascii="Calibri" w:hAnsi="Calibri" w:cs="Times New Roman"/>
                <w:color w:val="auto"/>
                <w:sz w:val="22"/>
                <w:szCs w:val="22"/>
                <w:vertAlign w:val="superscript"/>
                <w:lang w:val="en-AU" w:eastAsia="en-GB"/>
              </w:rPr>
              <w:t>2</w:t>
            </w:r>
            <w:r w:rsidRPr="00A120A9">
              <w:rPr>
                <w:rFonts w:ascii="Calibri" w:hAnsi="Calibri" w:cs="Times New Roman"/>
                <w:color w:val="auto"/>
                <w:sz w:val="22"/>
                <w:szCs w:val="22"/>
                <w:lang w:val="en-AU" w:eastAsia="en-GB"/>
              </w:rPr>
              <w:t>)</w:t>
            </w:r>
          </w:p>
        </w:tc>
        <w:tc>
          <w:tcPr>
            <w:tcW w:w="55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0.98</w:t>
            </w:r>
          </w:p>
        </w:tc>
        <w:tc>
          <w:tcPr>
            <w:tcW w:w="116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0.95-1.00</w:t>
            </w:r>
          </w:p>
        </w:tc>
        <w:tc>
          <w:tcPr>
            <w:tcW w:w="108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right"/>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0.25</w:t>
            </w:r>
          </w:p>
        </w:tc>
      </w:tr>
      <w:tr w:rsidR="00A120A9" w:rsidRPr="00A120A9" w:rsidTr="00A01E55">
        <w:trPr>
          <w:trHeight w:val="342"/>
        </w:trPr>
        <w:tc>
          <w:tcPr>
            <w:tcW w:w="394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HDL (mmol/L)</w:t>
            </w:r>
          </w:p>
        </w:tc>
        <w:tc>
          <w:tcPr>
            <w:tcW w:w="55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0.44</w:t>
            </w:r>
          </w:p>
        </w:tc>
        <w:tc>
          <w:tcPr>
            <w:tcW w:w="116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0.31-0.62</w:t>
            </w:r>
          </w:p>
        </w:tc>
        <w:tc>
          <w:tcPr>
            <w:tcW w:w="108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right"/>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8.90E-05</w:t>
            </w:r>
          </w:p>
        </w:tc>
      </w:tr>
      <w:tr w:rsidR="00A120A9" w:rsidRPr="00A120A9" w:rsidTr="00A01E55">
        <w:trPr>
          <w:trHeight w:val="342"/>
        </w:trPr>
        <w:tc>
          <w:tcPr>
            <w:tcW w:w="394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LDL (mmol/L)</w:t>
            </w:r>
          </w:p>
        </w:tc>
        <w:tc>
          <w:tcPr>
            <w:tcW w:w="55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1.21</w:t>
            </w:r>
          </w:p>
        </w:tc>
        <w:tc>
          <w:tcPr>
            <w:tcW w:w="116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1.10-1.34</w:t>
            </w:r>
          </w:p>
        </w:tc>
        <w:tc>
          <w:tcPr>
            <w:tcW w:w="108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right"/>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1.80E-06</w:t>
            </w:r>
          </w:p>
        </w:tc>
      </w:tr>
      <w:tr w:rsidR="00A120A9" w:rsidRPr="00A120A9" w:rsidTr="00A01E55">
        <w:trPr>
          <w:trHeight w:val="342"/>
        </w:trPr>
        <w:tc>
          <w:tcPr>
            <w:tcW w:w="394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Amlodipine treatment</w:t>
            </w:r>
          </w:p>
        </w:tc>
        <w:tc>
          <w:tcPr>
            <w:tcW w:w="55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0.82</w:t>
            </w:r>
          </w:p>
        </w:tc>
        <w:tc>
          <w:tcPr>
            <w:tcW w:w="116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0.68-0.98</w:t>
            </w:r>
          </w:p>
        </w:tc>
        <w:tc>
          <w:tcPr>
            <w:tcW w:w="108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right"/>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1.40E-04</w:t>
            </w:r>
          </w:p>
        </w:tc>
      </w:tr>
      <w:tr w:rsidR="00A120A9" w:rsidRPr="00A120A9" w:rsidTr="00A01E55">
        <w:trPr>
          <w:trHeight w:val="342"/>
        </w:trPr>
        <w:tc>
          <w:tcPr>
            <w:tcW w:w="394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Aspirin use</w:t>
            </w:r>
          </w:p>
        </w:tc>
        <w:tc>
          <w:tcPr>
            <w:tcW w:w="55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4.68</w:t>
            </w:r>
          </w:p>
        </w:tc>
        <w:tc>
          <w:tcPr>
            <w:tcW w:w="116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3.84-5.71</w:t>
            </w:r>
          </w:p>
        </w:tc>
        <w:tc>
          <w:tcPr>
            <w:tcW w:w="108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right"/>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&lt; 2e-16</w:t>
            </w:r>
          </w:p>
        </w:tc>
      </w:tr>
      <w:tr w:rsidR="00A120A9" w:rsidRPr="00A120A9" w:rsidTr="00A01E55">
        <w:trPr>
          <w:trHeight w:val="342"/>
        </w:trPr>
        <w:tc>
          <w:tcPr>
            <w:tcW w:w="394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UK/Ireland cohort</w:t>
            </w:r>
          </w:p>
        </w:tc>
        <w:tc>
          <w:tcPr>
            <w:tcW w:w="55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0.56</w:t>
            </w:r>
          </w:p>
        </w:tc>
        <w:tc>
          <w:tcPr>
            <w:tcW w:w="116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0.45-0.68</w:t>
            </w:r>
          </w:p>
        </w:tc>
        <w:tc>
          <w:tcPr>
            <w:tcW w:w="108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right"/>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2.10E-08</w:t>
            </w:r>
          </w:p>
        </w:tc>
      </w:tr>
      <w:tr w:rsidR="00A120A9" w:rsidRPr="00A120A9" w:rsidTr="00A01E55">
        <w:trPr>
          <w:trHeight w:val="342"/>
        </w:trPr>
        <w:tc>
          <w:tcPr>
            <w:tcW w:w="394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rs4235745 (per minor (T) allele)</w:t>
            </w:r>
          </w:p>
        </w:tc>
        <w:tc>
          <w:tcPr>
            <w:tcW w:w="55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0.84</w:t>
            </w:r>
          </w:p>
        </w:tc>
        <w:tc>
          <w:tcPr>
            <w:tcW w:w="116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0.71-0.99</w:t>
            </w:r>
          </w:p>
        </w:tc>
        <w:tc>
          <w:tcPr>
            <w:tcW w:w="108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right"/>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0.96</w:t>
            </w:r>
          </w:p>
        </w:tc>
      </w:tr>
      <w:tr w:rsidR="00A120A9" w:rsidRPr="00A120A9" w:rsidTr="00A01E55">
        <w:trPr>
          <w:trHeight w:val="342"/>
        </w:trPr>
        <w:tc>
          <w:tcPr>
            <w:tcW w:w="394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rs32582 (per minor (A) allele)</w:t>
            </w:r>
          </w:p>
        </w:tc>
        <w:tc>
          <w:tcPr>
            <w:tcW w:w="55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1.00</w:t>
            </w:r>
          </w:p>
        </w:tc>
        <w:tc>
          <w:tcPr>
            <w:tcW w:w="116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0.82-1.21</w:t>
            </w:r>
          </w:p>
        </w:tc>
        <w:tc>
          <w:tcPr>
            <w:tcW w:w="108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right"/>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0.48</w:t>
            </w:r>
          </w:p>
        </w:tc>
      </w:tr>
      <w:tr w:rsidR="00A120A9" w:rsidRPr="00A120A9" w:rsidTr="00A01E55">
        <w:trPr>
          <w:trHeight w:val="342"/>
        </w:trPr>
        <w:tc>
          <w:tcPr>
            <w:tcW w:w="394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rs10515638 (per minor (T) allele)</w:t>
            </w:r>
          </w:p>
        </w:tc>
        <w:tc>
          <w:tcPr>
            <w:tcW w:w="55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1.31</w:t>
            </w:r>
          </w:p>
        </w:tc>
        <w:tc>
          <w:tcPr>
            <w:tcW w:w="116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1.08-1.58</w:t>
            </w:r>
          </w:p>
        </w:tc>
        <w:tc>
          <w:tcPr>
            <w:tcW w:w="108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right"/>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0.01</w:t>
            </w:r>
          </w:p>
        </w:tc>
      </w:tr>
      <w:tr w:rsidR="00A120A9" w:rsidRPr="00A120A9" w:rsidTr="00A01E55">
        <w:trPr>
          <w:trHeight w:val="342"/>
        </w:trPr>
        <w:tc>
          <w:tcPr>
            <w:tcW w:w="394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rs10510230 (per minor (C) allele)</w:t>
            </w:r>
          </w:p>
        </w:tc>
        <w:tc>
          <w:tcPr>
            <w:tcW w:w="55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1.25</w:t>
            </w:r>
          </w:p>
        </w:tc>
        <w:tc>
          <w:tcPr>
            <w:tcW w:w="116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1.08-1.46</w:t>
            </w:r>
          </w:p>
        </w:tc>
        <w:tc>
          <w:tcPr>
            <w:tcW w:w="108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right"/>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6.90E-03</w:t>
            </w:r>
          </w:p>
        </w:tc>
      </w:tr>
      <w:tr w:rsidR="00A120A9" w:rsidRPr="00A120A9" w:rsidTr="00A01E55">
        <w:trPr>
          <w:trHeight w:val="342"/>
        </w:trPr>
        <w:tc>
          <w:tcPr>
            <w:tcW w:w="394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rs4684343 (per minor (G) allele)</w:t>
            </w:r>
          </w:p>
        </w:tc>
        <w:tc>
          <w:tcPr>
            <w:tcW w:w="557"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1.04</w:t>
            </w:r>
          </w:p>
        </w:tc>
        <w:tc>
          <w:tcPr>
            <w:tcW w:w="1161"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center"/>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0.93-1.17</w:t>
            </w:r>
          </w:p>
        </w:tc>
        <w:tc>
          <w:tcPr>
            <w:tcW w:w="1082" w:type="dxa"/>
            <w:tcBorders>
              <w:top w:val="nil"/>
              <w:left w:val="nil"/>
              <w:bottom w:val="nil"/>
              <w:right w:val="nil"/>
            </w:tcBorders>
            <w:shd w:val="clear" w:color="000000" w:fill="FFFFFF"/>
            <w:noWrap/>
            <w:vAlign w:val="center"/>
            <w:hideMark/>
          </w:tcPr>
          <w:p w:rsidR="001E41CE" w:rsidRPr="00A120A9" w:rsidRDefault="001E41CE" w:rsidP="00A63171">
            <w:pPr>
              <w:tabs>
                <w:tab w:val="clear" w:pos="720"/>
              </w:tabs>
              <w:suppressAutoHyphens w:val="0"/>
              <w:spacing w:line="480" w:lineRule="auto"/>
              <w:jc w:val="right"/>
              <w:rPr>
                <w:rFonts w:ascii="Calibri" w:hAnsi="Calibri" w:cs="Times New Roman"/>
                <w:color w:val="auto"/>
                <w:sz w:val="22"/>
                <w:szCs w:val="22"/>
                <w:lang w:eastAsia="en-GB"/>
              </w:rPr>
            </w:pPr>
            <w:r w:rsidRPr="00A120A9">
              <w:rPr>
                <w:rFonts w:ascii="Calibri" w:hAnsi="Calibri" w:cs="Times New Roman"/>
                <w:color w:val="auto"/>
                <w:sz w:val="22"/>
                <w:szCs w:val="22"/>
                <w:lang w:val="en-AU" w:eastAsia="en-GB"/>
              </w:rPr>
              <w:t>0.28</w:t>
            </w:r>
          </w:p>
        </w:tc>
      </w:tr>
      <w:tr w:rsidR="00A120A9" w:rsidRPr="00A120A9" w:rsidTr="00A01E55">
        <w:trPr>
          <w:trHeight w:val="499"/>
        </w:trPr>
        <w:tc>
          <w:tcPr>
            <w:tcW w:w="6741" w:type="dxa"/>
            <w:gridSpan w:val="4"/>
            <w:tcBorders>
              <w:top w:val="single" w:sz="4" w:space="0" w:color="auto"/>
              <w:left w:val="nil"/>
              <w:bottom w:val="single" w:sz="4" w:space="0" w:color="auto"/>
              <w:right w:val="nil"/>
            </w:tcBorders>
            <w:shd w:val="clear" w:color="auto" w:fill="auto"/>
            <w:vAlign w:val="bottom"/>
            <w:hideMark/>
          </w:tcPr>
          <w:p w:rsidR="001E41CE" w:rsidRPr="00A120A9" w:rsidRDefault="001E41CE" w:rsidP="00A63171">
            <w:pPr>
              <w:tabs>
                <w:tab w:val="clear" w:pos="720"/>
              </w:tabs>
              <w:suppressAutoHyphens w:val="0"/>
              <w:spacing w:line="480" w:lineRule="auto"/>
              <w:rPr>
                <w:rFonts w:ascii="Calibri" w:hAnsi="Calibri" w:cs="Times New Roman"/>
                <w:color w:val="auto"/>
                <w:sz w:val="22"/>
                <w:szCs w:val="22"/>
                <w:lang w:eastAsia="en-GB"/>
              </w:rPr>
            </w:pPr>
            <w:r w:rsidRPr="00A120A9">
              <w:rPr>
                <w:rFonts w:ascii="Calibri" w:hAnsi="Calibri" w:cs="Times New Roman"/>
                <w:color w:val="auto"/>
                <w:sz w:val="22"/>
                <w:szCs w:val="22"/>
                <w:lang w:eastAsia="en-GB"/>
              </w:rPr>
              <w:t>LRT comparison with covariates-only model:  chisq 14.7 on 5 df, p= 0.01</w:t>
            </w:r>
          </w:p>
        </w:tc>
      </w:tr>
    </w:tbl>
    <w:p w:rsidR="001E41CE" w:rsidRPr="00A120A9" w:rsidRDefault="001E41CE" w:rsidP="00A63171">
      <w:pPr>
        <w:spacing w:line="480" w:lineRule="auto"/>
        <w:rPr>
          <w:rFonts w:asciiTheme="minorHAnsi" w:hAnsiTheme="minorHAnsi" w:cs="Times New Roman"/>
          <w:color w:val="auto"/>
          <w:sz w:val="22"/>
          <w:szCs w:val="22"/>
        </w:rPr>
      </w:pPr>
      <w:r w:rsidRPr="00A120A9">
        <w:rPr>
          <w:rFonts w:asciiTheme="minorHAnsi" w:hAnsiTheme="minorHAnsi" w:cs="Times New Roman"/>
          <w:color w:val="auto"/>
          <w:sz w:val="22"/>
          <w:szCs w:val="22"/>
        </w:rPr>
        <w:t xml:space="preserve">The primary endpoint was a composite endpoint including all ischaemic cardiovascular events and procedures, defined as any of: fatal and non-fatal MI, fatal and non-fatal heart failure, fatal and non-fatal ischaemic stroke and transient ischaemic attack, angina (stable and unstable), peripheral arterial disease, revascularization procedures, and retinal vascular thrombosis. The Cox proportional </w:t>
      </w:r>
      <w:r w:rsidRPr="00A120A9">
        <w:rPr>
          <w:rFonts w:asciiTheme="minorHAnsi" w:hAnsiTheme="minorHAnsi" w:cs="Times New Roman"/>
          <w:color w:val="auto"/>
          <w:sz w:val="22"/>
          <w:szCs w:val="22"/>
        </w:rPr>
        <w:lastRenderedPageBreak/>
        <w:t>hazards model included all SNP genotypes and all covariates. Chisq (chi squared) comparison of the log likelihoods of the genotype and the covariates-only models shows addition of genotypes significantly improves the model. Df: degrees of freedom. SNP statistics are based a one-tailed test; where the observed direction of effect is opposite to that predicted, 1-</w:t>
      </w:r>
      <w:r w:rsidRPr="00A120A9">
        <w:rPr>
          <w:rFonts w:asciiTheme="minorHAnsi" w:hAnsiTheme="minorHAnsi" w:cs="Times New Roman"/>
          <w:i/>
          <w:color w:val="auto"/>
          <w:sz w:val="22"/>
          <w:szCs w:val="22"/>
        </w:rPr>
        <w:t>P</w:t>
      </w:r>
      <w:r w:rsidRPr="00A120A9">
        <w:rPr>
          <w:rFonts w:asciiTheme="minorHAnsi" w:hAnsiTheme="minorHAnsi" w:cs="Times New Roman"/>
          <w:color w:val="auto"/>
          <w:sz w:val="22"/>
          <w:szCs w:val="22"/>
        </w:rPr>
        <w:t xml:space="preserve"> is reported and 95% CI excludes the lower 5% of the distribution. For all SNPs, minor alleles were associated with increased 11-dehydro TxB</w:t>
      </w:r>
      <w:r w:rsidRPr="00A120A9">
        <w:rPr>
          <w:rFonts w:asciiTheme="minorHAnsi" w:hAnsiTheme="minorHAnsi" w:cs="Times New Roman"/>
          <w:color w:val="auto"/>
          <w:sz w:val="22"/>
          <w:szCs w:val="22"/>
          <w:vertAlign w:val="subscript"/>
        </w:rPr>
        <w:t>2</w:t>
      </w:r>
      <w:r w:rsidRPr="00A120A9">
        <w:rPr>
          <w:rFonts w:asciiTheme="minorHAnsi" w:hAnsiTheme="minorHAnsi" w:cs="Times New Roman"/>
          <w:color w:val="auto"/>
          <w:sz w:val="22"/>
          <w:szCs w:val="22"/>
        </w:rPr>
        <w:t>. SBP: systolic blood pressure. BMI: body mass index. HDL: high density lipoprotein cholesterol. LDL: low density lipoprotein cholesterol. Amlodipine treatment group: membership of amlodipine (vs atenolol) regime. UK/Ireland: UK/Ireland: UK/Ireland (vs Scandinavian) centres</w:t>
      </w:r>
      <w:r w:rsidRPr="00A120A9" w:rsidDel="00D1701C">
        <w:rPr>
          <w:rFonts w:asciiTheme="minorHAnsi" w:hAnsiTheme="minorHAnsi" w:cs="Times New Roman"/>
          <w:color w:val="auto"/>
          <w:sz w:val="22"/>
          <w:szCs w:val="22"/>
        </w:rPr>
        <w:t xml:space="preserve"> </w:t>
      </w:r>
      <w:r w:rsidRPr="00A120A9">
        <w:rPr>
          <w:rFonts w:asciiTheme="minorHAnsi" w:hAnsiTheme="minorHAnsi" w:cs="Times New Roman"/>
          <w:color w:val="auto"/>
          <w:sz w:val="22"/>
          <w:szCs w:val="22"/>
        </w:rPr>
        <w:t>participants at UK/Ireland centres vs Scandinavian participants. LRT: likelihood ratio test.</w:t>
      </w: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pPr>
    </w:p>
    <w:p w:rsidR="001E41CE" w:rsidRPr="00A120A9" w:rsidRDefault="001E41CE" w:rsidP="00A63171">
      <w:pPr>
        <w:spacing w:line="480" w:lineRule="auto"/>
        <w:rPr>
          <w:rFonts w:asciiTheme="minorHAnsi" w:hAnsiTheme="minorHAnsi" w:cs="Times New Roman"/>
          <w:color w:val="auto"/>
          <w:sz w:val="22"/>
          <w:szCs w:val="22"/>
        </w:rPr>
        <w:sectPr w:rsidR="001E41CE" w:rsidRPr="00A120A9" w:rsidSect="007540F7">
          <w:pgSz w:w="11906" w:h="16838"/>
          <w:pgMar w:top="1440" w:right="1440" w:bottom="1440" w:left="1440" w:header="708" w:footer="708" w:gutter="0"/>
          <w:cols w:space="708"/>
          <w:docGrid w:linePitch="360"/>
        </w:sectPr>
      </w:pPr>
    </w:p>
    <w:p w:rsidR="001E41CE" w:rsidRPr="00A120A9" w:rsidRDefault="001E41CE" w:rsidP="00A63171">
      <w:pPr>
        <w:spacing w:line="480" w:lineRule="auto"/>
        <w:rPr>
          <w:rFonts w:asciiTheme="minorHAnsi" w:hAnsiTheme="minorHAnsi" w:cs="Times New Roman"/>
          <w:b/>
          <w:color w:val="auto"/>
          <w:sz w:val="22"/>
          <w:szCs w:val="22"/>
          <w:u w:val="single"/>
        </w:rPr>
      </w:pPr>
      <w:r w:rsidRPr="00A120A9">
        <w:rPr>
          <w:rFonts w:asciiTheme="minorHAnsi" w:hAnsiTheme="minorHAnsi" w:cs="Times New Roman"/>
          <w:b/>
          <w:color w:val="auto"/>
          <w:sz w:val="22"/>
          <w:szCs w:val="22"/>
          <w:u w:val="single"/>
        </w:rPr>
        <w:lastRenderedPageBreak/>
        <w:t>Figures</w:t>
      </w:r>
    </w:p>
    <w:p w:rsidR="001E41CE" w:rsidRPr="00A120A9" w:rsidRDefault="001E41CE" w:rsidP="00A63171">
      <w:pPr>
        <w:spacing w:line="480" w:lineRule="auto"/>
        <w:rPr>
          <w:rFonts w:asciiTheme="minorHAnsi" w:hAnsiTheme="minorHAnsi" w:cs="Times New Roman"/>
          <w:b/>
          <w:color w:val="auto"/>
          <w:sz w:val="22"/>
          <w:szCs w:val="22"/>
          <w:u w:val="single"/>
        </w:rPr>
      </w:pPr>
      <w:r w:rsidRPr="00A120A9">
        <w:rPr>
          <w:rFonts w:asciiTheme="minorHAnsi" w:hAnsiTheme="minorHAnsi" w:cs="Times New Roman"/>
          <w:b/>
          <w:noProof/>
          <w:color w:val="auto"/>
          <w:sz w:val="22"/>
          <w:szCs w:val="22"/>
          <w:u w:val="single"/>
          <w:lang w:eastAsia="en-GB"/>
        </w:rPr>
        <w:drawing>
          <wp:inline distT="0" distB="0" distL="0" distR="0" wp14:anchorId="5DE5F006" wp14:editId="59360B85">
            <wp:extent cx="9334800" cy="5241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HP_joint.jpg"/>
                    <pic:cNvPicPr/>
                  </pic:nvPicPr>
                  <pic:blipFill>
                    <a:blip r:embed="rId13">
                      <a:extLst>
                        <a:ext uri="{28A0092B-C50C-407E-A947-70E740481C1C}">
                          <a14:useLocalDpi xmlns:a14="http://schemas.microsoft.com/office/drawing/2010/main" val="0"/>
                        </a:ext>
                      </a:extLst>
                    </a:blip>
                    <a:stretch>
                      <a:fillRect/>
                    </a:stretch>
                  </pic:blipFill>
                  <pic:spPr>
                    <a:xfrm>
                      <a:off x="0" y="0"/>
                      <a:ext cx="9334800" cy="5241600"/>
                    </a:xfrm>
                    <a:prstGeom prst="rect">
                      <a:avLst/>
                    </a:prstGeom>
                  </pic:spPr>
                </pic:pic>
              </a:graphicData>
            </a:graphic>
          </wp:inline>
        </w:drawing>
      </w:r>
    </w:p>
    <w:p w:rsidR="001E41CE" w:rsidRPr="00A120A9" w:rsidRDefault="001E41CE" w:rsidP="00A63171">
      <w:pPr>
        <w:pStyle w:val="Caption"/>
        <w:spacing w:line="480" w:lineRule="auto"/>
        <w:rPr>
          <w:rFonts w:asciiTheme="minorHAnsi" w:hAnsiTheme="minorHAnsi"/>
          <w:noProof/>
          <w:color w:val="auto"/>
          <w:sz w:val="22"/>
          <w:szCs w:val="22"/>
          <w:lang w:val="en-GB" w:eastAsia="en-GB"/>
        </w:rPr>
      </w:pPr>
      <w:r w:rsidRPr="00A120A9">
        <w:rPr>
          <w:rFonts w:asciiTheme="minorHAnsi" w:hAnsiTheme="minorHAnsi"/>
          <w:color w:val="auto"/>
          <w:sz w:val="22"/>
          <w:szCs w:val="22"/>
        </w:rPr>
        <w:lastRenderedPageBreak/>
        <w:t>Figure 1.</w:t>
      </w:r>
      <w:r w:rsidRPr="00A120A9">
        <w:rPr>
          <w:rFonts w:asciiTheme="minorHAnsi" w:hAnsiTheme="minorHAnsi"/>
          <w:b w:val="0"/>
          <w:color w:val="auto"/>
          <w:sz w:val="22"/>
          <w:szCs w:val="22"/>
        </w:rPr>
        <w:t xml:space="preserve"> </w:t>
      </w:r>
      <w:r w:rsidRPr="00A120A9">
        <w:rPr>
          <w:rFonts w:asciiTheme="minorHAnsi" w:hAnsiTheme="minorHAnsi"/>
          <w:color w:val="auto"/>
          <w:sz w:val="22"/>
          <w:szCs w:val="22"/>
        </w:rPr>
        <w:t>Association with 11-dehydro TxB</w:t>
      </w:r>
      <w:r w:rsidRPr="00A120A9">
        <w:rPr>
          <w:rFonts w:asciiTheme="minorHAnsi" w:hAnsiTheme="minorHAnsi"/>
          <w:color w:val="auto"/>
          <w:sz w:val="22"/>
          <w:szCs w:val="22"/>
          <w:vertAlign w:val="subscript"/>
        </w:rPr>
        <w:t xml:space="preserve">2 </w:t>
      </w:r>
      <w:r w:rsidRPr="00A120A9">
        <w:rPr>
          <w:rFonts w:asciiTheme="minorHAnsi" w:hAnsiTheme="minorHAnsi"/>
          <w:color w:val="auto"/>
          <w:sz w:val="22"/>
          <w:szCs w:val="22"/>
        </w:rPr>
        <w:t>for the</w:t>
      </w:r>
      <w:r w:rsidRPr="00A120A9">
        <w:rPr>
          <w:rFonts w:asciiTheme="minorHAnsi" w:hAnsiTheme="minorHAnsi"/>
          <w:color w:val="auto"/>
          <w:sz w:val="22"/>
          <w:szCs w:val="22"/>
          <w:vertAlign w:val="subscript"/>
        </w:rPr>
        <w:t xml:space="preserve"> </w:t>
      </w:r>
      <w:r w:rsidRPr="00A120A9">
        <w:rPr>
          <w:rFonts w:asciiTheme="minorHAnsi" w:hAnsiTheme="minorHAnsi"/>
          <w:color w:val="auto"/>
          <w:sz w:val="22"/>
          <w:szCs w:val="22"/>
        </w:rPr>
        <w:t>31,570 SNPs (MAF≥0.05) on the CVD50K chip (A) and 2,031,499 SNPs (MAF≥0.05) on the CNV370 chip (B)</w:t>
      </w:r>
      <w:r w:rsidRPr="00A120A9">
        <w:rPr>
          <w:rFonts w:asciiTheme="minorHAnsi" w:hAnsiTheme="minorHAnsi"/>
          <w:b w:val="0"/>
          <w:color w:val="auto"/>
          <w:sz w:val="22"/>
          <w:szCs w:val="22"/>
        </w:rPr>
        <w:t xml:space="preserve">. X-axis: chromosomal location. All SNP associations were adjusted for age, sex, smoking habit, diabetes, systolic blood pressure, BMI, HDL, LDL, aspirin and anti-hypertensive regimen. The lower dashed line is the threshold for ‘suggestive’ association (P&lt;1E-03), and the upper dashed line is the Bonferroni threshold for significance (P&lt;2.4E-06 for the CNV50K chip and P=1.8E-07 for the CNV370K chip). The most strongly associated locus in all subjects on the CVD50K chip, </w:t>
      </w:r>
      <w:r w:rsidRPr="00A120A9">
        <w:rPr>
          <w:rFonts w:asciiTheme="minorHAnsi" w:hAnsiTheme="minorHAnsi"/>
          <w:b w:val="0"/>
          <w:i/>
          <w:color w:val="auto"/>
          <w:sz w:val="22"/>
          <w:szCs w:val="22"/>
        </w:rPr>
        <w:t>PPARGC1B</w:t>
      </w:r>
      <w:r w:rsidRPr="00A120A9">
        <w:rPr>
          <w:rFonts w:asciiTheme="minorHAnsi" w:hAnsiTheme="minorHAnsi"/>
          <w:b w:val="0"/>
          <w:color w:val="auto"/>
          <w:sz w:val="22"/>
          <w:szCs w:val="22"/>
        </w:rPr>
        <w:t xml:space="preserve">, is coloured in red and on the </w:t>
      </w:r>
      <w:bookmarkStart w:id="7" w:name="_Ref429326097"/>
      <w:bookmarkStart w:id="8" w:name="_Ref442387855"/>
      <w:r w:rsidRPr="00A120A9">
        <w:rPr>
          <w:rFonts w:asciiTheme="minorHAnsi" w:hAnsiTheme="minorHAnsi"/>
          <w:b w:val="0"/>
          <w:color w:val="auto"/>
          <w:sz w:val="22"/>
          <w:szCs w:val="22"/>
        </w:rPr>
        <w:t>CNV370 chip</w:t>
      </w:r>
      <w:r w:rsidRPr="00A120A9">
        <w:rPr>
          <w:rFonts w:asciiTheme="minorHAnsi" w:hAnsiTheme="minorHAnsi"/>
          <w:color w:val="auto"/>
          <w:sz w:val="22"/>
          <w:szCs w:val="22"/>
        </w:rPr>
        <w:t xml:space="preserve">, </w:t>
      </w:r>
      <w:r w:rsidRPr="00A120A9">
        <w:rPr>
          <w:rFonts w:asciiTheme="minorHAnsi" w:hAnsiTheme="minorHAnsi"/>
          <w:b w:val="0"/>
          <w:i/>
          <w:color w:val="auto"/>
          <w:sz w:val="22"/>
          <w:szCs w:val="22"/>
        </w:rPr>
        <w:t>CNTN4</w:t>
      </w:r>
      <w:r w:rsidRPr="00A120A9">
        <w:rPr>
          <w:rFonts w:asciiTheme="minorHAnsi" w:hAnsiTheme="minorHAnsi"/>
          <w:b w:val="0"/>
          <w:color w:val="auto"/>
          <w:sz w:val="22"/>
          <w:szCs w:val="22"/>
        </w:rPr>
        <w:t>, is coloured in blue.</w:t>
      </w:r>
    </w:p>
    <w:p w:rsidR="001E41CE" w:rsidRPr="00A120A9" w:rsidRDefault="001E41CE" w:rsidP="00A63171">
      <w:pPr>
        <w:pStyle w:val="Caption"/>
        <w:spacing w:line="480" w:lineRule="auto"/>
        <w:rPr>
          <w:rFonts w:asciiTheme="minorHAnsi" w:hAnsiTheme="minorHAnsi"/>
          <w:noProof/>
          <w:color w:val="auto"/>
          <w:sz w:val="22"/>
          <w:szCs w:val="22"/>
          <w:lang w:val="en-GB" w:eastAsia="en-GB"/>
        </w:rPr>
        <w:sectPr w:rsidR="001E41CE" w:rsidRPr="00A120A9" w:rsidSect="007540F7">
          <w:pgSz w:w="16838" w:h="11906" w:orient="landscape"/>
          <w:pgMar w:top="1440" w:right="1440" w:bottom="1440" w:left="1440" w:header="708" w:footer="708" w:gutter="0"/>
          <w:cols w:space="708"/>
          <w:docGrid w:linePitch="360"/>
        </w:sectPr>
      </w:pPr>
    </w:p>
    <w:bookmarkEnd w:id="7"/>
    <w:bookmarkEnd w:id="8"/>
    <w:p w:rsidR="001E41CE" w:rsidRPr="00A120A9" w:rsidRDefault="001E41CE" w:rsidP="00A63171">
      <w:pPr>
        <w:pStyle w:val="Caption"/>
        <w:spacing w:line="480" w:lineRule="auto"/>
        <w:rPr>
          <w:rFonts w:asciiTheme="minorHAnsi" w:hAnsiTheme="minorHAnsi"/>
          <w:color w:val="auto"/>
          <w:sz w:val="22"/>
          <w:szCs w:val="22"/>
          <w:lang w:eastAsia="en-AU"/>
        </w:rPr>
      </w:pPr>
      <w:r w:rsidRPr="00A120A9">
        <w:rPr>
          <w:rFonts w:asciiTheme="minorHAnsi" w:hAnsiTheme="minorHAnsi"/>
          <w:noProof/>
          <w:color w:val="auto"/>
          <w:sz w:val="22"/>
          <w:szCs w:val="22"/>
          <w:lang w:val="en-GB" w:eastAsia="en-GB"/>
        </w:rPr>
        <w:lastRenderedPageBreak/>
        <w:drawing>
          <wp:inline distT="0" distB="0" distL="0" distR="0" wp14:anchorId="0964C06A" wp14:editId="793666D7">
            <wp:extent cx="4676400" cy="6134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3_NMcC.tif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676400" cy="6134400"/>
                    </a:xfrm>
                    <a:prstGeom prst="rect">
                      <a:avLst/>
                    </a:prstGeom>
                  </pic:spPr>
                </pic:pic>
              </a:graphicData>
            </a:graphic>
          </wp:inline>
        </w:drawing>
      </w:r>
    </w:p>
    <w:p w:rsidR="001E41CE" w:rsidRPr="00A120A9" w:rsidRDefault="001E41CE" w:rsidP="00A63171">
      <w:pPr>
        <w:pStyle w:val="Caption"/>
        <w:spacing w:line="480" w:lineRule="auto"/>
        <w:rPr>
          <w:rFonts w:asciiTheme="minorHAnsi" w:hAnsiTheme="minorHAnsi"/>
          <w:b w:val="0"/>
          <w:color w:val="auto"/>
          <w:sz w:val="22"/>
          <w:szCs w:val="22"/>
        </w:rPr>
      </w:pPr>
      <w:r w:rsidRPr="00A120A9">
        <w:rPr>
          <w:rFonts w:asciiTheme="minorHAnsi" w:hAnsiTheme="minorHAnsi"/>
          <w:color w:val="auto"/>
          <w:sz w:val="22"/>
          <w:szCs w:val="22"/>
        </w:rPr>
        <w:t xml:space="preserve">Figure 2. Kaplan Meier plot of survival by genotype for the two SNPs independently associated with cardiovascular event-free survival, rs10515638 (PPARGC1B) and rs10510230 (CNTN4). </w:t>
      </w:r>
      <w:r w:rsidRPr="00A120A9">
        <w:rPr>
          <w:rFonts w:asciiTheme="minorHAnsi" w:hAnsiTheme="minorHAnsi"/>
          <w:b w:val="0"/>
          <w:color w:val="auto"/>
          <w:sz w:val="22"/>
          <w:szCs w:val="22"/>
        </w:rPr>
        <w:t xml:space="preserve">‘Carriers’: carriers of one or more minor allele. ‘Non carriers’: major allele homozygotes. HR: Hazard ratio for the SNP in the multivariate Cox proportional hazards analysis and corresponding </w:t>
      </w:r>
      <w:r w:rsidRPr="00A120A9">
        <w:rPr>
          <w:rFonts w:asciiTheme="minorHAnsi" w:hAnsiTheme="minorHAnsi"/>
          <w:b w:val="0"/>
          <w:i/>
          <w:color w:val="auto"/>
          <w:sz w:val="22"/>
          <w:szCs w:val="22"/>
        </w:rPr>
        <w:t>P</w:t>
      </w:r>
      <w:r w:rsidRPr="00A120A9">
        <w:rPr>
          <w:rFonts w:asciiTheme="minorHAnsi" w:hAnsiTheme="minorHAnsi"/>
          <w:b w:val="0"/>
          <w:color w:val="auto"/>
          <w:sz w:val="22"/>
          <w:szCs w:val="22"/>
        </w:rPr>
        <w:t xml:space="preserve"> value (Table 3). </w:t>
      </w:r>
    </w:p>
    <w:p w:rsidR="001E41CE" w:rsidRPr="00A120A9" w:rsidRDefault="001E41CE" w:rsidP="00A63171">
      <w:pPr>
        <w:pStyle w:val="Caption"/>
        <w:spacing w:line="480" w:lineRule="auto"/>
        <w:rPr>
          <w:rFonts w:asciiTheme="minorHAnsi" w:hAnsiTheme="minorHAnsi"/>
          <w:b w:val="0"/>
          <w:color w:val="auto"/>
          <w:sz w:val="22"/>
          <w:szCs w:val="22"/>
        </w:rPr>
      </w:pPr>
    </w:p>
    <w:p w:rsidR="001E41CE" w:rsidRPr="00A120A9" w:rsidRDefault="001E41CE" w:rsidP="00A63171">
      <w:pPr>
        <w:pStyle w:val="Caption"/>
        <w:spacing w:line="480" w:lineRule="auto"/>
        <w:rPr>
          <w:rFonts w:asciiTheme="minorHAnsi" w:hAnsiTheme="minorHAnsi"/>
          <w:b w:val="0"/>
          <w:color w:val="auto"/>
          <w:sz w:val="22"/>
          <w:szCs w:val="22"/>
        </w:rPr>
      </w:pPr>
    </w:p>
    <w:p w:rsidR="001E41CE" w:rsidRPr="00A120A9" w:rsidRDefault="001E41CE" w:rsidP="00A63171">
      <w:pPr>
        <w:pStyle w:val="Caption"/>
        <w:spacing w:line="480" w:lineRule="auto"/>
        <w:rPr>
          <w:rFonts w:asciiTheme="minorHAnsi" w:hAnsiTheme="minorHAnsi"/>
          <w:b w:val="0"/>
          <w:color w:val="auto"/>
          <w:sz w:val="22"/>
          <w:szCs w:val="22"/>
        </w:rPr>
      </w:pPr>
    </w:p>
    <w:p w:rsidR="001E41CE" w:rsidRPr="00A120A9" w:rsidRDefault="001E41CE" w:rsidP="00A63171">
      <w:pPr>
        <w:pStyle w:val="Caption"/>
        <w:spacing w:line="480" w:lineRule="auto"/>
        <w:rPr>
          <w:rFonts w:asciiTheme="minorHAnsi" w:hAnsiTheme="minorHAnsi"/>
          <w:color w:val="auto"/>
          <w:sz w:val="22"/>
          <w:szCs w:val="22"/>
          <w:u w:val="single"/>
        </w:rPr>
      </w:pPr>
      <w:r w:rsidRPr="00A120A9">
        <w:rPr>
          <w:rFonts w:asciiTheme="minorHAnsi" w:hAnsiTheme="minorHAnsi"/>
          <w:color w:val="auto"/>
          <w:sz w:val="22"/>
          <w:szCs w:val="22"/>
          <w:u w:val="single"/>
        </w:rPr>
        <w:lastRenderedPageBreak/>
        <w:t>References</w:t>
      </w:r>
    </w:p>
    <w:p w:rsidR="001E41CE" w:rsidRPr="00A120A9" w:rsidRDefault="001E41CE" w:rsidP="00A63171">
      <w:pPr>
        <w:pStyle w:val="EndNoteBibliography"/>
        <w:spacing w:line="480" w:lineRule="auto"/>
        <w:rPr>
          <w:rFonts w:asciiTheme="minorHAnsi" w:hAnsiTheme="minorHAnsi"/>
          <w:noProof/>
          <w:color w:val="auto"/>
          <w:sz w:val="22"/>
          <w:szCs w:val="22"/>
        </w:rPr>
      </w:pPr>
      <w:r w:rsidRPr="00A120A9">
        <w:rPr>
          <w:rFonts w:asciiTheme="minorHAnsi" w:hAnsiTheme="minorHAnsi"/>
          <w:noProof/>
          <w:color w:val="auto"/>
          <w:sz w:val="22"/>
          <w:szCs w:val="22"/>
        </w:rPr>
        <w:t>1.</w:t>
      </w:r>
      <w:r w:rsidRPr="00A120A9">
        <w:rPr>
          <w:rFonts w:asciiTheme="minorHAnsi" w:hAnsiTheme="minorHAnsi"/>
          <w:noProof/>
          <w:color w:val="auto"/>
          <w:sz w:val="22"/>
          <w:szCs w:val="22"/>
        </w:rPr>
        <w:tab/>
        <w:t xml:space="preserve">Davi G and Patrono C. Platelet activation and atherothrombosis. </w:t>
      </w:r>
      <w:r w:rsidRPr="00A120A9">
        <w:rPr>
          <w:rFonts w:asciiTheme="minorHAnsi" w:hAnsiTheme="minorHAnsi"/>
          <w:i/>
          <w:noProof/>
          <w:color w:val="auto"/>
          <w:sz w:val="22"/>
          <w:szCs w:val="22"/>
        </w:rPr>
        <w:t>N Engl J Med</w:t>
      </w:r>
      <w:r w:rsidRPr="00A120A9">
        <w:rPr>
          <w:rFonts w:asciiTheme="minorHAnsi" w:hAnsiTheme="minorHAnsi"/>
          <w:noProof/>
          <w:color w:val="auto"/>
          <w:sz w:val="22"/>
          <w:szCs w:val="22"/>
        </w:rPr>
        <w:t>. 2007;357:2482-94.</w:t>
      </w:r>
    </w:p>
    <w:p w:rsidR="001E41CE" w:rsidRPr="00A120A9" w:rsidRDefault="001E41CE" w:rsidP="00A63171">
      <w:pPr>
        <w:pStyle w:val="EndNoteBibliography"/>
        <w:spacing w:line="480" w:lineRule="auto"/>
        <w:rPr>
          <w:rFonts w:asciiTheme="minorHAnsi" w:hAnsiTheme="minorHAnsi"/>
          <w:noProof/>
          <w:color w:val="auto"/>
          <w:sz w:val="22"/>
          <w:szCs w:val="22"/>
        </w:rPr>
      </w:pPr>
      <w:r w:rsidRPr="00A120A9">
        <w:rPr>
          <w:rFonts w:asciiTheme="minorHAnsi" w:hAnsiTheme="minorHAnsi"/>
          <w:noProof/>
          <w:color w:val="auto"/>
          <w:sz w:val="22"/>
          <w:szCs w:val="22"/>
        </w:rPr>
        <w:t>2.</w:t>
      </w:r>
      <w:r w:rsidRPr="00A120A9">
        <w:rPr>
          <w:rFonts w:asciiTheme="minorHAnsi" w:hAnsiTheme="minorHAnsi"/>
          <w:noProof/>
          <w:color w:val="auto"/>
          <w:sz w:val="22"/>
          <w:szCs w:val="22"/>
        </w:rPr>
        <w:tab/>
      </w:r>
      <w:r w:rsidRPr="00A120A9">
        <w:rPr>
          <w:rFonts w:asciiTheme="minorHAnsi" w:hAnsiTheme="minorHAnsi"/>
          <w:color w:val="auto"/>
          <w:szCs w:val="20"/>
          <w:shd w:val="clear" w:color="auto" w:fill="FFFFFF"/>
        </w:rPr>
        <w:t xml:space="preserve">Antithrombotic Trialists' (ATT) Collaboration. </w:t>
      </w:r>
      <w:r w:rsidRPr="00A120A9">
        <w:rPr>
          <w:rFonts w:asciiTheme="minorHAnsi" w:hAnsiTheme="minorHAnsi"/>
          <w:noProof/>
          <w:color w:val="auto"/>
          <w:szCs w:val="20"/>
        </w:rPr>
        <w:t>Aspirin in the</w:t>
      </w:r>
      <w:r w:rsidRPr="00A120A9">
        <w:rPr>
          <w:rFonts w:asciiTheme="minorHAnsi" w:hAnsiTheme="minorHAnsi"/>
          <w:noProof/>
          <w:color w:val="auto"/>
          <w:sz w:val="22"/>
          <w:szCs w:val="22"/>
        </w:rPr>
        <w:t xml:space="preserve"> primary and secondary prevention of vascular disease: collaborative meta-analysis of individual participant data from randomised trials. </w:t>
      </w:r>
      <w:r w:rsidRPr="00A120A9">
        <w:rPr>
          <w:rFonts w:asciiTheme="minorHAnsi" w:hAnsiTheme="minorHAnsi"/>
          <w:i/>
          <w:noProof/>
          <w:color w:val="auto"/>
          <w:sz w:val="22"/>
          <w:szCs w:val="22"/>
        </w:rPr>
        <w:t>Lancet</w:t>
      </w:r>
      <w:r w:rsidRPr="00A120A9">
        <w:rPr>
          <w:rFonts w:asciiTheme="minorHAnsi" w:hAnsiTheme="minorHAnsi"/>
          <w:noProof/>
          <w:color w:val="auto"/>
          <w:sz w:val="22"/>
          <w:szCs w:val="22"/>
        </w:rPr>
        <w:t>. 2009;373:1849-60.</w:t>
      </w:r>
    </w:p>
    <w:p w:rsidR="001E41CE" w:rsidRPr="00A120A9" w:rsidRDefault="001E41CE" w:rsidP="00A63171">
      <w:pPr>
        <w:pStyle w:val="EndNoteBibliography"/>
        <w:spacing w:line="480" w:lineRule="auto"/>
        <w:rPr>
          <w:rFonts w:asciiTheme="minorHAnsi" w:hAnsiTheme="minorHAnsi"/>
          <w:noProof/>
          <w:color w:val="auto"/>
          <w:sz w:val="22"/>
          <w:szCs w:val="22"/>
        </w:rPr>
      </w:pPr>
      <w:r w:rsidRPr="00A120A9">
        <w:rPr>
          <w:rFonts w:asciiTheme="minorHAnsi" w:hAnsiTheme="minorHAnsi"/>
          <w:noProof/>
          <w:color w:val="auto"/>
          <w:sz w:val="22"/>
          <w:szCs w:val="22"/>
        </w:rPr>
        <w:t>3.</w:t>
      </w:r>
      <w:r w:rsidRPr="00A120A9">
        <w:rPr>
          <w:rFonts w:asciiTheme="minorHAnsi" w:hAnsiTheme="minorHAnsi"/>
          <w:noProof/>
          <w:color w:val="auto"/>
          <w:sz w:val="22"/>
          <w:szCs w:val="22"/>
        </w:rPr>
        <w:tab/>
        <w:t xml:space="preserve">Catella F, Healy D, Lawson JA and FitzGerald GA. 11-Dehydrothromboxane B2: a quantitative index of thromboxane A2 formation in the human circulation. </w:t>
      </w:r>
      <w:r w:rsidRPr="00A120A9">
        <w:rPr>
          <w:rFonts w:asciiTheme="minorHAnsi" w:hAnsiTheme="minorHAnsi"/>
          <w:i/>
          <w:noProof/>
          <w:color w:val="auto"/>
          <w:sz w:val="22"/>
          <w:szCs w:val="22"/>
        </w:rPr>
        <w:t>Proc Natl Acad Sci U S A</w:t>
      </w:r>
      <w:r w:rsidRPr="00A120A9">
        <w:rPr>
          <w:rFonts w:asciiTheme="minorHAnsi" w:hAnsiTheme="minorHAnsi"/>
          <w:noProof/>
          <w:color w:val="auto"/>
          <w:sz w:val="22"/>
          <w:szCs w:val="22"/>
        </w:rPr>
        <w:t>. 1986;83:5861-5.</w:t>
      </w:r>
    </w:p>
    <w:p w:rsidR="001E41CE" w:rsidRPr="00A120A9" w:rsidRDefault="001E41CE" w:rsidP="00A63171">
      <w:pPr>
        <w:pStyle w:val="EndNoteBibliography"/>
        <w:spacing w:line="480" w:lineRule="auto"/>
        <w:rPr>
          <w:rFonts w:asciiTheme="minorHAnsi" w:hAnsiTheme="minorHAnsi"/>
          <w:noProof/>
          <w:color w:val="auto"/>
          <w:sz w:val="22"/>
          <w:szCs w:val="22"/>
        </w:rPr>
      </w:pPr>
      <w:r w:rsidRPr="00A120A9">
        <w:rPr>
          <w:rFonts w:asciiTheme="minorHAnsi" w:hAnsiTheme="minorHAnsi"/>
          <w:noProof/>
          <w:color w:val="auto"/>
          <w:sz w:val="22"/>
          <w:szCs w:val="22"/>
        </w:rPr>
        <w:t>4.</w:t>
      </w:r>
      <w:r w:rsidRPr="00A120A9">
        <w:rPr>
          <w:rFonts w:asciiTheme="minorHAnsi" w:hAnsiTheme="minorHAnsi"/>
          <w:noProof/>
          <w:color w:val="auto"/>
          <w:sz w:val="22"/>
          <w:szCs w:val="22"/>
        </w:rPr>
        <w:tab/>
        <w:t xml:space="preserve">Ciabattoni G, Pugliese F, Davi G, Pierucci A, Simonetti BM and Patrono C. Fractional conversion of thromboxane B2 to urinary 11-dehydrothromboxane B2 in man. </w:t>
      </w:r>
      <w:r w:rsidRPr="00A120A9">
        <w:rPr>
          <w:rFonts w:asciiTheme="minorHAnsi" w:hAnsiTheme="minorHAnsi"/>
          <w:i/>
          <w:noProof/>
          <w:color w:val="auto"/>
          <w:sz w:val="22"/>
          <w:szCs w:val="22"/>
        </w:rPr>
        <w:t>Biochim Biophys Acta</w:t>
      </w:r>
      <w:r w:rsidRPr="00A120A9">
        <w:rPr>
          <w:rFonts w:asciiTheme="minorHAnsi" w:hAnsiTheme="minorHAnsi"/>
          <w:noProof/>
          <w:color w:val="auto"/>
          <w:sz w:val="22"/>
          <w:szCs w:val="22"/>
        </w:rPr>
        <w:t>. 1989;992:66-70.</w:t>
      </w:r>
    </w:p>
    <w:p w:rsidR="001E41CE" w:rsidRPr="00A120A9" w:rsidRDefault="001E41CE" w:rsidP="00A63171">
      <w:pPr>
        <w:pStyle w:val="EndNoteBibliography"/>
        <w:spacing w:line="480" w:lineRule="auto"/>
        <w:rPr>
          <w:rFonts w:asciiTheme="minorHAnsi" w:hAnsiTheme="minorHAnsi"/>
          <w:noProof/>
          <w:color w:val="auto"/>
          <w:sz w:val="22"/>
          <w:szCs w:val="22"/>
        </w:rPr>
      </w:pPr>
      <w:r w:rsidRPr="00A120A9">
        <w:rPr>
          <w:rFonts w:asciiTheme="minorHAnsi" w:hAnsiTheme="minorHAnsi"/>
          <w:noProof/>
          <w:color w:val="auto"/>
          <w:sz w:val="22"/>
          <w:szCs w:val="22"/>
        </w:rPr>
        <w:t>5.</w:t>
      </w:r>
      <w:r w:rsidRPr="00A120A9">
        <w:rPr>
          <w:rFonts w:asciiTheme="minorHAnsi" w:hAnsiTheme="minorHAnsi"/>
          <w:noProof/>
          <w:color w:val="auto"/>
          <w:sz w:val="22"/>
          <w:szCs w:val="22"/>
        </w:rPr>
        <w:tab/>
        <w:t xml:space="preserve">Eikelboom JW, Hirsh J, Weitz JI, Johnston M, Yi Q and Yusuf S. Aspirin-resistant thromboxane biosynthesis and the risk of myocardial infarction, stroke, or cardiovascular death in patients at high risk for cardiovascular events. </w:t>
      </w:r>
      <w:r w:rsidRPr="00A120A9">
        <w:rPr>
          <w:rFonts w:asciiTheme="minorHAnsi" w:hAnsiTheme="minorHAnsi"/>
          <w:i/>
          <w:noProof/>
          <w:color w:val="auto"/>
          <w:sz w:val="22"/>
          <w:szCs w:val="22"/>
        </w:rPr>
        <w:t>Circulation</w:t>
      </w:r>
      <w:r w:rsidRPr="00A120A9">
        <w:rPr>
          <w:rFonts w:asciiTheme="minorHAnsi" w:hAnsiTheme="minorHAnsi"/>
          <w:noProof/>
          <w:color w:val="auto"/>
          <w:sz w:val="22"/>
          <w:szCs w:val="22"/>
        </w:rPr>
        <w:t>. 2002;105:1650-5.</w:t>
      </w:r>
    </w:p>
    <w:p w:rsidR="001E41CE" w:rsidRPr="00A120A9" w:rsidRDefault="001E41CE" w:rsidP="00A63171">
      <w:pPr>
        <w:pStyle w:val="EndNoteBibliography"/>
        <w:spacing w:line="480" w:lineRule="auto"/>
        <w:rPr>
          <w:rFonts w:asciiTheme="minorHAnsi" w:hAnsiTheme="minorHAnsi"/>
          <w:noProof/>
          <w:color w:val="auto"/>
          <w:sz w:val="22"/>
          <w:szCs w:val="22"/>
        </w:rPr>
      </w:pPr>
      <w:r w:rsidRPr="00A120A9">
        <w:rPr>
          <w:rFonts w:asciiTheme="minorHAnsi" w:hAnsiTheme="minorHAnsi"/>
          <w:noProof/>
          <w:color w:val="auto"/>
          <w:sz w:val="22"/>
          <w:szCs w:val="22"/>
        </w:rPr>
        <w:t>6.</w:t>
      </w:r>
      <w:r w:rsidRPr="00A120A9">
        <w:rPr>
          <w:rFonts w:asciiTheme="minorHAnsi" w:hAnsiTheme="minorHAnsi"/>
          <w:noProof/>
          <w:color w:val="auto"/>
          <w:sz w:val="22"/>
          <w:szCs w:val="22"/>
        </w:rPr>
        <w:tab/>
        <w:t xml:space="preserve">Eikelboom JW, Hankey GJ, Thom J, Bhatt DL, Steg PG, Montalescot G, et al. Incomplete inhibition of thromboxane biosynthesis by acetylsalicylic acid: determinants and effect on cardiovascular risk. </w:t>
      </w:r>
      <w:r w:rsidRPr="00A120A9">
        <w:rPr>
          <w:rFonts w:asciiTheme="minorHAnsi" w:hAnsiTheme="minorHAnsi"/>
          <w:i/>
          <w:noProof/>
          <w:color w:val="auto"/>
          <w:sz w:val="22"/>
          <w:szCs w:val="22"/>
        </w:rPr>
        <w:t>Circulation</w:t>
      </w:r>
      <w:r w:rsidRPr="00A120A9">
        <w:rPr>
          <w:rFonts w:asciiTheme="minorHAnsi" w:hAnsiTheme="minorHAnsi"/>
          <w:noProof/>
          <w:color w:val="auto"/>
          <w:sz w:val="22"/>
          <w:szCs w:val="22"/>
        </w:rPr>
        <w:t>. 2008;118:1705-12.</w:t>
      </w:r>
    </w:p>
    <w:p w:rsidR="001E41CE" w:rsidRPr="00A120A9" w:rsidRDefault="001E41CE" w:rsidP="00A63171">
      <w:pPr>
        <w:pStyle w:val="EndNoteBibliography"/>
        <w:spacing w:line="480" w:lineRule="auto"/>
        <w:rPr>
          <w:rFonts w:asciiTheme="minorHAnsi" w:hAnsiTheme="minorHAnsi"/>
          <w:noProof/>
          <w:color w:val="auto"/>
          <w:sz w:val="22"/>
          <w:szCs w:val="22"/>
        </w:rPr>
      </w:pPr>
      <w:r w:rsidRPr="00A120A9">
        <w:rPr>
          <w:rFonts w:asciiTheme="minorHAnsi" w:hAnsiTheme="minorHAnsi"/>
          <w:noProof/>
          <w:color w:val="auto"/>
          <w:sz w:val="22"/>
          <w:szCs w:val="22"/>
        </w:rPr>
        <w:t>7.</w:t>
      </w:r>
      <w:r w:rsidRPr="00A120A9">
        <w:rPr>
          <w:rFonts w:asciiTheme="minorHAnsi" w:hAnsiTheme="minorHAnsi"/>
          <w:noProof/>
          <w:color w:val="auto"/>
          <w:sz w:val="22"/>
          <w:szCs w:val="22"/>
        </w:rPr>
        <w:tab/>
        <w:t xml:space="preserve">Faraday N, Yanek LR, Mathias R, Herrera-Galeano JE, Vaidya D, Moy TF, et al. Heritability of platelet responsiveness to aspirin in activation pathways directly and indirectly related to cyclooxygenase-1. </w:t>
      </w:r>
      <w:r w:rsidRPr="00A120A9">
        <w:rPr>
          <w:rFonts w:asciiTheme="minorHAnsi" w:hAnsiTheme="minorHAnsi"/>
          <w:i/>
          <w:noProof/>
          <w:color w:val="auto"/>
          <w:sz w:val="22"/>
          <w:szCs w:val="22"/>
        </w:rPr>
        <w:t>Circulation</w:t>
      </w:r>
      <w:r w:rsidRPr="00A120A9">
        <w:rPr>
          <w:rFonts w:asciiTheme="minorHAnsi" w:hAnsiTheme="minorHAnsi"/>
          <w:noProof/>
          <w:color w:val="auto"/>
          <w:sz w:val="22"/>
          <w:szCs w:val="22"/>
        </w:rPr>
        <w:t>. 2007;115:2490-6.</w:t>
      </w:r>
    </w:p>
    <w:p w:rsidR="001E41CE" w:rsidRPr="00A120A9" w:rsidRDefault="001E41CE" w:rsidP="00A63171">
      <w:pPr>
        <w:pStyle w:val="EndNoteBibliography"/>
        <w:spacing w:line="480" w:lineRule="auto"/>
        <w:rPr>
          <w:rFonts w:asciiTheme="minorHAnsi" w:hAnsiTheme="minorHAnsi"/>
          <w:noProof/>
          <w:color w:val="auto"/>
          <w:sz w:val="22"/>
          <w:szCs w:val="22"/>
        </w:rPr>
      </w:pPr>
      <w:r w:rsidRPr="00A120A9">
        <w:rPr>
          <w:rFonts w:asciiTheme="minorHAnsi" w:hAnsiTheme="minorHAnsi"/>
          <w:noProof/>
          <w:color w:val="auto"/>
          <w:sz w:val="22"/>
          <w:szCs w:val="22"/>
        </w:rPr>
        <w:t>8.</w:t>
      </w:r>
      <w:r w:rsidRPr="00A120A9">
        <w:rPr>
          <w:rFonts w:asciiTheme="minorHAnsi" w:hAnsiTheme="minorHAnsi"/>
          <w:noProof/>
          <w:color w:val="auto"/>
          <w:sz w:val="22"/>
          <w:szCs w:val="22"/>
        </w:rPr>
        <w:tab/>
        <w:t xml:space="preserve">Vila L, Martinez-Perez A, Camacho M, Buil A, Alcolea S, Pujol-Moix N, et al. Heritability of thromboxane A2 and prostaglandin E2 biosynthetic machinery in a Spanish population. </w:t>
      </w:r>
      <w:r w:rsidRPr="00A120A9">
        <w:rPr>
          <w:rFonts w:asciiTheme="minorHAnsi" w:hAnsiTheme="minorHAnsi"/>
          <w:i/>
          <w:noProof/>
          <w:color w:val="auto"/>
          <w:sz w:val="22"/>
          <w:szCs w:val="22"/>
        </w:rPr>
        <w:t>Arterioscler Thromb Vasc Biol</w:t>
      </w:r>
      <w:r w:rsidRPr="00A120A9">
        <w:rPr>
          <w:rFonts w:asciiTheme="minorHAnsi" w:hAnsiTheme="minorHAnsi"/>
          <w:noProof/>
          <w:color w:val="auto"/>
          <w:sz w:val="22"/>
          <w:szCs w:val="22"/>
        </w:rPr>
        <w:t>. 2010;30:128-34.</w:t>
      </w:r>
    </w:p>
    <w:p w:rsidR="001E41CE" w:rsidRPr="00A120A9" w:rsidRDefault="001E41CE" w:rsidP="00A63171">
      <w:pPr>
        <w:pStyle w:val="EndNoteBibliography"/>
        <w:spacing w:line="480" w:lineRule="auto"/>
        <w:rPr>
          <w:rFonts w:asciiTheme="minorHAnsi" w:hAnsiTheme="minorHAnsi"/>
          <w:noProof/>
          <w:color w:val="auto"/>
          <w:sz w:val="22"/>
          <w:szCs w:val="22"/>
        </w:rPr>
      </w:pPr>
      <w:r w:rsidRPr="00A120A9">
        <w:rPr>
          <w:rFonts w:asciiTheme="minorHAnsi" w:hAnsiTheme="minorHAnsi"/>
          <w:noProof/>
          <w:color w:val="auto"/>
          <w:sz w:val="22"/>
          <w:szCs w:val="22"/>
        </w:rPr>
        <w:t>9.</w:t>
      </w:r>
      <w:r w:rsidRPr="00A120A9">
        <w:rPr>
          <w:rFonts w:asciiTheme="minorHAnsi" w:hAnsiTheme="minorHAnsi"/>
          <w:noProof/>
          <w:color w:val="auto"/>
          <w:sz w:val="22"/>
          <w:szCs w:val="22"/>
        </w:rPr>
        <w:tab/>
        <w:t xml:space="preserve">Ross S, Eikelboom J, Anand SS, Eriksson N, Gerstein HC, Mehta S, et al. Association of cyclooxygenase-2 genetic variant with cardiovascular disease. </w:t>
      </w:r>
      <w:r w:rsidRPr="00A120A9">
        <w:rPr>
          <w:rFonts w:asciiTheme="minorHAnsi" w:hAnsiTheme="minorHAnsi"/>
          <w:i/>
          <w:noProof/>
          <w:color w:val="auto"/>
          <w:sz w:val="22"/>
          <w:szCs w:val="22"/>
        </w:rPr>
        <w:t>Eur Heart J</w:t>
      </w:r>
      <w:r w:rsidRPr="00A120A9">
        <w:rPr>
          <w:rFonts w:asciiTheme="minorHAnsi" w:hAnsiTheme="minorHAnsi"/>
          <w:noProof/>
          <w:color w:val="auto"/>
          <w:sz w:val="22"/>
          <w:szCs w:val="22"/>
        </w:rPr>
        <w:t>. 2014;35:2242-8a.</w:t>
      </w:r>
    </w:p>
    <w:p w:rsidR="001E41CE" w:rsidRPr="00A120A9" w:rsidRDefault="001E41CE" w:rsidP="00A63171">
      <w:pPr>
        <w:pStyle w:val="EndNoteBibliography"/>
        <w:spacing w:line="480" w:lineRule="auto"/>
        <w:rPr>
          <w:rFonts w:asciiTheme="minorHAnsi" w:hAnsiTheme="minorHAnsi"/>
          <w:noProof/>
          <w:color w:val="auto"/>
          <w:sz w:val="22"/>
          <w:szCs w:val="22"/>
        </w:rPr>
      </w:pPr>
      <w:r w:rsidRPr="00A120A9">
        <w:rPr>
          <w:rFonts w:asciiTheme="minorHAnsi" w:hAnsiTheme="minorHAnsi"/>
          <w:noProof/>
          <w:color w:val="auto"/>
          <w:sz w:val="22"/>
          <w:szCs w:val="22"/>
        </w:rPr>
        <w:lastRenderedPageBreak/>
        <w:t>10.</w:t>
      </w:r>
      <w:r w:rsidRPr="00A120A9">
        <w:rPr>
          <w:rFonts w:asciiTheme="minorHAnsi" w:hAnsiTheme="minorHAnsi"/>
          <w:noProof/>
          <w:color w:val="auto"/>
          <w:sz w:val="22"/>
          <w:szCs w:val="22"/>
        </w:rPr>
        <w:tab/>
        <w:t xml:space="preserve">Dahlof B, Sever PS, Poulter NR, Wedel H, Beevers DG, Caulfield M, et al. Prevention of cardiovascular events with an antihypertensive regimen of amlodipine adding perindopril as required versus atenolol adding bendroflumethiazide as required, in the Anglo-Scandinavian Cardiac Outcomes Trial-Blood Pressure Lowering Arm (ASCOT-BPLA): a multicentre randomised controlled trial. </w:t>
      </w:r>
      <w:r w:rsidRPr="00A120A9">
        <w:rPr>
          <w:rFonts w:asciiTheme="minorHAnsi" w:hAnsiTheme="minorHAnsi"/>
          <w:i/>
          <w:noProof/>
          <w:color w:val="auto"/>
          <w:sz w:val="22"/>
          <w:szCs w:val="22"/>
        </w:rPr>
        <w:t>Lancet</w:t>
      </w:r>
      <w:r w:rsidRPr="00A120A9">
        <w:rPr>
          <w:rFonts w:asciiTheme="minorHAnsi" w:hAnsiTheme="minorHAnsi"/>
          <w:noProof/>
          <w:color w:val="auto"/>
          <w:sz w:val="22"/>
          <w:szCs w:val="22"/>
        </w:rPr>
        <w:t>. 2005;366:895-906.</w:t>
      </w:r>
    </w:p>
    <w:p w:rsidR="001E41CE" w:rsidRPr="00A120A9" w:rsidRDefault="001E41CE" w:rsidP="00A63171">
      <w:pPr>
        <w:pStyle w:val="EndNoteBibliography"/>
        <w:spacing w:line="480" w:lineRule="auto"/>
        <w:rPr>
          <w:rFonts w:asciiTheme="minorHAnsi" w:hAnsiTheme="minorHAnsi"/>
          <w:noProof/>
          <w:color w:val="auto"/>
          <w:sz w:val="22"/>
          <w:szCs w:val="22"/>
        </w:rPr>
      </w:pPr>
      <w:r w:rsidRPr="00A120A9">
        <w:rPr>
          <w:rFonts w:asciiTheme="minorHAnsi" w:hAnsiTheme="minorHAnsi"/>
          <w:noProof/>
          <w:color w:val="auto"/>
          <w:sz w:val="22"/>
          <w:szCs w:val="22"/>
        </w:rPr>
        <w:t>11.</w:t>
      </w:r>
      <w:r w:rsidRPr="00A120A9">
        <w:rPr>
          <w:rFonts w:asciiTheme="minorHAnsi" w:hAnsiTheme="minorHAnsi"/>
          <w:noProof/>
          <w:color w:val="auto"/>
          <w:sz w:val="22"/>
          <w:szCs w:val="22"/>
        </w:rPr>
        <w:tab/>
        <w:t xml:space="preserve">Stanton A, Fitzgerald D, Hughes A, Mayet J, O'Brien E, Poulter NR, et al. An intensive phenotyping study to enable the future examination of genetic influences on hypertension-associated cardiovascular disease. </w:t>
      </w:r>
      <w:r w:rsidRPr="00A120A9">
        <w:rPr>
          <w:rFonts w:asciiTheme="minorHAnsi" w:hAnsiTheme="minorHAnsi"/>
          <w:i/>
          <w:noProof/>
          <w:color w:val="auto"/>
          <w:sz w:val="22"/>
          <w:szCs w:val="22"/>
        </w:rPr>
        <w:t>J Hum Hypertens</w:t>
      </w:r>
      <w:r w:rsidRPr="00A120A9">
        <w:rPr>
          <w:rFonts w:asciiTheme="minorHAnsi" w:hAnsiTheme="minorHAnsi"/>
          <w:noProof/>
          <w:color w:val="auto"/>
          <w:sz w:val="22"/>
          <w:szCs w:val="22"/>
        </w:rPr>
        <w:t>. 2001;15 Suppl 1:S13-8.</w:t>
      </w:r>
    </w:p>
    <w:p w:rsidR="001E41CE" w:rsidRPr="00A120A9" w:rsidRDefault="001E41CE" w:rsidP="00A63171">
      <w:pPr>
        <w:pStyle w:val="EndNoteBibliography"/>
        <w:spacing w:line="480" w:lineRule="auto"/>
        <w:rPr>
          <w:rFonts w:asciiTheme="minorHAnsi" w:hAnsiTheme="minorHAnsi"/>
          <w:noProof/>
          <w:color w:val="auto"/>
          <w:sz w:val="22"/>
          <w:szCs w:val="22"/>
        </w:rPr>
      </w:pPr>
      <w:r w:rsidRPr="00A120A9">
        <w:rPr>
          <w:rFonts w:asciiTheme="minorHAnsi" w:hAnsiTheme="minorHAnsi"/>
          <w:noProof/>
          <w:color w:val="auto"/>
          <w:sz w:val="22"/>
          <w:szCs w:val="22"/>
        </w:rPr>
        <w:t>12.</w:t>
      </w:r>
      <w:r w:rsidRPr="00A120A9">
        <w:rPr>
          <w:rFonts w:asciiTheme="minorHAnsi" w:hAnsiTheme="minorHAnsi"/>
          <w:noProof/>
          <w:color w:val="auto"/>
          <w:sz w:val="22"/>
          <w:szCs w:val="22"/>
        </w:rPr>
        <w:tab/>
        <w:t xml:space="preserve">Deshmukh HA, Colhoun HM, Johnson T, McKeigue PM, Betteridge DJ, Durrington PN, et al. Genome-wide association study of genetic determinants of LDL-c response to atorvastatin therapy: importance of Lp(a). </w:t>
      </w:r>
      <w:r w:rsidRPr="00A120A9">
        <w:rPr>
          <w:rFonts w:asciiTheme="minorHAnsi" w:hAnsiTheme="minorHAnsi"/>
          <w:i/>
          <w:noProof/>
          <w:color w:val="auto"/>
          <w:sz w:val="22"/>
          <w:szCs w:val="22"/>
        </w:rPr>
        <w:t>J Lipid Res</w:t>
      </w:r>
      <w:r w:rsidRPr="00A120A9">
        <w:rPr>
          <w:rFonts w:asciiTheme="minorHAnsi" w:hAnsiTheme="minorHAnsi"/>
          <w:noProof/>
          <w:color w:val="auto"/>
          <w:sz w:val="22"/>
          <w:szCs w:val="22"/>
        </w:rPr>
        <w:t>. 2012;53:1000-11.</w:t>
      </w:r>
    </w:p>
    <w:p w:rsidR="001E41CE" w:rsidRPr="00A120A9" w:rsidRDefault="001E41CE" w:rsidP="00A63171">
      <w:pPr>
        <w:pStyle w:val="EndNoteBibliography"/>
        <w:spacing w:line="480" w:lineRule="auto"/>
        <w:rPr>
          <w:rFonts w:asciiTheme="minorHAnsi" w:hAnsiTheme="minorHAnsi"/>
          <w:noProof/>
          <w:color w:val="auto"/>
          <w:sz w:val="22"/>
          <w:szCs w:val="22"/>
        </w:rPr>
      </w:pPr>
      <w:r w:rsidRPr="00A120A9">
        <w:rPr>
          <w:rFonts w:asciiTheme="minorHAnsi" w:hAnsiTheme="minorHAnsi"/>
          <w:noProof/>
          <w:color w:val="auto"/>
          <w:sz w:val="22"/>
          <w:szCs w:val="22"/>
        </w:rPr>
        <w:t>13.</w:t>
      </w:r>
      <w:r w:rsidRPr="00A120A9">
        <w:rPr>
          <w:rFonts w:asciiTheme="minorHAnsi" w:hAnsiTheme="minorHAnsi"/>
          <w:noProof/>
          <w:color w:val="auto"/>
          <w:sz w:val="22"/>
          <w:szCs w:val="22"/>
        </w:rPr>
        <w:tab/>
        <w:t xml:space="preserve">Johnson T, Gaunt TR, Newhouse SJ, Padmanabhan S, Tomaszewski M, Kumari M, et al. Blood pressure loci identified with a gene-centric array. </w:t>
      </w:r>
      <w:r w:rsidRPr="00A120A9">
        <w:rPr>
          <w:rFonts w:asciiTheme="minorHAnsi" w:hAnsiTheme="minorHAnsi"/>
          <w:i/>
          <w:noProof/>
          <w:color w:val="auto"/>
          <w:sz w:val="22"/>
          <w:szCs w:val="22"/>
        </w:rPr>
        <w:t>Am J Hum Genet</w:t>
      </w:r>
      <w:r w:rsidRPr="00A120A9">
        <w:rPr>
          <w:rFonts w:asciiTheme="minorHAnsi" w:hAnsiTheme="minorHAnsi"/>
          <w:noProof/>
          <w:color w:val="auto"/>
          <w:sz w:val="22"/>
          <w:szCs w:val="22"/>
        </w:rPr>
        <w:t>. 2011;89:688-700.</w:t>
      </w:r>
    </w:p>
    <w:p w:rsidR="001E41CE" w:rsidRPr="00A120A9" w:rsidRDefault="001E41CE" w:rsidP="00A63171">
      <w:pPr>
        <w:pStyle w:val="EndNoteBibliography"/>
        <w:spacing w:line="480" w:lineRule="auto"/>
        <w:rPr>
          <w:rFonts w:asciiTheme="minorHAnsi" w:hAnsiTheme="minorHAnsi"/>
          <w:noProof/>
          <w:color w:val="auto"/>
          <w:sz w:val="22"/>
          <w:szCs w:val="22"/>
        </w:rPr>
      </w:pPr>
      <w:r w:rsidRPr="00A120A9">
        <w:rPr>
          <w:rFonts w:asciiTheme="minorHAnsi" w:hAnsiTheme="minorHAnsi"/>
          <w:noProof/>
          <w:color w:val="auto"/>
          <w:sz w:val="22"/>
          <w:szCs w:val="22"/>
        </w:rPr>
        <w:t>14.</w:t>
      </w:r>
      <w:r w:rsidRPr="00A120A9">
        <w:rPr>
          <w:rFonts w:asciiTheme="minorHAnsi" w:hAnsiTheme="minorHAnsi"/>
          <w:noProof/>
          <w:color w:val="auto"/>
          <w:sz w:val="22"/>
          <w:szCs w:val="22"/>
        </w:rPr>
        <w:tab/>
        <w:t xml:space="preserve">Purcell S, Neale B, Todd-Brown K, Thomas L, Ferreira MA, Bender D, et al. PLINK: a tool set for whole-genome association and population-based linkage analyses. </w:t>
      </w:r>
      <w:r w:rsidRPr="00A120A9">
        <w:rPr>
          <w:rFonts w:asciiTheme="minorHAnsi" w:hAnsiTheme="minorHAnsi"/>
          <w:i/>
          <w:noProof/>
          <w:color w:val="auto"/>
          <w:sz w:val="22"/>
          <w:szCs w:val="22"/>
        </w:rPr>
        <w:t>Am J Hum Genet</w:t>
      </w:r>
      <w:r w:rsidRPr="00A120A9">
        <w:rPr>
          <w:rFonts w:asciiTheme="minorHAnsi" w:hAnsiTheme="minorHAnsi"/>
          <w:noProof/>
          <w:color w:val="auto"/>
          <w:sz w:val="22"/>
          <w:szCs w:val="22"/>
        </w:rPr>
        <w:t>. 2007;81:559-75.</w:t>
      </w:r>
    </w:p>
    <w:p w:rsidR="001E41CE" w:rsidRPr="00A120A9" w:rsidRDefault="001E41CE" w:rsidP="00A63171">
      <w:pPr>
        <w:pStyle w:val="EndNoteBibliography"/>
        <w:spacing w:line="480" w:lineRule="auto"/>
        <w:rPr>
          <w:rFonts w:asciiTheme="minorHAnsi" w:hAnsiTheme="minorHAnsi"/>
          <w:noProof/>
          <w:color w:val="auto"/>
          <w:sz w:val="22"/>
          <w:szCs w:val="22"/>
        </w:rPr>
      </w:pPr>
      <w:r w:rsidRPr="00A120A9">
        <w:rPr>
          <w:rFonts w:asciiTheme="minorHAnsi" w:hAnsiTheme="minorHAnsi"/>
          <w:noProof/>
          <w:color w:val="auto"/>
          <w:sz w:val="22"/>
          <w:szCs w:val="22"/>
        </w:rPr>
        <w:t>15.</w:t>
      </w:r>
      <w:r w:rsidRPr="00A120A9">
        <w:rPr>
          <w:rFonts w:asciiTheme="minorHAnsi" w:hAnsiTheme="minorHAnsi"/>
          <w:noProof/>
          <w:color w:val="auto"/>
          <w:sz w:val="22"/>
          <w:szCs w:val="22"/>
        </w:rPr>
        <w:tab/>
        <w:t xml:space="preserve">R Core Team. </w:t>
      </w:r>
      <w:r w:rsidRPr="00A120A9">
        <w:rPr>
          <w:rFonts w:asciiTheme="minorHAnsi" w:hAnsiTheme="minorHAnsi"/>
          <w:i/>
          <w:noProof/>
          <w:color w:val="auto"/>
          <w:sz w:val="22"/>
          <w:szCs w:val="22"/>
        </w:rPr>
        <w:t>R: A language and environment for statistical computing.</w:t>
      </w:r>
      <w:r w:rsidRPr="00A120A9">
        <w:rPr>
          <w:rFonts w:asciiTheme="minorHAnsi" w:hAnsiTheme="minorHAnsi"/>
          <w:noProof/>
          <w:color w:val="auto"/>
          <w:sz w:val="22"/>
          <w:szCs w:val="22"/>
        </w:rPr>
        <w:t xml:space="preserve"> R Foundation for Statistical Computing, Vienna, Austria, 2010.</w:t>
      </w:r>
    </w:p>
    <w:p w:rsidR="001E41CE" w:rsidRPr="00A120A9" w:rsidRDefault="001E41CE" w:rsidP="00A63171">
      <w:pPr>
        <w:pStyle w:val="EndNoteBibliography"/>
        <w:spacing w:line="480" w:lineRule="auto"/>
        <w:rPr>
          <w:rFonts w:asciiTheme="minorHAnsi" w:hAnsiTheme="minorHAnsi"/>
          <w:noProof/>
          <w:color w:val="auto"/>
          <w:sz w:val="22"/>
          <w:szCs w:val="22"/>
        </w:rPr>
      </w:pPr>
      <w:r w:rsidRPr="00A120A9">
        <w:rPr>
          <w:rFonts w:asciiTheme="minorHAnsi" w:hAnsiTheme="minorHAnsi"/>
          <w:noProof/>
          <w:color w:val="auto"/>
          <w:sz w:val="22"/>
          <w:szCs w:val="22"/>
        </w:rPr>
        <w:t>16.</w:t>
      </w:r>
      <w:r w:rsidRPr="00A120A9">
        <w:rPr>
          <w:rFonts w:asciiTheme="minorHAnsi" w:hAnsiTheme="minorHAnsi"/>
          <w:noProof/>
          <w:color w:val="auto"/>
          <w:sz w:val="22"/>
          <w:szCs w:val="22"/>
        </w:rPr>
        <w:tab/>
        <w:t xml:space="preserve">Meirhaeghe A, Crowley V, Lenaghan C, Lelliott C, Green K, Stewart A, et al. Characterization of the human, mouse and rat PGC1 beta (peroxisome-proliferator-activated receptor-gamma co-activator 1 beta) gene in vitro and in vivo. </w:t>
      </w:r>
      <w:r w:rsidRPr="00A120A9">
        <w:rPr>
          <w:rFonts w:asciiTheme="minorHAnsi" w:hAnsiTheme="minorHAnsi"/>
          <w:i/>
          <w:noProof/>
          <w:color w:val="auto"/>
          <w:sz w:val="22"/>
          <w:szCs w:val="22"/>
        </w:rPr>
        <w:t>Biochem J</w:t>
      </w:r>
      <w:r w:rsidRPr="00A120A9">
        <w:rPr>
          <w:rFonts w:asciiTheme="minorHAnsi" w:hAnsiTheme="minorHAnsi"/>
          <w:noProof/>
          <w:color w:val="auto"/>
          <w:sz w:val="22"/>
          <w:szCs w:val="22"/>
        </w:rPr>
        <w:t>. 2003;373:155-65.</w:t>
      </w:r>
    </w:p>
    <w:p w:rsidR="001E41CE" w:rsidRPr="00A120A9" w:rsidRDefault="001E41CE" w:rsidP="00A63171">
      <w:pPr>
        <w:pStyle w:val="EndNoteBibliography"/>
        <w:spacing w:line="480" w:lineRule="auto"/>
        <w:rPr>
          <w:rFonts w:asciiTheme="minorHAnsi" w:hAnsiTheme="minorHAnsi"/>
          <w:noProof/>
          <w:color w:val="auto"/>
          <w:sz w:val="22"/>
          <w:szCs w:val="22"/>
        </w:rPr>
      </w:pPr>
      <w:r w:rsidRPr="00A120A9">
        <w:rPr>
          <w:rFonts w:asciiTheme="minorHAnsi" w:hAnsiTheme="minorHAnsi"/>
          <w:noProof/>
          <w:color w:val="auto"/>
          <w:sz w:val="22"/>
          <w:szCs w:val="22"/>
        </w:rPr>
        <w:t>17.</w:t>
      </w:r>
      <w:r w:rsidRPr="00A120A9">
        <w:rPr>
          <w:rFonts w:asciiTheme="minorHAnsi" w:hAnsiTheme="minorHAnsi"/>
          <w:noProof/>
          <w:color w:val="auto"/>
          <w:sz w:val="22"/>
          <w:szCs w:val="22"/>
        </w:rPr>
        <w:tab/>
        <w:t xml:space="preserve">Rowe GC, Jiang A and Arany Z. PGC-1 coactivators in cardiac development and disease. </w:t>
      </w:r>
      <w:r w:rsidRPr="00A120A9">
        <w:rPr>
          <w:rFonts w:asciiTheme="minorHAnsi" w:hAnsiTheme="minorHAnsi"/>
          <w:i/>
          <w:noProof/>
          <w:color w:val="auto"/>
          <w:sz w:val="22"/>
          <w:szCs w:val="22"/>
        </w:rPr>
        <w:t>Circ Res</w:t>
      </w:r>
      <w:r w:rsidRPr="00A120A9">
        <w:rPr>
          <w:rFonts w:asciiTheme="minorHAnsi" w:hAnsiTheme="minorHAnsi"/>
          <w:noProof/>
          <w:color w:val="auto"/>
          <w:sz w:val="22"/>
          <w:szCs w:val="22"/>
        </w:rPr>
        <w:t>. 2010;107:825-38.</w:t>
      </w:r>
    </w:p>
    <w:p w:rsidR="001E41CE" w:rsidRPr="00A120A9" w:rsidRDefault="001E41CE" w:rsidP="00A63171">
      <w:pPr>
        <w:pStyle w:val="EndNoteBibliography"/>
        <w:spacing w:line="480" w:lineRule="auto"/>
        <w:rPr>
          <w:rFonts w:asciiTheme="minorHAnsi" w:hAnsiTheme="minorHAnsi"/>
          <w:noProof/>
          <w:color w:val="auto"/>
          <w:sz w:val="22"/>
          <w:szCs w:val="22"/>
        </w:rPr>
      </w:pPr>
      <w:r w:rsidRPr="00A120A9">
        <w:rPr>
          <w:rFonts w:asciiTheme="minorHAnsi" w:hAnsiTheme="minorHAnsi"/>
          <w:noProof/>
          <w:color w:val="auto"/>
          <w:sz w:val="22"/>
          <w:szCs w:val="22"/>
        </w:rPr>
        <w:t>18.</w:t>
      </w:r>
      <w:r w:rsidRPr="00A120A9">
        <w:rPr>
          <w:rFonts w:asciiTheme="minorHAnsi" w:hAnsiTheme="minorHAnsi"/>
          <w:noProof/>
          <w:color w:val="auto"/>
          <w:sz w:val="22"/>
          <w:szCs w:val="22"/>
        </w:rPr>
        <w:tab/>
        <w:t xml:space="preserve">Inoue H, Tanabe T and Umesono K. Feedback control of cyclooxygenase-2 expression through PPARgamma. </w:t>
      </w:r>
      <w:r w:rsidRPr="00A120A9">
        <w:rPr>
          <w:rFonts w:asciiTheme="minorHAnsi" w:hAnsiTheme="minorHAnsi"/>
          <w:i/>
          <w:noProof/>
          <w:color w:val="auto"/>
          <w:sz w:val="22"/>
          <w:szCs w:val="22"/>
        </w:rPr>
        <w:t>J Biol Chem</w:t>
      </w:r>
      <w:r w:rsidRPr="00A120A9">
        <w:rPr>
          <w:rFonts w:asciiTheme="minorHAnsi" w:hAnsiTheme="minorHAnsi"/>
          <w:noProof/>
          <w:color w:val="auto"/>
          <w:sz w:val="22"/>
          <w:szCs w:val="22"/>
        </w:rPr>
        <w:t>. 2000;275:28028-32.</w:t>
      </w:r>
    </w:p>
    <w:p w:rsidR="001E41CE" w:rsidRPr="00A120A9" w:rsidRDefault="001E41CE" w:rsidP="00A63171">
      <w:pPr>
        <w:pStyle w:val="EndNoteBibliography"/>
        <w:spacing w:line="480" w:lineRule="auto"/>
        <w:rPr>
          <w:rFonts w:asciiTheme="minorHAnsi" w:hAnsiTheme="minorHAnsi"/>
          <w:noProof/>
          <w:color w:val="auto"/>
          <w:sz w:val="22"/>
          <w:szCs w:val="22"/>
        </w:rPr>
      </w:pPr>
      <w:r w:rsidRPr="00A120A9">
        <w:rPr>
          <w:rFonts w:asciiTheme="minorHAnsi" w:hAnsiTheme="minorHAnsi"/>
          <w:noProof/>
          <w:color w:val="auto"/>
          <w:sz w:val="22"/>
          <w:szCs w:val="22"/>
        </w:rPr>
        <w:lastRenderedPageBreak/>
        <w:t>19.</w:t>
      </w:r>
      <w:r w:rsidRPr="00A120A9">
        <w:rPr>
          <w:rFonts w:asciiTheme="minorHAnsi" w:hAnsiTheme="minorHAnsi"/>
          <w:noProof/>
          <w:color w:val="auto"/>
          <w:sz w:val="22"/>
          <w:szCs w:val="22"/>
        </w:rPr>
        <w:tab/>
        <w:t xml:space="preserve">Ahmadian M, Suh JM, Hah N, Liddle C, Atkins AR, Downes M, et al. PPARgamma signaling and metabolism: the good, the bad and the future. </w:t>
      </w:r>
      <w:r w:rsidRPr="00A120A9">
        <w:rPr>
          <w:rFonts w:asciiTheme="minorHAnsi" w:hAnsiTheme="minorHAnsi"/>
          <w:i/>
          <w:noProof/>
          <w:color w:val="auto"/>
          <w:sz w:val="22"/>
          <w:szCs w:val="22"/>
        </w:rPr>
        <w:t>Nat Med</w:t>
      </w:r>
      <w:r w:rsidRPr="00A120A9">
        <w:rPr>
          <w:rFonts w:asciiTheme="minorHAnsi" w:hAnsiTheme="minorHAnsi"/>
          <w:noProof/>
          <w:color w:val="auto"/>
          <w:sz w:val="22"/>
          <w:szCs w:val="22"/>
        </w:rPr>
        <w:t>. 2013;19:557-66.</w:t>
      </w:r>
    </w:p>
    <w:p w:rsidR="003C0564" w:rsidRPr="00A120A9" w:rsidRDefault="003C0564" w:rsidP="00A63171">
      <w:pPr>
        <w:pStyle w:val="EndNoteBibliography"/>
        <w:spacing w:line="480" w:lineRule="auto"/>
        <w:rPr>
          <w:rFonts w:asciiTheme="minorHAnsi" w:hAnsiTheme="minorHAnsi"/>
          <w:noProof/>
          <w:color w:val="auto"/>
          <w:sz w:val="22"/>
          <w:szCs w:val="22"/>
        </w:rPr>
      </w:pPr>
      <w:r w:rsidRPr="00A120A9">
        <w:rPr>
          <w:rFonts w:asciiTheme="minorHAnsi" w:hAnsiTheme="minorHAnsi"/>
          <w:noProof/>
          <w:color w:val="auto"/>
          <w:sz w:val="22"/>
          <w:szCs w:val="22"/>
        </w:rPr>
        <w:t>20.</w:t>
      </w:r>
      <w:r w:rsidRPr="00A120A9">
        <w:rPr>
          <w:rFonts w:asciiTheme="minorHAnsi" w:hAnsiTheme="minorHAnsi"/>
          <w:noProof/>
          <w:color w:val="auto"/>
          <w:sz w:val="22"/>
          <w:szCs w:val="22"/>
        </w:rPr>
        <w:tab/>
        <w:t xml:space="preserve">Hansford LM, Smith SA, Haber M, Norris MD, Cheung B and Marshall GM. Cloning and characterization of the human neural cell adhesion molecule, CNTN4 (alias BIG-2). </w:t>
      </w:r>
      <w:r w:rsidRPr="00A120A9">
        <w:rPr>
          <w:rFonts w:asciiTheme="minorHAnsi" w:hAnsiTheme="minorHAnsi"/>
          <w:i/>
          <w:noProof/>
          <w:color w:val="auto"/>
          <w:sz w:val="22"/>
          <w:szCs w:val="22"/>
        </w:rPr>
        <w:t>Cytogenet Genome Res</w:t>
      </w:r>
      <w:r w:rsidRPr="00A120A9">
        <w:rPr>
          <w:rFonts w:asciiTheme="minorHAnsi" w:hAnsiTheme="minorHAnsi"/>
          <w:noProof/>
          <w:color w:val="auto"/>
          <w:sz w:val="22"/>
          <w:szCs w:val="22"/>
        </w:rPr>
        <w:t>. 2003;101:17-23.</w:t>
      </w:r>
    </w:p>
    <w:p w:rsidR="003C0564" w:rsidRPr="00A120A9" w:rsidRDefault="003C0564" w:rsidP="00A63171">
      <w:pPr>
        <w:pStyle w:val="EndNoteBibliography"/>
        <w:spacing w:line="480" w:lineRule="auto"/>
        <w:rPr>
          <w:rFonts w:asciiTheme="minorHAnsi" w:hAnsiTheme="minorHAnsi"/>
          <w:noProof/>
          <w:color w:val="auto"/>
          <w:sz w:val="22"/>
          <w:szCs w:val="22"/>
        </w:rPr>
      </w:pPr>
      <w:r w:rsidRPr="00A120A9">
        <w:rPr>
          <w:rFonts w:asciiTheme="minorHAnsi" w:hAnsiTheme="minorHAnsi"/>
          <w:noProof/>
          <w:color w:val="auto"/>
          <w:sz w:val="22"/>
          <w:szCs w:val="22"/>
        </w:rPr>
        <w:t>21.</w:t>
      </w:r>
      <w:r w:rsidRPr="00A120A9">
        <w:rPr>
          <w:rFonts w:asciiTheme="minorHAnsi" w:hAnsiTheme="minorHAnsi"/>
          <w:noProof/>
          <w:color w:val="auto"/>
          <w:sz w:val="22"/>
          <w:szCs w:val="22"/>
        </w:rPr>
        <w:tab/>
        <w:t xml:space="preserve">Voruganti VS, Nath SD, Cole SA, Thameem F, Jowett JB, Bauer R, et al. Genetics of variation in serum uric acid and cardiovascular risk factors in Mexican Americans. </w:t>
      </w:r>
      <w:r w:rsidRPr="00A120A9">
        <w:rPr>
          <w:rFonts w:asciiTheme="minorHAnsi" w:hAnsiTheme="minorHAnsi"/>
          <w:i/>
          <w:noProof/>
          <w:color w:val="auto"/>
          <w:sz w:val="22"/>
          <w:szCs w:val="22"/>
        </w:rPr>
        <w:t>J Clin Endocrinol Metab</w:t>
      </w:r>
      <w:r w:rsidRPr="00A120A9">
        <w:rPr>
          <w:rFonts w:asciiTheme="minorHAnsi" w:hAnsiTheme="minorHAnsi"/>
          <w:noProof/>
          <w:color w:val="auto"/>
          <w:sz w:val="22"/>
          <w:szCs w:val="22"/>
        </w:rPr>
        <w:t>. 2009;94:632-8.</w:t>
      </w:r>
    </w:p>
    <w:p w:rsidR="002C4556" w:rsidRPr="00A120A9" w:rsidRDefault="002C4556" w:rsidP="00A63171">
      <w:pPr>
        <w:pStyle w:val="EndNoteBibliography"/>
        <w:spacing w:line="480" w:lineRule="auto"/>
        <w:rPr>
          <w:rFonts w:asciiTheme="minorHAnsi" w:hAnsiTheme="minorHAnsi"/>
          <w:noProof/>
          <w:color w:val="auto"/>
          <w:sz w:val="22"/>
          <w:szCs w:val="22"/>
        </w:rPr>
      </w:pPr>
      <w:r w:rsidRPr="00A120A9">
        <w:rPr>
          <w:rFonts w:asciiTheme="minorHAnsi" w:hAnsiTheme="minorHAnsi"/>
          <w:noProof/>
          <w:color w:val="auto"/>
          <w:sz w:val="22"/>
          <w:szCs w:val="22"/>
        </w:rPr>
        <w:t>22.</w:t>
      </w:r>
      <w:r w:rsidRPr="00A120A9">
        <w:rPr>
          <w:rFonts w:asciiTheme="minorHAnsi" w:hAnsiTheme="minorHAnsi"/>
          <w:noProof/>
          <w:color w:val="auto"/>
          <w:sz w:val="22"/>
          <w:szCs w:val="22"/>
        </w:rPr>
        <w:tab/>
        <w:t>Voruganti VS, Kent JW, Jr., Debnath S, et al. Genome-wide association analysis confirms and</w:t>
      </w:r>
    </w:p>
    <w:p w:rsidR="002C4556" w:rsidRPr="00A120A9" w:rsidRDefault="002C4556" w:rsidP="00A63171">
      <w:pPr>
        <w:pStyle w:val="EndNoteBibliography"/>
        <w:spacing w:line="480" w:lineRule="auto"/>
        <w:rPr>
          <w:rFonts w:asciiTheme="minorHAnsi" w:hAnsiTheme="minorHAnsi"/>
          <w:noProof/>
          <w:color w:val="auto"/>
          <w:sz w:val="22"/>
          <w:szCs w:val="22"/>
        </w:rPr>
      </w:pPr>
      <w:r w:rsidRPr="00A120A9">
        <w:rPr>
          <w:rFonts w:asciiTheme="minorHAnsi" w:hAnsiTheme="minorHAnsi"/>
          <w:noProof/>
          <w:color w:val="auto"/>
          <w:sz w:val="22"/>
          <w:szCs w:val="22"/>
        </w:rPr>
        <w:t>extends the association of SLC2A9 with serum uric acid levels to Mexican Americans. Frontiers in genetics 2013;4:279.</w:t>
      </w:r>
    </w:p>
    <w:p w:rsidR="003C0564" w:rsidRPr="00A120A9" w:rsidRDefault="003C0564" w:rsidP="00A63171">
      <w:pPr>
        <w:pStyle w:val="EndNoteBibliography"/>
        <w:spacing w:line="480" w:lineRule="auto"/>
        <w:rPr>
          <w:rFonts w:asciiTheme="minorHAnsi" w:hAnsiTheme="minorHAnsi"/>
          <w:noProof/>
          <w:color w:val="auto"/>
          <w:sz w:val="22"/>
          <w:szCs w:val="22"/>
        </w:rPr>
      </w:pPr>
      <w:r w:rsidRPr="00A120A9">
        <w:rPr>
          <w:rFonts w:asciiTheme="minorHAnsi" w:hAnsiTheme="minorHAnsi"/>
          <w:noProof/>
          <w:color w:val="auto"/>
          <w:sz w:val="22"/>
          <w:szCs w:val="22"/>
        </w:rPr>
        <w:t>23.</w:t>
      </w:r>
      <w:r w:rsidRPr="00A120A9">
        <w:rPr>
          <w:rFonts w:asciiTheme="minorHAnsi" w:hAnsiTheme="minorHAnsi"/>
          <w:noProof/>
          <w:color w:val="auto"/>
          <w:sz w:val="22"/>
          <w:szCs w:val="22"/>
        </w:rPr>
        <w:tab/>
        <w:t xml:space="preserve">Kanellis J, Watanabe S, Li JH, Kang DH, Li P, Nakagawa T, et al. Uric acid stimulates monocyte chemoattractant protein-1 production in vascular smooth muscle cells via mitogen-activated protein kinase and cyclooxygenase-2. </w:t>
      </w:r>
      <w:r w:rsidRPr="00A120A9">
        <w:rPr>
          <w:rFonts w:asciiTheme="minorHAnsi" w:hAnsiTheme="minorHAnsi"/>
          <w:i/>
          <w:noProof/>
          <w:color w:val="auto"/>
          <w:sz w:val="22"/>
          <w:szCs w:val="22"/>
        </w:rPr>
        <w:t>Hypertension</w:t>
      </w:r>
      <w:r w:rsidRPr="00A120A9">
        <w:rPr>
          <w:rFonts w:asciiTheme="minorHAnsi" w:hAnsiTheme="minorHAnsi"/>
          <w:noProof/>
          <w:color w:val="auto"/>
          <w:sz w:val="22"/>
          <w:szCs w:val="22"/>
        </w:rPr>
        <w:t>. 2003;41:1287-93.</w:t>
      </w:r>
    </w:p>
    <w:p w:rsidR="001E41CE" w:rsidRPr="00A120A9" w:rsidRDefault="001E41CE" w:rsidP="00A63171">
      <w:pPr>
        <w:pStyle w:val="EndNoteBibliography"/>
        <w:spacing w:line="480" w:lineRule="auto"/>
        <w:rPr>
          <w:rFonts w:asciiTheme="minorHAnsi" w:hAnsiTheme="minorHAnsi"/>
          <w:noProof/>
          <w:color w:val="auto"/>
          <w:sz w:val="22"/>
          <w:szCs w:val="22"/>
        </w:rPr>
      </w:pPr>
      <w:r w:rsidRPr="00A120A9">
        <w:rPr>
          <w:rFonts w:asciiTheme="minorHAnsi" w:hAnsiTheme="minorHAnsi"/>
          <w:noProof/>
          <w:color w:val="auto"/>
          <w:sz w:val="22"/>
          <w:szCs w:val="22"/>
        </w:rPr>
        <w:t>2</w:t>
      </w:r>
      <w:r w:rsidR="003C0564" w:rsidRPr="00A120A9">
        <w:rPr>
          <w:rFonts w:asciiTheme="minorHAnsi" w:hAnsiTheme="minorHAnsi"/>
          <w:noProof/>
          <w:color w:val="auto"/>
          <w:sz w:val="22"/>
          <w:szCs w:val="22"/>
        </w:rPr>
        <w:t>4</w:t>
      </w:r>
      <w:r w:rsidRPr="00A120A9">
        <w:rPr>
          <w:rFonts w:asciiTheme="minorHAnsi" w:hAnsiTheme="minorHAnsi"/>
          <w:noProof/>
          <w:color w:val="auto"/>
          <w:sz w:val="22"/>
          <w:szCs w:val="22"/>
        </w:rPr>
        <w:t>.</w:t>
      </w:r>
      <w:r w:rsidRPr="00A120A9">
        <w:rPr>
          <w:rFonts w:asciiTheme="minorHAnsi" w:hAnsiTheme="minorHAnsi"/>
          <w:noProof/>
          <w:color w:val="auto"/>
          <w:sz w:val="22"/>
          <w:szCs w:val="22"/>
        </w:rPr>
        <w:tab/>
        <w:t xml:space="preserve">Villegas R, Williams SM, Gao YT, Long J, Shi J, Cai H, et al. Genetic variation in the peroxisome proliferator-activated receptor (PPAR) and peroxisome proliferator-activated receptor gamma co-activator 1 (PGC1) gene families and type 2 diabetes. </w:t>
      </w:r>
      <w:r w:rsidRPr="00A120A9">
        <w:rPr>
          <w:rFonts w:asciiTheme="minorHAnsi" w:hAnsiTheme="minorHAnsi"/>
          <w:i/>
          <w:noProof/>
          <w:color w:val="auto"/>
          <w:sz w:val="22"/>
          <w:szCs w:val="22"/>
        </w:rPr>
        <w:t>Ann Hum Genet</w:t>
      </w:r>
      <w:r w:rsidRPr="00A120A9">
        <w:rPr>
          <w:rFonts w:asciiTheme="minorHAnsi" w:hAnsiTheme="minorHAnsi"/>
          <w:noProof/>
          <w:color w:val="auto"/>
          <w:sz w:val="22"/>
          <w:szCs w:val="22"/>
        </w:rPr>
        <w:t>. 2014;78:23-32.</w:t>
      </w:r>
    </w:p>
    <w:p w:rsidR="001E41CE" w:rsidRPr="00A120A9" w:rsidRDefault="001E41CE" w:rsidP="00A63171">
      <w:pPr>
        <w:pStyle w:val="EndNoteBibliography"/>
        <w:spacing w:line="480" w:lineRule="auto"/>
        <w:rPr>
          <w:rFonts w:asciiTheme="minorHAnsi" w:hAnsiTheme="minorHAnsi"/>
          <w:noProof/>
          <w:color w:val="auto"/>
          <w:sz w:val="22"/>
          <w:szCs w:val="22"/>
        </w:rPr>
      </w:pPr>
      <w:r w:rsidRPr="00A120A9">
        <w:rPr>
          <w:rFonts w:asciiTheme="minorHAnsi" w:hAnsiTheme="minorHAnsi"/>
          <w:noProof/>
          <w:color w:val="auto"/>
          <w:sz w:val="22"/>
          <w:szCs w:val="22"/>
        </w:rPr>
        <w:t>2</w:t>
      </w:r>
      <w:r w:rsidR="003C0564" w:rsidRPr="00A120A9">
        <w:rPr>
          <w:rFonts w:asciiTheme="minorHAnsi" w:hAnsiTheme="minorHAnsi"/>
          <w:noProof/>
          <w:color w:val="auto"/>
          <w:sz w:val="22"/>
          <w:szCs w:val="22"/>
        </w:rPr>
        <w:t>5</w:t>
      </w:r>
      <w:r w:rsidRPr="00A120A9">
        <w:rPr>
          <w:rFonts w:asciiTheme="minorHAnsi" w:hAnsiTheme="minorHAnsi"/>
          <w:noProof/>
          <w:color w:val="auto"/>
          <w:sz w:val="22"/>
          <w:szCs w:val="22"/>
        </w:rPr>
        <w:t>.</w:t>
      </w:r>
      <w:r w:rsidRPr="00A120A9">
        <w:rPr>
          <w:rFonts w:asciiTheme="minorHAnsi" w:hAnsiTheme="minorHAnsi"/>
          <w:noProof/>
          <w:color w:val="auto"/>
          <w:sz w:val="22"/>
          <w:szCs w:val="22"/>
        </w:rPr>
        <w:tab/>
        <w:t xml:space="preserve">Park KS, Shin HD, Park BL, Cheong HS, Cho YM, Lee HK, et al. Putative association of peroxisome proliferator-activated receptor gamma co-activator 1beta (PPARGC1B) polymorphism with Type 2 diabetes mellitus. </w:t>
      </w:r>
      <w:r w:rsidRPr="00A120A9">
        <w:rPr>
          <w:rFonts w:asciiTheme="minorHAnsi" w:hAnsiTheme="minorHAnsi"/>
          <w:i/>
          <w:noProof/>
          <w:color w:val="auto"/>
          <w:sz w:val="22"/>
          <w:szCs w:val="22"/>
        </w:rPr>
        <w:t>Diabet Med</w:t>
      </w:r>
      <w:r w:rsidRPr="00A120A9">
        <w:rPr>
          <w:rFonts w:asciiTheme="minorHAnsi" w:hAnsiTheme="minorHAnsi"/>
          <w:noProof/>
          <w:color w:val="auto"/>
          <w:sz w:val="22"/>
          <w:szCs w:val="22"/>
        </w:rPr>
        <w:t>. 2006;23:635-42.</w:t>
      </w:r>
    </w:p>
    <w:p w:rsidR="001E41CE" w:rsidRPr="00A120A9" w:rsidRDefault="001E41CE" w:rsidP="00A63171">
      <w:pPr>
        <w:pStyle w:val="Caption"/>
        <w:spacing w:line="480" w:lineRule="auto"/>
        <w:rPr>
          <w:rFonts w:asciiTheme="minorHAnsi" w:hAnsiTheme="minorHAnsi"/>
          <w:b w:val="0"/>
          <w:color w:val="auto"/>
          <w:sz w:val="22"/>
          <w:szCs w:val="22"/>
        </w:rPr>
      </w:pPr>
    </w:p>
    <w:p w:rsidR="001E41CE" w:rsidRPr="00A120A9" w:rsidRDefault="001E41CE" w:rsidP="00A63171">
      <w:pPr>
        <w:spacing w:line="480" w:lineRule="auto"/>
        <w:rPr>
          <w:color w:val="auto"/>
        </w:rPr>
      </w:pPr>
    </w:p>
    <w:p w:rsidR="001E41CE" w:rsidRPr="00A120A9" w:rsidRDefault="001E41CE" w:rsidP="00A63171">
      <w:pPr>
        <w:spacing w:line="480" w:lineRule="auto"/>
        <w:rPr>
          <w:color w:val="auto"/>
        </w:rPr>
      </w:pPr>
    </w:p>
    <w:p w:rsidR="001E41CE" w:rsidRPr="00A120A9" w:rsidRDefault="001E41CE" w:rsidP="00A63171">
      <w:pPr>
        <w:spacing w:line="480" w:lineRule="auto"/>
        <w:rPr>
          <w:b/>
          <w:noProof/>
          <w:color w:val="auto"/>
        </w:rPr>
      </w:pPr>
    </w:p>
    <w:p w:rsidR="001E41CE" w:rsidRPr="00A120A9" w:rsidRDefault="001E41CE" w:rsidP="00A63171">
      <w:pPr>
        <w:spacing w:line="480" w:lineRule="auto"/>
        <w:rPr>
          <w:color w:val="auto"/>
        </w:rPr>
      </w:pPr>
    </w:p>
    <w:p w:rsidR="00D46068" w:rsidRPr="00A120A9" w:rsidRDefault="00BC180B" w:rsidP="00A63171">
      <w:pPr>
        <w:spacing w:line="480" w:lineRule="auto"/>
        <w:rPr>
          <w:color w:val="auto"/>
        </w:rPr>
      </w:pPr>
    </w:p>
    <w:sectPr w:rsidR="00D46068" w:rsidRPr="00A120A9" w:rsidSect="007540F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196D" w:rsidRDefault="00A120A9">
      <w:pPr>
        <w:spacing w:line="240" w:lineRule="auto"/>
      </w:pPr>
      <w:r>
        <w:separator/>
      </w:r>
    </w:p>
  </w:endnote>
  <w:endnote w:type="continuationSeparator" w:id="0">
    <w:p w:rsidR="008F196D" w:rsidRDefault="00A120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Garamond">
    <w:altName w:val="AGaramond"/>
    <w:panose1 w:val="00000000000000000000"/>
    <w:charset w:val="00"/>
    <w:family w:val="roman"/>
    <w:notTrueType/>
    <w:pitch w:val="default"/>
    <w:sig w:usb0="00000003" w:usb1="00000000" w:usb2="00000000" w:usb3="00000000" w:csb0="00000001" w:csb1="00000000"/>
  </w:font>
  <w:font w:name="Shaker2Lancet-Regular">
    <w:altName w:val="Arial Unicode MS"/>
    <w:panose1 w:val="00000000000000000000"/>
    <w:charset w:val="80"/>
    <w:family w:val="auto"/>
    <w:notTrueType/>
    <w:pitch w:val="default"/>
    <w:sig w:usb0="00000001" w:usb1="08070000" w:usb2="00000010" w:usb3="00000000" w:csb0="00020000" w:csb1="00000000"/>
  </w:font>
  <w:font w:name="Liberation Sans">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Hindi">
    <w:panose1 w:val="00000000000000000000"/>
    <w:charset w:val="00"/>
    <w:family w:val="roman"/>
    <w:notTrueType/>
    <w:pitch w:val="default"/>
  </w:font>
  <w:font w:name="Adobe Kaiti Std R">
    <w:panose1 w:val="00000000000000000000"/>
    <w:charset w:val="80"/>
    <w:family w:val="roman"/>
    <w:notTrueType/>
    <w:pitch w:val="variable"/>
    <w:sig w:usb0="00000207" w:usb1="0A0F1810" w:usb2="00000016" w:usb3="00000000" w:csb0="00060007"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196D" w:rsidRDefault="00A120A9">
      <w:pPr>
        <w:spacing w:line="240" w:lineRule="auto"/>
      </w:pPr>
      <w:r>
        <w:separator/>
      </w:r>
    </w:p>
  </w:footnote>
  <w:footnote w:type="continuationSeparator" w:id="0">
    <w:p w:rsidR="008F196D" w:rsidRDefault="00A120A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826" w:rsidRDefault="00BC180B">
    <w:pPr>
      <w:pStyle w:val="Header"/>
    </w:pPr>
  </w:p>
  <w:p w:rsidR="009D1826" w:rsidRDefault="00027E7A">
    <w:pPr>
      <w:pStyle w:val="Framecontents"/>
      <w:jc w:val="center"/>
    </w:pPr>
    <w:r>
      <w:fldChar w:fldCharType="begin"/>
    </w:r>
    <w:r>
      <w:instrText>PAGE</w:instrText>
    </w:r>
    <w:r>
      <w:fldChar w:fldCharType="separate"/>
    </w:r>
    <w:r w:rsidR="00BC180B">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93FF9"/>
    <w:multiLevelType w:val="hybridMultilevel"/>
    <w:tmpl w:val="0A6AF3E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nsid w:val="16B54567"/>
    <w:multiLevelType w:val="hybridMultilevel"/>
    <w:tmpl w:val="726891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185D506D"/>
    <w:multiLevelType w:val="multilevel"/>
    <w:tmpl w:val="398C1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154708"/>
    <w:multiLevelType w:val="hybridMultilevel"/>
    <w:tmpl w:val="A1D62D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71752D5"/>
    <w:multiLevelType w:val="multilevel"/>
    <w:tmpl w:val="FABA6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7F102B1"/>
    <w:multiLevelType w:val="hybridMultilevel"/>
    <w:tmpl w:val="CDDCF548"/>
    <w:lvl w:ilvl="0" w:tplc="615212F0">
      <w:start w:val="1"/>
      <w:numFmt w:val="bullet"/>
      <w:lvlText w:val="•"/>
      <w:lvlJc w:val="left"/>
      <w:pPr>
        <w:tabs>
          <w:tab w:val="num" w:pos="720"/>
        </w:tabs>
        <w:ind w:left="720" w:hanging="360"/>
      </w:pPr>
      <w:rPr>
        <w:rFonts w:ascii="Arial" w:hAnsi="Arial" w:hint="default"/>
      </w:rPr>
    </w:lvl>
    <w:lvl w:ilvl="1" w:tplc="DADCCF46" w:tentative="1">
      <w:start w:val="1"/>
      <w:numFmt w:val="bullet"/>
      <w:lvlText w:val="•"/>
      <w:lvlJc w:val="left"/>
      <w:pPr>
        <w:tabs>
          <w:tab w:val="num" w:pos="1440"/>
        </w:tabs>
        <w:ind w:left="1440" w:hanging="360"/>
      </w:pPr>
      <w:rPr>
        <w:rFonts w:ascii="Arial" w:hAnsi="Arial" w:hint="default"/>
      </w:rPr>
    </w:lvl>
    <w:lvl w:ilvl="2" w:tplc="356E4C6E" w:tentative="1">
      <w:start w:val="1"/>
      <w:numFmt w:val="bullet"/>
      <w:lvlText w:val="•"/>
      <w:lvlJc w:val="left"/>
      <w:pPr>
        <w:tabs>
          <w:tab w:val="num" w:pos="2160"/>
        </w:tabs>
        <w:ind w:left="2160" w:hanging="360"/>
      </w:pPr>
      <w:rPr>
        <w:rFonts w:ascii="Arial" w:hAnsi="Arial" w:hint="default"/>
      </w:rPr>
    </w:lvl>
    <w:lvl w:ilvl="3" w:tplc="89923B2C" w:tentative="1">
      <w:start w:val="1"/>
      <w:numFmt w:val="bullet"/>
      <w:lvlText w:val="•"/>
      <w:lvlJc w:val="left"/>
      <w:pPr>
        <w:tabs>
          <w:tab w:val="num" w:pos="2880"/>
        </w:tabs>
        <w:ind w:left="2880" w:hanging="360"/>
      </w:pPr>
      <w:rPr>
        <w:rFonts w:ascii="Arial" w:hAnsi="Arial" w:hint="default"/>
      </w:rPr>
    </w:lvl>
    <w:lvl w:ilvl="4" w:tplc="558AE646" w:tentative="1">
      <w:start w:val="1"/>
      <w:numFmt w:val="bullet"/>
      <w:lvlText w:val="•"/>
      <w:lvlJc w:val="left"/>
      <w:pPr>
        <w:tabs>
          <w:tab w:val="num" w:pos="3600"/>
        </w:tabs>
        <w:ind w:left="3600" w:hanging="360"/>
      </w:pPr>
      <w:rPr>
        <w:rFonts w:ascii="Arial" w:hAnsi="Arial" w:hint="default"/>
      </w:rPr>
    </w:lvl>
    <w:lvl w:ilvl="5" w:tplc="8E92E840" w:tentative="1">
      <w:start w:val="1"/>
      <w:numFmt w:val="bullet"/>
      <w:lvlText w:val="•"/>
      <w:lvlJc w:val="left"/>
      <w:pPr>
        <w:tabs>
          <w:tab w:val="num" w:pos="4320"/>
        </w:tabs>
        <w:ind w:left="4320" w:hanging="360"/>
      </w:pPr>
      <w:rPr>
        <w:rFonts w:ascii="Arial" w:hAnsi="Arial" w:hint="default"/>
      </w:rPr>
    </w:lvl>
    <w:lvl w:ilvl="6" w:tplc="87EE30F8" w:tentative="1">
      <w:start w:val="1"/>
      <w:numFmt w:val="bullet"/>
      <w:lvlText w:val="•"/>
      <w:lvlJc w:val="left"/>
      <w:pPr>
        <w:tabs>
          <w:tab w:val="num" w:pos="5040"/>
        </w:tabs>
        <w:ind w:left="5040" w:hanging="360"/>
      </w:pPr>
      <w:rPr>
        <w:rFonts w:ascii="Arial" w:hAnsi="Arial" w:hint="default"/>
      </w:rPr>
    </w:lvl>
    <w:lvl w:ilvl="7" w:tplc="1B503660" w:tentative="1">
      <w:start w:val="1"/>
      <w:numFmt w:val="bullet"/>
      <w:lvlText w:val="•"/>
      <w:lvlJc w:val="left"/>
      <w:pPr>
        <w:tabs>
          <w:tab w:val="num" w:pos="5760"/>
        </w:tabs>
        <w:ind w:left="5760" w:hanging="360"/>
      </w:pPr>
      <w:rPr>
        <w:rFonts w:ascii="Arial" w:hAnsi="Arial" w:hint="default"/>
      </w:rPr>
    </w:lvl>
    <w:lvl w:ilvl="8" w:tplc="8CC4C62A" w:tentative="1">
      <w:start w:val="1"/>
      <w:numFmt w:val="bullet"/>
      <w:lvlText w:val="•"/>
      <w:lvlJc w:val="left"/>
      <w:pPr>
        <w:tabs>
          <w:tab w:val="num" w:pos="6480"/>
        </w:tabs>
        <w:ind w:left="6480" w:hanging="360"/>
      </w:pPr>
      <w:rPr>
        <w:rFonts w:ascii="Arial" w:hAnsi="Arial" w:hint="default"/>
      </w:rPr>
    </w:lvl>
  </w:abstractNum>
  <w:abstractNum w:abstractNumId="6">
    <w:nsid w:val="3667531D"/>
    <w:multiLevelType w:val="multilevel"/>
    <w:tmpl w:val="ACFCDD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40DE3364"/>
    <w:multiLevelType w:val="multilevel"/>
    <w:tmpl w:val="897271F6"/>
    <w:lvl w:ilvl="0">
      <w:start w:val="1"/>
      <w:numFmt w:val="none"/>
      <w:pStyle w:val="Heading1"/>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pStyle w:val="Heading5"/>
      <w:suff w:val="nothing"/>
      <w:lvlText w:val=""/>
      <w:lvlJc w:val="left"/>
      <w:pPr>
        <w:tabs>
          <w:tab w:val="num" w:pos="1008"/>
        </w:tabs>
        <w:ind w:left="1008" w:hanging="1008"/>
      </w:pPr>
    </w:lvl>
    <w:lvl w:ilvl="5">
      <w:start w:val="1"/>
      <w:numFmt w:val="none"/>
      <w:pStyle w:val="Heading6"/>
      <w:suff w:val="nothing"/>
      <w:lvlText w:val=""/>
      <w:lvlJc w:val="left"/>
      <w:pPr>
        <w:tabs>
          <w:tab w:val="num" w:pos="1152"/>
        </w:tabs>
        <w:ind w:left="1152" w:hanging="1152"/>
      </w:pPr>
    </w:lvl>
    <w:lvl w:ilvl="6">
      <w:start w:val="1"/>
      <w:numFmt w:val="none"/>
      <w:pStyle w:val="Heading7"/>
      <w:suff w:val="nothing"/>
      <w:lvlText w:val=""/>
      <w:lvlJc w:val="left"/>
      <w:pPr>
        <w:tabs>
          <w:tab w:val="num" w:pos="1296"/>
        </w:tabs>
        <w:ind w:left="1296" w:hanging="1296"/>
      </w:pPr>
    </w:lvl>
    <w:lvl w:ilvl="7">
      <w:start w:val="1"/>
      <w:numFmt w:val="none"/>
      <w:pStyle w:val="Heading8"/>
      <w:suff w:val="nothing"/>
      <w:lvlText w:val=""/>
      <w:lvlJc w:val="left"/>
      <w:pPr>
        <w:tabs>
          <w:tab w:val="num" w:pos="1440"/>
        </w:tabs>
        <w:ind w:left="1440" w:hanging="1440"/>
      </w:pPr>
    </w:lvl>
    <w:lvl w:ilvl="8">
      <w:start w:val="1"/>
      <w:numFmt w:val="none"/>
      <w:pStyle w:val="Heading9"/>
      <w:suff w:val="nothing"/>
      <w:lvlText w:val=""/>
      <w:lvlJc w:val="left"/>
      <w:pPr>
        <w:tabs>
          <w:tab w:val="num" w:pos="1584"/>
        </w:tabs>
        <w:ind w:left="1584" w:hanging="1584"/>
      </w:pPr>
    </w:lvl>
  </w:abstractNum>
  <w:abstractNum w:abstractNumId="8">
    <w:nsid w:val="42200356"/>
    <w:multiLevelType w:val="multilevel"/>
    <w:tmpl w:val="5BC85A8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nsid w:val="49E05511"/>
    <w:multiLevelType w:val="multilevel"/>
    <w:tmpl w:val="85A6C6E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nsid w:val="515F7EAD"/>
    <w:multiLevelType w:val="multilevel"/>
    <w:tmpl w:val="F6FEF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5FE0783"/>
    <w:multiLevelType w:val="hybridMultilevel"/>
    <w:tmpl w:val="DF344DB2"/>
    <w:lvl w:ilvl="0" w:tplc="FA46EFEE">
      <w:start w:val="1"/>
      <w:numFmt w:val="bullet"/>
      <w:lvlText w:val=""/>
      <w:lvlJc w:val="left"/>
      <w:pPr>
        <w:tabs>
          <w:tab w:val="num" w:pos="720"/>
        </w:tabs>
        <w:ind w:left="720" w:hanging="360"/>
      </w:pPr>
      <w:rPr>
        <w:rFonts w:ascii="Wingdings" w:hAnsi="Wingdings" w:hint="default"/>
      </w:rPr>
    </w:lvl>
    <w:lvl w:ilvl="1" w:tplc="1034102E">
      <w:start w:val="3247"/>
      <w:numFmt w:val="bullet"/>
      <w:lvlText w:val=""/>
      <w:lvlJc w:val="left"/>
      <w:pPr>
        <w:tabs>
          <w:tab w:val="num" w:pos="1440"/>
        </w:tabs>
        <w:ind w:left="1440" w:hanging="360"/>
      </w:pPr>
      <w:rPr>
        <w:rFonts w:ascii="Wingdings" w:hAnsi="Wingdings" w:hint="default"/>
      </w:rPr>
    </w:lvl>
    <w:lvl w:ilvl="2" w:tplc="F1A63202">
      <w:start w:val="3247"/>
      <w:numFmt w:val="bullet"/>
      <w:lvlText w:val=""/>
      <w:lvlJc w:val="left"/>
      <w:pPr>
        <w:tabs>
          <w:tab w:val="num" w:pos="2160"/>
        </w:tabs>
        <w:ind w:left="2160" w:hanging="360"/>
      </w:pPr>
      <w:rPr>
        <w:rFonts w:ascii="Wingdings" w:hAnsi="Wingdings" w:hint="default"/>
      </w:rPr>
    </w:lvl>
    <w:lvl w:ilvl="3" w:tplc="FC26D2BE" w:tentative="1">
      <w:start w:val="1"/>
      <w:numFmt w:val="bullet"/>
      <w:lvlText w:val=""/>
      <w:lvlJc w:val="left"/>
      <w:pPr>
        <w:tabs>
          <w:tab w:val="num" w:pos="2880"/>
        </w:tabs>
        <w:ind w:left="2880" w:hanging="360"/>
      </w:pPr>
      <w:rPr>
        <w:rFonts w:ascii="Wingdings" w:hAnsi="Wingdings" w:hint="default"/>
      </w:rPr>
    </w:lvl>
    <w:lvl w:ilvl="4" w:tplc="41EC9032" w:tentative="1">
      <w:start w:val="1"/>
      <w:numFmt w:val="bullet"/>
      <w:lvlText w:val=""/>
      <w:lvlJc w:val="left"/>
      <w:pPr>
        <w:tabs>
          <w:tab w:val="num" w:pos="3600"/>
        </w:tabs>
        <w:ind w:left="3600" w:hanging="360"/>
      </w:pPr>
      <w:rPr>
        <w:rFonts w:ascii="Wingdings" w:hAnsi="Wingdings" w:hint="default"/>
      </w:rPr>
    </w:lvl>
    <w:lvl w:ilvl="5" w:tplc="48CC1288" w:tentative="1">
      <w:start w:val="1"/>
      <w:numFmt w:val="bullet"/>
      <w:lvlText w:val=""/>
      <w:lvlJc w:val="left"/>
      <w:pPr>
        <w:tabs>
          <w:tab w:val="num" w:pos="4320"/>
        </w:tabs>
        <w:ind w:left="4320" w:hanging="360"/>
      </w:pPr>
      <w:rPr>
        <w:rFonts w:ascii="Wingdings" w:hAnsi="Wingdings" w:hint="default"/>
      </w:rPr>
    </w:lvl>
    <w:lvl w:ilvl="6" w:tplc="40F2189E" w:tentative="1">
      <w:start w:val="1"/>
      <w:numFmt w:val="bullet"/>
      <w:lvlText w:val=""/>
      <w:lvlJc w:val="left"/>
      <w:pPr>
        <w:tabs>
          <w:tab w:val="num" w:pos="5040"/>
        </w:tabs>
        <w:ind w:left="5040" w:hanging="360"/>
      </w:pPr>
      <w:rPr>
        <w:rFonts w:ascii="Wingdings" w:hAnsi="Wingdings" w:hint="default"/>
      </w:rPr>
    </w:lvl>
    <w:lvl w:ilvl="7" w:tplc="DB224EEC" w:tentative="1">
      <w:start w:val="1"/>
      <w:numFmt w:val="bullet"/>
      <w:lvlText w:val=""/>
      <w:lvlJc w:val="left"/>
      <w:pPr>
        <w:tabs>
          <w:tab w:val="num" w:pos="5760"/>
        </w:tabs>
        <w:ind w:left="5760" w:hanging="360"/>
      </w:pPr>
      <w:rPr>
        <w:rFonts w:ascii="Wingdings" w:hAnsi="Wingdings" w:hint="default"/>
      </w:rPr>
    </w:lvl>
    <w:lvl w:ilvl="8" w:tplc="0308BE88" w:tentative="1">
      <w:start w:val="1"/>
      <w:numFmt w:val="bullet"/>
      <w:lvlText w:val=""/>
      <w:lvlJc w:val="left"/>
      <w:pPr>
        <w:tabs>
          <w:tab w:val="num" w:pos="6480"/>
        </w:tabs>
        <w:ind w:left="6480" w:hanging="360"/>
      </w:pPr>
      <w:rPr>
        <w:rFonts w:ascii="Wingdings" w:hAnsi="Wingdings" w:hint="default"/>
      </w:rPr>
    </w:lvl>
  </w:abstractNum>
  <w:abstractNum w:abstractNumId="12">
    <w:nsid w:val="71145573"/>
    <w:multiLevelType w:val="multilevel"/>
    <w:tmpl w:val="CFDEF62C"/>
    <w:lvl w:ilvl="0">
      <w:start w:val="1"/>
      <w:numFmt w:val="bullet"/>
      <w:lvlText w:val="-"/>
      <w:lvlJc w:val="left"/>
      <w:pPr>
        <w:ind w:left="720" w:hanging="360"/>
      </w:pPr>
      <w:rPr>
        <w:rFonts w:ascii="Arial"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7"/>
  </w:num>
  <w:num w:numId="2">
    <w:abstractNumId w:val="8"/>
  </w:num>
  <w:num w:numId="3">
    <w:abstractNumId w:val="6"/>
  </w:num>
  <w:num w:numId="4">
    <w:abstractNumId w:val="12"/>
  </w:num>
  <w:num w:numId="5">
    <w:abstractNumId w:val="9"/>
  </w:num>
  <w:num w:numId="6">
    <w:abstractNumId w:val="5"/>
  </w:num>
  <w:num w:numId="7">
    <w:abstractNumId w:val="11"/>
  </w:num>
  <w:num w:numId="8">
    <w:abstractNumId w:val="1"/>
  </w:num>
  <w:num w:numId="9">
    <w:abstractNumId w:val="0"/>
  </w:num>
  <w:num w:numId="10">
    <w:abstractNumId w:val="2"/>
  </w:num>
  <w:num w:numId="11">
    <w:abstractNumId w:val="4"/>
  </w:num>
  <w:num w:numId="12">
    <w:abstractNumId w:val="1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1E41CE"/>
    <w:rsid w:val="00027E7A"/>
    <w:rsid w:val="00037231"/>
    <w:rsid w:val="001235A2"/>
    <w:rsid w:val="001B4116"/>
    <w:rsid w:val="001E41CE"/>
    <w:rsid w:val="002C4556"/>
    <w:rsid w:val="003C0564"/>
    <w:rsid w:val="003F2F72"/>
    <w:rsid w:val="00455A25"/>
    <w:rsid w:val="006044A9"/>
    <w:rsid w:val="007642C5"/>
    <w:rsid w:val="00794370"/>
    <w:rsid w:val="008853FD"/>
    <w:rsid w:val="008F196D"/>
    <w:rsid w:val="00960598"/>
    <w:rsid w:val="00A120A9"/>
    <w:rsid w:val="00A63171"/>
    <w:rsid w:val="00A81B27"/>
    <w:rsid w:val="00B17FFD"/>
    <w:rsid w:val="00BC180B"/>
    <w:rsid w:val="00BC4B0E"/>
    <w:rsid w:val="00D2790C"/>
    <w:rsid w:val="00F633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table of figures"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E41CE"/>
    <w:pPr>
      <w:tabs>
        <w:tab w:val="left" w:pos="720"/>
      </w:tabs>
      <w:suppressAutoHyphens/>
      <w:spacing w:after="0" w:line="100" w:lineRule="atLeast"/>
    </w:pPr>
    <w:rPr>
      <w:rFonts w:ascii="Arial" w:eastAsia="Times New Roman" w:hAnsi="Arial" w:cs="Arial"/>
      <w:color w:val="000000"/>
      <w:sz w:val="24"/>
      <w:szCs w:val="24"/>
    </w:rPr>
  </w:style>
  <w:style w:type="paragraph" w:styleId="Heading1">
    <w:name w:val="heading 1"/>
    <w:basedOn w:val="Normal"/>
    <w:next w:val="Textbody"/>
    <w:link w:val="Heading1Char"/>
    <w:rsid w:val="001E41CE"/>
    <w:pPr>
      <w:numPr>
        <w:numId w:val="1"/>
      </w:numPr>
      <w:spacing w:before="28" w:after="28"/>
      <w:outlineLvl w:val="0"/>
    </w:pPr>
    <w:rPr>
      <w:rFonts w:ascii="Times New Roman" w:hAnsi="Times New Roman" w:cs="Times New Roman"/>
      <w:b/>
      <w:bCs/>
      <w:sz w:val="48"/>
      <w:szCs w:val="48"/>
      <w:lang w:val="en-IE"/>
    </w:rPr>
  </w:style>
  <w:style w:type="paragraph" w:styleId="Heading2">
    <w:name w:val="heading 2"/>
    <w:basedOn w:val="Normal"/>
    <w:next w:val="Textbody"/>
    <w:link w:val="Heading2Char"/>
    <w:rsid w:val="001E41CE"/>
    <w:pPr>
      <w:keepNext/>
      <w:numPr>
        <w:ilvl w:val="1"/>
        <w:numId w:val="1"/>
      </w:numPr>
      <w:spacing w:before="240" w:after="60"/>
      <w:outlineLvl w:val="1"/>
    </w:pPr>
    <w:rPr>
      <w:rFonts w:ascii="Cambria" w:hAnsi="Cambria" w:cs="Times New Roman"/>
      <w:b/>
      <w:bCs/>
      <w:i/>
      <w:iCs/>
      <w:sz w:val="28"/>
      <w:szCs w:val="28"/>
      <w:lang w:val="en-IE"/>
    </w:rPr>
  </w:style>
  <w:style w:type="paragraph" w:styleId="Heading3">
    <w:name w:val="heading 3"/>
    <w:basedOn w:val="Normal"/>
    <w:next w:val="Textbody"/>
    <w:link w:val="Heading3Char"/>
    <w:rsid w:val="001E41CE"/>
    <w:pPr>
      <w:keepNext/>
      <w:numPr>
        <w:ilvl w:val="2"/>
        <w:numId w:val="1"/>
      </w:numPr>
      <w:spacing w:before="240" w:after="60"/>
      <w:outlineLvl w:val="2"/>
    </w:pPr>
    <w:rPr>
      <w:rFonts w:ascii="Cambria" w:hAnsi="Cambria" w:cs="Times New Roman"/>
      <w:b/>
      <w:bCs/>
      <w:sz w:val="26"/>
      <w:szCs w:val="26"/>
      <w:lang w:val="en-IE"/>
    </w:rPr>
  </w:style>
  <w:style w:type="paragraph" w:styleId="Heading4">
    <w:name w:val="heading 4"/>
    <w:basedOn w:val="Normal"/>
    <w:next w:val="Textbody"/>
    <w:link w:val="Heading4Char"/>
    <w:rsid w:val="001E41CE"/>
    <w:pPr>
      <w:keepNext/>
      <w:numPr>
        <w:ilvl w:val="3"/>
        <w:numId w:val="1"/>
      </w:numPr>
      <w:spacing w:before="240" w:after="60"/>
      <w:outlineLvl w:val="3"/>
    </w:pPr>
    <w:rPr>
      <w:rFonts w:ascii="Calibri" w:hAnsi="Calibri" w:cs="Times New Roman"/>
      <w:b/>
      <w:bCs/>
      <w:sz w:val="28"/>
      <w:szCs w:val="28"/>
      <w:lang w:val="en-IE"/>
    </w:rPr>
  </w:style>
  <w:style w:type="paragraph" w:styleId="Heading5">
    <w:name w:val="heading 5"/>
    <w:basedOn w:val="Normal"/>
    <w:next w:val="Textbody"/>
    <w:link w:val="Heading5Char"/>
    <w:rsid w:val="001E41CE"/>
    <w:pPr>
      <w:numPr>
        <w:ilvl w:val="4"/>
        <w:numId w:val="1"/>
      </w:numPr>
      <w:spacing w:before="240" w:after="60"/>
      <w:outlineLvl w:val="4"/>
    </w:pPr>
    <w:rPr>
      <w:rFonts w:ascii="Calibri" w:hAnsi="Calibri" w:cs="Times New Roman"/>
      <w:b/>
      <w:bCs/>
      <w:i/>
      <w:iCs/>
      <w:sz w:val="26"/>
      <w:szCs w:val="26"/>
      <w:lang w:val="en-IE"/>
    </w:rPr>
  </w:style>
  <w:style w:type="paragraph" w:styleId="Heading6">
    <w:name w:val="heading 6"/>
    <w:basedOn w:val="Normal"/>
    <w:next w:val="Textbody"/>
    <w:link w:val="Heading6Char"/>
    <w:rsid w:val="001E41CE"/>
    <w:pPr>
      <w:numPr>
        <w:ilvl w:val="5"/>
        <w:numId w:val="1"/>
      </w:numPr>
      <w:spacing w:before="240" w:after="60"/>
      <w:outlineLvl w:val="5"/>
    </w:pPr>
    <w:rPr>
      <w:rFonts w:ascii="Calibri" w:hAnsi="Calibri" w:cs="Times New Roman"/>
      <w:b/>
      <w:bCs/>
      <w:lang w:val="en-IE"/>
    </w:rPr>
  </w:style>
  <w:style w:type="paragraph" w:styleId="Heading7">
    <w:name w:val="heading 7"/>
    <w:basedOn w:val="Normal"/>
    <w:next w:val="Textbody"/>
    <w:link w:val="Heading7Char"/>
    <w:rsid w:val="001E41CE"/>
    <w:pPr>
      <w:numPr>
        <w:ilvl w:val="6"/>
        <w:numId w:val="1"/>
      </w:numPr>
      <w:spacing w:before="240" w:after="60"/>
      <w:outlineLvl w:val="6"/>
    </w:pPr>
    <w:rPr>
      <w:rFonts w:ascii="Calibri" w:hAnsi="Calibri" w:cs="Times New Roman"/>
      <w:lang w:val="en-IE"/>
    </w:rPr>
  </w:style>
  <w:style w:type="paragraph" w:styleId="Heading8">
    <w:name w:val="heading 8"/>
    <w:basedOn w:val="Normal"/>
    <w:next w:val="Textbody"/>
    <w:link w:val="Heading8Char"/>
    <w:rsid w:val="001E41CE"/>
    <w:pPr>
      <w:numPr>
        <w:ilvl w:val="7"/>
        <w:numId w:val="1"/>
      </w:numPr>
      <w:spacing w:before="240" w:after="60"/>
      <w:outlineLvl w:val="7"/>
    </w:pPr>
    <w:rPr>
      <w:rFonts w:ascii="Calibri" w:hAnsi="Calibri" w:cs="Times New Roman"/>
      <w:i/>
      <w:iCs/>
      <w:lang w:val="en-IE"/>
    </w:rPr>
  </w:style>
  <w:style w:type="paragraph" w:styleId="Heading9">
    <w:name w:val="heading 9"/>
    <w:basedOn w:val="Normal"/>
    <w:next w:val="Textbody"/>
    <w:link w:val="Heading9Char"/>
    <w:rsid w:val="001E41CE"/>
    <w:pPr>
      <w:numPr>
        <w:ilvl w:val="8"/>
        <w:numId w:val="1"/>
      </w:numPr>
      <w:spacing w:before="240" w:after="60"/>
      <w:outlineLvl w:val="8"/>
    </w:pPr>
    <w:rPr>
      <w:rFonts w:ascii="Cambria" w:hAnsi="Cambria" w:cs="Times New Roman"/>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E41CE"/>
    <w:rPr>
      <w:rFonts w:ascii="Times New Roman" w:eastAsia="Times New Roman" w:hAnsi="Times New Roman" w:cs="Times New Roman"/>
      <w:b/>
      <w:bCs/>
      <w:color w:val="000000"/>
      <w:sz w:val="48"/>
      <w:szCs w:val="48"/>
      <w:lang w:val="en-IE"/>
    </w:rPr>
  </w:style>
  <w:style w:type="character" w:customStyle="1" w:styleId="Heading2Char">
    <w:name w:val="Heading 2 Char"/>
    <w:link w:val="Heading2"/>
    <w:rsid w:val="001E41CE"/>
    <w:rPr>
      <w:rFonts w:ascii="Cambria" w:eastAsia="Times New Roman" w:hAnsi="Cambria" w:cs="Times New Roman"/>
      <w:b/>
      <w:bCs/>
      <w:i/>
      <w:iCs/>
      <w:color w:val="000000"/>
      <w:sz w:val="28"/>
      <w:szCs w:val="28"/>
      <w:lang w:val="en-IE"/>
    </w:rPr>
  </w:style>
  <w:style w:type="character" w:customStyle="1" w:styleId="Heading3Char">
    <w:name w:val="Heading 3 Char"/>
    <w:link w:val="Heading3"/>
    <w:rsid w:val="001E41CE"/>
    <w:rPr>
      <w:rFonts w:ascii="Cambria" w:eastAsia="Times New Roman" w:hAnsi="Cambria" w:cs="Times New Roman"/>
      <w:b/>
      <w:bCs/>
      <w:color w:val="000000"/>
      <w:sz w:val="26"/>
      <w:szCs w:val="26"/>
      <w:lang w:val="en-IE"/>
    </w:rPr>
  </w:style>
  <w:style w:type="character" w:customStyle="1" w:styleId="Heading4Char">
    <w:name w:val="Heading 4 Char"/>
    <w:link w:val="Heading4"/>
    <w:rsid w:val="001E41CE"/>
    <w:rPr>
      <w:rFonts w:ascii="Calibri" w:eastAsia="Times New Roman" w:hAnsi="Calibri" w:cs="Times New Roman"/>
      <w:b/>
      <w:bCs/>
      <w:color w:val="000000"/>
      <w:sz w:val="28"/>
      <w:szCs w:val="28"/>
      <w:lang w:val="en-IE"/>
    </w:rPr>
  </w:style>
  <w:style w:type="character" w:customStyle="1" w:styleId="Heading5Char">
    <w:name w:val="Heading 5 Char"/>
    <w:link w:val="Heading5"/>
    <w:rsid w:val="001E41CE"/>
    <w:rPr>
      <w:rFonts w:ascii="Calibri" w:eastAsia="Times New Roman" w:hAnsi="Calibri" w:cs="Times New Roman"/>
      <w:b/>
      <w:bCs/>
      <w:i/>
      <w:iCs/>
      <w:color w:val="000000"/>
      <w:sz w:val="26"/>
      <w:szCs w:val="26"/>
      <w:lang w:val="en-IE"/>
    </w:rPr>
  </w:style>
  <w:style w:type="character" w:customStyle="1" w:styleId="Heading6Char">
    <w:name w:val="Heading 6 Char"/>
    <w:link w:val="Heading6"/>
    <w:rsid w:val="001E41CE"/>
    <w:rPr>
      <w:rFonts w:ascii="Calibri" w:eastAsia="Times New Roman" w:hAnsi="Calibri" w:cs="Times New Roman"/>
      <w:b/>
      <w:bCs/>
      <w:color w:val="000000"/>
      <w:sz w:val="24"/>
      <w:szCs w:val="24"/>
      <w:lang w:val="en-IE"/>
    </w:rPr>
  </w:style>
  <w:style w:type="character" w:customStyle="1" w:styleId="Heading7Char">
    <w:name w:val="Heading 7 Char"/>
    <w:link w:val="Heading7"/>
    <w:rsid w:val="001E41CE"/>
    <w:rPr>
      <w:rFonts w:ascii="Calibri" w:eastAsia="Times New Roman" w:hAnsi="Calibri" w:cs="Times New Roman"/>
      <w:color w:val="000000"/>
      <w:sz w:val="24"/>
      <w:szCs w:val="24"/>
      <w:lang w:val="en-IE"/>
    </w:rPr>
  </w:style>
  <w:style w:type="character" w:customStyle="1" w:styleId="Heading8Char">
    <w:name w:val="Heading 8 Char"/>
    <w:link w:val="Heading8"/>
    <w:rsid w:val="001E41CE"/>
    <w:rPr>
      <w:rFonts w:ascii="Calibri" w:eastAsia="Times New Roman" w:hAnsi="Calibri" w:cs="Times New Roman"/>
      <w:i/>
      <w:iCs/>
      <w:color w:val="000000"/>
      <w:sz w:val="24"/>
      <w:szCs w:val="24"/>
      <w:lang w:val="en-IE"/>
    </w:rPr>
  </w:style>
  <w:style w:type="character" w:customStyle="1" w:styleId="Heading9Char">
    <w:name w:val="Heading 9 Char"/>
    <w:link w:val="Heading9"/>
    <w:rsid w:val="001E41CE"/>
    <w:rPr>
      <w:rFonts w:ascii="Cambria" w:eastAsia="Times New Roman" w:hAnsi="Cambria" w:cs="Times New Roman"/>
      <w:color w:val="000000"/>
      <w:sz w:val="24"/>
      <w:szCs w:val="24"/>
      <w:lang w:val="en-IE"/>
    </w:rPr>
  </w:style>
  <w:style w:type="character" w:styleId="SubtleEmphasis">
    <w:name w:val="Subtle Emphasis"/>
    <w:rsid w:val="001E41CE"/>
    <w:rPr>
      <w:i/>
      <w:iCs/>
      <w:color w:val="808080"/>
    </w:rPr>
  </w:style>
  <w:style w:type="character" w:customStyle="1" w:styleId="BalloonTextChar">
    <w:name w:val="Balloon Text Char"/>
    <w:rsid w:val="001E41CE"/>
    <w:rPr>
      <w:rFonts w:ascii="Tahoma" w:hAnsi="Tahoma" w:cs="Tahoma"/>
      <w:sz w:val="16"/>
      <w:szCs w:val="16"/>
    </w:rPr>
  </w:style>
  <w:style w:type="character" w:customStyle="1" w:styleId="InternetLink">
    <w:name w:val="Internet Link"/>
    <w:rsid w:val="001E41CE"/>
    <w:rPr>
      <w:color w:val="0000FF"/>
      <w:u w:val="single"/>
      <w:lang w:val="en-US" w:eastAsia="en-US" w:bidi="en-US"/>
    </w:rPr>
  </w:style>
  <w:style w:type="character" w:customStyle="1" w:styleId="PlainTextChar">
    <w:name w:val="Plain Text Char"/>
    <w:uiPriority w:val="99"/>
    <w:rsid w:val="001E41CE"/>
    <w:rPr>
      <w:rFonts w:ascii="Courier New" w:eastAsia="SimSun" w:hAnsi="Courier New" w:cs="Courier New"/>
      <w:sz w:val="20"/>
      <w:szCs w:val="20"/>
      <w:lang w:val="en-IE" w:eastAsia="zh-CN"/>
    </w:rPr>
  </w:style>
  <w:style w:type="character" w:styleId="Emphasis">
    <w:name w:val="Emphasis"/>
    <w:uiPriority w:val="20"/>
    <w:qFormat/>
    <w:rsid w:val="001E41CE"/>
    <w:rPr>
      <w:i/>
      <w:iCs/>
    </w:rPr>
  </w:style>
  <w:style w:type="character" w:customStyle="1" w:styleId="StrongEmphasis">
    <w:name w:val="Strong Emphasis"/>
    <w:rsid w:val="001E41CE"/>
    <w:rPr>
      <w:b/>
      <w:bCs/>
    </w:rPr>
  </w:style>
  <w:style w:type="character" w:customStyle="1" w:styleId="st">
    <w:name w:val="st"/>
    <w:basedOn w:val="DefaultParagraphFont"/>
    <w:rsid w:val="001E41CE"/>
  </w:style>
  <w:style w:type="character" w:customStyle="1" w:styleId="nbapihighlight">
    <w:name w:val="nbapihighlight"/>
    <w:basedOn w:val="DefaultParagraphFont"/>
    <w:rsid w:val="001E41CE"/>
  </w:style>
  <w:style w:type="character" w:customStyle="1" w:styleId="refpreview">
    <w:name w:val="refpreview"/>
    <w:basedOn w:val="DefaultParagraphFont"/>
    <w:rsid w:val="001E41CE"/>
  </w:style>
  <w:style w:type="character" w:customStyle="1" w:styleId="A7">
    <w:name w:val="A7"/>
    <w:rsid w:val="001E41CE"/>
    <w:rPr>
      <w:rFonts w:cs="AGaramond"/>
      <w:color w:val="000000"/>
      <w:sz w:val="15"/>
      <w:szCs w:val="15"/>
    </w:rPr>
  </w:style>
  <w:style w:type="character" w:customStyle="1" w:styleId="xref-bibr">
    <w:name w:val="xref-bibr"/>
    <w:basedOn w:val="DefaultParagraphFont"/>
    <w:rsid w:val="001E41CE"/>
  </w:style>
  <w:style w:type="character" w:customStyle="1" w:styleId="HTMLPreformattedChar">
    <w:name w:val="HTML Preformatted Char"/>
    <w:uiPriority w:val="99"/>
    <w:rsid w:val="001E41CE"/>
    <w:rPr>
      <w:rFonts w:ascii="Courier New" w:eastAsia="Times New Roman" w:hAnsi="Courier New" w:cs="Courier New"/>
      <w:sz w:val="20"/>
      <w:szCs w:val="20"/>
      <w:lang w:val="en-IE"/>
    </w:rPr>
  </w:style>
  <w:style w:type="character" w:customStyle="1" w:styleId="HeaderChar">
    <w:name w:val="Header Char"/>
    <w:rsid w:val="001E41CE"/>
    <w:rPr>
      <w:rFonts w:ascii="Calibri" w:eastAsia="Calibri" w:hAnsi="Calibri" w:cs="Times New Roman"/>
      <w:lang w:val="en-IE"/>
    </w:rPr>
  </w:style>
  <w:style w:type="character" w:customStyle="1" w:styleId="FooterChar">
    <w:name w:val="Footer Char"/>
    <w:rsid w:val="001E41CE"/>
    <w:rPr>
      <w:rFonts w:ascii="Calibri" w:eastAsia="Calibri" w:hAnsi="Calibri" w:cs="Times New Roman"/>
      <w:lang w:val="en-IE"/>
    </w:rPr>
  </w:style>
  <w:style w:type="character" w:customStyle="1" w:styleId="text">
    <w:name w:val="text"/>
    <w:basedOn w:val="DefaultParagraphFont"/>
    <w:rsid w:val="001E41CE"/>
  </w:style>
  <w:style w:type="character" w:customStyle="1" w:styleId="BodyTextChar">
    <w:name w:val="Body Text Char"/>
    <w:rsid w:val="001E41CE"/>
    <w:rPr>
      <w:rFonts w:ascii="Arial" w:eastAsia="Shaker2Lancet-Regular" w:hAnsi="Arial" w:cs="Times New Roman"/>
      <w:b/>
      <w:bCs/>
      <w:color w:val="231F20"/>
      <w:sz w:val="24"/>
      <w:szCs w:val="14"/>
      <w:lang w:val="en-US" w:eastAsia="en-US"/>
    </w:rPr>
  </w:style>
  <w:style w:type="character" w:customStyle="1" w:styleId="cit-title">
    <w:name w:val="cit-title"/>
    <w:basedOn w:val="DefaultParagraphFont"/>
    <w:rsid w:val="001E41CE"/>
  </w:style>
  <w:style w:type="character" w:customStyle="1" w:styleId="style15">
    <w:name w:val="style15"/>
    <w:basedOn w:val="DefaultParagraphFont"/>
    <w:rsid w:val="001E41CE"/>
  </w:style>
  <w:style w:type="character" w:customStyle="1" w:styleId="authors">
    <w:name w:val="authors"/>
    <w:basedOn w:val="DefaultParagraphFont"/>
    <w:rsid w:val="001E41CE"/>
  </w:style>
  <w:style w:type="character" w:customStyle="1" w:styleId="articletext">
    <w:name w:val="articletext"/>
    <w:basedOn w:val="DefaultParagraphFont"/>
    <w:rsid w:val="001E41CE"/>
  </w:style>
  <w:style w:type="character" w:customStyle="1" w:styleId="ref">
    <w:name w:val="ref"/>
    <w:basedOn w:val="DefaultParagraphFont"/>
    <w:rsid w:val="001E41CE"/>
  </w:style>
  <w:style w:type="character" w:customStyle="1" w:styleId="paragraph">
    <w:name w:val="paragraph"/>
    <w:basedOn w:val="DefaultParagraphFont"/>
    <w:rsid w:val="001E41CE"/>
  </w:style>
  <w:style w:type="character" w:customStyle="1" w:styleId="ListLabel1">
    <w:name w:val="ListLabel 1"/>
    <w:rsid w:val="001E41CE"/>
    <w:rPr>
      <w:rFonts w:eastAsia="Calibri" w:cs="Arial"/>
    </w:rPr>
  </w:style>
  <w:style w:type="character" w:customStyle="1" w:styleId="ListLabel2">
    <w:name w:val="ListLabel 2"/>
    <w:rsid w:val="001E41CE"/>
    <w:rPr>
      <w:rFonts w:cs="Courier New"/>
    </w:rPr>
  </w:style>
  <w:style w:type="character" w:customStyle="1" w:styleId="ListLabel3">
    <w:name w:val="ListLabel 3"/>
    <w:rsid w:val="001E41CE"/>
    <w:rPr>
      <w:b/>
    </w:rPr>
  </w:style>
  <w:style w:type="character" w:customStyle="1" w:styleId="ListLabel4">
    <w:name w:val="ListLabel 4"/>
    <w:rsid w:val="001E41CE"/>
    <w:rPr>
      <w:rFonts w:eastAsia="Times New Roman" w:cs="Arial"/>
    </w:rPr>
  </w:style>
  <w:style w:type="character" w:customStyle="1" w:styleId="ListLabel5">
    <w:name w:val="ListLabel 5"/>
    <w:rsid w:val="001E41CE"/>
    <w:rPr>
      <w:b w:val="0"/>
      <w:sz w:val="24"/>
    </w:rPr>
  </w:style>
  <w:style w:type="character" w:customStyle="1" w:styleId="ListLabel6">
    <w:name w:val="ListLabel 6"/>
    <w:rsid w:val="001E41CE"/>
    <w:rPr>
      <w:rFonts w:eastAsia="Times New Roman" w:cs="Arial"/>
      <w:sz w:val="20"/>
    </w:rPr>
  </w:style>
  <w:style w:type="character" w:customStyle="1" w:styleId="ListLabel7">
    <w:name w:val="ListLabel 7"/>
    <w:rsid w:val="001E41CE"/>
    <w:rPr>
      <w:rFonts w:eastAsia="Times New Roman"/>
    </w:rPr>
  </w:style>
  <w:style w:type="character" w:customStyle="1" w:styleId="ListLabel8">
    <w:name w:val="ListLabel 8"/>
    <w:rsid w:val="001E41CE"/>
    <w:rPr>
      <w:sz w:val="20"/>
    </w:rPr>
  </w:style>
  <w:style w:type="character" w:customStyle="1" w:styleId="ListLabel9">
    <w:name w:val="ListLabel 9"/>
    <w:rsid w:val="001E41CE"/>
    <w:rPr>
      <w:rFonts w:cs="Arial"/>
    </w:rPr>
  </w:style>
  <w:style w:type="character" w:customStyle="1" w:styleId="ListLabel10">
    <w:name w:val="ListLabel 10"/>
    <w:rsid w:val="001E41CE"/>
    <w:rPr>
      <w:rFonts w:cs="Courier New"/>
    </w:rPr>
  </w:style>
  <w:style w:type="character" w:customStyle="1" w:styleId="ListLabel11">
    <w:name w:val="ListLabel 11"/>
    <w:rsid w:val="001E41CE"/>
    <w:rPr>
      <w:rFonts w:cs="Wingdings"/>
    </w:rPr>
  </w:style>
  <w:style w:type="character" w:customStyle="1" w:styleId="ListLabel12">
    <w:name w:val="ListLabel 12"/>
    <w:rsid w:val="001E41CE"/>
    <w:rPr>
      <w:rFonts w:cs="Symbol"/>
    </w:rPr>
  </w:style>
  <w:style w:type="character" w:customStyle="1" w:styleId="ListLabel13">
    <w:name w:val="ListLabel 13"/>
    <w:rsid w:val="001E41CE"/>
    <w:rPr>
      <w:rFonts w:cs="Symbol"/>
      <w:sz w:val="20"/>
    </w:rPr>
  </w:style>
  <w:style w:type="character" w:customStyle="1" w:styleId="ListLabel14">
    <w:name w:val="ListLabel 14"/>
    <w:rsid w:val="001E41CE"/>
    <w:rPr>
      <w:rFonts w:cs="Courier New"/>
      <w:sz w:val="20"/>
    </w:rPr>
  </w:style>
  <w:style w:type="character" w:customStyle="1" w:styleId="ListLabel15">
    <w:name w:val="ListLabel 15"/>
    <w:rsid w:val="001E41CE"/>
    <w:rPr>
      <w:rFonts w:cs="Wingdings"/>
      <w:sz w:val="20"/>
    </w:rPr>
  </w:style>
  <w:style w:type="character" w:customStyle="1" w:styleId="ListLabel16">
    <w:name w:val="ListLabel 16"/>
    <w:rsid w:val="001E41CE"/>
    <w:rPr>
      <w:rFonts w:cs="Arial"/>
    </w:rPr>
  </w:style>
  <w:style w:type="character" w:customStyle="1" w:styleId="ListLabel17">
    <w:name w:val="ListLabel 17"/>
    <w:rsid w:val="001E41CE"/>
    <w:rPr>
      <w:rFonts w:cs="Courier New"/>
    </w:rPr>
  </w:style>
  <w:style w:type="character" w:customStyle="1" w:styleId="ListLabel18">
    <w:name w:val="ListLabel 18"/>
    <w:rsid w:val="001E41CE"/>
    <w:rPr>
      <w:rFonts w:cs="Wingdings"/>
    </w:rPr>
  </w:style>
  <w:style w:type="character" w:customStyle="1" w:styleId="ListLabel19">
    <w:name w:val="ListLabel 19"/>
    <w:rsid w:val="001E41CE"/>
    <w:rPr>
      <w:rFonts w:cs="Symbol"/>
    </w:rPr>
  </w:style>
  <w:style w:type="character" w:customStyle="1" w:styleId="ListLabel20">
    <w:name w:val="ListLabel 20"/>
    <w:rsid w:val="001E41CE"/>
    <w:rPr>
      <w:rFonts w:cs="Symbol"/>
      <w:sz w:val="20"/>
    </w:rPr>
  </w:style>
  <w:style w:type="character" w:customStyle="1" w:styleId="ListLabel21">
    <w:name w:val="ListLabel 21"/>
    <w:rsid w:val="001E41CE"/>
    <w:rPr>
      <w:rFonts w:cs="Courier New"/>
      <w:sz w:val="20"/>
    </w:rPr>
  </w:style>
  <w:style w:type="character" w:customStyle="1" w:styleId="ListLabel22">
    <w:name w:val="ListLabel 22"/>
    <w:rsid w:val="001E41CE"/>
    <w:rPr>
      <w:rFonts w:cs="Wingdings"/>
      <w:sz w:val="20"/>
    </w:rPr>
  </w:style>
  <w:style w:type="paragraph" w:customStyle="1" w:styleId="Heading">
    <w:name w:val="Heading"/>
    <w:basedOn w:val="Normal"/>
    <w:next w:val="Textbody"/>
    <w:rsid w:val="001E41CE"/>
    <w:pPr>
      <w:keepNext/>
      <w:spacing w:before="240" w:after="120"/>
    </w:pPr>
    <w:rPr>
      <w:rFonts w:ascii="Liberation Sans" w:eastAsia="WenQuanYi Micro Hei" w:hAnsi="Liberation Sans" w:cs="Lohit Hindi"/>
      <w:sz w:val="28"/>
      <w:szCs w:val="28"/>
    </w:rPr>
  </w:style>
  <w:style w:type="paragraph" w:customStyle="1" w:styleId="Textbody">
    <w:name w:val="Text body"/>
    <w:basedOn w:val="Normal"/>
    <w:rsid w:val="001E41CE"/>
    <w:rPr>
      <w:rFonts w:eastAsia="Shaker2Lancet-Regular" w:cs="Times New Roman"/>
      <w:b/>
      <w:bCs/>
      <w:color w:val="231F20"/>
      <w:szCs w:val="14"/>
    </w:rPr>
  </w:style>
  <w:style w:type="paragraph" w:styleId="List">
    <w:name w:val="List"/>
    <w:basedOn w:val="Textbody"/>
    <w:rsid w:val="001E41CE"/>
    <w:rPr>
      <w:rFonts w:cs="Lohit Hindi"/>
    </w:rPr>
  </w:style>
  <w:style w:type="paragraph" w:styleId="Caption">
    <w:name w:val="caption"/>
    <w:basedOn w:val="Normal"/>
    <w:qFormat/>
    <w:rsid w:val="001E41CE"/>
    <w:rPr>
      <w:rFonts w:ascii="Calibri" w:eastAsia="Calibri" w:hAnsi="Calibri" w:cs="Times New Roman"/>
      <w:b/>
      <w:bCs/>
      <w:sz w:val="20"/>
      <w:szCs w:val="20"/>
      <w:lang w:val="en-IE"/>
    </w:rPr>
  </w:style>
  <w:style w:type="paragraph" w:customStyle="1" w:styleId="Index">
    <w:name w:val="Index"/>
    <w:basedOn w:val="Normal"/>
    <w:rsid w:val="001E41CE"/>
    <w:pPr>
      <w:suppressLineNumbers/>
    </w:pPr>
    <w:rPr>
      <w:rFonts w:cs="Lohit Hindi"/>
    </w:rPr>
  </w:style>
  <w:style w:type="paragraph" w:styleId="BalloonText">
    <w:name w:val="Balloon Text"/>
    <w:basedOn w:val="Normal"/>
    <w:link w:val="BalloonTextChar1"/>
    <w:rsid w:val="001E41CE"/>
    <w:rPr>
      <w:rFonts w:ascii="Tahoma" w:hAnsi="Tahoma" w:cs="Tahoma"/>
      <w:sz w:val="16"/>
      <w:szCs w:val="16"/>
    </w:rPr>
  </w:style>
  <w:style w:type="character" w:customStyle="1" w:styleId="BalloonTextChar1">
    <w:name w:val="Balloon Text Char1"/>
    <w:link w:val="BalloonText"/>
    <w:rsid w:val="001E41CE"/>
    <w:rPr>
      <w:rFonts w:ascii="Tahoma" w:eastAsia="Times New Roman" w:hAnsi="Tahoma" w:cs="Tahoma"/>
      <w:color w:val="000000"/>
      <w:sz w:val="16"/>
      <w:szCs w:val="16"/>
    </w:rPr>
  </w:style>
  <w:style w:type="paragraph" w:styleId="NormalWeb">
    <w:name w:val="Normal (Web)"/>
    <w:basedOn w:val="Normal"/>
    <w:uiPriority w:val="99"/>
    <w:rsid w:val="001E41CE"/>
    <w:pPr>
      <w:spacing w:before="28" w:after="28"/>
    </w:pPr>
    <w:rPr>
      <w:rFonts w:ascii="Times New Roman" w:hAnsi="Times New Roman" w:cs="Times New Roman"/>
      <w:lang w:val="en-IE"/>
    </w:rPr>
  </w:style>
  <w:style w:type="paragraph" w:styleId="PlainText">
    <w:name w:val="Plain Text"/>
    <w:basedOn w:val="Normal"/>
    <w:link w:val="PlainTextChar1"/>
    <w:uiPriority w:val="99"/>
    <w:rsid w:val="001E41CE"/>
    <w:rPr>
      <w:rFonts w:ascii="Courier New" w:eastAsia="SimSun" w:hAnsi="Courier New" w:cs="Courier New"/>
      <w:sz w:val="20"/>
      <w:szCs w:val="20"/>
      <w:lang w:val="en-IE" w:eastAsia="zh-CN"/>
    </w:rPr>
  </w:style>
  <w:style w:type="character" w:customStyle="1" w:styleId="PlainTextChar1">
    <w:name w:val="Plain Text Char1"/>
    <w:link w:val="PlainText"/>
    <w:uiPriority w:val="99"/>
    <w:rsid w:val="001E41CE"/>
    <w:rPr>
      <w:rFonts w:ascii="Courier New" w:eastAsia="SimSun" w:hAnsi="Courier New" w:cs="Courier New"/>
      <w:color w:val="000000"/>
      <w:sz w:val="20"/>
      <w:szCs w:val="20"/>
      <w:lang w:val="en-IE" w:eastAsia="zh-CN"/>
    </w:rPr>
  </w:style>
  <w:style w:type="paragraph" w:styleId="TableofFigures">
    <w:name w:val="table of figures"/>
    <w:basedOn w:val="Normal"/>
    <w:rsid w:val="001E41CE"/>
    <w:rPr>
      <w:rFonts w:ascii="Calibri" w:eastAsia="Calibri" w:hAnsi="Calibri" w:cs="Times New Roman"/>
      <w:lang w:val="en-IE"/>
    </w:rPr>
  </w:style>
  <w:style w:type="paragraph" w:styleId="HTMLPreformatted">
    <w:name w:val="HTML Preformatted"/>
    <w:basedOn w:val="Normal"/>
    <w:link w:val="HTMLPreformattedChar1"/>
    <w:uiPriority w:val="99"/>
    <w:rsid w:val="001E41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IE"/>
    </w:rPr>
  </w:style>
  <w:style w:type="character" w:customStyle="1" w:styleId="HTMLPreformattedChar1">
    <w:name w:val="HTML Preformatted Char1"/>
    <w:link w:val="HTMLPreformatted"/>
    <w:uiPriority w:val="99"/>
    <w:rsid w:val="001E41CE"/>
    <w:rPr>
      <w:rFonts w:ascii="Courier New" w:eastAsia="Times New Roman" w:hAnsi="Courier New" w:cs="Courier New"/>
      <w:color w:val="000000"/>
      <w:sz w:val="20"/>
      <w:szCs w:val="20"/>
      <w:lang w:val="en-IE"/>
    </w:rPr>
  </w:style>
  <w:style w:type="paragraph" w:styleId="Header">
    <w:name w:val="header"/>
    <w:basedOn w:val="Normal"/>
    <w:link w:val="HeaderChar1"/>
    <w:rsid w:val="001E41CE"/>
    <w:pPr>
      <w:suppressLineNumbers/>
      <w:tabs>
        <w:tab w:val="center" w:pos="4680"/>
        <w:tab w:val="right" w:pos="9360"/>
      </w:tabs>
    </w:pPr>
    <w:rPr>
      <w:rFonts w:ascii="Calibri" w:eastAsia="Calibri" w:hAnsi="Calibri" w:cs="Times New Roman"/>
      <w:lang w:val="en-IE"/>
    </w:rPr>
  </w:style>
  <w:style w:type="character" w:customStyle="1" w:styleId="HeaderChar1">
    <w:name w:val="Header Char1"/>
    <w:link w:val="Header"/>
    <w:rsid w:val="001E41CE"/>
    <w:rPr>
      <w:rFonts w:ascii="Calibri" w:eastAsia="Calibri" w:hAnsi="Calibri" w:cs="Times New Roman"/>
      <w:color w:val="000000"/>
      <w:sz w:val="24"/>
      <w:szCs w:val="24"/>
      <w:lang w:val="en-IE"/>
    </w:rPr>
  </w:style>
  <w:style w:type="paragraph" w:styleId="Footer">
    <w:name w:val="footer"/>
    <w:basedOn w:val="Normal"/>
    <w:link w:val="FooterChar1"/>
    <w:rsid w:val="001E41CE"/>
    <w:pPr>
      <w:suppressLineNumbers/>
      <w:tabs>
        <w:tab w:val="center" w:pos="4680"/>
        <w:tab w:val="right" w:pos="9360"/>
      </w:tabs>
    </w:pPr>
    <w:rPr>
      <w:rFonts w:ascii="Calibri" w:eastAsia="Calibri" w:hAnsi="Calibri" w:cs="Times New Roman"/>
      <w:lang w:val="en-IE"/>
    </w:rPr>
  </w:style>
  <w:style w:type="character" w:customStyle="1" w:styleId="FooterChar1">
    <w:name w:val="Footer Char1"/>
    <w:link w:val="Footer"/>
    <w:rsid w:val="001E41CE"/>
    <w:rPr>
      <w:rFonts w:ascii="Calibri" w:eastAsia="Calibri" w:hAnsi="Calibri" w:cs="Times New Roman"/>
      <w:color w:val="000000"/>
      <w:sz w:val="24"/>
      <w:szCs w:val="24"/>
      <w:lang w:val="en-IE"/>
    </w:rPr>
  </w:style>
  <w:style w:type="paragraph" w:styleId="ListParagraph">
    <w:name w:val="List Paragraph"/>
    <w:basedOn w:val="Normal"/>
    <w:rsid w:val="001E41CE"/>
    <w:pPr>
      <w:ind w:left="720"/>
    </w:pPr>
    <w:rPr>
      <w:rFonts w:ascii="Times New Roman" w:hAnsi="Times New Roman" w:cs="Times New Roman"/>
    </w:rPr>
  </w:style>
  <w:style w:type="paragraph" w:customStyle="1" w:styleId="StyleAfter6ptLinespacingDouble">
    <w:name w:val="Style After:  6 pt Line spacing:  Double"/>
    <w:basedOn w:val="Normal"/>
    <w:rsid w:val="001E41CE"/>
    <w:pPr>
      <w:spacing w:after="120" w:line="480" w:lineRule="auto"/>
    </w:pPr>
    <w:rPr>
      <w:rFonts w:ascii="Times New Roman" w:hAnsi="Times New Roman" w:cs="Times New Roman"/>
      <w:szCs w:val="20"/>
      <w:lang w:val="en-IE"/>
    </w:rPr>
  </w:style>
  <w:style w:type="paragraph" w:customStyle="1" w:styleId="norm">
    <w:name w:val="norm"/>
    <w:basedOn w:val="Normal"/>
    <w:rsid w:val="001E41CE"/>
    <w:pPr>
      <w:spacing w:before="28" w:after="28"/>
    </w:pPr>
    <w:rPr>
      <w:rFonts w:ascii="Times New Roman" w:hAnsi="Times New Roman" w:cs="Times New Roman"/>
    </w:rPr>
  </w:style>
  <w:style w:type="paragraph" w:customStyle="1" w:styleId="ContentsHeading">
    <w:name w:val="Contents Heading"/>
    <w:basedOn w:val="Heading1"/>
    <w:rsid w:val="001E41CE"/>
    <w:pPr>
      <w:keepNext/>
      <w:keepLines/>
      <w:suppressLineNumbers/>
      <w:spacing w:line="276" w:lineRule="auto"/>
      <w:ind w:left="0" w:firstLine="0"/>
      <w:outlineLvl w:val="9"/>
    </w:pPr>
    <w:rPr>
      <w:rFonts w:ascii="Cambria" w:hAnsi="Cambria"/>
      <w:color w:val="365F91"/>
      <w:sz w:val="28"/>
      <w:szCs w:val="28"/>
      <w:lang w:val="en-US"/>
    </w:rPr>
  </w:style>
  <w:style w:type="paragraph" w:customStyle="1" w:styleId="Contents1">
    <w:name w:val="Contents 1"/>
    <w:basedOn w:val="Normal"/>
    <w:rsid w:val="001E41CE"/>
    <w:pPr>
      <w:tabs>
        <w:tab w:val="right" w:leader="dot" w:pos="9638"/>
      </w:tabs>
    </w:pPr>
    <w:rPr>
      <w:rFonts w:ascii="Calibri" w:eastAsia="Calibri" w:hAnsi="Calibri" w:cs="Times New Roman"/>
      <w:lang w:val="en-IE"/>
    </w:rPr>
  </w:style>
  <w:style w:type="paragraph" w:customStyle="1" w:styleId="Contents2">
    <w:name w:val="Contents 2"/>
    <w:basedOn w:val="Normal"/>
    <w:rsid w:val="001E41CE"/>
    <w:pPr>
      <w:tabs>
        <w:tab w:val="right" w:leader="dot" w:pos="10015"/>
      </w:tabs>
      <w:ind w:left="220"/>
    </w:pPr>
    <w:rPr>
      <w:rFonts w:ascii="Calibri" w:eastAsia="Calibri" w:hAnsi="Calibri" w:cs="Times New Roman"/>
      <w:lang w:val="en-IE"/>
    </w:rPr>
  </w:style>
  <w:style w:type="paragraph" w:customStyle="1" w:styleId="Contents3">
    <w:name w:val="Contents 3"/>
    <w:basedOn w:val="Normal"/>
    <w:rsid w:val="001E41CE"/>
    <w:pPr>
      <w:tabs>
        <w:tab w:val="right" w:leader="dot" w:pos="10392"/>
      </w:tabs>
      <w:ind w:left="440"/>
    </w:pPr>
    <w:rPr>
      <w:rFonts w:ascii="Calibri" w:eastAsia="Calibri" w:hAnsi="Calibri" w:cs="Times New Roman"/>
      <w:lang w:val="en-IE"/>
    </w:rPr>
  </w:style>
  <w:style w:type="paragraph" w:customStyle="1" w:styleId="Contents4">
    <w:name w:val="Contents 4"/>
    <w:basedOn w:val="Normal"/>
    <w:rsid w:val="001E41CE"/>
    <w:pPr>
      <w:tabs>
        <w:tab w:val="right" w:leader="dot" w:pos="10769"/>
      </w:tabs>
      <w:spacing w:after="100"/>
      <w:ind w:left="660"/>
    </w:pPr>
    <w:rPr>
      <w:rFonts w:ascii="Calibri" w:hAnsi="Calibri" w:cs="Times New Roman"/>
    </w:rPr>
  </w:style>
  <w:style w:type="paragraph" w:customStyle="1" w:styleId="Contents5">
    <w:name w:val="Contents 5"/>
    <w:basedOn w:val="Normal"/>
    <w:rsid w:val="001E41CE"/>
    <w:pPr>
      <w:tabs>
        <w:tab w:val="right" w:leader="dot" w:pos="11146"/>
      </w:tabs>
      <w:spacing w:after="100"/>
      <w:ind w:left="880"/>
    </w:pPr>
    <w:rPr>
      <w:rFonts w:ascii="Calibri" w:hAnsi="Calibri" w:cs="Times New Roman"/>
    </w:rPr>
  </w:style>
  <w:style w:type="paragraph" w:customStyle="1" w:styleId="Contents6">
    <w:name w:val="Contents 6"/>
    <w:basedOn w:val="Normal"/>
    <w:rsid w:val="001E41CE"/>
    <w:pPr>
      <w:tabs>
        <w:tab w:val="right" w:leader="dot" w:pos="11523"/>
      </w:tabs>
      <w:spacing w:after="100"/>
      <w:ind w:left="1100"/>
    </w:pPr>
    <w:rPr>
      <w:rFonts w:ascii="Calibri" w:hAnsi="Calibri" w:cs="Times New Roman"/>
    </w:rPr>
  </w:style>
  <w:style w:type="paragraph" w:customStyle="1" w:styleId="Contents7">
    <w:name w:val="Contents 7"/>
    <w:basedOn w:val="Normal"/>
    <w:rsid w:val="001E41CE"/>
    <w:pPr>
      <w:tabs>
        <w:tab w:val="right" w:leader="dot" w:pos="11900"/>
      </w:tabs>
      <w:spacing w:after="100"/>
      <w:ind w:left="1320"/>
    </w:pPr>
    <w:rPr>
      <w:rFonts w:ascii="Calibri" w:hAnsi="Calibri" w:cs="Times New Roman"/>
    </w:rPr>
  </w:style>
  <w:style w:type="paragraph" w:customStyle="1" w:styleId="Contents8">
    <w:name w:val="Contents 8"/>
    <w:basedOn w:val="Normal"/>
    <w:rsid w:val="001E41CE"/>
    <w:pPr>
      <w:tabs>
        <w:tab w:val="right" w:leader="dot" w:pos="12277"/>
      </w:tabs>
      <w:spacing w:after="100"/>
      <w:ind w:left="1540"/>
    </w:pPr>
    <w:rPr>
      <w:rFonts w:ascii="Calibri" w:hAnsi="Calibri" w:cs="Times New Roman"/>
    </w:rPr>
  </w:style>
  <w:style w:type="paragraph" w:customStyle="1" w:styleId="Contents9">
    <w:name w:val="Contents 9"/>
    <w:basedOn w:val="Normal"/>
    <w:rsid w:val="001E41CE"/>
    <w:pPr>
      <w:tabs>
        <w:tab w:val="right" w:leader="dot" w:pos="12654"/>
      </w:tabs>
      <w:spacing w:after="100"/>
      <w:ind w:left="1760"/>
    </w:pPr>
    <w:rPr>
      <w:rFonts w:ascii="Calibri" w:hAnsi="Calibri" w:cs="Times New Roman"/>
    </w:rPr>
  </w:style>
  <w:style w:type="paragraph" w:customStyle="1" w:styleId="Framecontents">
    <w:name w:val="Frame contents"/>
    <w:basedOn w:val="Textbody"/>
    <w:rsid w:val="001E41CE"/>
  </w:style>
  <w:style w:type="paragraph" w:customStyle="1" w:styleId="TableContents">
    <w:name w:val="Table Contents"/>
    <w:basedOn w:val="Normal"/>
    <w:rsid w:val="001E41CE"/>
    <w:pPr>
      <w:suppressLineNumbers/>
    </w:pPr>
  </w:style>
  <w:style w:type="paragraph" w:customStyle="1" w:styleId="TableHeading">
    <w:name w:val="Table Heading"/>
    <w:basedOn w:val="TableContents"/>
    <w:rsid w:val="001E41CE"/>
    <w:pPr>
      <w:jc w:val="center"/>
    </w:pPr>
    <w:rPr>
      <w:b/>
      <w:bCs/>
    </w:rPr>
  </w:style>
  <w:style w:type="character" w:styleId="Strong">
    <w:name w:val="Strong"/>
    <w:uiPriority w:val="22"/>
    <w:qFormat/>
    <w:rsid w:val="001E41CE"/>
    <w:rPr>
      <w:b/>
      <w:bCs/>
    </w:rPr>
  </w:style>
  <w:style w:type="character" w:customStyle="1" w:styleId="highlight">
    <w:name w:val="highlight"/>
    <w:basedOn w:val="DefaultParagraphFont"/>
    <w:rsid w:val="001E41CE"/>
  </w:style>
  <w:style w:type="character" w:styleId="Hyperlink">
    <w:name w:val="Hyperlink"/>
    <w:uiPriority w:val="99"/>
    <w:unhideWhenUsed/>
    <w:rsid w:val="001E41CE"/>
    <w:rPr>
      <w:color w:val="0000FF"/>
      <w:u w:val="single"/>
    </w:rPr>
  </w:style>
  <w:style w:type="character" w:customStyle="1" w:styleId="citation">
    <w:name w:val="citation"/>
    <w:basedOn w:val="DefaultParagraphFont"/>
    <w:rsid w:val="001E41CE"/>
  </w:style>
  <w:style w:type="character" w:styleId="FollowedHyperlink">
    <w:name w:val="FollowedHyperlink"/>
    <w:uiPriority w:val="99"/>
    <w:semiHidden/>
    <w:unhideWhenUsed/>
    <w:rsid w:val="001E41CE"/>
    <w:rPr>
      <w:color w:val="800080"/>
      <w:u w:val="single"/>
    </w:rPr>
  </w:style>
  <w:style w:type="character" w:styleId="HTMLCite">
    <w:name w:val="HTML Cite"/>
    <w:uiPriority w:val="99"/>
    <w:semiHidden/>
    <w:unhideWhenUsed/>
    <w:rsid w:val="001E41CE"/>
    <w:rPr>
      <w:i/>
      <w:iCs/>
    </w:rPr>
  </w:style>
  <w:style w:type="character" w:customStyle="1" w:styleId="cit-article-title">
    <w:name w:val="cit-article-title"/>
    <w:basedOn w:val="DefaultParagraphFont"/>
    <w:rsid w:val="001E41CE"/>
  </w:style>
  <w:style w:type="character" w:customStyle="1" w:styleId="pln">
    <w:name w:val="pln"/>
    <w:basedOn w:val="DefaultParagraphFont"/>
    <w:rsid w:val="001E41CE"/>
  </w:style>
  <w:style w:type="character" w:customStyle="1" w:styleId="pun">
    <w:name w:val="pun"/>
    <w:basedOn w:val="DefaultParagraphFont"/>
    <w:rsid w:val="001E41CE"/>
  </w:style>
  <w:style w:type="character" w:customStyle="1" w:styleId="lit">
    <w:name w:val="lit"/>
    <w:basedOn w:val="DefaultParagraphFont"/>
    <w:rsid w:val="001E41CE"/>
  </w:style>
  <w:style w:type="character" w:customStyle="1" w:styleId="kwd">
    <w:name w:val="kwd"/>
    <w:basedOn w:val="DefaultParagraphFont"/>
    <w:rsid w:val="001E41CE"/>
  </w:style>
  <w:style w:type="character" w:customStyle="1" w:styleId="comment-copy">
    <w:name w:val="comment-copy"/>
    <w:basedOn w:val="DefaultParagraphFont"/>
    <w:rsid w:val="001E41CE"/>
  </w:style>
  <w:style w:type="character" w:styleId="CommentReference">
    <w:name w:val="annotation reference"/>
    <w:uiPriority w:val="99"/>
    <w:semiHidden/>
    <w:unhideWhenUsed/>
    <w:rsid w:val="001E41CE"/>
    <w:rPr>
      <w:sz w:val="16"/>
      <w:szCs w:val="16"/>
    </w:rPr>
  </w:style>
  <w:style w:type="paragraph" w:styleId="CommentText">
    <w:name w:val="annotation text"/>
    <w:basedOn w:val="Normal"/>
    <w:link w:val="CommentTextChar"/>
    <w:uiPriority w:val="99"/>
    <w:unhideWhenUsed/>
    <w:rsid w:val="001E41CE"/>
    <w:pPr>
      <w:spacing w:line="240" w:lineRule="auto"/>
    </w:pPr>
    <w:rPr>
      <w:sz w:val="20"/>
      <w:szCs w:val="20"/>
    </w:rPr>
  </w:style>
  <w:style w:type="character" w:customStyle="1" w:styleId="CommentTextChar">
    <w:name w:val="Comment Text Char"/>
    <w:link w:val="CommentText"/>
    <w:uiPriority w:val="99"/>
    <w:rsid w:val="001E41CE"/>
    <w:rPr>
      <w:rFonts w:ascii="Arial" w:eastAsia="Times New Roman"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1E41CE"/>
    <w:rPr>
      <w:b/>
      <w:bCs/>
    </w:rPr>
  </w:style>
  <w:style w:type="character" w:customStyle="1" w:styleId="CommentSubjectChar">
    <w:name w:val="Comment Subject Char"/>
    <w:link w:val="CommentSubject"/>
    <w:uiPriority w:val="99"/>
    <w:semiHidden/>
    <w:rsid w:val="001E41CE"/>
    <w:rPr>
      <w:rFonts w:ascii="Arial" w:eastAsia="Times New Roman" w:hAnsi="Arial" w:cs="Arial"/>
      <w:b/>
      <w:bCs/>
      <w:color w:val="000000"/>
      <w:sz w:val="20"/>
      <w:szCs w:val="20"/>
    </w:rPr>
  </w:style>
  <w:style w:type="character" w:customStyle="1" w:styleId="mb">
    <w:name w:val="mb"/>
    <w:basedOn w:val="DefaultParagraphFont"/>
    <w:rsid w:val="001E41CE"/>
  </w:style>
  <w:style w:type="character" w:customStyle="1" w:styleId="rwro">
    <w:name w:val="rwro"/>
    <w:basedOn w:val="DefaultParagraphFont"/>
    <w:rsid w:val="001E41CE"/>
  </w:style>
  <w:style w:type="character" w:customStyle="1" w:styleId="rwrro">
    <w:name w:val="rwrro"/>
    <w:basedOn w:val="DefaultParagraphFont"/>
    <w:rsid w:val="001E41CE"/>
  </w:style>
  <w:style w:type="paragraph" w:styleId="Revision">
    <w:name w:val="Revision"/>
    <w:hidden/>
    <w:uiPriority w:val="99"/>
    <w:semiHidden/>
    <w:rsid w:val="001E41CE"/>
    <w:pPr>
      <w:spacing w:after="0" w:line="240" w:lineRule="auto"/>
    </w:pPr>
    <w:rPr>
      <w:rFonts w:ascii="Arial" w:eastAsia="Times New Roman" w:hAnsi="Arial" w:cs="Arial"/>
      <w:color w:val="000000"/>
      <w:sz w:val="24"/>
      <w:szCs w:val="24"/>
      <w:lang w:val="en-US"/>
    </w:rPr>
  </w:style>
  <w:style w:type="table" w:styleId="TableGrid">
    <w:name w:val="Table Grid"/>
    <w:basedOn w:val="TableNormal"/>
    <w:uiPriority w:val="59"/>
    <w:rsid w:val="001E41CE"/>
    <w:pPr>
      <w:spacing w:after="0" w:line="240" w:lineRule="auto"/>
    </w:pPr>
    <w:rPr>
      <w:rFonts w:ascii="Calibri" w:eastAsia="Times New Roman" w:hAnsi="Calibri"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Reference">
    <w:name w:val="Subtle Reference"/>
    <w:uiPriority w:val="31"/>
    <w:qFormat/>
    <w:rsid w:val="001E41CE"/>
    <w:rPr>
      <w:smallCaps/>
      <w:color w:val="C0504D"/>
      <w:u w:val="single"/>
    </w:rPr>
  </w:style>
  <w:style w:type="paragraph" w:styleId="NoSpacing">
    <w:name w:val="No Spacing"/>
    <w:uiPriority w:val="1"/>
    <w:qFormat/>
    <w:rsid w:val="001E41CE"/>
    <w:pPr>
      <w:tabs>
        <w:tab w:val="left" w:pos="720"/>
      </w:tabs>
      <w:suppressAutoHyphens/>
      <w:spacing w:after="0" w:line="240" w:lineRule="auto"/>
    </w:pPr>
    <w:rPr>
      <w:rFonts w:ascii="Arial" w:eastAsia="Times New Roman" w:hAnsi="Arial" w:cs="Arial"/>
      <w:color w:val="000000"/>
      <w:sz w:val="24"/>
      <w:szCs w:val="24"/>
    </w:rPr>
  </w:style>
  <w:style w:type="paragraph" w:customStyle="1" w:styleId="EndNoteBibliographyTitle">
    <w:name w:val="EndNote Bibliography Title"/>
    <w:basedOn w:val="Normal"/>
    <w:rsid w:val="001E41CE"/>
    <w:pPr>
      <w:jc w:val="center"/>
    </w:pPr>
    <w:rPr>
      <w:rFonts w:ascii="Calibri" w:hAnsi="Calibri"/>
      <w:sz w:val="20"/>
      <w:lang w:val="en-US"/>
    </w:rPr>
  </w:style>
  <w:style w:type="paragraph" w:customStyle="1" w:styleId="EndNoteBibliography">
    <w:name w:val="EndNote Bibliography"/>
    <w:basedOn w:val="Normal"/>
    <w:rsid w:val="001E41CE"/>
    <w:pPr>
      <w:spacing w:line="240" w:lineRule="atLeast"/>
    </w:pPr>
    <w:rPr>
      <w:rFonts w:ascii="Calibri" w:hAnsi="Calibri"/>
      <w:sz w:val="20"/>
      <w:lang w:val="en-US"/>
    </w:rPr>
  </w:style>
  <w:style w:type="character" w:customStyle="1" w:styleId="mwe-math-mathml-inline">
    <w:name w:val="mwe-math-mathml-inline"/>
    <w:basedOn w:val="DefaultParagraphFont"/>
    <w:rsid w:val="001E41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table of figures"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E41CE"/>
    <w:pPr>
      <w:tabs>
        <w:tab w:val="left" w:pos="720"/>
      </w:tabs>
      <w:suppressAutoHyphens/>
      <w:spacing w:after="0" w:line="100" w:lineRule="atLeast"/>
    </w:pPr>
    <w:rPr>
      <w:rFonts w:ascii="Arial" w:eastAsia="Times New Roman" w:hAnsi="Arial" w:cs="Arial"/>
      <w:color w:val="000000"/>
      <w:sz w:val="24"/>
      <w:szCs w:val="24"/>
    </w:rPr>
  </w:style>
  <w:style w:type="paragraph" w:styleId="Heading1">
    <w:name w:val="heading 1"/>
    <w:basedOn w:val="Normal"/>
    <w:next w:val="Textbody"/>
    <w:link w:val="Heading1Char"/>
    <w:rsid w:val="001E41CE"/>
    <w:pPr>
      <w:numPr>
        <w:numId w:val="1"/>
      </w:numPr>
      <w:spacing w:before="28" w:after="28"/>
      <w:outlineLvl w:val="0"/>
    </w:pPr>
    <w:rPr>
      <w:rFonts w:ascii="Times New Roman" w:hAnsi="Times New Roman" w:cs="Times New Roman"/>
      <w:b/>
      <w:bCs/>
      <w:sz w:val="48"/>
      <w:szCs w:val="48"/>
      <w:lang w:val="en-IE"/>
    </w:rPr>
  </w:style>
  <w:style w:type="paragraph" w:styleId="Heading2">
    <w:name w:val="heading 2"/>
    <w:basedOn w:val="Normal"/>
    <w:next w:val="Textbody"/>
    <w:link w:val="Heading2Char"/>
    <w:rsid w:val="001E41CE"/>
    <w:pPr>
      <w:keepNext/>
      <w:numPr>
        <w:ilvl w:val="1"/>
        <w:numId w:val="1"/>
      </w:numPr>
      <w:spacing w:before="240" w:after="60"/>
      <w:outlineLvl w:val="1"/>
    </w:pPr>
    <w:rPr>
      <w:rFonts w:ascii="Cambria" w:hAnsi="Cambria" w:cs="Times New Roman"/>
      <w:b/>
      <w:bCs/>
      <w:i/>
      <w:iCs/>
      <w:sz w:val="28"/>
      <w:szCs w:val="28"/>
      <w:lang w:val="en-IE"/>
    </w:rPr>
  </w:style>
  <w:style w:type="paragraph" w:styleId="Heading3">
    <w:name w:val="heading 3"/>
    <w:basedOn w:val="Normal"/>
    <w:next w:val="Textbody"/>
    <w:link w:val="Heading3Char"/>
    <w:rsid w:val="001E41CE"/>
    <w:pPr>
      <w:keepNext/>
      <w:numPr>
        <w:ilvl w:val="2"/>
        <w:numId w:val="1"/>
      </w:numPr>
      <w:spacing w:before="240" w:after="60"/>
      <w:outlineLvl w:val="2"/>
    </w:pPr>
    <w:rPr>
      <w:rFonts w:ascii="Cambria" w:hAnsi="Cambria" w:cs="Times New Roman"/>
      <w:b/>
      <w:bCs/>
      <w:sz w:val="26"/>
      <w:szCs w:val="26"/>
      <w:lang w:val="en-IE"/>
    </w:rPr>
  </w:style>
  <w:style w:type="paragraph" w:styleId="Heading4">
    <w:name w:val="heading 4"/>
    <w:basedOn w:val="Normal"/>
    <w:next w:val="Textbody"/>
    <w:link w:val="Heading4Char"/>
    <w:rsid w:val="001E41CE"/>
    <w:pPr>
      <w:keepNext/>
      <w:numPr>
        <w:ilvl w:val="3"/>
        <w:numId w:val="1"/>
      </w:numPr>
      <w:spacing w:before="240" w:after="60"/>
      <w:outlineLvl w:val="3"/>
    </w:pPr>
    <w:rPr>
      <w:rFonts w:ascii="Calibri" w:hAnsi="Calibri" w:cs="Times New Roman"/>
      <w:b/>
      <w:bCs/>
      <w:sz w:val="28"/>
      <w:szCs w:val="28"/>
      <w:lang w:val="en-IE"/>
    </w:rPr>
  </w:style>
  <w:style w:type="paragraph" w:styleId="Heading5">
    <w:name w:val="heading 5"/>
    <w:basedOn w:val="Normal"/>
    <w:next w:val="Textbody"/>
    <w:link w:val="Heading5Char"/>
    <w:rsid w:val="001E41CE"/>
    <w:pPr>
      <w:numPr>
        <w:ilvl w:val="4"/>
        <w:numId w:val="1"/>
      </w:numPr>
      <w:spacing w:before="240" w:after="60"/>
      <w:outlineLvl w:val="4"/>
    </w:pPr>
    <w:rPr>
      <w:rFonts w:ascii="Calibri" w:hAnsi="Calibri" w:cs="Times New Roman"/>
      <w:b/>
      <w:bCs/>
      <w:i/>
      <w:iCs/>
      <w:sz w:val="26"/>
      <w:szCs w:val="26"/>
      <w:lang w:val="en-IE"/>
    </w:rPr>
  </w:style>
  <w:style w:type="paragraph" w:styleId="Heading6">
    <w:name w:val="heading 6"/>
    <w:basedOn w:val="Normal"/>
    <w:next w:val="Textbody"/>
    <w:link w:val="Heading6Char"/>
    <w:rsid w:val="001E41CE"/>
    <w:pPr>
      <w:numPr>
        <w:ilvl w:val="5"/>
        <w:numId w:val="1"/>
      </w:numPr>
      <w:spacing w:before="240" w:after="60"/>
      <w:outlineLvl w:val="5"/>
    </w:pPr>
    <w:rPr>
      <w:rFonts w:ascii="Calibri" w:hAnsi="Calibri" w:cs="Times New Roman"/>
      <w:b/>
      <w:bCs/>
      <w:lang w:val="en-IE"/>
    </w:rPr>
  </w:style>
  <w:style w:type="paragraph" w:styleId="Heading7">
    <w:name w:val="heading 7"/>
    <w:basedOn w:val="Normal"/>
    <w:next w:val="Textbody"/>
    <w:link w:val="Heading7Char"/>
    <w:rsid w:val="001E41CE"/>
    <w:pPr>
      <w:numPr>
        <w:ilvl w:val="6"/>
        <w:numId w:val="1"/>
      </w:numPr>
      <w:spacing w:before="240" w:after="60"/>
      <w:outlineLvl w:val="6"/>
    </w:pPr>
    <w:rPr>
      <w:rFonts w:ascii="Calibri" w:hAnsi="Calibri" w:cs="Times New Roman"/>
      <w:lang w:val="en-IE"/>
    </w:rPr>
  </w:style>
  <w:style w:type="paragraph" w:styleId="Heading8">
    <w:name w:val="heading 8"/>
    <w:basedOn w:val="Normal"/>
    <w:next w:val="Textbody"/>
    <w:link w:val="Heading8Char"/>
    <w:rsid w:val="001E41CE"/>
    <w:pPr>
      <w:numPr>
        <w:ilvl w:val="7"/>
        <w:numId w:val="1"/>
      </w:numPr>
      <w:spacing w:before="240" w:after="60"/>
      <w:outlineLvl w:val="7"/>
    </w:pPr>
    <w:rPr>
      <w:rFonts w:ascii="Calibri" w:hAnsi="Calibri" w:cs="Times New Roman"/>
      <w:i/>
      <w:iCs/>
      <w:lang w:val="en-IE"/>
    </w:rPr>
  </w:style>
  <w:style w:type="paragraph" w:styleId="Heading9">
    <w:name w:val="heading 9"/>
    <w:basedOn w:val="Normal"/>
    <w:next w:val="Textbody"/>
    <w:link w:val="Heading9Char"/>
    <w:rsid w:val="001E41CE"/>
    <w:pPr>
      <w:numPr>
        <w:ilvl w:val="8"/>
        <w:numId w:val="1"/>
      </w:numPr>
      <w:spacing w:before="240" w:after="60"/>
      <w:outlineLvl w:val="8"/>
    </w:pPr>
    <w:rPr>
      <w:rFonts w:ascii="Cambria" w:hAnsi="Cambria" w:cs="Times New Roman"/>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E41CE"/>
    <w:rPr>
      <w:rFonts w:ascii="Times New Roman" w:eastAsia="Times New Roman" w:hAnsi="Times New Roman" w:cs="Times New Roman"/>
      <w:b/>
      <w:bCs/>
      <w:color w:val="000000"/>
      <w:sz w:val="48"/>
      <w:szCs w:val="48"/>
      <w:lang w:val="en-IE"/>
    </w:rPr>
  </w:style>
  <w:style w:type="character" w:customStyle="1" w:styleId="Heading2Char">
    <w:name w:val="Heading 2 Char"/>
    <w:link w:val="Heading2"/>
    <w:rsid w:val="001E41CE"/>
    <w:rPr>
      <w:rFonts w:ascii="Cambria" w:eastAsia="Times New Roman" w:hAnsi="Cambria" w:cs="Times New Roman"/>
      <w:b/>
      <w:bCs/>
      <w:i/>
      <w:iCs/>
      <w:color w:val="000000"/>
      <w:sz w:val="28"/>
      <w:szCs w:val="28"/>
      <w:lang w:val="en-IE"/>
    </w:rPr>
  </w:style>
  <w:style w:type="character" w:customStyle="1" w:styleId="Heading3Char">
    <w:name w:val="Heading 3 Char"/>
    <w:link w:val="Heading3"/>
    <w:rsid w:val="001E41CE"/>
    <w:rPr>
      <w:rFonts w:ascii="Cambria" w:eastAsia="Times New Roman" w:hAnsi="Cambria" w:cs="Times New Roman"/>
      <w:b/>
      <w:bCs/>
      <w:color w:val="000000"/>
      <w:sz w:val="26"/>
      <w:szCs w:val="26"/>
      <w:lang w:val="en-IE"/>
    </w:rPr>
  </w:style>
  <w:style w:type="character" w:customStyle="1" w:styleId="Heading4Char">
    <w:name w:val="Heading 4 Char"/>
    <w:link w:val="Heading4"/>
    <w:rsid w:val="001E41CE"/>
    <w:rPr>
      <w:rFonts w:ascii="Calibri" w:eastAsia="Times New Roman" w:hAnsi="Calibri" w:cs="Times New Roman"/>
      <w:b/>
      <w:bCs/>
      <w:color w:val="000000"/>
      <w:sz w:val="28"/>
      <w:szCs w:val="28"/>
      <w:lang w:val="en-IE"/>
    </w:rPr>
  </w:style>
  <w:style w:type="character" w:customStyle="1" w:styleId="Heading5Char">
    <w:name w:val="Heading 5 Char"/>
    <w:link w:val="Heading5"/>
    <w:rsid w:val="001E41CE"/>
    <w:rPr>
      <w:rFonts w:ascii="Calibri" w:eastAsia="Times New Roman" w:hAnsi="Calibri" w:cs="Times New Roman"/>
      <w:b/>
      <w:bCs/>
      <w:i/>
      <w:iCs/>
      <w:color w:val="000000"/>
      <w:sz w:val="26"/>
      <w:szCs w:val="26"/>
      <w:lang w:val="en-IE"/>
    </w:rPr>
  </w:style>
  <w:style w:type="character" w:customStyle="1" w:styleId="Heading6Char">
    <w:name w:val="Heading 6 Char"/>
    <w:link w:val="Heading6"/>
    <w:rsid w:val="001E41CE"/>
    <w:rPr>
      <w:rFonts w:ascii="Calibri" w:eastAsia="Times New Roman" w:hAnsi="Calibri" w:cs="Times New Roman"/>
      <w:b/>
      <w:bCs/>
      <w:color w:val="000000"/>
      <w:sz w:val="24"/>
      <w:szCs w:val="24"/>
      <w:lang w:val="en-IE"/>
    </w:rPr>
  </w:style>
  <w:style w:type="character" w:customStyle="1" w:styleId="Heading7Char">
    <w:name w:val="Heading 7 Char"/>
    <w:link w:val="Heading7"/>
    <w:rsid w:val="001E41CE"/>
    <w:rPr>
      <w:rFonts w:ascii="Calibri" w:eastAsia="Times New Roman" w:hAnsi="Calibri" w:cs="Times New Roman"/>
      <w:color w:val="000000"/>
      <w:sz w:val="24"/>
      <w:szCs w:val="24"/>
      <w:lang w:val="en-IE"/>
    </w:rPr>
  </w:style>
  <w:style w:type="character" w:customStyle="1" w:styleId="Heading8Char">
    <w:name w:val="Heading 8 Char"/>
    <w:link w:val="Heading8"/>
    <w:rsid w:val="001E41CE"/>
    <w:rPr>
      <w:rFonts w:ascii="Calibri" w:eastAsia="Times New Roman" w:hAnsi="Calibri" w:cs="Times New Roman"/>
      <w:i/>
      <w:iCs/>
      <w:color w:val="000000"/>
      <w:sz w:val="24"/>
      <w:szCs w:val="24"/>
      <w:lang w:val="en-IE"/>
    </w:rPr>
  </w:style>
  <w:style w:type="character" w:customStyle="1" w:styleId="Heading9Char">
    <w:name w:val="Heading 9 Char"/>
    <w:link w:val="Heading9"/>
    <w:rsid w:val="001E41CE"/>
    <w:rPr>
      <w:rFonts w:ascii="Cambria" w:eastAsia="Times New Roman" w:hAnsi="Cambria" w:cs="Times New Roman"/>
      <w:color w:val="000000"/>
      <w:sz w:val="24"/>
      <w:szCs w:val="24"/>
      <w:lang w:val="en-IE"/>
    </w:rPr>
  </w:style>
  <w:style w:type="character" w:styleId="SubtleEmphasis">
    <w:name w:val="Subtle Emphasis"/>
    <w:rsid w:val="001E41CE"/>
    <w:rPr>
      <w:i/>
      <w:iCs/>
      <w:color w:val="808080"/>
    </w:rPr>
  </w:style>
  <w:style w:type="character" w:customStyle="1" w:styleId="BalloonTextChar">
    <w:name w:val="Balloon Text Char"/>
    <w:rsid w:val="001E41CE"/>
    <w:rPr>
      <w:rFonts w:ascii="Tahoma" w:hAnsi="Tahoma" w:cs="Tahoma"/>
      <w:sz w:val="16"/>
      <w:szCs w:val="16"/>
    </w:rPr>
  </w:style>
  <w:style w:type="character" w:customStyle="1" w:styleId="InternetLink">
    <w:name w:val="Internet Link"/>
    <w:rsid w:val="001E41CE"/>
    <w:rPr>
      <w:color w:val="0000FF"/>
      <w:u w:val="single"/>
      <w:lang w:val="en-US" w:eastAsia="en-US" w:bidi="en-US"/>
    </w:rPr>
  </w:style>
  <w:style w:type="character" w:customStyle="1" w:styleId="PlainTextChar">
    <w:name w:val="Plain Text Char"/>
    <w:uiPriority w:val="99"/>
    <w:rsid w:val="001E41CE"/>
    <w:rPr>
      <w:rFonts w:ascii="Courier New" w:eastAsia="SimSun" w:hAnsi="Courier New" w:cs="Courier New"/>
      <w:sz w:val="20"/>
      <w:szCs w:val="20"/>
      <w:lang w:val="en-IE" w:eastAsia="zh-CN"/>
    </w:rPr>
  </w:style>
  <w:style w:type="character" w:styleId="Emphasis">
    <w:name w:val="Emphasis"/>
    <w:uiPriority w:val="20"/>
    <w:qFormat/>
    <w:rsid w:val="001E41CE"/>
    <w:rPr>
      <w:i/>
      <w:iCs/>
    </w:rPr>
  </w:style>
  <w:style w:type="character" w:customStyle="1" w:styleId="StrongEmphasis">
    <w:name w:val="Strong Emphasis"/>
    <w:rsid w:val="001E41CE"/>
    <w:rPr>
      <w:b/>
      <w:bCs/>
    </w:rPr>
  </w:style>
  <w:style w:type="character" w:customStyle="1" w:styleId="st">
    <w:name w:val="st"/>
    <w:basedOn w:val="DefaultParagraphFont"/>
    <w:rsid w:val="001E41CE"/>
  </w:style>
  <w:style w:type="character" w:customStyle="1" w:styleId="nbapihighlight">
    <w:name w:val="nbapihighlight"/>
    <w:basedOn w:val="DefaultParagraphFont"/>
    <w:rsid w:val="001E41CE"/>
  </w:style>
  <w:style w:type="character" w:customStyle="1" w:styleId="refpreview">
    <w:name w:val="refpreview"/>
    <w:basedOn w:val="DefaultParagraphFont"/>
    <w:rsid w:val="001E41CE"/>
  </w:style>
  <w:style w:type="character" w:customStyle="1" w:styleId="A7">
    <w:name w:val="A7"/>
    <w:rsid w:val="001E41CE"/>
    <w:rPr>
      <w:rFonts w:cs="AGaramond"/>
      <w:color w:val="000000"/>
      <w:sz w:val="15"/>
      <w:szCs w:val="15"/>
    </w:rPr>
  </w:style>
  <w:style w:type="character" w:customStyle="1" w:styleId="xref-bibr">
    <w:name w:val="xref-bibr"/>
    <w:basedOn w:val="DefaultParagraphFont"/>
    <w:rsid w:val="001E41CE"/>
  </w:style>
  <w:style w:type="character" w:customStyle="1" w:styleId="HTMLPreformattedChar">
    <w:name w:val="HTML Preformatted Char"/>
    <w:uiPriority w:val="99"/>
    <w:rsid w:val="001E41CE"/>
    <w:rPr>
      <w:rFonts w:ascii="Courier New" w:eastAsia="Times New Roman" w:hAnsi="Courier New" w:cs="Courier New"/>
      <w:sz w:val="20"/>
      <w:szCs w:val="20"/>
      <w:lang w:val="en-IE"/>
    </w:rPr>
  </w:style>
  <w:style w:type="character" w:customStyle="1" w:styleId="HeaderChar">
    <w:name w:val="Header Char"/>
    <w:rsid w:val="001E41CE"/>
    <w:rPr>
      <w:rFonts w:ascii="Calibri" w:eastAsia="Calibri" w:hAnsi="Calibri" w:cs="Times New Roman"/>
      <w:lang w:val="en-IE"/>
    </w:rPr>
  </w:style>
  <w:style w:type="character" w:customStyle="1" w:styleId="FooterChar">
    <w:name w:val="Footer Char"/>
    <w:rsid w:val="001E41CE"/>
    <w:rPr>
      <w:rFonts w:ascii="Calibri" w:eastAsia="Calibri" w:hAnsi="Calibri" w:cs="Times New Roman"/>
      <w:lang w:val="en-IE"/>
    </w:rPr>
  </w:style>
  <w:style w:type="character" w:customStyle="1" w:styleId="text">
    <w:name w:val="text"/>
    <w:basedOn w:val="DefaultParagraphFont"/>
    <w:rsid w:val="001E41CE"/>
  </w:style>
  <w:style w:type="character" w:customStyle="1" w:styleId="BodyTextChar">
    <w:name w:val="Body Text Char"/>
    <w:rsid w:val="001E41CE"/>
    <w:rPr>
      <w:rFonts w:ascii="Arial" w:eastAsia="Shaker2Lancet-Regular" w:hAnsi="Arial" w:cs="Times New Roman"/>
      <w:b/>
      <w:bCs/>
      <w:color w:val="231F20"/>
      <w:sz w:val="24"/>
      <w:szCs w:val="14"/>
      <w:lang w:val="en-US" w:eastAsia="en-US"/>
    </w:rPr>
  </w:style>
  <w:style w:type="character" w:customStyle="1" w:styleId="cit-title">
    <w:name w:val="cit-title"/>
    <w:basedOn w:val="DefaultParagraphFont"/>
    <w:rsid w:val="001E41CE"/>
  </w:style>
  <w:style w:type="character" w:customStyle="1" w:styleId="style15">
    <w:name w:val="style15"/>
    <w:basedOn w:val="DefaultParagraphFont"/>
    <w:rsid w:val="001E41CE"/>
  </w:style>
  <w:style w:type="character" w:customStyle="1" w:styleId="authors">
    <w:name w:val="authors"/>
    <w:basedOn w:val="DefaultParagraphFont"/>
    <w:rsid w:val="001E41CE"/>
  </w:style>
  <w:style w:type="character" w:customStyle="1" w:styleId="articletext">
    <w:name w:val="articletext"/>
    <w:basedOn w:val="DefaultParagraphFont"/>
    <w:rsid w:val="001E41CE"/>
  </w:style>
  <w:style w:type="character" w:customStyle="1" w:styleId="ref">
    <w:name w:val="ref"/>
    <w:basedOn w:val="DefaultParagraphFont"/>
    <w:rsid w:val="001E41CE"/>
  </w:style>
  <w:style w:type="character" w:customStyle="1" w:styleId="paragraph">
    <w:name w:val="paragraph"/>
    <w:basedOn w:val="DefaultParagraphFont"/>
    <w:rsid w:val="001E41CE"/>
  </w:style>
  <w:style w:type="character" w:customStyle="1" w:styleId="ListLabel1">
    <w:name w:val="ListLabel 1"/>
    <w:rsid w:val="001E41CE"/>
    <w:rPr>
      <w:rFonts w:eastAsia="Calibri" w:cs="Arial"/>
    </w:rPr>
  </w:style>
  <w:style w:type="character" w:customStyle="1" w:styleId="ListLabel2">
    <w:name w:val="ListLabel 2"/>
    <w:rsid w:val="001E41CE"/>
    <w:rPr>
      <w:rFonts w:cs="Courier New"/>
    </w:rPr>
  </w:style>
  <w:style w:type="character" w:customStyle="1" w:styleId="ListLabel3">
    <w:name w:val="ListLabel 3"/>
    <w:rsid w:val="001E41CE"/>
    <w:rPr>
      <w:b/>
    </w:rPr>
  </w:style>
  <w:style w:type="character" w:customStyle="1" w:styleId="ListLabel4">
    <w:name w:val="ListLabel 4"/>
    <w:rsid w:val="001E41CE"/>
    <w:rPr>
      <w:rFonts w:eastAsia="Times New Roman" w:cs="Arial"/>
    </w:rPr>
  </w:style>
  <w:style w:type="character" w:customStyle="1" w:styleId="ListLabel5">
    <w:name w:val="ListLabel 5"/>
    <w:rsid w:val="001E41CE"/>
    <w:rPr>
      <w:b w:val="0"/>
      <w:sz w:val="24"/>
    </w:rPr>
  </w:style>
  <w:style w:type="character" w:customStyle="1" w:styleId="ListLabel6">
    <w:name w:val="ListLabel 6"/>
    <w:rsid w:val="001E41CE"/>
    <w:rPr>
      <w:rFonts w:eastAsia="Times New Roman" w:cs="Arial"/>
      <w:sz w:val="20"/>
    </w:rPr>
  </w:style>
  <w:style w:type="character" w:customStyle="1" w:styleId="ListLabel7">
    <w:name w:val="ListLabel 7"/>
    <w:rsid w:val="001E41CE"/>
    <w:rPr>
      <w:rFonts w:eastAsia="Times New Roman"/>
    </w:rPr>
  </w:style>
  <w:style w:type="character" w:customStyle="1" w:styleId="ListLabel8">
    <w:name w:val="ListLabel 8"/>
    <w:rsid w:val="001E41CE"/>
    <w:rPr>
      <w:sz w:val="20"/>
    </w:rPr>
  </w:style>
  <w:style w:type="character" w:customStyle="1" w:styleId="ListLabel9">
    <w:name w:val="ListLabel 9"/>
    <w:rsid w:val="001E41CE"/>
    <w:rPr>
      <w:rFonts w:cs="Arial"/>
    </w:rPr>
  </w:style>
  <w:style w:type="character" w:customStyle="1" w:styleId="ListLabel10">
    <w:name w:val="ListLabel 10"/>
    <w:rsid w:val="001E41CE"/>
    <w:rPr>
      <w:rFonts w:cs="Courier New"/>
    </w:rPr>
  </w:style>
  <w:style w:type="character" w:customStyle="1" w:styleId="ListLabel11">
    <w:name w:val="ListLabel 11"/>
    <w:rsid w:val="001E41CE"/>
    <w:rPr>
      <w:rFonts w:cs="Wingdings"/>
    </w:rPr>
  </w:style>
  <w:style w:type="character" w:customStyle="1" w:styleId="ListLabel12">
    <w:name w:val="ListLabel 12"/>
    <w:rsid w:val="001E41CE"/>
    <w:rPr>
      <w:rFonts w:cs="Symbol"/>
    </w:rPr>
  </w:style>
  <w:style w:type="character" w:customStyle="1" w:styleId="ListLabel13">
    <w:name w:val="ListLabel 13"/>
    <w:rsid w:val="001E41CE"/>
    <w:rPr>
      <w:rFonts w:cs="Symbol"/>
      <w:sz w:val="20"/>
    </w:rPr>
  </w:style>
  <w:style w:type="character" w:customStyle="1" w:styleId="ListLabel14">
    <w:name w:val="ListLabel 14"/>
    <w:rsid w:val="001E41CE"/>
    <w:rPr>
      <w:rFonts w:cs="Courier New"/>
      <w:sz w:val="20"/>
    </w:rPr>
  </w:style>
  <w:style w:type="character" w:customStyle="1" w:styleId="ListLabel15">
    <w:name w:val="ListLabel 15"/>
    <w:rsid w:val="001E41CE"/>
    <w:rPr>
      <w:rFonts w:cs="Wingdings"/>
      <w:sz w:val="20"/>
    </w:rPr>
  </w:style>
  <w:style w:type="character" w:customStyle="1" w:styleId="ListLabel16">
    <w:name w:val="ListLabel 16"/>
    <w:rsid w:val="001E41CE"/>
    <w:rPr>
      <w:rFonts w:cs="Arial"/>
    </w:rPr>
  </w:style>
  <w:style w:type="character" w:customStyle="1" w:styleId="ListLabel17">
    <w:name w:val="ListLabel 17"/>
    <w:rsid w:val="001E41CE"/>
    <w:rPr>
      <w:rFonts w:cs="Courier New"/>
    </w:rPr>
  </w:style>
  <w:style w:type="character" w:customStyle="1" w:styleId="ListLabel18">
    <w:name w:val="ListLabel 18"/>
    <w:rsid w:val="001E41CE"/>
    <w:rPr>
      <w:rFonts w:cs="Wingdings"/>
    </w:rPr>
  </w:style>
  <w:style w:type="character" w:customStyle="1" w:styleId="ListLabel19">
    <w:name w:val="ListLabel 19"/>
    <w:rsid w:val="001E41CE"/>
    <w:rPr>
      <w:rFonts w:cs="Symbol"/>
    </w:rPr>
  </w:style>
  <w:style w:type="character" w:customStyle="1" w:styleId="ListLabel20">
    <w:name w:val="ListLabel 20"/>
    <w:rsid w:val="001E41CE"/>
    <w:rPr>
      <w:rFonts w:cs="Symbol"/>
      <w:sz w:val="20"/>
    </w:rPr>
  </w:style>
  <w:style w:type="character" w:customStyle="1" w:styleId="ListLabel21">
    <w:name w:val="ListLabel 21"/>
    <w:rsid w:val="001E41CE"/>
    <w:rPr>
      <w:rFonts w:cs="Courier New"/>
      <w:sz w:val="20"/>
    </w:rPr>
  </w:style>
  <w:style w:type="character" w:customStyle="1" w:styleId="ListLabel22">
    <w:name w:val="ListLabel 22"/>
    <w:rsid w:val="001E41CE"/>
    <w:rPr>
      <w:rFonts w:cs="Wingdings"/>
      <w:sz w:val="20"/>
    </w:rPr>
  </w:style>
  <w:style w:type="paragraph" w:customStyle="1" w:styleId="Heading">
    <w:name w:val="Heading"/>
    <w:basedOn w:val="Normal"/>
    <w:next w:val="Textbody"/>
    <w:rsid w:val="001E41CE"/>
    <w:pPr>
      <w:keepNext/>
      <w:spacing w:before="240" w:after="120"/>
    </w:pPr>
    <w:rPr>
      <w:rFonts w:ascii="Liberation Sans" w:eastAsia="WenQuanYi Micro Hei" w:hAnsi="Liberation Sans" w:cs="Lohit Hindi"/>
      <w:sz w:val="28"/>
      <w:szCs w:val="28"/>
    </w:rPr>
  </w:style>
  <w:style w:type="paragraph" w:customStyle="1" w:styleId="Textbody">
    <w:name w:val="Text body"/>
    <w:basedOn w:val="Normal"/>
    <w:rsid w:val="001E41CE"/>
    <w:rPr>
      <w:rFonts w:eastAsia="Shaker2Lancet-Regular" w:cs="Times New Roman"/>
      <w:b/>
      <w:bCs/>
      <w:color w:val="231F20"/>
      <w:szCs w:val="14"/>
    </w:rPr>
  </w:style>
  <w:style w:type="paragraph" w:styleId="List">
    <w:name w:val="List"/>
    <w:basedOn w:val="Textbody"/>
    <w:rsid w:val="001E41CE"/>
    <w:rPr>
      <w:rFonts w:cs="Lohit Hindi"/>
    </w:rPr>
  </w:style>
  <w:style w:type="paragraph" w:styleId="Caption">
    <w:name w:val="caption"/>
    <w:basedOn w:val="Normal"/>
    <w:qFormat/>
    <w:rsid w:val="001E41CE"/>
    <w:rPr>
      <w:rFonts w:ascii="Calibri" w:eastAsia="Calibri" w:hAnsi="Calibri" w:cs="Times New Roman"/>
      <w:b/>
      <w:bCs/>
      <w:sz w:val="20"/>
      <w:szCs w:val="20"/>
      <w:lang w:val="en-IE"/>
    </w:rPr>
  </w:style>
  <w:style w:type="paragraph" w:customStyle="1" w:styleId="Index">
    <w:name w:val="Index"/>
    <w:basedOn w:val="Normal"/>
    <w:rsid w:val="001E41CE"/>
    <w:pPr>
      <w:suppressLineNumbers/>
    </w:pPr>
    <w:rPr>
      <w:rFonts w:cs="Lohit Hindi"/>
    </w:rPr>
  </w:style>
  <w:style w:type="paragraph" w:styleId="BalloonText">
    <w:name w:val="Balloon Text"/>
    <w:basedOn w:val="Normal"/>
    <w:link w:val="BalloonTextChar1"/>
    <w:rsid w:val="001E41CE"/>
    <w:rPr>
      <w:rFonts w:ascii="Tahoma" w:hAnsi="Tahoma" w:cs="Tahoma"/>
      <w:sz w:val="16"/>
      <w:szCs w:val="16"/>
    </w:rPr>
  </w:style>
  <w:style w:type="character" w:customStyle="1" w:styleId="BalloonTextChar1">
    <w:name w:val="Balloon Text Char1"/>
    <w:link w:val="BalloonText"/>
    <w:rsid w:val="001E41CE"/>
    <w:rPr>
      <w:rFonts w:ascii="Tahoma" w:eastAsia="Times New Roman" w:hAnsi="Tahoma" w:cs="Tahoma"/>
      <w:color w:val="000000"/>
      <w:sz w:val="16"/>
      <w:szCs w:val="16"/>
    </w:rPr>
  </w:style>
  <w:style w:type="paragraph" w:styleId="NormalWeb">
    <w:name w:val="Normal (Web)"/>
    <w:basedOn w:val="Normal"/>
    <w:uiPriority w:val="99"/>
    <w:rsid w:val="001E41CE"/>
    <w:pPr>
      <w:spacing w:before="28" w:after="28"/>
    </w:pPr>
    <w:rPr>
      <w:rFonts w:ascii="Times New Roman" w:hAnsi="Times New Roman" w:cs="Times New Roman"/>
      <w:lang w:val="en-IE"/>
    </w:rPr>
  </w:style>
  <w:style w:type="paragraph" w:styleId="PlainText">
    <w:name w:val="Plain Text"/>
    <w:basedOn w:val="Normal"/>
    <w:link w:val="PlainTextChar1"/>
    <w:uiPriority w:val="99"/>
    <w:rsid w:val="001E41CE"/>
    <w:rPr>
      <w:rFonts w:ascii="Courier New" w:eastAsia="SimSun" w:hAnsi="Courier New" w:cs="Courier New"/>
      <w:sz w:val="20"/>
      <w:szCs w:val="20"/>
      <w:lang w:val="en-IE" w:eastAsia="zh-CN"/>
    </w:rPr>
  </w:style>
  <w:style w:type="character" w:customStyle="1" w:styleId="PlainTextChar1">
    <w:name w:val="Plain Text Char1"/>
    <w:link w:val="PlainText"/>
    <w:uiPriority w:val="99"/>
    <w:rsid w:val="001E41CE"/>
    <w:rPr>
      <w:rFonts w:ascii="Courier New" w:eastAsia="SimSun" w:hAnsi="Courier New" w:cs="Courier New"/>
      <w:color w:val="000000"/>
      <w:sz w:val="20"/>
      <w:szCs w:val="20"/>
      <w:lang w:val="en-IE" w:eastAsia="zh-CN"/>
    </w:rPr>
  </w:style>
  <w:style w:type="paragraph" w:styleId="TableofFigures">
    <w:name w:val="table of figures"/>
    <w:basedOn w:val="Normal"/>
    <w:rsid w:val="001E41CE"/>
    <w:rPr>
      <w:rFonts w:ascii="Calibri" w:eastAsia="Calibri" w:hAnsi="Calibri" w:cs="Times New Roman"/>
      <w:lang w:val="en-IE"/>
    </w:rPr>
  </w:style>
  <w:style w:type="paragraph" w:styleId="HTMLPreformatted">
    <w:name w:val="HTML Preformatted"/>
    <w:basedOn w:val="Normal"/>
    <w:link w:val="HTMLPreformattedChar1"/>
    <w:uiPriority w:val="99"/>
    <w:rsid w:val="001E41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IE"/>
    </w:rPr>
  </w:style>
  <w:style w:type="character" w:customStyle="1" w:styleId="HTMLPreformattedChar1">
    <w:name w:val="HTML Preformatted Char1"/>
    <w:link w:val="HTMLPreformatted"/>
    <w:uiPriority w:val="99"/>
    <w:rsid w:val="001E41CE"/>
    <w:rPr>
      <w:rFonts w:ascii="Courier New" w:eastAsia="Times New Roman" w:hAnsi="Courier New" w:cs="Courier New"/>
      <w:color w:val="000000"/>
      <w:sz w:val="20"/>
      <w:szCs w:val="20"/>
      <w:lang w:val="en-IE"/>
    </w:rPr>
  </w:style>
  <w:style w:type="paragraph" w:styleId="Header">
    <w:name w:val="header"/>
    <w:basedOn w:val="Normal"/>
    <w:link w:val="HeaderChar1"/>
    <w:rsid w:val="001E41CE"/>
    <w:pPr>
      <w:suppressLineNumbers/>
      <w:tabs>
        <w:tab w:val="center" w:pos="4680"/>
        <w:tab w:val="right" w:pos="9360"/>
      </w:tabs>
    </w:pPr>
    <w:rPr>
      <w:rFonts w:ascii="Calibri" w:eastAsia="Calibri" w:hAnsi="Calibri" w:cs="Times New Roman"/>
      <w:lang w:val="en-IE"/>
    </w:rPr>
  </w:style>
  <w:style w:type="character" w:customStyle="1" w:styleId="HeaderChar1">
    <w:name w:val="Header Char1"/>
    <w:link w:val="Header"/>
    <w:rsid w:val="001E41CE"/>
    <w:rPr>
      <w:rFonts w:ascii="Calibri" w:eastAsia="Calibri" w:hAnsi="Calibri" w:cs="Times New Roman"/>
      <w:color w:val="000000"/>
      <w:sz w:val="24"/>
      <w:szCs w:val="24"/>
      <w:lang w:val="en-IE"/>
    </w:rPr>
  </w:style>
  <w:style w:type="paragraph" w:styleId="Footer">
    <w:name w:val="footer"/>
    <w:basedOn w:val="Normal"/>
    <w:link w:val="FooterChar1"/>
    <w:rsid w:val="001E41CE"/>
    <w:pPr>
      <w:suppressLineNumbers/>
      <w:tabs>
        <w:tab w:val="center" w:pos="4680"/>
        <w:tab w:val="right" w:pos="9360"/>
      </w:tabs>
    </w:pPr>
    <w:rPr>
      <w:rFonts w:ascii="Calibri" w:eastAsia="Calibri" w:hAnsi="Calibri" w:cs="Times New Roman"/>
      <w:lang w:val="en-IE"/>
    </w:rPr>
  </w:style>
  <w:style w:type="character" w:customStyle="1" w:styleId="FooterChar1">
    <w:name w:val="Footer Char1"/>
    <w:link w:val="Footer"/>
    <w:rsid w:val="001E41CE"/>
    <w:rPr>
      <w:rFonts w:ascii="Calibri" w:eastAsia="Calibri" w:hAnsi="Calibri" w:cs="Times New Roman"/>
      <w:color w:val="000000"/>
      <w:sz w:val="24"/>
      <w:szCs w:val="24"/>
      <w:lang w:val="en-IE"/>
    </w:rPr>
  </w:style>
  <w:style w:type="paragraph" w:styleId="ListParagraph">
    <w:name w:val="List Paragraph"/>
    <w:basedOn w:val="Normal"/>
    <w:rsid w:val="001E41CE"/>
    <w:pPr>
      <w:ind w:left="720"/>
    </w:pPr>
    <w:rPr>
      <w:rFonts w:ascii="Times New Roman" w:hAnsi="Times New Roman" w:cs="Times New Roman"/>
    </w:rPr>
  </w:style>
  <w:style w:type="paragraph" w:customStyle="1" w:styleId="StyleAfter6ptLinespacingDouble">
    <w:name w:val="Style After:  6 pt Line spacing:  Double"/>
    <w:basedOn w:val="Normal"/>
    <w:rsid w:val="001E41CE"/>
    <w:pPr>
      <w:spacing w:after="120" w:line="480" w:lineRule="auto"/>
    </w:pPr>
    <w:rPr>
      <w:rFonts w:ascii="Times New Roman" w:hAnsi="Times New Roman" w:cs="Times New Roman"/>
      <w:szCs w:val="20"/>
      <w:lang w:val="en-IE"/>
    </w:rPr>
  </w:style>
  <w:style w:type="paragraph" w:customStyle="1" w:styleId="norm">
    <w:name w:val="norm"/>
    <w:basedOn w:val="Normal"/>
    <w:rsid w:val="001E41CE"/>
    <w:pPr>
      <w:spacing w:before="28" w:after="28"/>
    </w:pPr>
    <w:rPr>
      <w:rFonts w:ascii="Times New Roman" w:hAnsi="Times New Roman" w:cs="Times New Roman"/>
    </w:rPr>
  </w:style>
  <w:style w:type="paragraph" w:customStyle="1" w:styleId="ContentsHeading">
    <w:name w:val="Contents Heading"/>
    <w:basedOn w:val="Heading1"/>
    <w:rsid w:val="001E41CE"/>
    <w:pPr>
      <w:keepNext/>
      <w:keepLines/>
      <w:suppressLineNumbers/>
      <w:spacing w:line="276" w:lineRule="auto"/>
      <w:ind w:left="0" w:firstLine="0"/>
      <w:outlineLvl w:val="9"/>
    </w:pPr>
    <w:rPr>
      <w:rFonts w:ascii="Cambria" w:hAnsi="Cambria"/>
      <w:color w:val="365F91"/>
      <w:sz w:val="28"/>
      <w:szCs w:val="28"/>
      <w:lang w:val="en-US"/>
    </w:rPr>
  </w:style>
  <w:style w:type="paragraph" w:customStyle="1" w:styleId="Contents1">
    <w:name w:val="Contents 1"/>
    <w:basedOn w:val="Normal"/>
    <w:rsid w:val="001E41CE"/>
    <w:pPr>
      <w:tabs>
        <w:tab w:val="right" w:leader="dot" w:pos="9638"/>
      </w:tabs>
    </w:pPr>
    <w:rPr>
      <w:rFonts w:ascii="Calibri" w:eastAsia="Calibri" w:hAnsi="Calibri" w:cs="Times New Roman"/>
      <w:lang w:val="en-IE"/>
    </w:rPr>
  </w:style>
  <w:style w:type="paragraph" w:customStyle="1" w:styleId="Contents2">
    <w:name w:val="Contents 2"/>
    <w:basedOn w:val="Normal"/>
    <w:rsid w:val="001E41CE"/>
    <w:pPr>
      <w:tabs>
        <w:tab w:val="right" w:leader="dot" w:pos="10015"/>
      </w:tabs>
      <w:ind w:left="220"/>
    </w:pPr>
    <w:rPr>
      <w:rFonts w:ascii="Calibri" w:eastAsia="Calibri" w:hAnsi="Calibri" w:cs="Times New Roman"/>
      <w:lang w:val="en-IE"/>
    </w:rPr>
  </w:style>
  <w:style w:type="paragraph" w:customStyle="1" w:styleId="Contents3">
    <w:name w:val="Contents 3"/>
    <w:basedOn w:val="Normal"/>
    <w:rsid w:val="001E41CE"/>
    <w:pPr>
      <w:tabs>
        <w:tab w:val="right" w:leader="dot" w:pos="10392"/>
      </w:tabs>
      <w:ind w:left="440"/>
    </w:pPr>
    <w:rPr>
      <w:rFonts w:ascii="Calibri" w:eastAsia="Calibri" w:hAnsi="Calibri" w:cs="Times New Roman"/>
      <w:lang w:val="en-IE"/>
    </w:rPr>
  </w:style>
  <w:style w:type="paragraph" w:customStyle="1" w:styleId="Contents4">
    <w:name w:val="Contents 4"/>
    <w:basedOn w:val="Normal"/>
    <w:rsid w:val="001E41CE"/>
    <w:pPr>
      <w:tabs>
        <w:tab w:val="right" w:leader="dot" w:pos="10769"/>
      </w:tabs>
      <w:spacing w:after="100"/>
      <w:ind w:left="660"/>
    </w:pPr>
    <w:rPr>
      <w:rFonts w:ascii="Calibri" w:hAnsi="Calibri" w:cs="Times New Roman"/>
    </w:rPr>
  </w:style>
  <w:style w:type="paragraph" w:customStyle="1" w:styleId="Contents5">
    <w:name w:val="Contents 5"/>
    <w:basedOn w:val="Normal"/>
    <w:rsid w:val="001E41CE"/>
    <w:pPr>
      <w:tabs>
        <w:tab w:val="right" w:leader="dot" w:pos="11146"/>
      </w:tabs>
      <w:spacing w:after="100"/>
      <w:ind w:left="880"/>
    </w:pPr>
    <w:rPr>
      <w:rFonts w:ascii="Calibri" w:hAnsi="Calibri" w:cs="Times New Roman"/>
    </w:rPr>
  </w:style>
  <w:style w:type="paragraph" w:customStyle="1" w:styleId="Contents6">
    <w:name w:val="Contents 6"/>
    <w:basedOn w:val="Normal"/>
    <w:rsid w:val="001E41CE"/>
    <w:pPr>
      <w:tabs>
        <w:tab w:val="right" w:leader="dot" w:pos="11523"/>
      </w:tabs>
      <w:spacing w:after="100"/>
      <w:ind w:left="1100"/>
    </w:pPr>
    <w:rPr>
      <w:rFonts w:ascii="Calibri" w:hAnsi="Calibri" w:cs="Times New Roman"/>
    </w:rPr>
  </w:style>
  <w:style w:type="paragraph" w:customStyle="1" w:styleId="Contents7">
    <w:name w:val="Contents 7"/>
    <w:basedOn w:val="Normal"/>
    <w:rsid w:val="001E41CE"/>
    <w:pPr>
      <w:tabs>
        <w:tab w:val="right" w:leader="dot" w:pos="11900"/>
      </w:tabs>
      <w:spacing w:after="100"/>
      <w:ind w:left="1320"/>
    </w:pPr>
    <w:rPr>
      <w:rFonts w:ascii="Calibri" w:hAnsi="Calibri" w:cs="Times New Roman"/>
    </w:rPr>
  </w:style>
  <w:style w:type="paragraph" w:customStyle="1" w:styleId="Contents8">
    <w:name w:val="Contents 8"/>
    <w:basedOn w:val="Normal"/>
    <w:rsid w:val="001E41CE"/>
    <w:pPr>
      <w:tabs>
        <w:tab w:val="right" w:leader="dot" w:pos="12277"/>
      </w:tabs>
      <w:spacing w:after="100"/>
      <w:ind w:left="1540"/>
    </w:pPr>
    <w:rPr>
      <w:rFonts w:ascii="Calibri" w:hAnsi="Calibri" w:cs="Times New Roman"/>
    </w:rPr>
  </w:style>
  <w:style w:type="paragraph" w:customStyle="1" w:styleId="Contents9">
    <w:name w:val="Contents 9"/>
    <w:basedOn w:val="Normal"/>
    <w:rsid w:val="001E41CE"/>
    <w:pPr>
      <w:tabs>
        <w:tab w:val="right" w:leader="dot" w:pos="12654"/>
      </w:tabs>
      <w:spacing w:after="100"/>
      <w:ind w:left="1760"/>
    </w:pPr>
    <w:rPr>
      <w:rFonts w:ascii="Calibri" w:hAnsi="Calibri" w:cs="Times New Roman"/>
    </w:rPr>
  </w:style>
  <w:style w:type="paragraph" w:customStyle="1" w:styleId="Framecontents">
    <w:name w:val="Frame contents"/>
    <w:basedOn w:val="Textbody"/>
    <w:rsid w:val="001E41CE"/>
  </w:style>
  <w:style w:type="paragraph" w:customStyle="1" w:styleId="TableContents">
    <w:name w:val="Table Contents"/>
    <w:basedOn w:val="Normal"/>
    <w:rsid w:val="001E41CE"/>
    <w:pPr>
      <w:suppressLineNumbers/>
    </w:pPr>
  </w:style>
  <w:style w:type="paragraph" w:customStyle="1" w:styleId="TableHeading">
    <w:name w:val="Table Heading"/>
    <w:basedOn w:val="TableContents"/>
    <w:rsid w:val="001E41CE"/>
    <w:pPr>
      <w:jc w:val="center"/>
    </w:pPr>
    <w:rPr>
      <w:b/>
      <w:bCs/>
    </w:rPr>
  </w:style>
  <w:style w:type="character" w:styleId="Strong">
    <w:name w:val="Strong"/>
    <w:uiPriority w:val="22"/>
    <w:qFormat/>
    <w:rsid w:val="001E41CE"/>
    <w:rPr>
      <w:b/>
      <w:bCs/>
    </w:rPr>
  </w:style>
  <w:style w:type="character" w:customStyle="1" w:styleId="highlight">
    <w:name w:val="highlight"/>
    <w:basedOn w:val="DefaultParagraphFont"/>
    <w:rsid w:val="001E41CE"/>
  </w:style>
  <w:style w:type="character" w:styleId="Hyperlink">
    <w:name w:val="Hyperlink"/>
    <w:uiPriority w:val="99"/>
    <w:unhideWhenUsed/>
    <w:rsid w:val="001E41CE"/>
    <w:rPr>
      <w:color w:val="0000FF"/>
      <w:u w:val="single"/>
    </w:rPr>
  </w:style>
  <w:style w:type="character" w:customStyle="1" w:styleId="citation">
    <w:name w:val="citation"/>
    <w:basedOn w:val="DefaultParagraphFont"/>
    <w:rsid w:val="001E41CE"/>
  </w:style>
  <w:style w:type="character" w:styleId="FollowedHyperlink">
    <w:name w:val="FollowedHyperlink"/>
    <w:uiPriority w:val="99"/>
    <w:semiHidden/>
    <w:unhideWhenUsed/>
    <w:rsid w:val="001E41CE"/>
    <w:rPr>
      <w:color w:val="800080"/>
      <w:u w:val="single"/>
    </w:rPr>
  </w:style>
  <w:style w:type="character" w:styleId="HTMLCite">
    <w:name w:val="HTML Cite"/>
    <w:uiPriority w:val="99"/>
    <w:semiHidden/>
    <w:unhideWhenUsed/>
    <w:rsid w:val="001E41CE"/>
    <w:rPr>
      <w:i/>
      <w:iCs/>
    </w:rPr>
  </w:style>
  <w:style w:type="character" w:customStyle="1" w:styleId="cit-article-title">
    <w:name w:val="cit-article-title"/>
    <w:basedOn w:val="DefaultParagraphFont"/>
    <w:rsid w:val="001E41CE"/>
  </w:style>
  <w:style w:type="character" w:customStyle="1" w:styleId="pln">
    <w:name w:val="pln"/>
    <w:basedOn w:val="DefaultParagraphFont"/>
    <w:rsid w:val="001E41CE"/>
  </w:style>
  <w:style w:type="character" w:customStyle="1" w:styleId="pun">
    <w:name w:val="pun"/>
    <w:basedOn w:val="DefaultParagraphFont"/>
    <w:rsid w:val="001E41CE"/>
  </w:style>
  <w:style w:type="character" w:customStyle="1" w:styleId="lit">
    <w:name w:val="lit"/>
    <w:basedOn w:val="DefaultParagraphFont"/>
    <w:rsid w:val="001E41CE"/>
  </w:style>
  <w:style w:type="character" w:customStyle="1" w:styleId="kwd">
    <w:name w:val="kwd"/>
    <w:basedOn w:val="DefaultParagraphFont"/>
    <w:rsid w:val="001E41CE"/>
  </w:style>
  <w:style w:type="character" w:customStyle="1" w:styleId="comment-copy">
    <w:name w:val="comment-copy"/>
    <w:basedOn w:val="DefaultParagraphFont"/>
    <w:rsid w:val="001E41CE"/>
  </w:style>
  <w:style w:type="character" w:styleId="CommentReference">
    <w:name w:val="annotation reference"/>
    <w:uiPriority w:val="99"/>
    <w:semiHidden/>
    <w:unhideWhenUsed/>
    <w:rsid w:val="001E41CE"/>
    <w:rPr>
      <w:sz w:val="16"/>
      <w:szCs w:val="16"/>
    </w:rPr>
  </w:style>
  <w:style w:type="paragraph" w:styleId="CommentText">
    <w:name w:val="annotation text"/>
    <w:basedOn w:val="Normal"/>
    <w:link w:val="CommentTextChar"/>
    <w:uiPriority w:val="99"/>
    <w:unhideWhenUsed/>
    <w:rsid w:val="001E41CE"/>
    <w:pPr>
      <w:spacing w:line="240" w:lineRule="auto"/>
    </w:pPr>
    <w:rPr>
      <w:sz w:val="20"/>
      <w:szCs w:val="20"/>
    </w:rPr>
  </w:style>
  <w:style w:type="character" w:customStyle="1" w:styleId="CommentTextChar">
    <w:name w:val="Comment Text Char"/>
    <w:link w:val="CommentText"/>
    <w:uiPriority w:val="99"/>
    <w:rsid w:val="001E41CE"/>
    <w:rPr>
      <w:rFonts w:ascii="Arial" w:eastAsia="Times New Roman"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1E41CE"/>
    <w:rPr>
      <w:b/>
      <w:bCs/>
    </w:rPr>
  </w:style>
  <w:style w:type="character" w:customStyle="1" w:styleId="CommentSubjectChar">
    <w:name w:val="Comment Subject Char"/>
    <w:link w:val="CommentSubject"/>
    <w:uiPriority w:val="99"/>
    <w:semiHidden/>
    <w:rsid w:val="001E41CE"/>
    <w:rPr>
      <w:rFonts w:ascii="Arial" w:eastAsia="Times New Roman" w:hAnsi="Arial" w:cs="Arial"/>
      <w:b/>
      <w:bCs/>
      <w:color w:val="000000"/>
      <w:sz w:val="20"/>
      <w:szCs w:val="20"/>
    </w:rPr>
  </w:style>
  <w:style w:type="character" w:customStyle="1" w:styleId="mb">
    <w:name w:val="mb"/>
    <w:basedOn w:val="DefaultParagraphFont"/>
    <w:rsid w:val="001E41CE"/>
  </w:style>
  <w:style w:type="character" w:customStyle="1" w:styleId="rwro">
    <w:name w:val="rwro"/>
    <w:basedOn w:val="DefaultParagraphFont"/>
    <w:rsid w:val="001E41CE"/>
  </w:style>
  <w:style w:type="character" w:customStyle="1" w:styleId="rwrro">
    <w:name w:val="rwrro"/>
    <w:basedOn w:val="DefaultParagraphFont"/>
    <w:rsid w:val="001E41CE"/>
  </w:style>
  <w:style w:type="paragraph" w:styleId="Revision">
    <w:name w:val="Revision"/>
    <w:hidden/>
    <w:uiPriority w:val="99"/>
    <w:semiHidden/>
    <w:rsid w:val="001E41CE"/>
    <w:pPr>
      <w:spacing w:after="0" w:line="240" w:lineRule="auto"/>
    </w:pPr>
    <w:rPr>
      <w:rFonts w:ascii="Arial" w:eastAsia="Times New Roman" w:hAnsi="Arial" w:cs="Arial"/>
      <w:color w:val="000000"/>
      <w:sz w:val="24"/>
      <w:szCs w:val="24"/>
      <w:lang w:val="en-US"/>
    </w:rPr>
  </w:style>
  <w:style w:type="table" w:styleId="TableGrid">
    <w:name w:val="Table Grid"/>
    <w:basedOn w:val="TableNormal"/>
    <w:uiPriority w:val="59"/>
    <w:rsid w:val="001E41CE"/>
    <w:pPr>
      <w:spacing w:after="0" w:line="240" w:lineRule="auto"/>
    </w:pPr>
    <w:rPr>
      <w:rFonts w:ascii="Calibri" w:eastAsia="Times New Roman" w:hAnsi="Calibri"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Reference">
    <w:name w:val="Subtle Reference"/>
    <w:uiPriority w:val="31"/>
    <w:qFormat/>
    <w:rsid w:val="001E41CE"/>
    <w:rPr>
      <w:smallCaps/>
      <w:color w:val="C0504D"/>
      <w:u w:val="single"/>
    </w:rPr>
  </w:style>
  <w:style w:type="paragraph" w:styleId="NoSpacing">
    <w:name w:val="No Spacing"/>
    <w:uiPriority w:val="1"/>
    <w:qFormat/>
    <w:rsid w:val="001E41CE"/>
    <w:pPr>
      <w:tabs>
        <w:tab w:val="left" w:pos="720"/>
      </w:tabs>
      <w:suppressAutoHyphens/>
      <w:spacing w:after="0" w:line="240" w:lineRule="auto"/>
    </w:pPr>
    <w:rPr>
      <w:rFonts w:ascii="Arial" w:eastAsia="Times New Roman" w:hAnsi="Arial" w:cs="Arial"/>
      <w:color w:val="000000"/>
      <w:sz w:val="24"/>
      <w:szCs w:val="24"/>
    </w:rPr>
  </w:style>
  <w:style w:type="paragraph" w:customStyle="1" w:styleId="EndNoteBibliographyTitle">
    <w:name w:val="EndNote Bibliography Title"/>
    <w:basedOn w:val="Normal"/>
    <w:rsid w:val="001E41CE"/>
    <w:pPr>
      <w:jc w:val="center"/>
    </w:pPr>
    <w:rPr>
      <w:rFonts w:ascii="Calibri" w:hAnsi="Calibri"/>
      <w:sz w:val="20"/>
      <w:lang w:val="en-US"/>
    </w:rPr>
  </w:style>
  <w:style w:type="paragraph" w:customStyle="1" w:styleId="EndNoteBibliography">
    <w:name w:val="EndNote Bibliography"/>
    <w:basedOn w:val="Normal"/>
    <w:rsid w:val="001E41CE"/>
    <w:pPr>
      <w:spacing w:line="240" w:lineRule="atLeast"/>
    </w:pPr>
    <w:rPr>
      <w:rFonts w:ascii="Calibri" w:hAnsi="Calibri"/>
      <w:sz w:val="20"/>
      <w:lang w:val="en-US"/>
    </w:rPr>
  </w:style>
  <w:style w:type="character" w:customStyle="1" w:styleId="mwe-math-mathml-inline">
    <w:name w:val="mwe-math-mathml-inline"/>
    <w:basedOn w:val="DefaultParagraphFont"/>
    <w:rsid w:val="001E41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827839">
      <w:bodyDiv w:val="1"/>
      <w:marLeft w:val="0"/>
      <w:marRight w:val="0"/>
      <w:marTop w:val="0"/>
      <w:marBottom w:val="0"/>
      <w:divBdr>
        <w:top w:val="none" w:sz="0" w:space="0" w:color="auto"/>
        <w:left w:val="none" w:sz="0" w:space="0" w:color="auto"/>
        <w:bottom w:val="none" w:sz="0" w:space="0" w:color="auto"/>
        <w:right w:val="none" w:sz="0" w:space="0" w:color="auto"/>
      </w:divBdr>
    </w:div>
    <w:div w:id="1537542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sembl.org/Tools/VEP" TargetMode="External"/><Relationship Id="rId13"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gwascentral.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bi.ac.uk/gwas/search?query=cardiovascular" TargetMode="External"/><Relationship Id="rId4" Type="http://schemas.openxmlformats.org/officeDocument/2006/relationships/settings" Target="settings.xml"/><Relationship Id="rId9" Type="http://schemas.openxmlformats.org/officeDocument/2006/relationships/hyperlink" Target="http://www.gtexportal.org/home/" TargetMode="External"/><Relationship Id="rId14"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5721</Words>
  <Characters>32611</Characters>
  <Application>Microsoft Office Word</Application>
  <DocSecurity>4</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McCarthy</dc:creator>
  <cp:lastModifiedBy>Green, Yvonne M</cp:lastModifiedBy>
  <cp:revision>2</cp:revision>
  <dcterms:created xsi:type="dcterms:W3CDTF">2017-12-19T10:46:00Z</dcterms:created>
  <dcterms:modified xsi:type="dcterms:W3CDTF">2017-12-19T10:46:00Z</dcterms:modified>
</cp:coreProperties>
</file>