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c1b5a52607e54681"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86E41" w14:textId="5C70DC50" w:rsidR="008B090B" w:rsidRPr="00973856" w:rsidRDefault="008B090B" w:rsidP="008B090B">
      <w:pPr>
        <w:rPr>
          <w:b/>
        </w:rPr>
      </w:pPr>
      <w:bookmarkStart w:id="0" w:name="OLE_LINK3"/>
      <w:bookmarkStart w:id="1" w:name="OLE_LINK4"/>
      <w:r w:rsidRPr="00973856">
        <w:rPr>
          <w:b/>
        </w:rPr>
        <w:t xml:space="preserve">Adjuvant </w:t>
      </w:r>
      <w:r>
        <w:rPr>
          <w:b/>
        </w:rPr>
        <w:t>checkpoint inhibitor</w:t>
      </w:r>
      <w:r w:rsidRPr="00973856">
        <w:rPr>
          <w:b/>
        </w:rPr>
        <w:t xml:space="preserve"> trials: </w:t>
      </w:r>
      <w:r>
        <w:rPr>
          <w:b/>
        </w:rPr>
        <w:t>Is d</w:t>
      </w:r>
      <w:r w:rsidRPr="00973856">
        <w:rPr>
          <w:b/>
        </w:rPr>
        <w:t>isease-free survival appropriate endpoint</w:t>
      </w:r>
      <w:r>
        <w:rPr>
          <w:b/>
        </w:rPr>
        <w:t>?</w:t>
      </w:r>
    </w:p>
    <w:p w14:paraId="29BA7A92" w14:textId="26063FA0" w:rsidR="008B090B" w:rsidRPr="0050129D" w:rsidRDefault="008B090B" w:rsidP="008B090B">
      <w:pPr>
        <w:spacing w:after="0"/>
        <w:rPr>
          <w:vertAlign w:val="superscript"/>
        </w:rPr>
      </w:pPr>
      <w:r>
        <w:t>Ali Raza Khaki, MD, MS</w:t>
      </w:r>
      <w:r>
        <w:rPr>
          <w:vertAlign w:val="superscript"/>
        </w:rPr>
        <w:t>1</w:t>
      </w:r>
      <w:r>
        <w:t xml:space="preserve">; Mark </w:t>
      </w:r>
      <w:r w:rsidR="008B592D">
        <w:t xml:space="preserve">P </w:t>
      </w:r>
      <w:r>
        <w:t>Lythgoe, MBBS</w:t>
      </w:r>
      <w:r>
        <w:rPr>
          <w:vertAlign w:val="superscript"/>
        </w:rPr>
        <w:t>2</w:t>
      </w:r>
      <w:r>
        <w:t>; Vinay Prasad, MD, MPH</w:t>
      </w:r>
      <w:r>
        <w:rPr>
          <w:vertAlign w:val="superscript"/>
        </w:rPr>
        <w:t>3</w:t>
      </w:r>
    </w:p>
    <w:bookmarkEnd w:id="0"/>
    <w:bookmarkEnd w:id="1"/>
    <w:p w14:paraId="71FD0D66" w14:textId="77777777" w:rsidR="008B090B" w:rsidRDefault="008B090B" w:rsidP="008B090B"/>
    <w:p w14:paraId="13F80482" w14:textId="77777777" w:rsidR="008B090B" w:rsidRDefault="008B090B" w:rsidP="008B090B">
      <w:r>
        <w:rPr>
          <w:vertAlign w:val="superscript"/>
        </w:rPr>
        <w:t>1</w:t>
      </w:r>
      <w:r>
        <w:rPr>
          <w:vertAlign w:val="subscript"/>
        </w:rPr>
        <w:t xml:space="preserve"> </w:t>
      </w:r>
      <w:r>
        <w:t>Stanford University School of Medicine, Stanford, CA, USA</w:t>
      </w:r>
    </w:p>
    <w:p w14:paraId="2CD1ABD8" w14:textId="77777777" w:rsidR="008B090B" w:rsidRDefault="008B090B" w:rsidP="008B090B">
      <w:r>
        <w:rPr>
          <w:vertAlign w:val="superscript"/>
        </w:rPr>
        <w:t>2</w:t>
      </w:r>
      <w:r>
        <w:t xml:space="preserve"> Imperial College London, London, UK</w:t>
      </w:r>
    </w:p>
    <w:p w14:paraId="02BA554A" w14:textId="77777777" w:rsidR="008B090B" w:rsidRPr="0050129D" w:rsidRDefault="008B090B" w:rsidP="008B090B">
      <w:r>
        <w:rPr>
          <w:vertAlign w:val="superscript"/>
        </w:rPr>
        <w:t>3</w:t>
      </w:r>
      <w:r>
        <w:t xml:space="preserve"> University of California, San Francisco, San Francisco, CA, USA</w:t>
      </w:r>
    </w:p>
    <w:p w14:paraId="4166A6DD" w14:textId="77777777" w:rsidR="008B090B" w:rsidRDefault="008B090B" w:rsidP="008B090B"/>
    <w:p w14:paraId="1A1C41DC" w14:textId="77777777" w:rsidR="008B090B" w:rsidRDefault="008B090B" w:rsidP="008B090B"/>
    <w:p w14:paraId="491749AC" w14:textId="77777777" w:rsidR="008B090B" w:rsidRDefault="008B090B" w:rsidP="008B090B"/>
    <w:p w14:paraId="1D722088" w14:textId="77777777" w:rsidR="008B090B" w:rsidRDefault="008B090B" w:rsidP="008B090B"/>
    <w:p w14:paraId="3E56BB1A" w14:textId="77777777" w:rsidR="008B090B" w:rsidRDefault="008B090B" w:rsidP="008B090B">
      <w:r>
        <w:t>Corresponding author:</w:t>
      </w:r>
    </w:p>
    <w:p w14:paraId="2054A90B" w14:textId="77777777" w:rsidR="008B090B" w:rsidRDefault="008B090B" w:rsidP="008B090B">
      <w:pPr>
        <w:spacing w:after="0" w:line="240" w:lineRule="auto"/>
      </w:pPr>
      <w:r>
        <w:t>Ali Raza Khaki, MD, MS</w:t>
      </w:r>
    </w:p>
    <w:p w14:paraId="6AE5C13E" w14:textId="77777777" w:rsidR="008B090B" w:rsidRDefault="008B090B" w:rsidP="008B090B">
      <w:pPr>
        <w:spacing w:after="0"/>
      </w:pPr>
      <w:r>
        <w:t>Stanford University School of Medicine</w:t>
      </w:r>
    </w:p>
    <w:p w14:paraId="0B3354D9" w14:textId="77777777" w:rsidR="008B090B" w:rsidRDefault="008B090B" w:rsidP="008B090B">
      <w:pPr>
        <w:spacing w:after="0"/>
      </w:pPr>
      <w:r>
        <w:t>875 Blake Wilbur Dr, Clinic E</w:t>
      </w:r>
    </w:p>
    <w:p w14:paraId="4B4ABCE8" w14:textId="77777777" w:rsidR="008B090B" w:rsidRDefault="008B090B" w:rsidP="008B090B">
      <w:pPr>
        <w:spacing w:after="0"/>
      </w:pPr>
      <w:r>
        <w:t>Stanford, CA 94305, USA</w:t>
      </w:r>
    </w:p>
    <w:p w14:paraId="0D3DF357" w14:textId="77777777" w:rsidR="008B090B" w:rsidRDefault="008B090B" w:rsidP="008B090B">
      <w:pPr>
        <w:spacing w:after="0"/>
      </w:pPr>
      <w:r>
        <w:t>Email: alikhaki@stanford.edu</w:t>
      </w:r>
    </w:p>
    <w:p w14:paraId="1CAD0907" w14:textId="77777777" w:rsidR="008B090B" w:rsidRDefault="008B090B" w:rsidP="008B090B">
      <w:r>
        <w:br w:type="page"/>
      </w:r>
    </w:p>
    <w:p w14:paraId="5E82A31D" w14:textId="2D7F9655" w:rsidR="00E15FA2" w:rsidRPr="00E15FA2" w:rsidRDefault="00E15FA2" w:rsidP="00C20BEE">
      <w:pPr>
        <w:spacing w:line="480" w:lineRule="auto"/>
        <w:rPr>
          <w:b/>
        </w:rPr>
      </w:pPr>
      <w:r w:rsidRPr="00E15FA2">
        <w:rPr>
          <w:b/>
        </w:rPr>
        <w:lastRenderedPageBreak/>
        <w:t>Manuscript:</w:t>
      </w:r>
    </w:p>
    <w:p w14:paraId="354022C4" w14:textId="26CB77F0" w:rsidR="008B090B" w:rsidRDefault="008B090B" w:rsidP="00C20BEE">
      <w:pPr>
        <w:spacing w:line="480" w:lineRule="auto"/>
      </w:pPr>
      <w:r>
        <w:t>Immune checkpoint inhibitors (ICI) have revolutionized cancer care for many patients. Just under half of all patients with metastatic solid tumors have an FDA-approved indication for treatment with an ICI.</w:t>
      </w:r>
      <w:r>
        <w:fldChar w:fldCharType="begin"/>
      </w:r>
      <w:r w:rsidR="004B4359">
        <w:instrText xml:space="preserve"> ADDIN ZOTERO_ITEM CSL_CITATION {"citationID":"NVFyfanw","properties":{"formattedCitation":"\\super 1\\nosupersub{}","plainCitation":"1","noteIndex":0},"citationItems":[{"id":2183,"uris":["http://zotero.org/users/1174900/items/DCQ52UAD"],"itemData":{"id":2183,"type":"article-journal","abstract":"&lt;h3&gt;Importance&lt;/h3&gt;&lt;p&gt;Immunotherapy checkpoint inhibitors have generated considerable interest because of durable responses in a number of hitherto intractable tumor types.&lt;/p&gt;&lt;h3&gt;Objective&lt;/h3&gt;&lt;p&gt;To estimate the percentage of patients with cancer in the United States who are eligible for and respond to checkpoint inhibitor drugs approved for oncology indications by the US Food and Drug Administration (FDA).&lt;/p&gt;&lt;h3&gt;Design, Setting, and Participants&lt;/h3&gt;&lt;p&gt;Retrospective cross-sectional study performed from June 2018 through October 2018 using publicly available data to determine (1) demographic characteristics of patients with advanced or metastatic cancer, (2) FDA data on checkpoint inhibitors approved from January 2011 through August 2018, (3) measures of response from drug labels, and (4) published reports estimating the frequency of various inclusion criteria.&lt;/p&gt;&lt;h3&gt;Main Outcomes and Measures&lt;/h3&gt;&lt;p&gt;The estimated percentages of US patients with cancer who are eligible for and who respond to immunotherapy checkpoint inhibitor drugs, by year.&lt;/p&gt;&lt;h3&gt;Results&lt;/h3&gt;&lt;p&gt;Six checkpoint inhibitor drugs were approved for 14 indications between March 25, 2011, and August 17, 2018. The estimated percentage of patients with cancer who were eligible for checkpoint inhibitor drugs increased from 1.54% (95% CI, 1.51%-1.57%) in 2011 to 43.63% (95% CI, 43.51%-43.75%) in 2018. The percentage of patients with cancer estimated to respond to checkpoint inhibitor drugs was 0.14% (95% CI, 0.13%-0.15%) in 2011 when ipilimumab was approved for unresectable or metastatic melanoma and increased to 5.86% (95% CI, 5.80%-5.92%) by 2015. By 2018, the estimated percentage of responders increased to 12.46% (95% CI, 12.37%-12.54%).&lt;/p&gt;&lt;h3&gt;Conclusions and Relevance&lt;/h3&gt;&lt;p&gt;The estimated percentages of patients who are eligible for and who respond to checkpoint inhibitor drugs are higher than reported estimates for drugs approved for genome-driven oncology but remain modest. Future research should explore biomarkers to maximize the benefit of immunotherapy among patients receiving it.&lt;/p&gt;","container-title":"JAMA Network Open","DOI":"10.1001/jamanetworkopen.2019.2535","issue":"5","journalAbbreviation":"JAMA Netw Open","language":"en","note":"publisher: American Medical Association","page":"e192535-e192535","source":"jamanetwork-com.offcampus.lib.washington.edu","title":"Estimation of the Percentage of US Patients With Cancer Who Are Eligible for and Respond to Checkpoint Inhibitor Immunotherapy Drugs","volume":"2","author":[{"family":"Haslam","given":"Alyson"},{"family":"Prasad","given":"Vinay"}],"issued":{"date-parts":[["2019",5,3]]}}}],"schema":"https://github.com/citation-style-language/schema/raw/master/csl-citation.json"} </w:instrText>
      </w:r>
      <w:r>
        <w:fldChar w:fldCharType="separate"/>
      </w:r>
      <w:r w:rsidR="00C20BEE" w:rsidRPr="00C20BEE">
        <w:rPr>
          <w:rFonts w:ascii="Calibri" w:hAnsi="Calibri" w:cs="Calibri"/>
          <w:szCs w:val="24"/>
          <w:vertAlign w:val="superscript"/>
        </w:rPr>
        <w:t>1</w:t>
      </w:r>
      <w:r>
        <w:fldChar w:fldCharType="end"/>
      </w:r>
      <w:r>
        <w:t xml:space="preserve"> More recently, trials supporting the use of these agents as adjuvant therapy have been published for melanoma, renal cell carcinoma, urothelial carcinoma, esophageal cancer and non-small cell lung cancer (Table). In 7/</w:t>
      </w:r>
      <w:r w:rsidR="00CF1F27">
        <w:t>9</w:t>
      </w:r>
      <w:r>
        <w:t xml:space="preserve"> cases, trials were </w:t>
      </w:r>
      <w:proofErr w:type="gramStart"/>
      <w:r>
        <w:t>positive</w:t>
      </w:r>
      <w:proofErr w:type="gramEnd"/>
      <w:r>
        <w:t xml:space="preserve"> and all of these led to US Food and Drug Administration approval. </w:t>
      </w:r>
      <w:r w:rsidR="004B4359">
        <w:t>T</w:t>
      </w:r>
      <w:r>
        <w:t xml:space="preserve">hese trials </w:t>
      </w:r>
      <w:r w:rsidR="004B4359">
        <w:t xml:space="preserve">all </w:t>
      </w:r>
      <w:r>
        <w:t>utilized disease-free survival (DFS) or recurrence-free survival (RFS), a time-to-event composite endpoint of recurrence, new primary and death, as the primary endpoint, but there are reasons to be concerned that this endpoint may not be patient-centered. In other words, it is not certain that gains in DFS or RFS will ensure improvements in duration or quality of life for this class of agents. In this commentary, we outline these concerns.</w:t>
      </w:r>
    </w:p>
    <w:p w14:paraId="78828F25" w14:textId="5C4FE25D" w:rsidR="008B090B" w:rsidRDefault="008B090B" w:rsidP="00C20BEE">
      <w:pPr>
        <w:spacing w:line="480" w:lineRule="auto"/>
      </w:pPr>
      <w:r>
        <w:t>First, it is important to acknowledge that the majority of agents with activity in the metastatic setting, even those used widely in clinical practice, have failed when investigated in the same tumor in the adjuvant setting. Among agents approved for the treatment of metastatic breast, lung and colorectal cancer, only 36% (25/69) were successfully approved or recommended for use in the adjuvant setting.</w:t>
      </w:r>
      <w:r>
        <w:fldChar w:fldCharType="begin"/>
      </w:r>
      <w:r w:rsidR="004B4359">
        <w:instrText xml:space="preserve"> ADDIN ZOTERO_ITEM CSL_CITATION {"citationID":"ihRvD5Xg","properties":{"formattedCitation":"\\super 2\\nosupersub{}","plainCitation":"2","noteIndex":0},"citationItems":[{"id":2838,"uris":["http://zotero.org/users/1174900/items/DBRP4WLI"],"itemData":{"id":2838,"type":"article-journal","abstract":"Drugs are used in the adjuvant, metastatic, or both settings in cancer, but the rate, direction, and speed with which drugs are tested and indicated in each setting are unknown.To identify the number of unique agents that are currently category 1 or 2A per National Comprehensive Cancer Network (NCCN) guidelines in metastatic and adjuvant settings of non–small cell lung cancer (NSCLC), breast cancer, and colon cancer, as well as the mean delay between use in these 2 settings and the quality of supporting evidence.This cross-sectional study used NCCN treatment guidelines current as of May 15, 2019, and the clinical trials cited either by these guidelines or within corresponding drug labels. Trials published between 1970 and 2019 were evaluated. The analysis included published clinical trials of systemic therapy options deemed by the NCCN as category 1 or 2A. Participants included patients with early or metastatic NSCLC, breast cancer, or colon cancer who were included in clinical trials evaluating current NCCN-recommended systemic therapy options. Data analysis was performed from March 2019 to May 2019.Systemic therapy regimens used as either adjuvant treatment or as therapy for metastatic disease in the 3 cancer types.Number of agents recommended for use in adjuvant and metastatic settings of NSCLC, colon cancer, and breast cancer, the mean delay between use in these 2 settings, and the percentage of agents supported by trials with substantial improvement in either progression-free survival (disease-free survival for adjuvant agents) or overall survival.This study identified 69 agents recommended for use in metastatic disease compared with 25 agents recommended for adjuvant use. For agents used in both settings, the mean (SD) delay between use in metastatic disease and as adjuvant therapy was 10.0 (7.5) years. On the basis of trials with positive outcomes, 39 of 69 agents (56.5%) were approved or recommended in the metastatic setting, compared with 23 of 25 agents (92.0%) approved for use as adjuvant therapy.There is a substantial difference in the number of agents available for use, as well as the timing of supporting evidence, in the metastatic and adjuvant settings for NSCLC, breast cancer, and colon cancer. Given the potential benefit of adjuvant therapy in these cancer types, further investigation into additional adjuvant systemic therapy options is warranted.","container-title":"JAMA Network Open","DOI":"10.1001/jamanetworkopen.2020.2488","ISSN":"2574-3805","issue":"4","journalAbbreviation":"JAMA Network Open","page":"e202488","source":"Silverchair","title":"Comparison of Drugs Used for Adjuvant and Metastatic Therapy of Colon, Breast, and Non–Small Cell Lung Cancers","volume":"3","author":[{"family":"Parsons","given":"Scott"},{"family":"Maldonado","given":"Edward B."},{"family":"Prasad","given":"Vinay"}],"issued":{"date-parts":[["2020",4,10]]}}}],"schema":"https://github.com/citation-style-language/schema/raw/master/csl-citation.json"} </w:instrText>
      </w:r>
      <w:r>
        <w:fldChar w:fldCharType="separate"/>
      </w:r>
      <w:r w:rsidR="004B4359" w:rsidRPr="004B4359">
        <w:rPr>
          <w:rFonts w:ascii="Calibri" w:hAnsi="Calibri" w:cs="Calibri"/>
          <w:szCs w:val="24"/>
          <w:vertAlign w:val="superscript"/>
        </w:rPr>
        <w:t>2</w:t>
      </w:r>
      <w:r>
        <w:fldChar w:fldCharType="end"/>
      </w:r>
    </w:p>
    <w:p w14:paraId="43BA6565" w14:textId="267CC6F8" w:rsidR="008B090B" w:rsidRDefault="008B090B" w:rsidP="00C20BEE">
      <w:pPr>
        <w:spacing w:line="480" w:lineRule="auto"/>
      </w:pPr>
      <w:r>
        <w:t>Second, outside of limited settings, DFS or RFS is not a well-validated surrogate of overall survival (OS). Appropriate validation requires meta-analysis of trial level data confirming strong correlation between a surrogate end-point (e.g. DFS or RFS) and the corresponding patient-centered endpoint (e.g. OS). DFS has been found to be a valid surrogate for OS in NSCLC and colon cancer, but this association applies only to cytotoxic drugs.</w:t>
      </w:r>
      <w:r>
        <w:fldChar w:fldCharType="begin"/>
      </w:r>
      <w:r w:rsidR="004B4359">
        <w:instrText xml:space="preserve"> ADDIN ZOTERO_ITEM CSL_CITATION {"citationID":"FYl6SygX","properties":{"formattedCitation":"\\super 3\\nosupersub{}","plainCitation":"3","noteIndex":0},"citationItems":[{"id":2826,"uris":["http://zotero.org/users/1174900/items/DJDQNNBJ"],"itemData":{"id":2826,"type":"article-journal","abstract":"The strength of association between surrogate end points and survival in oncology is important to understand because surrogate end points are frequently used in oncology clinical trials, supporting US Food and Drug Administration approvals and National Comprehensive Cancer Network guideline recommendations.To identify and evaluate trial-level meta-analyses of randomized clinical trials quantifying the association between a surrogate end point and overall survival in medical oncology. Trial-level correlations test whether treatments that improve the surrogate end point also improve the final end point and are widely considered the strongest evidence to validate a surrogate end point.Our literature search was built on earlier reported data sets and updated with Google Scholar and MEDLINE searches conducted on December 26, 2014. For MEDLINE, search terms included (“regression” or “correlation”) and “surrogate” and “end point [or endpoint]” and (“oncology” or “cancer”). For Google scholar, search terms included (“regression” or “correlation”) and “surrogate end point [or endpoint]” and “overall survival” and “trial level.” A total of 108 abstracts were retrieved, and 62 articles were read in full in addition to articles identified through prior reviews.We found 36 articles in which 65 specific correlations between a surrogate end point and survival were identified. Surrogate end points were studied in the neoadjuvant, adjuvant, locally advanced, and metastatic settings. The most common sources for trials included in the 36 articles were systematic reviews of the published literature (10 of 36; 28%), and published literature and meeting abstracts (14 of 36; 39%). Four meta-analyses (11%) used a convenience sample, and only 5 studies (14%) attempted to include unpublished trials by surveying clinical trial registries. Among these 5 studies, only 352 of 684 eligible trials (51.1%) were included in the analyses. More than half of reported correlations (34 of 65; 52%) were of low strength (r ≤ 0.7). Approximately a quarter (16 of 65; 25%) were of medium strength (r &amp;gt; 0.7 to r &amp;lt; 0.85), and 15 of 65 (23%) were highly correlated (r ≥ 0.85) with survival.Most trial-level validation studies of surrogate end points in oncology find low correlations with survival. All validation studies use only a subset of available trials. The evidence supporting the use of surrogate end points in oncology is limited.","container-title":"JAMA Internal Medicine","DOI":"10.1001/jamainternmed.2015.2829","ISSN":"2168-6106","issue":"8","journalAbbreviation":"JAMA Internal Medicine","page":"1389-1398","source":"Silverchair","title":"The Strength of Association Between Surrogate End Points and Survival in Oncology: A Systematic Review of Trial-Level Meta-analyses","title-short":"The Strength of Association Between Surrogate End Points and Survival in Oncology","volume":"175","author":[{"family":"Prasad","given":"Vinay"},{"family":"Kim","given":"Chul"},{"family":"Burotto","given":"Mauricio"},{"family":"Vandross","given":"Andrae"}],"issued":{"date-parts":[["2015",8,1]]}}}],"schema":"https://github.com/citation-style-language/schema/raw/master/csl-citation.json"} </w:instrText>
      </w:r>
      <w:r>
        <w:fldChar w:fldCharType="separate"/>
      </w:r>
      <w:r w:rsidR="004B4359" w:rsidRPr="004B4359">
        <w:rPr>
          <w:rFonts w:ascii="Calibri" w:hAnsi="Calibri" w:cs="Calibri"/>
          <w:szCs w:val="24"/>
          <w:vertAlign w:val="superscript"/>
        </w:rPr>
        <w:t>3</w:t>
      </w:r>
      <w:r>
        <w:fldChar w:fldCharType="end"/>
      </w:r>
      <w:r>
        <w:t xml:space="preserve"> This has not been shown in other cancer types with positive ICI adjuvant studies</w:t>
      </w:r>
      <w:r w:rsidR="008F5104">
        <w:t xml:space="preserve"> nor has it been shown with NSCLC or colon cancer with ICIs</w:t>
      </w:r>
      <w:r>
        <w:t xml:space="preserve">. </w:t>
      </w:r>
    </w:p>
    <w:p w14:paraId="60D09D58" w14:textId="6D459CBE" w:rsidR="008B090B" w:rsidRDefault="008B090B" w:rsidP="00C20BEE">
      <w:pPr>
        <w:spacing w:line="480" w:lineRule="auto"/>
      </w:pPr>
      <w:r>
        <w:t xml:space="preserve">ICI’s offer different biological properties that may alter the surrogacy between DFS and OS. Cytotoxic drugs in most solid tumors are incapable of curing metastatic disease, yet these same agents, when </w:t>
      </w:r>
      <w:r>
        <w:lastRenderedPageBreak/>
        <w:t xml:space="preserve">administered early, in the adjuvant setting, may eradicate microscopic disease and increase curative fractions. In contrast, ICIs are capable of durable remission in a fraction of patients with a variety of malignancies in the metastatic setting, and thus, it is not necessarily the case that moving the drug to the adjuvant setting results in a difference in kind (i.e. increase curable fraction vs. delay tumor growth). In the same way screening for a cancer makes less sense when outcomes become excellent even with advanced presentation (testicular cancer – USPSTF grade D), adjuvant use of drugs becomes less theoretically appealing if those same drugs can result in similar durability of disease control if administered later. </w:t>
      </w:r>
    </w:p>
    <w:p w14:paraId="3E312803" w14:textId="02A63110" w:rsidR="008B090B" w:rsidRDefault="006B2076" w:rsidP="00C20BEE">
      <w:pPr>
        <w:spacing w:line="480" w:lineRule="auto"/>
      </w:pPr>
      <w:r>
        <w:t>Third</w:t>
      </w:r>
      <w:r w:rsidR="00BB1442">
        <w:t xml:space="preserve">, </w:t>
      </w:r>
      <w:r w:rsidR="008B090B">
        <w:t>earlier use of immunotherapy may have implications if a patient’s cancer recurs. Consider the case of kidney cancer, ICI treatment in the metastatic setting is given as combination therapy (e.g. ICI + tyrosine kinase inhibitor)</w:t>
      </w:r>
      <w:r w:rsidR="00B44CBA">
        <w:t xml:space="preserve"> with suggestion of synergism in the combinations</w:t>
      </w:r>
      <w:r w:rsidR="00B44CBA">
        <w:fldChar w:fldCharType="begin"/>
      </w:r>
      <w:r w:rsidR="004B4359">
        <w:instrText xml:space="preserve"> ADDIN ZOTERO_ITEM CSL_CITATION {"citationID":"ZkrhnabI","properties":{"formattedCitation":"\\super 4,5\\nosupersub{}","plainCitation":"4,5","noteIndex":0},"citationItems":[{"id":"vgsvMLT1/0r8GCENb","uris":["http://zotero.org/users/1174900/items/8FV2IFQ2"],"itemData":{"id":2871,"type":"article-journal","abstract":"Immune checkpoint inhibitor (ICI) activates host’s anti-tumor immune response by blocking negative regulatory immune signals. A series of clinical trials showed that ICI could effectively induce tumor regression in a subset of advanced cancer patients. In clinical practice, a main concerning for choosing ICI is the low response rate. Even though multiple predictive biomarkers such as PD-L1 expression, mismatch-repair deficiency, and status of tumor infiltrating lymphocytes have been adopted for patient selection, frequent resistance to ICI monotherapy has not been completely resolved. However, some recent studies indicated that ICI resistance could be alleviated by combination therapy with anti-angiogenesis treatment. Actually, anti-angiogenesis therapy not only prunes blood vessel which is essential to cancer growth and metastasis, but also reprograms the tumor immune microenvironment. Preclinical studies demonstrated that the efficacy of combination therapy of ICI and anti-angiogenesis was superior to monotherapy. In mice model, combination therapy could effectively increase the ratio of anti-tumor/pro-tumor immune cell and decrease the expression of multiple immune checkpoints more than PD-1. Based on exciting results from preclinical studies, many clinical trials were deployed to investigate the synergistic effect of the combination therapy and acquired promising outcome. This review summarized the latest understanding of ICI combined anti-angiogenesis therapy and highlighted the advances of relevant clinical trials.","container-title":"Molecular Cancer","DOI":"10.1186/s12943-019-0974-6","ISSN":"1476-4598","issue":"1","journalAbbreviation":"Molecular Cancer","page":"60","source":"BioMed Central","title":"Synergistic effect of immune checkpoint blockade and anti-angiogenesis in cancer treatment","volume":"18","author":[{"family":"Yi","given":"Ming"},{"family":"Jiao","given":"Dechao"},{"family":"Qin","given":"Shuang"},{"family":"Chu","given":"Qian"},{"family":"Wu","given":"Kongming"},{"family":"Li","given":"Anping"}],"issued":{"date-parts":[["2019",3,30]]}}},{"id":"vgsvMLT1/PjpdmvDA","uris":["http://zotero.org/users/1174900/items/UWTWJCYY"],"itemData":{"id":2868,"type":"article-journal","abstract":"More than 3000 clinical trials are evaluating the clinical activity of the PD-1 checkpoint inhibitors as monotherapies and in combinations with other cancer therapies [1]. The PD-1 checkpoint inhibitors are remarkable for their clinical activities in shrinking tumors across a wide range of tumor types, in causing durable responses, and in their tolerability. These attributes position them as favorable agents in clinical combinations. Historically, approaches to cancer therapy combinations focused on agents with orthogonal activities to avoid shared resistance mechanisms and shared toxicities. Although CTLA-4/PD-1 combinations have progressed based on possible immune interactions, additional approaches have used more orthogonal treatments such as standard of care chemotherapies and anti-angiogenesis inhibitors. Using the concept of independent activity pioneered by Bliss [2], examples of these approaches were compared. Both standard of care chemotherapy and anti-angiogenesis combinations show promising clinical activity above that predicted by the independent contributions of the agents tested on their own. In contrast, the combinations of CTLA4/PD-1 checkpoint inhibitors in renal cancer and melanoma show no more activity than that predicted by the independent contributions of the monotherapies. This update on approaches to the development of clinical combination therapies highlights the potential importance of combining PD-1 checkpoint inhibitors with a broad range of clinically active partners.","container-title":"Seminars in Immunopathology","DOI":"10.1007/s00281-018-0714-9","ISSN":"1863-2300","issue":"1","journalAbbreviation":"Semin Immunopathol","language":"eng","note":"PMID: 30374524\nPMCID: PMC6323091","page":"21-30","source":"PubMed","title":"Developing combination strategies using PD-1 checkpoint inhibitors to treat cancer","volume":"41","author":[{"family":"Schmidt","given":"Emmett V."}],"issued":{"date-parts":[["2019",1]]}}}],"schema":"https://github.com/citation-style-language/schema/raw/master/csl-citation.json"} </w:instrText>
      </w:r>
      <w:r w:rsidR="00B44CBA">
        <w:fldChar w:fldCharType="separate"/>
      </w:r>
      <w:r w:rsidR="004B4359" w:rsidRPr="004B4359">
        <w:rPr>
          <w:rFonts w:ascii="Calibri" w:hAnsi="Calibri" w:cs="Calibri"/>
          <w:szCs w:val="24"/>
          <w:vertAlign w:val="superscript"/>
        </w:rPr>
        <w:t>4,5</w:t>
      </w:r>
      <w:r w:rsidR="00B44CBA">
        <w:fldChar w:fldCharType="end"/>
      </w:r>
      <w:r w:rsidR="008B090B">
        <w:t xml:space="preserve">. The earlier exposure to ICI monotherapy may lead to resistance and make a patient less sensitive to front-line combinations. </w:t>
      </w:r>
      <w:r w:rsidR="008F5104">
        <w:t>Given this consideration, o</w:t>
      </w:r>
      <w:r w:rsidR="008B090B">
        <w:t xml:space="preserve">ne may hypothesize adjuvant ICIs could even lead to a paradoxically worse OS, underscoring the importance of measuring OS as the primary endpoint. </w:t>
      </w:r>
    </w:p>
    <w:p w14:paraId="7ED8DC45" w14:textId="6B82A376" w:rsidR="008B090B" w:rsidRDefault="006B2076" w:rsidP="00C20BEE">
      <w:pPr>
        <w:spacing w:line="480" w:lineRule="auto"/>
      </w:pPr>
      <w:r>
        <w:t>Fourth</w:t>
      </w:r>
      <w:r w:rsidR="008B090B">
        <w:t xml:space="preserve">, while ICIs are considered less toxic than chemotherapy, they are not benign. Immune related adverse events may occur in just under half of treated patients, including grade 3 or higher events, which can be a source of significant morbidity, in 8-42% and deaths in up to 2% (Table). Further, as many as 52% of patients treated with ipilimumab and 21% of patients treated with an anti-programmed cell death discontinued therapy early due to toxicity. </w:t>
      </w:r>
    </w:p>
    <w:p w14:paraId="3DCBE338" w14:textId="2EB36E01" w:rsidR="006B2076" w:rsidRDefault="006B2076" w:rsidP="006B2076">
      <w:pPr>
        <w:spacing w:line="480" w:lineRule="auto"/>
      </w:pPr>
      <w:r>
        <w:t>Fifth, there have been divergent results with different adjuvant ICI studies in the same tumor type that raises questions about clinical efficacy. In urothelial carcinoma, while the Checkmate-274 study of adjuvant nivolumab was positive for DFS (HR 0.70 95% CI 0.55-0.90)</w:t>
      </w:r>
      <w:r>
        <w:fldChar w:fldCharType="begin"/>
      </w:r>
      <w:r w:rsidR="004B4359">
        <w:instrText xml:space="preserve"> ADDIN ZOTERO_ITEM CSL_CITATION {"citationID":"Iq6IoCaD","properties":{"formattedCitation":"\\super 6\\nosupersub{}","plainCitation":"6","noteIndex":0},"citationItems":[{"id":2744,"uris":["http://zotero.org/users/1174900/items/6FD9LE3D"],"itemData":{"id":2744,"type":"article-journal","container-title":"New England Journal of Medicine","DOI":"10.1056/NEJMoa2034442","ISSN":"0028-4793","issue":"22","note":"publisher: Massachusetts Medical Society\n_eprint: https://doi.org/10.1056/NEJMoa2034442\nPMID: 34077643","page":"2102-2114","source":"Taylor and Francis+NEJM","title":"Adjuvant Nivolumab versus Placebo in Muscle-Invasive Urothelial Carcinoma","volume":"384","author":[{"family":"Bajorin","given":"Dean F."},{"family":"Witjes","given":"J. Alfred"},{"family":"Gschwend","given":"Jürgen E."},{"family":"Schenker","given":"Michael"},{"family":"Valderrama","given":"Begoña P."},{"family":"Tomita","given":"Yoshihiko"},{"family":"Bamias","given":"Aristotelis"},{"family":"Lebret","given":"Thierry"},{"family":"Shariat","given":"Shahrokh F."},{"family":"Park","given":"Se Hoon"},{"family":"Ye","given":"Dingwei"},{"family":"Agerbaek","given":"Mads"},{"family":"Enting","given":"Deborah"},{"family":"McDermott","given":"Ray"},{"family":"Gajate","given":"Pablo"},{"family":"Peer","given":"Avivit"},{"family":"Milowsky","given":"Matthew I."},{"family":"Nosov","given":"Alexander"},{"family":"Neif Antonio","given":"João"},{"family":"Tupikowski","given":"Krzysztof"},{"family":"Toms","given":"Laurence"},{"family":"Fischer","given":"Bruce S."},{"family":"Qureshi","given":"Anila"},{"family":"Collette","given":"Sandra"},{"family":"Unsal-Kacmaz","given":"Keziban"},{"family":"Broughton","given":"Edward"},{"family":"Zardavas","given":"Dimitrios"},{"family":"Koon","given":"Henry B."},{"family":"Galsky","given":"Matthew D."}],"issued":{"date-parts":[["2021",6,3]]}}}],"schema":"https://github.com/citation-style-language/schema/raw/master/csl-citation.json"} </w:instrText>
      </w:r>
      <w:r>
        <w:fldChar w:fldCharType="separate"/>
      </w:r>
      <w:r>
        <w:rPr>
          <w:rFonts w:ascii="Calibri" w:hAnsi="Calibri" w:cs="Calibri"/>
          <w:szCs w:val="24"/>
          <w:vertAlign w:val="superscript"/>
        </w:rPr>
        <w:t>6</w:t>
      </w:r>
      <w:r>
        <w:fldChar w:fldCharType="end"/>
      </w:r>
      <w:r>
        <w:t>, the IMvigor-010 study of adjuvant atezolizumab was negative (HR 0.89 95% CI 0.74-1.08)</w:t>
      </w:r>
      <w:r>
        <w:fldChar w:fldCharType="begin"/>
      </w:r>
      <w:r w:rsidR="004B4359">
        <w:instrText xml:space="preserve"> ADDIN ZOTERO_ITEM CSL_CITATION {"citationID":"iEXkKdzj","properties":{"formattedCitation":"\\super 7\\nosupersub{}","plainCitation":"7","noteIndex":0},"citationItems":[{"id":2745,"uris":["http://zotero.org/users/1174900/items/YLRIG86E"],"itemData":{"id":2745,"type":"article-journal","container-title":"The Lancet Oncology","DOI":"10.1016/S1470-2045(21)00004-8","ISSN":"1470-2045, 1474-5488","issue":"4","journalAbbreviation":"The Lancet Oncology","language":"English","note":"publisher: Elsevier\nPMID: 33721560","page":"525-537","source":"www.thelancet.com","title":"Adjuvant atezolizumab versus observation in muscle-invasive urothelial carcinoma (IMvigor010): a multicentre, open-label, randomised, phase 3 trial","title-short":"Adjuvant atezolizumab versus observation in muscle-invasive urothelial carcinoma (IMvigor010)","volume":"22","author":[{"family":"Bellmunt","given":"Joaquim"},{"family":"Hussain","given":"Maha"},{"family":"Gschwend","given":"Jürgen E."},{"family":"Albers","given":"Peter"},{"family":"Oudard","given":"Stephane"},{"family":"Castellano","given":"Daniel"},{"family":"Daneshmand","given":"Siamak"},{"family":"Nishiyama","given":"Hiroyuki"},{"family":"Majchrowicz","given":"Martin"},{"family":"Degaonkar","given":"Viraj"},{"family":"Shi","given":"Yi"},{"family":"Mariathasan","given":"Sanjeev"},{"family":"Grivas","given":"Petros"},{"family":"Drakaki","given":"Alexandra"},{"family":"O'Donnell","given":"Peter H."},{"family":"Rosenberg","given":"Jonathan E."},{"family":"Geynisman","given":"Daniel M."},{"family":"Petrylak","given":"Daniel P."},{"family":"Hoffman-Censits","given":"Jean"},{"family":"Bedke","given":"Jens"},{"family":"Kalebasty","given":"Arash Rezazadeh"},{"family":"Zakharia","given":"Yousef"},{"family":"Heijden","given":"Michiel S.","dropping-particle":"van der"},{"family":"Sternberg","given":"Cora N."},{"family":"Davarpanah","given":"Nicole N."},{"family":"Powles","given":"Thomas"}],"issued":{"date-parts":[["2021",4,1]]}}}],"schema":"https://github.com/citation-style-language/schema/raw/master/csl-citation.json"} </w:instrText>
      </w:r>
      <w:r>
        <w:fldChar w:fldCharType="separate"/>
      </w:r>
      <w:r>
        <w:rPr>
          <w:rFonts w:ascii="Calibri" w:hAnsi="Calibri" w:cs="Calibri"/>
          <w:szCs w:val="24"/>
          <w:vertAlign w:val="superscript"/>
        </w:rPr>
        <w:t>7</w:t>
      </w:r>
      <w:r>
        <w:fldChar w:fldCharType="end"/>
      </w:r>
      <w:r>
        <w:t>. Similarly, in renal cell carcinoma, the Keynote-</w:t>
      </w:r>
      <w:r>
        <w:lastRenderedPageBreak/>
        <w:t xml:space="preserve">564 study of adjuvant pembrolizumab yielded a positive outcome (HR </w:t>
      </w:r>
      <w:r>
        <w:rPr>
          <w:rFonts w:ascii="Calibri" w:eastAsia="Times New Roman" w:hAnsi="Calibri" w:cs="Calibri"/>
          <w:color w:val="000000"/>
        </w:rPr>
        <w:t>0.68 95% CI 0.53-0.87), but the Prosper RCC trial (neoadjuvant and adjuvant nivolumab) was stopped early for futility and both I</w:t>
      </w:r>
      <w:r w:rsidR="00384A06">
        <w:rPr>
          <w:rFonts w:ascii="Calibri" w:eastAsia="Times New Roman" w:hAnsi="Calibri" w:cs="Calibri"/>
          <w:color w:val="000000"/>
        </w:rPr>
        <w:t>M</w:t>
      </w:r>
      <w:r>
        <w:rPr>
          <w:rFonts w:ascii="Calibri" w:eastAsia="Times New Roman" w:hAnsi="Calibri" w:cs="Calibri"/>
          <w:color w:val="000000"/>
        </w:rPr>
        <w:t xml:space="preserve">motion-010 (adjuvant atezolizumab) and Checkmate-914 (adjuvant nivolumab and ipilimumab) have failed. While it is possible that differences in trial design, population or activity of checkpoint inhibitor may explain the divergent results, an alternate explanation is the positive trials may be positive due to chance in the setting of multiplicity. </w:t>
      </w:r>
      <w:r>
        <w:t>Multiplicity has long been a known threat to causal inference from observational studies but has recently been suggested as a threat with randomized clinical trials (especially with anti-PD-(L)1 checkpoint inhibitors) given multiple similar trials in the same disease.</w:t>
      </w:r>
      <w:r>
        <w:fldChar w:fldCharType="begin"/>
      </w:r>
      <w:r w:rsidR="004B4359">
        <w:instrText xml:space="preserve"> ADDIN ZOTERO_ITEM CSL_CITATION {"citationID":"aWnmc7gV","properties":{"formattedCitation":"\\super 8\\nosupersub{}","plainCitation":"8","noteIndex":0},"citationItems":[{"id":"vgsvMLT1/VzLiegmw","uris":["http://zotero.org/users/1174900/items/5TS93A6C"],"itemData":{"id":2877,"type":"article-journal","container-title":"The Lancet Oncology","DOI":"10.1016/S1470-2045(19)30744-2","ISSN":"1470-2045","issue":"12","journalAbbreviation":"The Lancet Oncology","language":"en","page":"1638-1640","source":"ScienceDirect","title":"Multiplicity in oncology randomised controlled trials: a threat to medical evidence?","title-short":"Multiplicity in oncology randomised controlled trials","volume":"20","author":[{"family":"Prasad","given":"Vinay"},{"family":"Booth","given":"Christopher M"}],"issued":{"date-parts":[["2019",12,1]]}}}],"schema":"https://github.com/citation-style-language/schema/raw/master/csl-citation.json"} </w:instrText>
      </w:r>
      <w:r>
        <w:fldChar w:fldCharType="separate"/>
      </w:r>
      <w:r w:rsidR="004B4359" w:rsidRPr="004B4359">
        <w:rPr>
          <w:rFonts w:ascii="Calibri" w:hAnsi="Calibri" w:cs="Calibri"/>
          <w:szCs w:val="24"/>
          <w:vertAlign w:val="superscript"/>
        </w:rPr>
        <w:t>8</w:t>
      </w:r>
      <w:r>
        <w:fldChar w:fldCharType="end"/>
      </w:r>
    </w:p>
    <w:p w14:paraId="60873375" w14:textId="311F8C7C" w:rsidR="008B090B" w:rsidRDefault="008B090B" w:rsidP="00C20BEE">
      <w:pPr>
        <w:spacing w:line="480" w:lineRule="auto"/>
      </w:pPr>
      <w:r>
        <w:t>Finally, adjuvant therapy inherently means that many people will be treated who cannot benefit from therapy. In all of these studies, the fraction of patients randomized to an inactive control arm who did not recur ranged from 30-70%. These people were cured of their disease from surgery alone. If similar patients are now treated with ICIs, they will endure additional cost, toxicity and therapeutic time burden without any clinical benefit.</w:t>
      </w:r>
      <w:r w:rsidR="00F83081">
        <w:t xml:space="preserve"> In fact, in a recent cost analysis quantifying the cost and benefit of adjuvant ICIs, it was estimated that the median cost of adjuvant ICI was $158,000 per patient and the cost per event averted was $1,610,000.</w:t>
      </w:r>
      <w:r w:rsidR="00F83081">
        <w:fldChar w:fldCharType="begin"/>
      </w:r>
      <w:r w:rsidR="004B4359">
        <w:instrText xml:space="preserve"> ADDIN ZOTERO_ITEM CSL_CITATION {"citationID":"dPmdnBSj","properties":{"formattedCitation":"\\super 9\\nosupersub{}","plainCitation":"9","noteIndex":0},"citationItems":[{"id":"vgsvMLT1/zg7hk2lw","uris":["http://zotero.org/users/1174900/items/CLMASA84"],"itemData":{"id":2874,"type":"article-journal","abstract":"Adjuvant therapies are often approved based on improvements in disease-, progression-, or relapse-free survival (ie, an event). An important estimate in adjuvant therapies is the cost per event averted.To characterize the costs per event averted of anticancer drugs approved by the US Food and Drug Administration (FDA) between January 2018 and March 2022.In this cross-sectional study, all approvals were reviewed from the FDA website. Approvals selected for the analysis needed to be drawn from randomized trials involving anticancer drugs studied in the adjuvant treatment of solid tumors. Treatments of nonsolid tumors; nonrandomized, noncontrolled trials; and unpublished trials were excluded. Approvals between January 2018 and March 2022 were included, and 11 trials met inclusion criteria. The monthly costs of each agent were abstracted from the Micromedex RED BOOK database. All variables included in calculations were derived from the original trial publication. Information abstracted for each approval included the name of the drug approved, name of the trial, primary end point, dosing regimen in the trial, median duration of treatment, tumor type, monthly costs per drug, and the number needed to treat for the primary end point. Data were analyzed in March 2022.The cost per event averted for each agent studied in each clinical trial; the monthly cost of each drug, the cost per patient for each drug, the primary clinical end point studied in each trial; the study’s design and setting.A total of 11 approvals were included in the study. From January 2018 to March 2022, all approvals were based on a surrogate end point as the primary end point, with no trials demonstrating, to date, an overall survival benefit. The median cost per event averted of drugs in the adjuvant setting was $1 610 000 (range, $820 000 to $2 640 000). The median cost of a complete adjuvant treatment was $158 000 per patient.In this cross-sectional study, anticancer agents in the adjuvant setting were approved based on disease-, progression-, event-, or relapse-free survival. Costs per event averted were high. These findings suggest that these drugs may not achieve wide or global use unless their efficacy improves or their prices decrease.","container-title":"JAMA Network Open","DOI":"10.1001/jamanetworkopen.2022.16058","ISSN":"2574-3805","issue":"6","journalAbbreviation":"JAMA Network Open","page":"e2216058","source":"Silverchair","title":"Cost per Event Averted in Cancer Trials in the Adjuvant Setting From 2018 to 2022","volume":"5","author":[{"family":"Mousavi","given":"Idine"},{"family":"Olivier","given":"Timothée"},{"family":"Prasad","given":"Vinay"}],"issued":{"date-parts":[["2022",6,10]]}}}],"schema":"https://github.com/citation-style-language/schema/raw/master/csl-citation.json"} </w:instrText>
      </w:r>
      <w:r w:rsidR="00F83081">
        <w:fldChar w:fldCharType="separate"/>
      </w:r>
      <w:r w:rsidR="004B4359" w:rsidRPr="004B4359">
        <w:rPr>
          <w:rFonts w:ascii="Calibri" w:hAnsi="Calibri" w:cs="Calibri"/>
          <w:szCs w:val="24"/>
          <w:vertAlign w:val="superscript"/>
        </w:rPr>
        <w:t>9</w:t>
      </w:r>
      <w:r w:rsidR="00F83081">
        <w:fldChar w:fldCharType="end"/>
      </w:r>
    </w:p>
    <w:p w14:paraId="3DCDFB07" w14:textId="13130D4D" w:rsidR="008B090B" w:rsidRDefault="008B090B" w:rsidP="00C20BEE">
      <w:pPr>
        <w:spacing w:line="480" w:lineRule="auto"/>
      </w:pPr>
      <w:r>
        <w:t xml:space="preserve">In this commentary, we have shown the importance of using a patient-centered primary endpoint </w:t>
      </w:r>
      <w:r w:rsidR="009B074F">
        <w:t>(</w:t>
      </w:r>
      <w:proofErr w:type="gramStart"/>
      <w:r w:rsidR="009B074F">
        <w:t>i.e.</w:t>
      </w:r>
      <w:proofErr w:type="gramEnd"/>
      <w:r w:rsidR="009B074F">
        <w:t xml:space="preserve"> OS) </w:t>
      </w:r>
      <w:r>
        <w:t>in adjuvant ICI trials given the history of failures in adjuvant therapy, the lack of DFS as a validated endpoint for OS, the possibility of compromising sensitivity to future combination therapies, and the unnecessary exposure of toxicity to patients without clear benefit.</w:t>
      </w:r>
      <w:r w:rsidR="00384A06">
        <w:t xml:space="preserve"> In light of these concerns, we </w:t>
      </w:r>
      <w:r w:rsidR="009B074F">
        <w:t xml:space="preserve">feel strongly that OS is the appropriate endpoint for ICI adjuvant clinical trials and </w:t>
      </w:r>
      <w:r w:rsidR="00384A06">
        <w:t xml:space="preserve">would recommend </w:t>
      </w:r>
      <w:r w:rsidR="009B074F">
        <w:t xml:space="preserve">regulators not approve ICI drugs for adjuvant therapy until OS benefit has been demonstrated or DFS is appropriately validated as a surrogate endpoint. In the setting where these drugs are approved without demonstrated OS benefit, we would advocated for price reductions to appropriately reflect the </w:t>
      </w:r>
      <w:r w:rsidR="009B074F">
        <w:lastRenderedPageBreak/>
        <w:t xml:space="preserve">uncertainty of benefit of this therapy. </w:t>
      </w:r>
      <w:r w:rsidR="009B074F">
        <w:t>ICIs are a mainstay of treatment in a variety of cancers, but how should they best be used warrants careful consideration.</w:t>
      </w:r>
    </w:p>
    <w:p w14:paraId="2224081F" w14:textId="77777777" w:rsidR="008B090B" w:rsidRDefault="008B090B" w:rsidP="00C20BEE">
      <w:pPr>
        <w:spacing w:line="480" w:lineRule="auto"/>
      </w:pPr>
    </w:p>
    <w:p w14:paraId="2198C2A0" w14:textId="6603D1FE" w:rsidR="008B090B" w:rsidRPr="007641C8" w:rsidRDefault="008B090B" w:rsidP="008B090B">
      <w:pPr>
        <w:rPr>
          <w:b/>
          <w:bCs/>
        </w:rPr>
      </w:pPr>
    </w:p>
    <w:p w14:paraId="7C6F4964" w14:textId="77777777" w:rsidR="008B090B" w:rsidRDefault="008B090B" w:rsidP="008B090B">
      <w:r>
        <w:br w:type="page"/>
      </w:r>
    </w:p>
    <w:p w14:paraId="545F764A" w14:textId="77777777" w:rsidR="008B090B" w:rsidRDefault="008B090B" w:rsidP="008B090B">
      <w:pPr>
        <w:sectPr w:rsidR="008B090B" w:rsidSect="00C20BEE">
          <w:pgSz w:w="12240" w:h="15840"/>
          <w:pgMar w:top="1440" w:right="1440" w:bottom="1440" w:left="1440" w:header="720" w:footer="720" w:gutter="0"/>
          <w:lnNumType w:countBy="1" w:restart="continuous"/>
          <w:cols w:space="720"/>
          <w:docGrid w:linePitch="360"/>
        </w:sectPr>
      </w:pPr>
    </w:p>
    <w:p w14:paraId="6D49E38D" w14:textId="77777777" w:rsidR="008B090B" w:rsidRPr="0031208E" w:rsidRDefault="008B090B" w:rsidP="008B090B">
      <w:pPr>
        <w:rPr>
          <w:b/>
        </w:rPr>
      </w:pPr>
      <w:r w:rsidRPr="0031208E">
        <w:rPr>
          <w:b/>
        </w:rPr>
        <w:lastRenderedPageBreak/>
        <w:t>Table 1.</w:t>
      </w:r>
      <w:r>
        <w:rPr>
          <w:b/>
        </w:rPr>
        <w:t xml:space="preserve"> Published clinical trials investigating adjuvant immune checkpoint inhibitors in oncology</w:t>
      </w:r>
    </w:p>
    <w:tbl>
      <w:tblPr>
        <w:tblW w:w="23710" w:type="dxa"/>
        <w:tblLook w:val="04A0" w:firstRow="1" w:lastRow="0" w:firstColumn="1" w:lastColumn="0" w:noHBand="0" w:noVBand="1"/>
      </w:tblPr>
      <w:tblGrid>
        <w:gridCol w:w="1676"/>
        <w:gridCol w:w="1442"/>
        <w:gridCol w:w="1624"/>
        <w:gridCol w:w="1440"/>
        <w:gridCol w:w="709"/>
        <w:gridCol w:w="1301"/>
        <w:gridCol w:w="792"/>
        <w:gridCol w:w="648"/>
        <w:gridCol w:w="1558"/>
        <w:gridCol w:w="198"/>
        <w:gridCol w:w="1540"/>
        <w:gridCol w:w="3302"/>
        <w:gridCol w:w="3280"/>
        <w:gridCol w:w="4200"/>
      </w:tblGrid>
      <w:tr w:rsidR="008B090B" w:rsidRPr="00CF0BE5" w14:paraId="6C49292B" w14:textId="77777777" w:rsidTr="00F83081">
        <w:trPr>
          <w:gridAfter w:val="3"/>
          <w:wAfter w:w="10782" w:type="dxa"/>
          <w:trHeight w:val="615"/>
        </w:trPr>
        <w:tc>
          <w:tcPr>
            <w:tcW w:w="16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AB7CED"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Trial</w:t>
            </w:r>
          </w:p>
        </w:tc>
        <w:tc>
          <w:tcPr>
            <w:tcW w:w="1442" w:type="dxa"/>
            <w:tcBorders>
              <w:top w:val="single" w:sz="8" w:space="0" w:color="auto"/>
              <w:left w:val="nil"/>
              <w:bottom w:val="single" w:sz="8" w:space="0" w:color="auto"/>
              <w:right w:val="nil"/>
            </w:tcBorders>
            <w:shd w:val="clear" w:color="auto" w:fill="auto"/>
            <w:noWrap/>
            <w:vAlign w:val="center"/>
            <w:hideMark/>
          </w:tcPr>
          <w:p w14:paraId="3BE46EBC"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Cancer Type</w:t>
            </w:r>
          </w:p>
        </w:tc>
        <w:tc>
          <w:tcPr>
            <w:tcW w:w="1624" w:type="dxa"/>
            <w:tcBorders>
              <w:top w:val="single" w:sz="8" w:space="0" w:color="auto"/>
              <w:left w:val="nil"/>
              <w:bottom w:val="single" w:sz="8" w:space="0" w:color="auto"/>
              <w:right w:val="nil"/>
            </w:tcBorders>
            <w:shd w:val="clear" w:color="auto" w:fill="auto"/>
            <w:noWrap/>
            <w:vAlign w:val="center"/>
            <w:hideMark/>
          </w:tcPr>
          <w:p w14:paraId="4578E595"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Study Arms</w:t>
            </w:r>
          </w:p>
        </w:tc>
        <w:tc>
          <w:tcPr>
            <w:tcW w:w="1440" w:type="dxa"/>
            <w:tcBorders>
              <w:top w:val="single" w:sz="8" w:space="0" w:color="auto"/>
              <w:left w:val="nil"/>
              <w:bottom w:val="single" w:sz="8" w:space="0" w:color="auto"/>
              <w:right w:val="nil"/>
            </w:tcBorders>
            <w:shd w:val="clear" w:color="auto" w:fill="auto"/>
            <w:noWrap/>
            <w:vAlign w:val="center"/>
            <w:hideMark/>
          </w:tcPr>
          <w:p w14:paraId="4A0C6350"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HR for DFS (95% CI)</w:t>
            </w:r>
          </w:p>
        </w:tc>
        <w:tc>
          <w:tcPr>
            <w:tcW w:w="2010" w:type="dxa"/>
            <w:gridSpan w:val="2"/>
            <w:tcBorders>
              <w:top w:val="single" w:sz="8" w:space="0" w:color="auto"/>
              <w:left w:val="nil"/>
              <w:bottom w:val="single" w:sz="8" w:space="0" w:color="auto"/>
              <w:right w:val="nil"/>
            </w:tcBorders>
            <w:shd w:val="clear" w:color="auto" w:fill="auto"/>
            <w:vAlign w:val="center"/>
            <w:hideMark/>
          </w:tcPr>
          <w:p w14:paraId="584ADA43"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Approximate fraction cured in inactive control arm, %</w:t>
            </w:r>
            <w:r w:rsidRPr="00CF0BE5">
              <w:rPr>
                <w:rFonts w:ascii="Calibri" w:eastAsia="Times New Roman" w:hAnsi="Calibri" w:cs="Calibri"/>
                <w:b/>
                <w:bCs/>
                <w:color w:val="000000"/>
                <w:vertAlign w:val="superscript"/>
              </w:rPr>
              <w:t>^</w:t>
            </w:r>
          </w:p>
        </w:tc>
        <w:tc>
          <w:tcPr>
            <w:tcW w:w="1440" w:type="dxa"/>
            <w:gridSpan w:val="2"/>
            <w:tcBorders>
              <w:top w:val="single" w:sz="8" w:space="0" w:color="auto"/>
              <w:left w:val="nil"/>
              <w:bottom w:val="single" w:sz="8" w:space="0" w:color="auto"/>
              <w:right w:val="nil"/>
            </w:tcBorders>
            <w:shd w:val="clear" w:color="auto" w:fill="auto"/>
            <w:noWrap/>
            <w:vAlign w:val="center"/>
            <w:hideMark/>
          </w:tcPr>
          <w:p w14:paraId="4AA43340"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 xml:space="preserve">% Grade ≥3 treatment-related AE </w:t>
            </w:r>
          </w:p>
        </w:tc>
        <w:tc>
          <w:tcPr>
            <w:tcW w:w="1756" w:type="dxa"/>
            <w:gridSpan w:val="2"/>
            <w:tcBorders>
              <w:top w:val="single" w:sz="8" w:space="0" w:color="auto"/>
              <w:left w:val="nil"/>
              <w:bottom w:val="single" w:sz="8" w:space="0" w:color="auto"/>
              <w:right w:val="nil"/>
            </w:tcBorders>
            <w:shd w:val="clear" w:color="auto" w:fill="auto"/>
            <w:noWrap/>
            <w:vAlign w:val="center"/>
            <w:hideMark/>
          </w:tcPr>
          <w:p w14:paraId="184F0235"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 Grade 5 A</w:t>
            </w:r>
            <w:r>
              <w:rPr>
                <w:rFonts w:ascii="Calibri" w:eastAsia="Times New Roman" w:hAnsi="Calibri" w:cs="Calibri"/>
                <w:b/>
                <w:bCs/>
                <w:color w:val="000000"/>
              </w:rPr>
              <w:t>E</w:t>
            </w:r>
            <w:r w:rsidRPr="00CF0BE5">
              <w:rPr>
                <w:rFonts w:ascii="Calibri" w:eastAsia="Times New Roman" w:hAnsi="Calibri" w:cs="Calibri"/>
                <w:b/>
                <w:bCs/>
                <w:color w:val="000000"/>
              </w:rPr>
              <w:t>s</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14:paraId="2A146A92" w14:textId="77777777" w:rsidR="008B090B" w:rsidRPr="00CF0BE5" w:rsidRDefault="008B090B" w:rsidP="00F83081">
            <w:pPr>
              <w:spacing w:after="0" w:line="240" w:lineRule="auto"/>
              <w:rPr>
                <w:rFonts w:ascii="Calibri" w:eastAsia="Times New Roman" w:hAnsi="Calibri" w:cs="Calibri"/>
                <w:b/>
                <w:bCs/>
                <w:color w:val="000000"/>
              </w:rPr>
            </w:pPr>
            <w:r w:rsidRPr="00CF0BE5">
              <w:rPr>
                <w:rFonts w:ascii="Calibri" w:eastAsia="Times New Roman" w:hAnsi="Calibri" w:cs="Calibri"/>
                <w:b/>
                <w:bCs/>
                <w:color w:val="000000"/>
              </w:rPr>
              <w:t xml:space="preserve">% Discontinue due to AE </w:t>
            </w:r>
          </w:p>
        </w:tc>
      </w:tr>
      <w:tr w:rsidR="008B090B" w:rsidRPr="00CF0BE5" w14:paraId="671AB744"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hideMark/>
          </w:tcPr>
          <w:p w14:paraId="4DBD576C" w14:textId="111ACA5D"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Checkmate 274</w:t>
            </w:r>
          </w:p>
        </w:tc>
        <w:tc>
          <w:tcPr>
            <w:tcW w:w="1442" w:type="dxa"/>
            <w:tcBorders>
              <w:top w:val="nil"/>
              <w:left w:val="nil"/>
              <w:bottom w:val="nil"/>
              <w:right w:val="nil"/>
            </w:tcBorders>
            <w:shd w:val="clear" w:color="auto" w:fill="auto"/>
            <w:noWrap/>
            <w:vAlign w:val="center"/>
            <w:hideMark/>
          </w:tcPr>
          <w:p w14:paraId="73CFAD5D"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 xml:space="preserve">Urothelial </w:t>
            </w:r>
          </w:p>
        </w:tc>
        <w:tc>
          <w:tcPr>
            <w:tcW w:w="1624" w:type="dxa"/>
            <w:tcBorders>
              <w:top w:val="nil"/>
              <w:left w:val="nil"/>
              <w:bottom w:val="nil"/>
              <w:right w:val="nil"/>
            </w:tcBorders>
            <w:shd w:val="clear" w:color="auto" w:fill="auto"/>
            <w:noWrap/>
            <w:vAlign w:val="center"/>
            <w:hideMark/>
          </w:tcPr>
          <w:p w14:paraId="013AAE8B"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Nivolumab vs Placebo</w:t>
            </w:r>
          </w:p>
        </w:tc>
        <w:tc>
          <w:tcPr>
            <w:tcW w:w="1440" w:type="dxa"/>
            <w:tcBorders>
              <w:top w:val="nil"/>
              <w:left w:val="nil"/>
              <w:bottom w:val="nil"/>
              <w:right w:val="nil"/>
            </w:tcBorders>
            <w:shd w:val="clear" w:color="auto" w:fill="auto"/>
            <w:noWrap/>
            <w:vAlign w:val="center"/>
            <w:hideMark/>
          </w:tcPr>
          <w:p w14:paraId="4346B162"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0.70 (0.55-0.90)</w:t>
            </w:r>
          </w:p>
        </w:tc>
        <w:tc>
          <w:tcPr>
            <w:tcW w:w="2010" w:type="dxa"/>
            <w:gridSpan w:val="2"/>
            <w:tcBorders>
              <w:top w:val="nil"/>
              <w:left w:val="nil"/>
              <w:bottom w:val="nil"/>
              <w:right w:val="nil"/>
            </w:tcBorders>
            <w:shd w:val="clear" w:color="auto" w:fill="auto"/>
            <w:noWrap/>
            <w:vAlign w:val="center"/>
            <w:hideMark/>
          </w:tcPr>
          <w:p w14:paraId="0A0FE0DC"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40</w:t>
            </w:r>
          </w:p>
        </w:tc>
        <w:tc>
          <w:tcPr>
            <w:tcW w:w="1440" w:type="dxa"/>
            <w:gridSpan w:val="2"/>
            <w:tcBorders>
              <w:top w:val="nil"/>
              <w:left w:val="nil"/>
              <w:bottom w:val="nil"/>
              <w:right w:val="nil"/>
            </w:tcBorders>
            <w:shd w:val="clear" w:color="auto" w:fill="auto"/>
            <w:noWrap/>
            <w:vAlign w:val="center"/>
            <w:hideMark/>
          </w:tcPr>
          <w:p w14:paraId="1E321836"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18</w:t>
            </w:r>
          </w:p>
        </w:tc>
        <w:tc>
          <w:tcPr>
            <w:tcW w:w="1756" w:type="dxa"/>
            <w:gridSpan w:val="2"/>
            <w:tcBorders>
              <w:top w:val="nil"/>
              <w:left w:val="nil"/>
              <w:bottom w:val="nil"/>
              <w:right w:val="nil"/>
            </w:tcBorders>
            <w:shd w:val="clear" w:color="auto" w:fill="auto"/>
            <w:noWrap/>
            <w:vAlign w:val="center"/>
            <w:hideMark/>
          </w:tcPr>
          <w:p w14:paraId="02D7A39E"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 (3/</w:t>
            </w:r>
            <w:proofErr w:type="gramStart"/>
            <w:r w:rsidRPr="00CF0BE5">
              <w:rPr>
                <w:rFonts w:ascii="Calibri" w:eastAsia="Times New Roman" w:hAnsi="Calibri" w:cs="Calibri"/>
                <w:color w:val="000000"/>
              </w:rPr>
              <w:t>351)*</w:t>
            </w:r>
            <w:proofErr w:type="gramEnd"/>
          </w:p>
        </w:tc>
        <w:tc>
          <w:tcPr>
            <w:tcW w:w="1540" w:type="dxa"/>
            <w:tcBorders>
              <w:top w:val="nil"/>
              <w:left w:val="nil"/>
              <w:bottom w:val="nil"/>
              <w:right w:val="single" w:sz="8" w:space="0" w:color="auto"/>
            </w:tcBorders>
            <w:shd w:val="clear" w:color="auto" w:fill="auto"/>
            <w:noWrap/>
            <w:vAlign w:val="center"/>
            <w:hideMark/>
          </w:tcPr>
          <w:p w14:paraId="25AC8944"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13*</w:t>
            </w:r>
          </w:p>
        </w:tc>
      </w:tr>
      <w:tr w:rsidR="008B090B" w:rsidRPr="00CF0BE5" w14:paraId="5A23AC2F"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hideMark/>
          </w:tcPr>
          <w:p w14:paraId="06F59A14" w14:textId="4F8BCBD2" w:rsidR="008B090B" w:rsidRPr="00CF0BE5" w:rsidRDefault="008B090B" w:rsidP="00F83081">
            <w:pPr>
              <w:spacing w:after="0" w:line="240" w:lineRule="auto"/>
              <w:jc w:val="center"/>
              <w:rPr>
                <w:rFonts w:ascii="Calibri" w:eastAsia="Times New Roman" w:hAnsi="Calibri" w:cs="Calibri"/>
                <w:color w:val="000000"/>
                <w:vertAlign w:val="superscript"/>
              </w:rPr>
            </w:pPr>
            <w:proofErr w:type="spellStart"/>
            <w:r w:rsidRPr="00CF0BE5">
              <w:rPr>
                <w:rFonts w:ascii="Calibri" w:eastAsia="Times New Roman" w:hAnsi="Calibri" w:cs="Calibri"/>
                <w:color w:val="000000"/>
              </w:rPr>
              <w:t>I</w:t>
            </w:r>
            <w:r w:rsidR="00CF1F27">
              <w:rPr>
                <w:rFonts w:ascii="Calibri" w:eastAsia="Times New Roman" w:hAnsi="Calibri" w:cs="Calibri"/>
                <w:color w:val="000000"/>
              </w:rPr>
              <w:t>M</w:t>
            </w:r>
            <w:r w:rsidRPr="00CF0BE5">
              <w:rPr>
                <w:rFonts w:ascii="Calibri" w:eastAsia="Times New Roman" w:hAnsi="Calibri" w:cs="Calibri"/>
                <w:color w:val="000000"/>
              </w:rPr>
              <w:t>vigor</w:t>
            </w:r>
            <w:proofErr w:type="spellEnd"/>
            <w:r w:rsidRPr="00CF0BE5">
              <w:rPr>
                <w:rFonts w:ascii="Calibri" w:eastAsia="Times New Roman" w:hAnsi="Calibri" w:cs="Calibri"/>
                <w:color w:val="000000"/>
              </w:rPr>
              <w:t xml:space="preserve"> 010</w:t>
            </w:r>
            <w:bookmarkStart w:id="2" w:name="OLE_LINK5"/>
            <w:r w:rsidRPr="0031208E">
              <w:rPr>
                <w:rFonts w:ascii="Calibri" w:eastAsia="Times New Roman" w:hAnsi="Calibri" w:cs="Calibri"/>
                <w:color w:val="000000"/>
                <w:vertAlign w:val="superscript"/>
              </w:rPr>
              <w:t>+</w:t>
            </w:r>
            <w:bookmarkEnd w:id="2"/>
          </w:p>
        </w:tc>
        <w:tc>
          <w:tcPr>
            <w:tcW w:w="1442" w:type="dxa"/>
            <w:tcBorders>
              <w:top w:val="nil"/>
              <w:left w:val="nil"/>
              <w:bottom w:val="nil"/>
              <w:right w:val="nil"/>
            </w:tcBorders>
            <w:shd w:val="clear" w:color="auto" w:fill="auto"/>
            <w:noWrap/>
            <w:vAlign w:val="center"/>
            <w:hideMark/>
          </w:tcPr>
          <w:p w14:paraId="172493BC"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 xml:space="preserve">Urothelial </w:t>
            </w:r>
          </w:p>
        </w:tc>
        <w:tc>
          <w:tcPr>
            <w:tcW w:w="1624" w:type="dxa"/>
            <w:tcBorders>
              <w:top w:val="nil"/>
              <w:left w:val="nil"/>
              <w:bottom w:val="nil"/>
              <w:right w:val="nil"/>
            </w:tcBorders>
            <w:shd w:val="clear" w:color="auto" w:fill="auto"/>
            <w:noWrap/>
            <w:vAlign w:val="center"/>
            <w:hideMark/>
          </w:tcPr>
          <w:p w14:paraId="71445C0D"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Atezolizumab vs Observation</w:t>
            </w:r>
          </w:p>
        </w:tc>
        <w:tc>
          <w:tcPr>
            <w:tcW w:w="1440" w:type="dxa"/>
            <w:tcBorders>
              <w:top w:val="nil"/>
              <w:left w:val="nil"/>
              <w:bottom w:val="nil"/>
              <w:right w:val="nil"/>
            </w:tcBorders>
            <w:shd w:val="clear" w:color="auto" w:fill="auto"/>
            <w:noWrap/>
            <w:vAlign w:val="center"/>
            <w:hideMark/>
          </w:tcPr>
          <w:p w14:paraId="668C46DF"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0.89 (0.74-1.08)</w:t>
            </w:r>
          </w:p>
        </w:tc>
        <w:tc>
          <w:tcPr>
            <w:tcW w:w="2010" w:type="dxa"/>
            <w:gridSpan w:val="2"/>
            <w:tcBorders>
              <w:top w:val="nil"/>
              <w:left w:val="nil"/>
              <w:bottom w:val="nil"/>
              <w:right w:val="nil"/>
            </w:tcBorders>
            <w:shd w:val="clear" w:color="auto" w:fill="auto"/>
            <w:noWrap/>
            <w:vAlign w:val="center"/>
            <w:hideMark/>
          </w:tcPr>
          <w:p w14:paraId="2E87C56F"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40</w:t>
            </w:r>
          </w:p>
        </w:tc>
        <w:tc>
          <w:tcPr>
            <w:tcW w:w="1440" w:type="dxa"/>
            <w:gridSpan w:val="2"/>
            <w:tcBorders>
              <w:top w:val="nil"/>
              <w:left w:val="nil"/>
              <w:bottom w:val="nil"/>
              <w:right w:val="nil"/>
            </w:tcBorders>
            <w:shd w:val="clear" w:color="auto" w:fill="auto"/>
            <w:noWrap/>
            <w:vAlign w:val="center"/>
            <w:hideMark/>
          </w:tcPr>
          <w:p w14:paraId="29AE06CC"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15</w:t>
            </w:r>
          </w:p>
        </w:tc>
        <w:tc>
          <w:tcPr>
            <w:tcW w:w="1756" w:type="dxa"/>
            <w:gridSpan w:val="2"/>
            <w:tcBorders>
              <w:top w:val="nil"/>
              <w:left w:val="nil"/>
              <w:bottom w:val="nil"/>
              <w:right w:val="nil"/>
            </w:tcBorders>
            <w:shd w:val="clear" w:color="auto" w:fill="auto"/>
            <w:noWrap/>
            <w:vAlign w:val="center"/>
            <w:hideMark/>
          </w:tcPr>
          <w:p w14:paraId="144780ED"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2 (7/390)</w:t>
            </w:r>
          </w:p>
        </w:tc>
        <w:tc>
          <w:tcPr>
            <w:tcW w:w="1540" w:type="dxa"/>
            <w:tcBorders>
              <w:top w:val="nil"/>
              <w:left w:val="nil"/>
              <w:bottom w:val="nil"/>
              <w:right w:val="single" w:sz="8" w:space="0" w:color="auto"/>
            </w:tcBorders>
            <w:shd w:val="clear" w:color="auto" w:fill="auto"/>
            <w:noWrap/>
            <w:vAlign w:val="center"/>
            <w:hideMark/>
          </w:tcPr>
          <w:p w14:paraId="1629BC26"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16</w:t>
            </w:r>
          </w:p>
        </w:tc>
      </w:tr>
      <w:tr w:rsidR="008B090B" w:rsidRPr="00CF0BE5" w14:paraId="78845493"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hideMark/>
          </w:tcPr>
          <w:p w14:paraId="259171A0" w14:textId="69E05EDB"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Keynote 564</w:t>
            </w:r>
          </w:p>
        </w:tc>
        <w:tc>
          <w:tcPr>
            <w:tcW w:w="1442" w:type="dxa"/>
            <w:tcBorders>
              <w:top w:val="nil"/>
              <w:left w:val="nil"/>
              <w:bottom w:val="nil"/>
              <w:right w:val="nil"/>
            </w:tcBorders>
            <w:shd w:val="clear" w:color="auto" w:fill="auto"/>
            <w:noWrap/>
            <w:vAlign w:val="center"/>
            <w:hideMark/>
          </w:tcPr>
          <w:p w14:paraId="57C0C5D7"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 xml:space="preserve">Renal Cell </w:t>
            </w:r>
          </w:p>
        </w:tc>
        <w:tc>
          <w:tcPr>
            <w:tcW w:w="1624" w:type="dxa"/>
            <w:tcBorders>
              <w:top w:val="nil"/>
              <w:left w:val="nil"/>
              <w:bottom w:val="nil"/>
              <w:right w:val="nil"/>
            </w:tcBorders>
            <w:shd w:val="clear" w:color="auto" w:fill="auto"/>
            <w:noWrap/>
            <w:vAlign w:val="center"/>
            <w:hideMark/>
          </w:tcPr>
          <w:p w14:paraId="1972A43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Pembrolizumab vs Placebo</w:t>
            </w:r>
          </w:p>
        </w:tc>
        <w:tc>
          <w:tcPr>
            <w:tcW w:w="1440" w:type="dxa"/>
            <w:tcBorders>
              <w:top w:val="nil"/>
              <w:left w:val="nil"/>
              <w:bottom w:val="nil"/>
              <w:right w:val="nil"/>
            </w:tcBorders>
            <w:shd w:val="clear" w:color="auto" w:fill="auto"/>
            <w:noWrap/>
            <w:vAlign w:val="center"/>
            <w:hideMark/>
          </w:tcPr>
          <w:p w14:paraId="5E12CD63" w14:textId="77777777" w:rsidR="008B090B" w:rsidRPr="00CF0BE5" w:rsidRDefault="008B090B" w:rsidP="00F83081">
            <w:pPr>
              <w:spacing w:after="0" w:line="240" w:lineRule="auto"/>
              <w:jc w:val="center"/>
              <w:rPr>
                <w:rFonts w:ascii="Calibri" w:eastAsia="Times New Roman" w:hAnsi="Calibri" w:cs="Calibri"/>
                <w:color w:val="000000"/>
              </w:rPr>
            </w:pPr>
            <w:bookmarkStart w:id="3" w:name="OLE_LINK1"/>
            <w:bookmarkStart w:id="4" w:name="OLE_LINK2"/>
            <w:r w:rsidRPr="00CF0BE5">
              <w:rPr>
                <w:rFonts w:ascii="Calibri" w:eastAsia="Times New Roman" w:hAnsi="Calibri" w:cs="Calibri"/>
                <w:color w:val="000000"/>
              </w:rPr>
              <w:t>0.68 (0.53-0.87)</w:t>
            </w:r>
            <w:bookmarkEnd w:id="3"/>
            <w:bookmarkEnd w:id="4"/>
          </w:p>
        </w:tc>
        <w:tc>
          <w:tcPr>
            <w:tcW w:w="2010" w:type="dxa"/>
            <w:gridSpan w:val="2"/>
            <w:tcBorders>
              <w:top w:val="nil"/>
              <w:left w:val="nil"/>
              <w:bottom w:val="nil"/>
              <w:right w:val="nil"/>
            </w:tcBorders>
            <w:shd w:val="clear" w:color="auto" w:fill="auto"/>
            <w:noWrap/>
            <w:vAlign w:val="center"/>
            <w:hideMark/>
          </w:tcPr>
          <w:p w14:paraId="125E2F07"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70</w:t>
            </w:r>
          </w:p>
        </w:tc>
        <w:tc>
          <w:tcPr>
            <w:tcW w:w="1440" w:type="dxa"/>
            <w:gridSpan w:val="2"/>
            <w:tcBorders>
              <w:top w:val="nil"/>
              <w:left w:val="nil"/>
              <w:bottom w:val="nil"/>
              <w:right w:val="nil"/>
            </w:tcBorders>
            <w:shd w:val="clear" w:color="auto" w:fill="auto"/>
            <w:noWrap/>
            <w:vAlign w:val="center"/>
            <w:hideMark/>
          </w:tcPr>
          <w:p w14:paraId="423ECDC6"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19</w:t>
            </w:r>
          </w:p>
        </w:tc>
        <w:tc>
          <w:tcPr>
            <w:tcW w:w="1756" w:type="dxa"/>
            <w:gridSpan w:val="2"/>
            <w:tcBorders>
              <w:top w:val="nil"/>
              <w:left w:val="nil"/>
              <w:bottom w:val="nil"/>
              <w:right w:val="nil"/>
            </w:tcBorders>
            <w:shd w:val="clear" w:color="auto" w:fill="auto"/>
            <w:noWrap/>
            <w:vAlign w:val="center"/>
            <w:hideMark/>
          </w:tcPr>
          <w:p w14:paraId="7E69018A"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&lt;1 (2/488)</w:t>
            </w:r>
          </w:p>
        </w:tc>
        <w:tc>
          <w:tcPr>
            <w:tcW w:w="1540" w:type="dxa"/>
            <w:tcBorders>
              <w:top w:val="nil"/>
              <w:left w:val="nil"/>
              <w:bottom w:val="nil"/>
              <w:right w:val="single" w:sz="8" w:space="0" w:color="auto"/>
            </w:tcBorders>
            <w:shd w:val="clear" w:color="auto" w:fill="auto"/>
            <w:noWrap/>
            <w:vAlign w:val="center"/>
            <w:hideMark/>
          </w:tcPr>
          <w:p w14:paraId="1D6CF875"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21</w:t>
            </w:r>
          </w:p>
        </w:tc>
      </w:tr>
      <w:tr w:rsidR="00CF1F27" w:rsidRPr="00CF0BE5" w14:paraId="7D33A335"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tcPr>
          <w:p w14:paraId="77796761" w14:textId="4EC6DAE0" w:rsidR="00CF1F27" w:rsidRPr="00CF0BE5" w:rsidRDefault="00CF1F27" w:rsidP="00F83081">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IMmotion</w:t>
            </w:r>
            <w:proofErr w:type="spellEnd"/>
            <w:r>
              <w:rPr>
                <w:rFonts w:ascii="Calibri" w:eastAsia="Times New Roman" w:hAnsi="Calibri" w:cs="Calibri"/>
                <w:color w:val="000000"/>
              </w:rPr>
              <w:t xml:space="preserve"> 010</w:t>
            </w:r>
            <w:r>
              <w:rPr>
                <w:rFonts w:ascii="Calibri" w:eastAsia="Times New Roman" w:hAnsi="Calibri" w:cs="Calibri"/>
                <w:color w:val="000000"/>
                <w:vertAlign w:val="superscript"/>
              </w:rPr>
              <w:t>+</w:t>
            </w:r>
          </w:p>
        </w:tc>
        <w:tc>
          <w:tcPr>
            <w:tcW w:w="1442" w:type="dxa"/>
            <w:tcBorders>
              <w:top w:val="nil"/>
              <w:left w:val="nil"/>
              <w:bottom w:val="nil"/>
              <w:right w:val="nil"/>
            </w:tcBorders>
            <w:shd w:val="clear" w:color="auto" w:fill="auto"/>
            <w:noWrap/>
            <w:vAlign w:val="center"/>
          </w:tcPr>
          <w:p w14:paraId="077FE695" w14:textId="0DBA6A62"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Renal Cell</w:t>
            </w:r>
          </w:p>
        </w:tc>
        <w:tc>
          <w:tcPr>
            <w:tcW w:w="1624" w:type="dxa"/>
            <w:tcBorders>
              <w:top w:val="nil"/>
              <w:left w:val="nil"/>
              <w:bottom w:val="nil"/>
              <w:right w:val="nil"/>
            </w:tcBorders>
            <w:shd w:val="clear" w:color="auto" w:fill="auto"/>
            <w:noWrap/>
            <w:vAlign w:val="center"/>
          </w:tcPr>
          <w:p w14:paraId="50BD9CCC" w14:textId="10A5C550"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Atezolizumab vs Placebo</w:t>
            </w:r>
          </w:p>
        </w:tc>
        <w:tc>
          <w:tcPr>
            <w:tcW w:w="1440" w:type="dxa"/>
            <w:tcBorders>
              <w:top w:val="nil"/>
              <w:left w:val="nil"/>
              <w:bottom w:val="nil"/>
              <w:right w:val="nil"/>
            </w:tcBorders>
            <w:shd w:val="clear" w:color="auto" w:fill="auto"/>
            <w:noWrap/>
            <w:vAlign w:val="center"/>
          </w:tcPr>
          <w:p w14:paraId="15352091" w14:textId="36B887B8"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0.93 (0.75-1.15)</w:t>
            </w:r>
          </w:p>
        </w:tc>
        <w:tc>
          <w:tcPr>
            <w:tcW w:w="2010" w:type="dxa"/>
            <w:gridSpan w:val="2"/>
            <w:tcBorders>
              <w:top w:val="nil"/>
              <w:left w:val="nil"/>
              <w:bottom w:val="nil"/>
              <w:right w:val="nil"/>
            </w:tcBorders>
            <w:shd w:val="clear" w:color="auto" w:fill="auto"/>
            <w:noWrap/>
            <w:vAlign w:val="center"/>
          </w:tcPr>
          <w:p w14:paraId="322F2814" w14:textId="619CA693"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60</w:t>
            </w:r>
          </w:p>
        </w:tc>
        <w:tc>
          <w:tcPr>
            <w:tcW w:w="1440" w:type="dxa"/>
            <w:gridSpan w:val="2"/>
            <w:tcBorders>
              <w:top w:val="nil"/>
              <w:left w:val="nil"/>
              <w:bottom w:val="nil"/>
              <w:right w:val="nil"/>
            </w:tcBorders>
            <w:shd w:val="clear" w:color="auto" w:fill="auto"/>
            <w:noWrap/>
            <w:vAlign w:val="center"/>
          </w:tcPr>
          <w:p w14:paraId="56215318" w14:textId="4D8DF753"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14</w:t>
            </w:r>
          </w:p>
        </w:tc>
        <w:tc>
          <w:tcPr>
            <w:tcW w:w="1756" w:type="dxa"/>
            <w:gridSpan w:val="2"/>
            <w:tcBorders>
              <w:top w:val="nil"/>
              <w:left w:val="nil"/>
              <w:bottom w:val="nil"/>
              <w:right w:val="nil"/>
            </w:tcBorders>
            <w:shd w:val="clear" w:color="auto" w:fill="auto"/>
            <w:noWrap/>
            <w:vAlign w:val="center"/>
          </w:tcPr>
          <w:p w14:paraId="577D92AA" w14:textId="4629D3D7"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&lt;1 (1/390); considered unrelated to treatment</w:t>
            </w:r>
          </w:p>
        </w:tc>
        <w:tc>
          <w:tcPr>
            <w:tcW w:w="1540" w:type="dxa"/>
            <w:tcBorders>
              <w:top w:val="nil"/>
              <w:left w:val="nil"/>
              <w:bottom w:val="nil"/>
              <w:right w:val="single" w:sz="8" w:space="0" w:color="auto"/>
            </w:tcBorders>
            <w:shd w:val="clear" w:color="auto" w:fill="auto"/>
            <w:noWrap/>
            <w:vAlign w:val="center"/>
          </w:tcPr>
          <w:p w14:paraId="07706086" w14:textId="11C4D5CB" w:rsidR="00CF1F27" w:rsidRPr="00CF0BE5" w:rsidRDefault="00CF1F27" w:rsidP="00F83081">
            <w:pPr>
              <w:spacing w:after="0" w:line="240" w:lineRule="auto"/>
              <w:jc w:val="center"/>
              <w:rPr>
                <w:rFonts w:ascii="Calibri" w:eastAsia="Times New Roman" w:hAnsi="Calibri" w:cs="Calibri"/>
                <w:color w:val="000000"/>
              </w:rPr>
            </w:pPr>
            <w:r>
              <w:rPr>
                <w:rFonts w:ascii="Calibri" w:eastAsia="Times New Roman" w:hAnsi="Calibri" w:cs="Calibri"/>
                <w:color w:val="000000"/>
              </w:rPr>
              <w:t>12</w:t>
            </w:r>
          </w:p>
        </w:tc>
      </w:tr>
      <w:tr w:rsidR="008B090B" w:rsidRPr="00CF0BE5" w14:paraId="489F2A45"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hideMark/>
          </w:tcPr>
          <w:p w14:paraId="07AD94D3" w14:textId="1625C93B"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EORTC 1325-MG/Keynote 054</w:t>
            </w:r>
          </w:p>
        </w:tc>
        <w:tc>
          <w:tcPr>
            <w:tcW w:w="1442" w:type="dxa"/>
            <w:tcBorders>
              <w:top w:val="nil"/>
              <w:left w:val="nil"/>
              <w:bottom w:val="nil"/>
              <w:right w:val="nil"/>
            </w:tcBorders>
            <w:shd w:val="clear" w:color="auto" w:fill="auto"/>
            <w:noWrap/>
            <w:vAlign w:val="center"/>
            <w:hideMark/>
          </w:tcPr>
          <w:p w14:paraId="29331B3A"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Melanoma</w:t>
            </w:r>
          </w:p>
        </w:tc>
        <w:tc>
          <w:tcPr>
            <w:tcW w:w="1624" w:type="dxa"/>
            <w:tcBorders>
              <w:top w:val="nil"/>
              <w:left w:val="nil"/>
              <w:bottom w:val="nil"/>
              <w:right w:val="nil"/>
            </w:tcBorders>
            <w:shd w:val="clear" w:color="auto" w:fill="auto"/>
            <w:noWrap/>
            <w:vAlign w:val="center"/>
            <w:hideMark/>
          </w:tcPr>
          <w:p w14:paraId="28A838DE"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Pembrolizumab vs Placebo</w:t>
            </w:r>
          </w:p>
        </w:tc>
        <w:tc>
          <w:tcPr>
            <w:tcW w:w="1440" w:type="dxa"/>
            <w:tcBorders>
              <w:top w:val="nil"/>
              <w:left w:val="nil"/>
              <w:bottom w:val="nil"/>
              <w:right w:val="nil"/>
            </w:tcBorders>
            <w:shd w:val="clear" w:color="auto" w:fill="auto"/>
            <w:noWrap/>
            <w:vAlign w:val="center"/>
            <w:hideMark/>
          </w:tcPr>
          <w:p w14:paraId="589A6A5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0.60 (0.49-0.73)</w:t>
            </w:r>
          </w:p>
        </w:tc>
        <w:tc>
          <w:tcPr>
            <w:tcW w:w="2010" w:type="dxa"/>
            <w:gridSpan w:val="2"/>
            <w:tcBorders>
              <w:top w:val="nil"/>
              <w:left w:val="nil"/>
              <w:bottom w:val="nil"/>
              <w:right w:val="nil"/>
            </w:tcBorders>
            <w:shd w:val="clear" w:color="auto" w:fill="auto"/>
            <w:noWrap/>
            <w:vAlign w:val="center"/>
            <w:hideMark/>
          </w:tcPr>
          <w:p w14:paraId="36EEC00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50</w:t>
            </w:r>
          </w:p>
        </w:tc>
        <w:tc>
          <w:tcPr>
            <w:tcW w:w="1440" w:type="dxa"/>
            <w:gridSpan w:val="2"/>
            <w:tcBorders>
              <w:top w:val="nil"/>
              <w:left w:val="nil"/>
              <w:bottom w:val="nil"/>
              <w:right w:val="nil"/>
            </w:tcBorders>
            <w:shd w:val="clear" w:color="auto" w:fill="auto"/>
            <w:noWrap/>
            <w:vAlign w:val="center"/>
            <w:hideMark/>
          </w:tcPr>
          <w:p w14:paraId="0049DBBC"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Not reported</w:t>
            </w:r>
          </w:p>
        </w:tc>
        <w:tc>
          <w:tcPr>
            <w:tcW w:w="1756" w:type="dxa"/>
            <w:gridSpan w:val="2"/>
            <w:tcBorders>
              <w:top w:val="nil"/>
              <w:left w:val="nil"/>
              <w:bottom w:val="nil"/>
              <w:right w:val="nil"/>
            </w:tcBorders>
            <w:shd w:val="clear" w:color="auto" w:fill="auto"/>
            <w:noWrap/>
            <w:vAlign w:val="center"/>
            <w:hideMark/>
          </w:tcPr>
          <w:p w14:paraId="2C7F7332"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Not reported</w:t>
            </w:r>
          </w:p>
        </w:tc>
        <w:tc>
          <w:tcPr>
            <w:tcW w:w="1540" w:type="dxa"/>
            <w:tcBorders>
              <w:top w:val="nil"/>
              <w:left w:val="nil"/>
              <w:bottom w:val="nil"/>
              <w:right w:val="single" w:sz="8" w:space="0" w:color="auto"/>
            </w:tcBorders>
            <w:shd w:val="clear" w:color="auto" w:fill="auto"/>
            <w:noWrap/>
            <w:vAlign w:val="center"/>
            <w:hideMark/>
          </w:tcPr>
          <w:p w14:paraId="30730BF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Not reported</w:t>
            </w:r>
          </w:p>
        </w:tc>
      </w:tr>
      <w:tr w:rsidR="008B090B" w:rsidRPr="00CF0BE5" w14:paraId="21C800F8"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hideMark/>
          </w:tcPr>
          <w:p w14:paraId="1D25789A" w14:textId="750B9870"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EORTC 18071</w:t>
            </w:r>
          </w:p>
        </w:tc>
        <w:tc>
          <w:tcPr>
            <w:tcW w:w="1442" w:type="dxa"/>
            <w:tcBorders>
              <w:top w:val="nil"/>
              <w:left w:val="nil"/>
              <w:bottom w:val="nil"/>
              <w:right w:val="nil"/>
            </w:tcBorders>
            <w:shd w:val="clear" w:color="auto" w:fill="auto"/>
            <w:noWrap/>
            <w:vAlign w:val="center"/>
            <w:hideMark/>
          </w:tcPr>
          <w:p w14:paraId="41907620"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Melanoma</w:t>
            </w:r>
          </w:p>
        </w:tc>
        <w:tc>
          <w:tcPr>
            <w:tcW w:w="1624" w:type="dxa"/>
            <w:tcBorders>
              <w:top w:val="nil"/>
              <w:left w:val="nil"/>
              <w:bottom w:val="nil"/>
              <w:right w:val="nil"/>
            </w:tcBorders>
            <w:shd w:val="clear" w:color="auto" w:fill="auto"/>
            <w:noWrap/>
            <w:vAlign w:val="center"/>
            <w:hideMark/>
          </w:tcPr>
          <w:p w14:paraId="5E107CB8"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Ipilimumab vs Placebo</w:t>
            </w:r>
          </w:p>
        </w:tc>
        <w:tc>
          <w:tcPr>
            <w:tcW w:w="1440" w:type="dxa"/>
            <w:tcBorders>
              <w:top w:val="nil"/>
              <w:left w:val="nil"/>
              <w:bottom w:val="nil"/>
              <w:right w:val="nil"/>
            </w:tcBorders>
            <w:shd w:val="clear" w:color="auto" w:fill="auto"/>
            <w:noWrap/>
            <w:vAlign w:val="center"/>
            <w:hideMark/>
          </w:tcPr>
          <w:p w14:paraId="398D898B"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0.75 (0.64-0.90)</w:t>
            </w:r>
          </w:p>
        </w:tc>
        <w:tc>
          <w:tcPr>
            <w:tcW w:w="2010" w:type="dxa"/>
            <w:gridSpan w:val="2"/>
            <w:tcBorders>
              <w:top w:val="nil"/>
              <w:left w:val="nil"/>
              <w:bottom w:val="nil"/>
              <w:right w:val="nil"/>
            </w:tcBorders>
            <w:shd w:val="clear" w:color="auto" w:fill="auto"/>
            <w:noWrap/>
            <w:vAlign w:val="center"/>
            <w:hideMark/>
          </w:tcPr>
          <w:p w14:paraId="05E26627"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40</w:t>
            </w:r>
          </w:p>
        </w:tc>
        <w:tc>
          <w:tcPr>
            <w:tcW w:w="1440" w:type="dxa"/>
            <w:gridSpan w:val="2"/>
            <w:tcBorders>
              <w:top w:val="nil"/>
              <w:left w:val="nil"/>
              <w:bottom w:val="nil"/>
              <w:right w:val="nil"/>
            </w:tcBorders>
            <w:shd w:val="clear" w:color="auto" w:fill="auto"/>
            <w:noWrap/>
            <w:vAlign w:val="center"/>
            <w:hideMark/>
          </w:tcPr>
          <w:p w14:paraId="597592AD"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42</w:t>
            </w:r>
          </w:p>
        </w:tc>
        <w:tc>
          <w:tcPr>
            <w:tcW w:w="1756" w:type="dxa"/>
            <w:gridSpan w:val="2"/>
            <w:tcBorders>
              <w:top w:val="nil"/>
              <w:left w:val="nil"/>
              <w:bottom w:val="nil"/>
              <w:right w:val="nil"/>
            </w:tcBorders>
            <w:shd w:val="clear" w:color="auto" w:fill="auto"/>
            <w:noWrap/>
            <w:vAlign w:val="center"/>
            <w:hideMark/>
          </w:tcPr>
          <w:p w14:paraId="0E88CCA5"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 (6/471)</w:t>
            </w:r>
          </w:p>
        </w:tc>
        <w:tc>
          <w:tcPr>
            <w:tcW w:w="1540" w:type="dxa"/>
            <w:tcBorders>
              <w:top w:val="nil"/>
              <w:left w:val="nil"/>
              <w:bottom w:val="nil"/>
              <w:right w:val="single" w:sz="8" w:space="0" w:color="auto"/>
            </w:tcBorders>
            <w:shd w:val="clear" w:color="auto" w:fill="auto"/>
            <w:noWrap/>
            <w:vAlign w:val="center"/>
            <w:hideMark/>
          </w:tcPr>
          <w:p w14:paraId="311F8898"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52</w:t>
            </w:r>
          </w:p>
        </w:tc>
      </w:tr>
      <w:tr w:rsidR="008B090B" w:rsidRPr="00CF0BE5" w14:paraId="4C356FF4" w14:textId="77777777" w:rsidTr="00F83081">
        <w:trPr>
          <w:gridAfter w:val="3"/>
          <w:wAfter w:w="10782" w:type="dxa"/>
          <w:trHeight w:val="600"/>
        </w:trPr>
        <w:tc>
          <w:tcPr>
            <w:tcW w:w="1676" w:type="dxa"/>
            <w:tcBorders>
              <w:top w:val="nil"/>
              <w:left w:val="single" w:sz="8" w:space="0" w:color="auto"/>
              <w:bottom w:val="nil"/>
              <w:right w:val="single" w:sz="8" w:space="0" w:color="auto"/>
            </w:tcBorders>
            <w:shd w:val="clear" w:color="auto" w:fill="auto"/>
            <w:noWrap/>
            <w:vAlign w:val="center"/>
            <w:hideMark/>
          </w:tcPr>
          <w:p w14:paraId="10D9E417" w14:textId="4533F35A"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Checkmate 238</w:t>
            </w:r>
          </w:p>
        </w:tc>
        <w:tc>
          <w:tcPr>
            <w:tcW w:w="1442" w:type="dxa"/>
            <w:tcBorders>
              <w:top w:val="nil"/>
              <w:left w:val="nil"/>
              <w:bottom w:val="nil"/>
              <w:right w:val="nil"/>
            </w:tcBorders>
            <w:shd w:val="clear" w:color="auto" w:fill="auto"/>
            <w:noWrap/>
            <w:vAlign w:val="center"/>
            <w:hideMark/>
          </w:tcPr>
          <w:p w14:paraId="12101076"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Melanoma</w:t>
            </w:r>
          </w:p>
        </w:tc>
        <w:tc>
          <w:tcPr>
            <w:tcW w:w="1624" w:type="dxa"/>
            <w:tcBorders>
              <w:top w:val="nil"/>
              <w:left w:val="nil"/>
              <w:bottom w:val="nil"/>
              <w:right w:val="nil"/>
            </w:tcBorders>
            <w:shd w:val="clear" w:color="auto" w:fill="auto"/>
            <w:noWrap/>
            <w:vAlign w:val="center"/>
            <w:hideMark/>
          </w:tcPr>
          <w:p w14:paraId="0D544AFF"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Nivolumab vs Ipilimumab</w:t>
            </w:r>
          </w:p>
        </w:tc>
        <w:tc>
          <w:tcPr>
            <w:tcW w:w="1440" w:type="dxa"/>
            <w:tcBorders>
              <w:top w:val="nil"/>
              <w:left w:val="nil"/>
              <w:bottom w:val="nil"/>
              <w:right w:val="nil"/>
            </w:tcBorders>
            <w:shd w:val="clear" w:color="auto" w:fill="auto"/>
            <w:noWrap/>
            <w:vAlign w:val="center"/>
            <w:hideMark/>
          </w:tcPr>
          <w:p w14:paraId="75CDE117"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0.65 (0.51-0.83)</w:t>
            </w:r>
          </w:p>
        </w:tc>
        <w:tc>
          <w:tcPr>
            <w:tcW w:w="2010" w:type="dxa"/>
            <w:gridSpan w:val="2"/>
            <w:tcBorders>
              <w:top w:val="nil"/>
              <w:left w:val="nil"/>
              <w:bottom w:val="nil"/>
              <w:right w:val="nil"/>
            </w:tcBorders>
            <w:shd w:val="clear" w:color="auto" w:fill="auto"/>
            <w:noWrap/>
            <w:vAlign w:val="center"/>
            <w:hideMark/>
          </w:tcPr>
          <w:p w14:paraId="764121FE"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NA</w:t>
            </w:r>
            <w:r w:rsidRPr="00CF0BE5">
              <w:rPr>
                <w:rFonts w:ascii="Calibri" w:eastAsia="Times New Roman" w:hAnsi="Calibri" w:cs="Calibri"/>
                <w:color w:val="000000"/>
                <w:vertAlign w:val="superscript"/>
              </w:rPr>
              <w:t>#</w:t>
            </w:r>
          </w:p>
        </w:tc>
        <w:tc>
          <w:tcPr>
            <w:tcW w:w="1440" w:type="dxa"/>
            <w:gridSpan w:val="2"/>
            <w:tcBorders>
              <w:top w:val="nil"/>
              <w:left w:val="nil"/>
              <w:bottom w:val="nil"/>
              <w:right w:val="nil"/>
            </w:tcBorders>
            <w:shd w:val="clear" w:color="auto" w:fill="auto"/>
            <w:noWrap/>
            <w:vAlign w:val="center"/>
            <w:hideMark/>
          </w:tcPr>
          <w:p w14:paraId="3BC20A2E"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14% on nivolumab and 46% on ipilimumab</w:t>
            </w:r>
          </w:p>
        </w:tc>
        <w:tc>
          <w:tcPr>
            <w:tcW w:w="1756" w:type="dxa"/>
            <w:gridSpan w:val="2"/>
            <w:tcBorders>
              <w:top w:val="nil"/>
              <w:left w:val="nil"/>
              <w:bottom w:val="nil"/>
              <w:right w:val="nil"/>
            </w:tcBorders>
            <w:shd w:val="clear" w:color="auto" w:fill="auto"/>
            <w:vAlign w:val="center"/>
            <w:hideMark/>
          </w:tcPr>
          <w:p w14:paraId="1E0D58C3"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 on nivolumab and &lt;1% (2/453) on ipilimumab</w:t>
            </w:r>
          </w:p>
        </w:tc>
        <w:tc>
          <w:tcPr>
            <w:tcW w:w="1540" w:type="dxa"/>
            <w:tcBorders>
              <w:top w:val="nil"/>
              <w:left w:val="nil"/>
              <w:bottom w:val="nil"/>
              <w:right w:val="single" w:sz="8" w:space="0" w:color="auto"/>
            </w:tcBorders>
            <w:shd w:val="clear" w:color="auto" w:fill="auto"/>
            <w:noWrap/>
            <w:vAlign w:val="center"/>
            <w:hideMark/>
          </w:tcPr>
          <w:p w14:paraId="0112E05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10% on nivolumab and 43% on ipilimumab</w:t>
            </w:r>
          </w:p>
        </w:tc>
      </w:tr>
      <w:tr w:rsidR="008B090B" w:rsidRPr="00CF0BE5" w14:paraId="71F0BF1E" w14:textId="77777777" w:rsidTr="00F83081">
        <w:trPr>
          <w:gridAfter w:val="3"/>
          <w:wAfter w:w="10782" w:type="dxa"/>
          <w:trHeight w:val="300"/>
        </w:trPr>
        <w:tc>
          <w:tcPr>
            <w:tcW w:w="1676" w:type="dxa"/>
            <w:tcBorders>
              <w:top w:val="nil"/>
              <w:left w:val="single" w:sz="8" w:space="0" w:color="auto"/>
              <w:bottom w:val="nil"/>
              <w:right w:val="single" w:sz="8" w:space="0" w:color="auto"/>
            </w:tcBorders>
            <w:shd w:val="clear" w:color="auto" w:fill="auto"/>
            <w:noWrap/>
            <w:vAlign w:val="center"/>
            <w:hideMark/>
          </w:tcPr>
          <w:p w14:paraId="3914B145" w14:textId="4117115A" w:rsidR="008B090B" w:rsidRPr="00CF0BE5" w:rsidRDefault="008B090B" w:rsidP="00F83081">
            <w:pPr>
              <w:spacing w:after="0" w:line="240" w:lineRule="auto"/>
              <w:jc w:val="center"/>
              <w:rPr>
                <w:rFonts w:ascii="Calibri" w:eastAsia="Times New Roman" w:hAnsi="Calibri" w:cs="Calibri"/>
                <w:color w:val="000000"/>
              </w:rPr>
            </w:pPr>
            <w:proofErr w:type="spellStart"/>
            <w:r w:rsidRPr="00CF0BE5">
              <w:rPr>
                <w:rFonts w:ascii="Calibri" w:eastAsia="Times New Roman" w:hAnsi="Calibri" w:cs="Calibri"/>
                <w:color w:val="000000"/>
              </w:rPr>
              <w:t>I</w:t>
            </w:r>
            <w:r w:rsidR="00CF1F27">
              <w:rPr>
                <w:rFonts w:ascii="Calibri" w:eastAsia="Times New Roman" w:hAnsi="Calibri" w:cs="Calibri"/>
                <w:color w:val="000000"/>
              </w:rPr>
              <w:t>M</w:t>
            </w:r>
            <w:r w:rsidRPr="00CF0BE5">
              <w:rPr>
                <w:rFonts w:ascii="Calibri" w:eastAsia="Times New Roman" w:hAnsi="Calibri" w:cs="Calibri"/>
                <w:color w:val="000000"/>
              </w:rPr>
              <w:t>power</w:t>
            </w:r>
            <w:proofErr w:type="spellEnd"/>
            <w:r w:rsidRPr="00CF0BE5">
              <w:rPr>
                <w:rFonts w:ascii="Calibri" w:eastAsia="Times New Roman" w:hAnsi="Calibri" w:cs="Calibri"/>
                <w:color w:val="000000"/>
              </w:rPr>
              <w:t xml:space="preserve"> 010</w:t>
            </w:r>
          </w:p>
        </w:tc>
        <w:tc>
          <w:tcPr>
            <w:tcW w:w="1442" w:type="dxa"/>
            <w:tcBorders>
              <w:top w:val="nil"/>
              <w:left w:val="nil"/>
              <w:bottom w:val="nil"/>
              <w:right w:val="nil"/>
            </w:tcBorders>
            <w:shd w:val="clear" w:color="auto" w:fill="auto"/>
            <w:noWrap/>
            <w:vAlign w:val="center"/>
            <w:hideMark/>
          </w:tcPr>
          <w:p w14:paraId="69E169E6"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NSCLC</w:t>
            </w:r>
          </w:p>
        </w:tc>
        <w:tc>
          <w:tcPr>
            <w:tcW w:w="1624" w:type="dxa"/>
            <w:tcBorders>
              <w:top w:val="nil"/>
              <w:left w:val="nil"/>
              <w:bottom w:val="nil"/>
              <w:right w:val="nil"/>
            </w:tcBorders>
            <w:shd w:val="clear" w:color="auto" w:fill="auto"/>
            <w:noWrap/>
            <w:vAlign w:val="center"/>
            <w:hideMark/>
          </w:tcPr>
          <w:p w14:paraId="07A8817D"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Atezolizumab vs Best Supportive Care</w:t>
            </w:r>
          </w:p>
        </w:tc>
        <w:tc>
          <w:tcPr>
            <w:tcW w:w="1440" w:type="dxa"/>
            <w:tcBorders>
              <w:top w:val="nil"/>
              <w:left w:val="nil"/>
              <w:bottom w:val="nil"/>
              <w:right w:val="nil"/>
            </w:tcBorders>
            <w:shd w:val="clear" w:color="auto" w:fill="auto"/>
            <w:noWrap/>
            <w:vAlign w:val="center"/>
            <w:hideMark/>
          </w:tcPr>
          <w:p w14:paraId="667C3F3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0.81 (0.67-0.99)</w:t>
            </w:r>
          </w:p>
        </w:tc>
        <w:tc>
          <w:tcPr>
            <w:tcW w:w="2010" w:type="dxa"/>
            <w:gridSpan w:val="2"/>
            <w:tcBorders>
              <w:top w:val="nil"/>
              <w:left w:val="nil"/>
              <w:bottom w:val="nil"/>
              <w:right w:val="nil"/>
            </w:tcBorders>
            <w:shd w:val="clear" w:color="auto" w:fill="auto"/>
            <w:noWrap/>
            <w:vAlign w:val="center"/>
            <w:hideMark/>
          </w:tcPr>
          <w:p w14:paraId="47924AFE"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40</w:t>
            </w:r>
          </w:p>
        </w:tc>
        <w:tc>
          <w:tcPr>
            <w:tcW w:w="1440" w:type="dxa"/>
            <w:gridSpan w:val="2"/>
            <w:tcBorders>
              <w:top w:val="nil"/>
              <w:left w:val="nil"/>
              <w:bottom w:val="nil"/>
              <w:right w:val="nil"/>
            </w:tcBorders>
            <w:shd w:val="clear" w:color="auto" w:fill="auto"/>
            <w:noWrap/>
            <w:vAlign w:val="center"/>
            <w:hideMark/>
          </w:tcPr>
          <w:p w14:paraId="5253D195"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8</w:t>
            </w:r>
          </w:p>
        </w:tc>
        <w:tc>
          <w:tcPr>
            <w:tcW w:w="1756" w:type="dxa"/>
            <w:gridSpan w:val="2"/>
            <w:tcBorders>
              <w:top w:val="nil"/>
              <w:left w:val="nil"/>
              <w:bottom w:val="nil"/>
              <w:right w:val="nil"/>
            </w:tcBorders>
            <w:shd w:val="clear" w:color="auto" w:fill="auto"/>
            <w:noWrap/>
            <w:vAlign w:val="center"/>
            <w:hideMark/>
          </w:tcPr>
          <w:p w14:paraId="749C1CC3"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2 (8/495)</w:t>
            </w:r>
          </w:p>
        </w:tc>
        <w:tc>
          <w:tcPr>
            <w:tcW w:w="1540" w:type="dxa"/>
            <w:tcBorders>
              <w:top w:val="nil"/>
              <w:left w:val="nil"/>
              <w:bottom w:val="nil"/>
              <w:right w:val="single" w:sz="8" w:space="0" w:color="auto"/>
            </w:tcBorders>
            <w:shd w:val="clear" w:color="auto" w:fill="auto"/>
            <w:noWrap/>
            <w:vAlign w:val="center"/>
            <w:hideMark/>
          </w:tcPr>
          <w:p w14:paraId="24086AAA"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18</w:t>
            </w:r>
          </w:p>
        </w:tc>
      </w:tr>
      <w:tr w:rsidR="008B090B" w:rsidRPr="00CF0BE5" w14:paraId="3FAE9DA6" w14:textId="77777777" w:rsidTr="00F83081">
        <w:trPr>
          <w:gridAfter w:val="3"/>
          <w:wAfter w:w="10782" w:type="dxa"/>
          <w:trHeight w:val="315"/>
        </w:trPr>
        <w:tc>
          <w:tcPr>
            <w:tcW w:w="1676" w:type="dxa"/>
            <w:tcBorders>
              <w:top w:val="nil"/>
              <w:left w:val="single" w:sz="8" w:space="0" w:color="auto"/>
              <w:bottom w:val="single" w:sz="8" w:space="0" w:color="auto"/>
              <w:right w:val="single" w:sz="8" w:space="0" w:color="auto"/>
            </w:tcBorders>
            <w:shd w:val="clear" w:color="auto" w:fill="auto"/>
            <w:noWrap/>
            <w:vAlign w:val="center"/>
            <w:hideMark/>
          </w:tcPr>
          <w:p w14:paraId="3BE0C70D" w14:textId="6D59DEEF"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Checkmate 577</w:t>
            </w:r>
          </w:p>
        </w:tc>
        <w:tc>
          <w:tcPr>
            <w:tcW w:w="1442" w:type="dxa"/>
            <w:tcBorders>
              <w:top w:val="nil"/>
              <w:left w:val="nil"/>
              <w:bottom w:val="single" w:sz="8" w:space="0" w:color="auto"/>
              <w:right w:val="nil"/>
            </w:tcBorders>
            <w:shd w:val="clear" w:color="auto" w:fill="auto"/>
            <w:noWrap/>
            <w:vAlign w:val="center"/>
            <w:hideMark/>
          </w:tcPr>
          <w:p w14:paraId="39411FF4"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Esophageal</w:t>
            </w:r>
          </w:p>
        </w:tc>
        <w:tc>
          <w:tcPr>
            <w:tcW w:w="1624" w:type="dxa"/>
            <w:tcBorders>
              <w:top w:val="nil"/>
              <w:left w:val="nil"/>
              <w:bottom w:val="single" w:sz="8" w:space="0" w:color="auto"/>
              <w:right w:val="nil"/>
            </w:tcBorders>
            <w:shd w:val="clear" w:color="auto" w:fill="auto"/>
            <w:noWrap/>
            <w:vAlign w:val="center"/>
            <w:hideMark/>
          </w:tcPr>
          <w:p w14:paraId="1273B281"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Nivolumab vs Placebo</w:t>
            </w:r>
          </w:p>
        </w:tc>
        <w:tc>
          <w:tcPr>
            <w:tcW w:w="1440" w:type="dxa"/>
            <w:tcBorders>
              <w:top w:val="nil"/>
              <w:left w:val="nil"/>
              <w:bottom w:val="single" w:sz="8" w:space="0" w:color="auto"/>
              <w:right w:val="nil"/>
            </w:tcBorders>
            <w:shd w:val="clear" w:color="auto" w:fill="auto"/>
            <w:noWrap/>
            <w:vAlign w:val="center"/>
            <w:hideMark/>
          </w:tcPr>
          <w:p w14:paraId="7B93B0B0"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0.69 (0.56-0.86)</w:t>
            </w:r>
          </w:p>
        </w:tc>
        <w:tc>
          <w:tcPr>
            <w:tcW w:w="2010" w:type="dxa"/>
            <w:gridSpan w:val="2"/>
            <w:tcBorders>
              <w:top w:val="nil"/>
              <w:left w:val="nil"/>
              <w:bottom w:val="single" w:sz="8" w:space="0" w:color="auto"/>
              <w:right w:val="nil"/>
            </w:tcBorders>
            <w:shd w:val="clear" w:color="auto" w:fill="auto"/>
            <w:noWrap/>
            <w:vAlign w:val="center"/>
            <w:hideMark/>
          </w:tcPr>
          <w:p w14:paraId="6BEE481F"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30</w:t>
            </w:r>
          </w:p>
        </w:tc>
        <w:tc>
          <w:tcPr>
            <w:tcW w:w="1440" w:type="dxa"/>
            <w:gridSpan w:val="2"/>
            <w:tcBorders>
              <w:top w:val="nil"/>
              <w:left w:val="nil"/>
              <w:bottom w:val="single" w:sz="8" w:space="0" w:color="auto"/>
              <w:right w:val="nil"/>
            </w:tcBorders>
            <w:shd w:val="clear" w:color="auto" w:fill="auto"/>
            <w:noWrap/>
            <w:vAlign w:val="center"/>
            <w:hideMark/>
          </w:tcPr>
          <w:p w14:paraId="2F51B497"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13</w:t>
            </w:r>
          </w:p>
        </w:tc>
        <w:tc>
          <w:tcPr>
            <w:tcW w:w="1756" w:type="dxa"/>
            <w:gridSpan w:val="2"/>
            <w:tcBorders>
              <w:top w:val="nil"/>
              <w:left w:val="nil"/>
              <w:bottom w:val="single" w:sz="8" w:space="0" w:color="auto"/>
              <w:right w:val="nil"/>
            </w:tcBorders>
            <w:shd w:val="clear" w:color="auto" w:fill="auto"/>
            <w:noWrap/>
            <w:vAlign w:val="center"/>
            <w:hideMark/>
          </w:tcPr>
          <w:p w14:paraId="6C89CAE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&lt;1 (1/</w:t>
            </w:r>
            <w:proofErr w:type="gramStart"/>
            <w:r w:rsidRPr="00CF0BE5">
              <w:rPr>
                <w:rFonts w:ascii="Calibri" w:eastAsia="Times New Roman" w:hAnsi="Calibri" w:cs="Calibri"/>
                <w:color w:val="000000"/>
              </w:rPr>
              <w:t>532)*</w:t>
            </w:r>
            <w:proofErr w:type="gramEnd"/>
          </w:p>
        </w:tc>
        <w:tc>
          <w:tcPr>
            <w:tcW w:w="1540" w:type="dxa"/>
            <w:tcBorders>
              <w:top w:val="nil"/>
              <w:left w:val="nil"/>
              <w:bottom w:val="single" w:sz="8" w:space="0" w:color="auto"/>
              <w:right w:val="single" w:sz="8" w:space="0" w:color="auto"/>
            </w:tcBorders>
            <w:shd w:val="clear" w:color="auto" w:fill="auto"/>
            <w:noWrap/>
            <w:vAlign w:val="center"/>
            <w:hideMark/>
          </w:tcPr>
          <w:p w14:paraId="7D3A4679" w14:textId="77777777" w:rsidR="008B090B" w:rsidRPr="00CF0BE5" w:rsidRDefault="008B090B" w:rsidP="00F83081">
            <w:pPr>
              <w:spacing w:after="0" w:line="240" w:lineRule="auto"/>
              <w:jc w:val="center"/>
              <w:rPr>
                <w:rFonts w:ascii="Calibri" w:eastAsia="Times New Roman" w:hAnsi="Calibri" w:cs="Calibri"/>
                <w:color w:val="000000"/>
              </w:rPr>
            </w:pPr>
            <w:r w:rsidRPr="00CF0BE5">
              <w:rPr>
                <w:rFonts w:ascii="Calibri" w:eastAsia="Times New Roman" w:hAnsi="Calibri" w:cs="Calibri"/>
                <w:color w:val="000000"/>
              </w:rPr>
              <w:t>13</w:t>
            </w:r>
          </w:p>
        </w:tc>
      </w:tr>
      <w:tr w:rsidR="008B090B" w:rsidRPr="00CF0BE5" w14:paraId="595BDDF4" w14:textId="77777777" w:rsidTr="00F83081">
        <w:trPr>
          <w:trHeight w:val="300"/>
        </w:trPr>
        <w:tc>
          <w:tcPr>
            <w:tcW w:w="6891" w:type="dxa"/>
            <w:gridSpan w:val="5"/>
            <w:tcBorders>
              <w:top w:val="nil"/>
              <w:bottom w:val="nil"/>
            </w:tcBorders>
            <w:shd w:val="clear" w:color="auto" w:fill="auto"/>
            <w:noWrap/>
            <w:vAlign w:val="bottom"/>
            <w:hideMark/>
          </w:tcPr>
          <w:p w14:paraId="28E2AF5D" w14:textId="77777777" w:rsidR="008B090B" w:rsidRPr="00CF0BE5" w:rsidRDefault="008B090B" w:rsidP="00F83081">
            <w:pPr>
              <w:spacing w:after="0" w:line="240" w:lineRule="auto"/>
              <w:rPr>
                <w:rFonts w:ascii="Times New Roman" w:eastAsia="Times New Roman" w:hAnsi="Times New Roman" w:cs="Times New Roman"/>
                <w:sz w:val="20"/>
                <w:szCs w:val="20"/>
              </w:rPr>
            </w:pPr>
            <w:r w:rsidRPr="00CF0BE5">
              <w:rPr>
                <w:rFonts w:ascii="Calibri" w:eastAsia="Times New Roman" w:hAnsi="Calibri" w:cs="Calibri"/>
                <w:color w:val="000000"/>
              </w:rPr>
              <w:t>^ Rounded to nearest 10</w:t>
            </w:r>
          </w:p>
        </w:tc>
        <w:tc>
          <w:tcPr>
            <w:tcW w:w="2093" w:type="dxa"/>
            <w:gridSpan w:val="2"/>
            <w:tcBorders>
              <w:top w:val="nil"/>
              <w:left w:val="nil"/>
              <w:bottom w:val="nil"/>
              <w:right w:val="nil"/>
            </w:tcBorders>
            <w:shd w:val="clear" w:color="auto" w:fill="auto"/>
            <w:noWrap/>
            <w:vAlign w:val="bottom"/>
            <w:hideMark/>
          </w:tcPr>
          <w:p w14:paraId="1B6E5642"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2206" w:type="dxa"/>
            <w:gridSpan w:val="2"/>
            <w:tcBorders>
              <w:top w:val="nil"/>
              <w:left w:val="nil"/>
              <w:bottom w:val="nil"/>
              <w:right w:val="nil"/>
            </w:tcBorders>
            <w:shd w:val="clear" w:color="auto" w:fill="auto"/>
            <w:noWrap/>
            <w:vAlign w:val="bottom"/>
            <w:hideMark/>
          </w:tcPr>
          <w:p w14:paraId="72EFE2C9"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5040" w:type="dxa"/>
            <w:gridSpan w:val="3"/>
            <w:tcBorders>
              <w:top w:val="nil"/>
              <w:left w:val="nil"/>
              <w:bottom w:val="nil"/>
              <w:right w:val="nil"/>
            </w:tcBorders>
            <w:shd w:val="clear" w:color="auto" w:fill="auto"/>
            <w:noWrap/>
            <w:vAlign w:val="bottom"/>
            <w:hideMark/>
          </w:tcPr>
          <w:p w14:paraId="77DC3DCA"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3280" w:type="dxa"/>
            <w:tcBorders>
              <w:top w:val="nil"/>
              <w:left w:val="nil"/>
              <w:bottom w:val="nil"/>
              <w:right w:val="nil"/>
            </w:tcBorders>
            <w:shd w:val="clear" w:color="auto" w:fill="auto"/>
            <w:noWrap/>
            <w:vAlign w:val="bottom"/>
            <w:hideMark/>
          </w:tcPr>
          <w:p w14:paraId="573B697D"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4200" w:type="dxa"/>
            <w:tcBorders>
              <w:top w:val="nil"/>
              <w:left w:val="nil"/>
              <w:bottom w:val="nil"/>
              <w:right w:val="nil"/>
            </w:tcBorders>
            <w:shd w:val="clear" w:color="auto" w:fill="auto"/>
            <w:noWrap/>
            <w:vAlign w:val="bottom"/>
            <w:hideMark/>
          </w:tcPr>
          <w:p w14:paraId="1D4ACB09" w14:textId="77777777" w:rsidR="008B090B" w:rsidRPr="00CF0BE5" w:rsidRDefault="008B090B" w:rsidP="00F83081">
            <w:pPr>
              <w:spacing w:after="0" w:line="240" w:lineRule="auto"/>
              <w:rPr>
                <w:rFonts w:ascii="Times New Roman" w:eastAsia="Times New Roman" w:hAnsi="Times New Roman" w:cs="Times New Roman"/>
                <w:sz w:val="20"/>
                <w:szCs w:val="20"/>
              </w:rPr>
            </w:pPr>
          </w:p>
        </w:tc>
      </w:tr>
      <w:tr w:rsidR="008B090B" w:rsidRPr="00CF0BE5" w14:paraId="38B8F964" w14:textId="77777777" w:rsidTr="00F83081">
        <w:trPr>
          <w:trHeight w:val="300"/>
        </w:trPr>
        <w:tc>
          <w:tcPr>
            <w:tcW w:w="6891" w:type="dxa"/>
            <w:gridSpan w:val="5"/>
            <w:tcBorders>
              <w:top w:val="nil"/>
              <w:left w:val="nil"/>
              <w:bottom w:val="nil"/>
              <w:right w:val="nil"/>
            </w:tcBorders>
            <w:shd w:val="clear" w:color="auto" w:fill="auto"/>
            <w:noWrap/>
            <w:vAlign w:val="bottom"/>
            <w:hideMark/>
          </w:tcPr>
          <w:p w14:paraId="345EB0A2" w14:textId="77777777" w:rsidR="008B090B" w:rsidRPr="00CF0BE5" w:rsidRDefault="008B090B" w:rsidP="00F83081">
            <w:pPr>
              <w:spacing w:after="0" w:line="240" w:lineRule="auto"/>
              <w:rPr>
                <w:rFonts w:ascii="Times New Roman" w:eastAsia="Times New Roman" w:hAnsi="Times New Roman" w:cs="Times New Roman"/>
                <w:sz w:val="20"/>
                <w:szCs w:val="20"/>
              </w:rPr>
            </w:pPr>
            <w:r w:rsidRPr="00CF0BE5">
              <w:rPr>
                <w:rFonts w:ascii="Calibri" w:eastAsia="Times New Roman" w:hAnsi="Calibri" w:cs="Calibri"/>
                <w:color w:val="000000"/>
              </w:rPr>
              <w:t># Active control arm</w:t>
            </w:r>
          </w:p>
        </w:tc>
        <w:tc>
          <w:tcPr>
            <w:tcW w:w="2093" w:type="dxa"/>
            <w:gridSpan w:val="2"/>
            <w:tcBorders>
              <w:top w:val="nil"/>
              <w:left w:val="nil"/>
              <w:bottom w:val="nil"/>
              <w:right w:val="nil"/>
            </w:tcBorders>
            <w:shd w:val="clear" w:color="auto" w:fill="auto"/>
            <w:noWrap/>
            <w:vAlign w:val="bottom"/>
            <w:hideMark/>
          </w:tcPr>
          <w:p w14:paraId="2FAB0C45"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2206" w:type="dxa"/>
            <w:gridSpan w:val="2"/>
            <w:tcBorders>
              <w:top w:val="nil"/>
              <w:left w:val="nil"/>
              <w:bottom w:val="nil"/>
              <w:right w:val="nil"/>
            </w:tcBorders>
            <w:shd w:val="clear" w:color="auto" w:fill="auto"/>
            <w:noWrap/>
            <w:vAlign w:val="bottom"/>
            <w:hideMark/>
          </w:tcPr>
          <w:p w14:paraId="50028F9A"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5040" w:type="dxa"/>
            <w:gridSpan w:val="3"/>
            <w:tcBorders>
              <w:top w:val="nil"/>
              <w:left w:val="nil"/>
              <w:bottom w:val="nil"/>
              <w:right w:val="nil"/>
            </w:tcBorders>
            <w:shd w:val="clear" w:color="auto" w:fill="auto"/>
            <w:noWrap/>
            <w:vAlign w:val="bottom"/>
            <w:hideMark/>
          </w:tcPr>
          <w:p w14:paraId="0D4BED4D"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3280" w:type="dxa"/>
            <w:tcBorders>
              <w:top w:val="nil"/>
              <w:left w:val="nil"/>
              <w:bottom w:val="nil"/>
              <w:right w:val="nil"/>
            </w:tcBorders>
            <w:shd w:val="clear" w:color="auto" w:fill="auto"/>
            <w:noWrap/>
            <w:vAlign w:val="bottom"/>
            <w:hideMark/>
          </w:tcPr>
          <w:p w14:paraId="34DB5B18"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4200" w:type="dxa"/>
            <w:tcBorders>
              <w:top w:val="nil"/>
              <w:left w:val="nil"/>
              <w:bottom w:val="nil"/>
              <w:right w:val="nil"/>
            </w:tcBorders>
            <w:shd w:val="clear" w:color="auto" w:fill="auto"/>
            <w:noWrap/>
            <w:vAlign w:val="bottom"/>
            <w:hideMark/>
          </w:tcPr>
          <w:p w14:paraId="5E42836E" w14:textId="77777777" w:rsidR="008B090B" w:rsidRPr="00CF0BE5" w:rsidRDefault="008B090B" w:rsidP="00F83081">
            <w:pPr>
              <w:spacing w:after="0" w:line="240" w:lineRule="auto"/>
              <w:rPr>
                <w:rFonts w:ascii="Times New Roman" w:eastAsia="Times New Roman" w:hAnsi="Times New Roman" w:cs="Times New Roman"/>
                <w:sz w:val="20"/>
                <w:szCs w:val="20"/>
              </w:rPr>
            </w:pPr>
          </w:p>
        </w:tc>
      </w:tr>
      <w:tr w:rsidR="008B090B" w:rsidRPr="00CF0BE5" w14:paraId="0FF8584F" w14:textId="77777777" w:rsidTr="00F83081">
        <w:trPr>
          <w:trHeight w:val="300"/>
        </w:trPr>
        <w:tc>
          <w:tcPr>
            <w:tcW w:w="6891" w:type="dxa"/>
            <w:gridSpan w:val="5"/>
            <w:tcBorders>
              <w:top w:val="nil"/>
              <w:bottom w:val="nil"/>
            </w:tcBorders>
            <w:shd w:val="clear" w:color="auto" w:fill="auto"/>
            <w:noWrap/>
            <w:vAlign w:val="bottom"/>
            <w:hideMark/>
          </w:tcPr>
          <w:p w14:paraId="2B44306B" w14:textId="77777777" w:rsidR="008B090B" w:rsidRPr="00CF0BE5" w:rsidRDefault="008B090B" w:rsidP="00F83081">
            <w:pPr>
              <w:spacing w:after="0" w:line="240" w:lineRule="auto"/>
              <w:rPr>
                <w:rFonts w:ascii="Times New Roman" w:eastAsia="Times New Roman" w:hAnsi="Times New Roman" w:cs="Times New Roman"/>
                <w:sz w:val="20"/>
                <w:szCs w:val="20"/>
              </w:rPr>
            </w:pPr>
            <w:r w:rsidRPr="00CF0BE5">
              <w:rPr>
                <w:rFonts w:ascii="Calibri" w:eastAsia="Times New Roman" w:hAnsi="Calibri" w:cs="Calibri"/>
                <w:color w:val="000000"/>
              </w:rPr>
              <w:t>* Only treatment-related adverse events reported</w:t>
            </w:r>
          </w:p>
        </w:tc>
        <w:tc>
          <w:tcPr>
            <w:tcW w:w="2093" w:type="dxa"/>
            <w:gridSpan w:val="2"/>
            <w:tcBorders>
              <w:top w:val="nil"/>
              <w:left w:val="nil"/>
              <w:bottom w:val="nil"/>
              <w:right w:val="nil"/>
            </w:tcBorders>
            <w:shd w:val="clear" w:color="auto" w:fill="auto"/>
            <w:noWrap/>
            <w:vAlign w:val="bottom"/>
            <w:hideMark/>
          </w:tcPr>
          <w:p w14:paraId="72025076"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2206" w:type="dxa"/>
            <w:gridSpan w:val="2"/>
            <w:tcBorders>
              <w:top w:val="nil"/>
              <w:left w:val="nil"/>
              <w:bottom w:val="nil"/>
              <w:right w:val="nil"/>
            </w:tcBorders>
            <w:shd w:val="clear" w:color="auto" w:fill="auto"/>
            <w:noWrap/>
            <w:vAlign w:val="bottom"/>
            <w:hideMark/>
          </w:tcPr>
          <w:p w14:paraId="5DD5A5AB"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5040" w:type="dxa"/>
            <w:gridSpan w:val="3"/>
            <w:tcBorders>
              <w:top w:val="nil"/>
              <w:left w:val="nil"/>
              <w:bottom w:val="nil"/>
              <w:right w:val="nil"/>
            </w:tcBorders>
            <w:shd w:val="clear" w:color="auto" w:fill="auto"/>
            <w:noWrap/>
            <w:vAlign w:val="bottom"/>
            <w:hideMark/>
          </w:tcPr>
          <w:p w14:paraId="6841730D"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3280" w:type="dxa"/>
            <w:tcBorders>
              <w:top w:val="nil"/>
              <w:left w:val="nil"/>
              <w:bottom w:val="nil"/>
              <w:right w:val="nil"/>
            </w:tcBorders>
            <w:shd w:val="clear" w:color="auto" w:fill="auto"/>
            <w:noWrap/>
            <w:vAlign w:val="bottom"/>
            <w:hideMark/>
          </w:tcPr>
          <w:p w14:paraId="31E7A313"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4200" w:type="dxa"/>
            <w:tcBorders>
              <w:top w:val="nil"/>
              <w:left w:val="nil"/>
              <w:bottom w:val="nil"/>
              <w:right w:val="nil"/>
            </w:tcBorders>
            <w:shd w:val="clear" w:color="auto" w:fill="auto"/>
            <w:noWrap/>
            <w:vAlign w:val="bottom"/>
            <w:hideMark/>
          </w:tcPr>
          <w:p w14:paraId="1E67D237" w14:textId="77777777" w:rsidR="008B090B" w:rsidRPr="00CF0BE5" w:rsidRDefault="008B090B" w:rsidP="00F83081">
            <w:pPr>
              <w:spacing w:after="0" w:line="240" w:lineRule="auto"/>
              <w:rPr>
                <w:rFonts w:ascii="Times New Roman" w:eastAsia="Times New Roman" w:hAnsi="Times New Roman" w:cs="Times New Roman"/>
                <w:sz w:val="20"/>
                <w:szCs w:val="20"/>
              </w:rPr>
            </w:pPr>
          </w:p>
        </w:tc>
      </w:tr>
      <w:tr w:rsidR="008B090B" w:rsidRPr="00CF0BE5" w14:paraId="1DB9388D" w14:textId="77777777" w:rsidTr="00F83081">
        <w:trPr>
          <w:trHeight w:val="300"/>
        </w:trPr>
        <w:tc>
          <w:tcPr>
            <w:tcW w:w="6891" w:type="dxa"/>
            <w:gridSpan w:val="5"/>
            <w:tcBorders>
              <w:top w:val="nil"/>
              <w:bottom w:val="nil"/>
            </w:tcBorders>
            <w:shd w:val="clear" w:color="auto" w:fill="auto"/>
            <w:noWrap/>
            <w:vAlign w:val="bottom"/>
          </w:tcPr>
          <w:p w14:paraId="45607763" w14:textId="77777777" w:rsidR="008B090B" w:rsidRPr="0031208E" w:rsidRDefault="008B090B" w:rsidP="00F83081">
            <w:pPr>
              <w:spacing w:after="0" w:line="240" w:lineRule="auto"/>
              <w:rPr>
                <w:rFonts w:ascii="Calibri" w:eastAsia="Times New Roman" w:hAnsi="Calibri" w:cs="Calibri"/>
                <w:color w:val="000000"/>
              </w:rPr>
            </w:pPr>
            <w:r w:rsidRPr="0031208E">
              <w:rPr>
                <w:rFonts w:ascii="Calibri" w:eastAsia="Times New Roman" w:hAnsi="Calibri" w:cs="Calibri"/>
                <w:color w:val="000000"/>
                <w:vertAlign w:val="superscript"/>
              </w:rPr>
              <w:lastRenderedPageBreak/>
              <w:t>+</w:t>
            </w:r>
            <w:r>
              <w:rPr>
                <w:rFonts w:ascii="Calibri" w:eastAsia="Times New Roman" w:hAnsi="Calibri" w:cs="Calibri"/>
                <w:color w:val="000000"/>
                <w:vertAlign w:val="superscript"/>
              </w:rPr>
              <w:t xml:space="preserve"> </w:t>
            </w:r>
            <w:r w:rsidRPr="0031208E">
              <w:rPr>
                <w:rFonts w:ascii="Calibri" w:eastAsia="Times New Roman" w:hAnsi="Calibri" w:cs="Calibri"/>
                <w:color w:val="000000"/>
              </w:rPr>
              <w:t>Negative</w:t>
            </w:r>
            <w:r>
              <w:rPr>
                <w:rFonts w:ascii="Calibri" w:eastAsia="Times New Roman" w:hAnsi="Calibri" w:cs="Calibri"/>
                <w:color w:val="000000"/>
              </w:rPr>
              <w:t xml:space="preserve"> study that did not lead to FDA drug approval</w:t>
            </w:r>
          </w:p>
        </w:tc>
        <w:tc>
          <w:tcPr>
            <w:tcW w:w="2093" w:type="dxa"/>
            <w:gridSpan w:val="2"/>
            <w:tcBorders>
              <w:top w:val="nil"/>
              <w:left w:val="nil"/>
              <w:bottom w:val="nil"/>
              <w:right w:val="nil"/>
            </w:tcBorders>
            <w:shd w:val="clear" w:color="auto" w:fill="auto"/>
            <w:noWrap/>
            <w:vAlign w:val="bottom"/>
          </w:tcPr>
          <w:p w14:paraId="20D0DCA5"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2206" w:type="dxa"/>
            <w:gridSpan w:val="2"/>
            <w:tcBorders>
              <w:top w:val="nil"/>
              <w:left w:val="nil"/>
              <w:bottom w:val="nil"/>
              <w:right w:val="nil"/>
            </w:tcBorders>
            <w:shd w:val="clear" w:color="auto" w:fill="auto"/>
            <w:noWrap/>
            <w:vAlign w:val="bottom"/>
          </w:tcPr>
          <w:p w14:paraId="07AD6AF4"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5040" w:type="dxa"/>
            <w:gridSpan w:val="3"/>
            <w:tcBorders>
              <w:top w:val="nil"/>
              <w:left w:val="nil"/>
              <w:bottom w:val="nil"/>
              <w:right w:val="nil"/>
            </w:tcBorders>
            <w:shd w:val="clear" w:color="auto" w:fill="auto"/>
            <w:noWrap/>
            <w:vAlign w:val="bottom"/>
          </w:tcPr>
          <w:p w14:paraId="22ECD148"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3280" w:type="dxa"/>
            <w:tcBorders>
              <w:top w:val="nil"/>
              <w:left w:val="nil"/>
              <w:bottom w:val="nil"/>
              <w:right w:val="nil"/>
            </w:tcBorders>
            <w:shd w:val="clear" w:color="auto" w:fill="auto"/>
            <w:noWrap/>
            <w:vAlign w:val="bottom"/>
          </w:tcPr>
          <w:p w14:paraId="72258B4C" w14:textId="77777777" w:rsidR="008B090B" w:rsidRPr="00CF0BE5" w:rsidRDefault="008B090B" w:rsidP="00F83081">
            <w:pPr>
              <w:spacing w:after="0" w:line="240" w:lineRule="auto"/>
              <w:rPr>
                <w:rFonts w:ascii="Times New Roman" w:eastAsia="Times New Roman" w:hAnsi="Times New Roman" w:cs="Times New Roman"/>
                <w:sz w:val="20"/>
                <w:szCs w:val="20"/>
              </w:rPr>
            </w:pPr>
          </w:p>
        </w:tc>
        <w:tc>
          <w:tcPr>
            <w:tcW w:w="4200" w:type="dxa"/>
            <w:tcBorders>
              <w:top w:val="nil"/>
              <w:left w:val="nil"/>
              <w:bottom w:val="nil"/>
              <w:right w:val="nil"/>
            </w:tcBorders>
            <w:shd w:val="clear" w:color="auto" w:fill="auto"/>
            <w:noWrap/>
            <w:vAlign w:val="bottom"/>
          </w:tcPr>
          <w:p w14:paraId="255DE224" w14:textId="77777777" w:rsidR="008B090B" w:rsidRPr="00CF0BE5" w:rsidRDefault="008B090B" w:rsidP="00F83081">
            <w:pPr>
              <w:spacing w:after="0" w:line="240" w:lineRule="auto"/>
              <w:rPr>
                <w:rFonts w:ascii="Times New Roman" w:eastAsia="Times New Roman" w:hAnsi="Times New Roman" w:cs="Times New Roman"/>
                <w:sz w:val="20"/>
                <w:szCs w:val="20"/>
              </w:rPr>
            </w:pPr>
          </w:p>
        </w:tc>
      </w:tr>
    </w:tbl>
    <w:p w14:paraId="65BB38E9" w14:textId="77777777" w:rsidR="008B090B" w:rsidRPr="0031208E" w:rsidRDefault="008B090B" w:rsidP="008B090B">
      <w:pPr>
        <w:rPr>
          <w:vertAlign w:val="superscript"/>
        </w:rPr>
        <w:sectPr w:rsidR="008B090B" w:rsidRPr="0031208E" w:rsidSect="00F83081">
          <w:pgSz w:w="15840" w:h="12240" w:orient="landscape"/>
          <w:pgMar w:top="1440" w:right="1440" w:bottom="1440" w:left="1440" w:header="720" w:footer="720" w:gutter="0"/>
          <w:cols w:space="720"/>
          <w:docGrid w:linePitch="360"/>
        </w:sectPr>
      </w:pPr>
    </w:p>
    <w:p w14:paraId="5A832B9E" w14:textId="77777777" w:rsidR="008B090B" w:rsidRDefault="008B090B" w:rsidP="008B090B">
      <w:pPr>
        <w:rPr>
          <w:b/>
        </w:rPr>
      </w:pPr>
      <w:r w:rsidRPr="006F55D2">
        <w:rPr>
          <w:b/>
        </w:rPr>
        <w:lastRenderedPageBreak/>
        <w:t>References</w:t>
      </w:r>
    </w:p>
    <w:p w14:paraId="17AF74B5" w14:textId="77777777" w:rsidR="004B4359" w:rsidRPr="004B4359" w:rsidRDefault="008B090B" w:rsidP="004B4359">
      <w:pPr>
        <w:pStyle w:val="Bibliography"/>
        <w:rPr>
          <w:rFonts w:ascii="Calibri" w:hAnsi="Calibri" w:cs="Calibri"/>
        </w:rPr>
      </w:pPr>
      <w:r>
        <w:rPr>
          <w:b/>
        </w:rPr>
        <w:fldChar w:fldCharType="begin"/>
      </w:r>
      <w:r w:rsidR="004B4359">
        <w:rPr>
          <w:b/>
        </w:rPr>
        <w:instrText xml:space="preserve"> ADDIN ZOTERO_BIBL {"uncited":[],"omitted":[],"custom":[]} CSL_BIBLIOGRAPHY </w:instrText>
      </w:r>
      <w:r>
        <w:rPr>
          <w:b/>
        </w:rPr>
        <w:fldChar w:fldCharType="separate"/>
      </w:r>
      <w:r w:rsidR="004B4359" w:rsidRPr="004B4359">
        <w:rPr>
          <w:rFonts w:ascii="Calibri" w:hAnsi="Calibri" w:cs="Calibri"/>
        </w:rPr>
        <w:t>1.</w:t>
      </w:r>
      <w:r w:rsidR="004B4359" w:rsidRPr="004B4359">
        <w:rPr>
          <w:rFonts w:ascii="Calibri" w:hAnsi="Calibri" w:cs="Calibri"/>
        </w:rPr>
        <w:tab/>
        <w:t xml:space="preserve">Haslam, A. &amp; Prasad, V. Estimation of the Percentage of US Patients With Cancer Who Are Eligible for and Respond to Checkpoint Inhibitor Immunotherapy Drugs. </w:t>
      </w:r>
      <w:r w:rsidR="004B4359" w:rsidRPr="004B4359">
        <w:rPr>
          <w:rFonts w:ascii="Calibri" w:hAnsi="Calibri" w:cs="Calibri"/>
          <w:i/>
          <w:iCs/>
        </w:rPr>
        <w:t>JAMA Netw. Open</w:t>
      </w:r>
      <w:r w:rsidR="004B4359" w:rsidRPr="004B4359">
        <w:rPr>
          <w:rFonts w:ascii="Calibri" w:hAnsi="Calibri" w:cs="Calibri"/>
        </w:rPr>
        <w:t xml:space="preserve"> </w:t>
      </w:r>
      <w:r w:rsidR="004B4359" w:rsidRPr="004B4359">
        <w:rPr>
          <w:rFonts w:ascii="Calibri" w:hAnsi="Calibri" w:cs="Calibri"/>
          <w:b/>
          <w:bCs/>
        </w:rPr>
        <w:t>2</w:t>
      </w:r>
      <w:r w:rsidR="004B4359" w:rsidRPr="004B4359">
        <w:rPr>
          <w:rFonts w:ascii="Calibri" w:hAnsi="Calibri" w:cs="Calibri"/>
        </w:rPr>
        <w:t>, e192535–e192535 (2019).</w:t>
      </w:r>
    </w:p>
    <w:p w14:paraId="411D0444" w14:textId="77777777" w:rsidR="004B4359" w:rsidRPr="004B4359" w:rsidRDefault="004B4359" w:rsidP="004B4359">
      <w:pPr>
        <w:pStyle w:val="Bibliography"/>
        <w:rPr>
          <w:rFonts w:ascii="Calibri" w:hAnsi="Calibri" w:cs="Calibri"/>
        </w:rPr>
      </w:pPr>
      <w:r w:rsidRPr="004B4359">
        <w:rPr>
          <w:rFonts w:ascii="Calibri" w:hAnsi="Calibri" w:cs="Calibri"/>
        </w:rPr>
        <w:t>2.</w:t>
      </w:r>
      <w:r w:rsidRPr="004B4359">
        <w:rPr>
          <w:rFonts w:ascii="Calibri" w:hAnsi="Calibri" w:cs="Calibri"/>
        </w:rPr>
        <w:tab/>
        <w:t xml:space="preserve">Parsons, S., Maldonado, E. B. &amp; Prasad, V. Comparison of Drugs Used for Adjuvant and Metastatic Therapy of Colon, Breast, and Non–Small Cell Lung Cancers. </w:t>
      </w:r>
      <w:r w:rsidRPr="004B4359">
        <w:rPr>
          <w:rFonts w:ascii="Calibri" w:hAnsi="Calibri" w:cs="Calibri"/>
          <w:i/>
          <w:iCs/>
        </w:rPr>
        <w:t>JAMA Netw. Open</w:t>
      </w:r>
      <w:r w:rsidRPr="004B4359">
        <w:rPr>
          <w:rFonts w:ascii="Calibri" w:hAnsi="Calibri" w:cs="Calibri"/>
        </w:rPr>
        <w:t xml:space="preserve"> </w:t>
      </w:r>
      <w:r w:rsidRPr="004B4359">
        <w:rPr>
          <w:rFonts w:ascii="Calibri" w:hAnsi="Calibri" w:cs="Calibri"/>
          <w:b/>
          <w:bCs/>
        </w:rPr>
        <w:t>3</w:t>
      </w:r>
      <w:r w:rsidRPr="004B4359">
        <w:rPr>
          <w:rFonts w:ascii="Calibri" w:hAnsi="Calibri" w:cs="Calibri"/>
        </w:rPr>
        <w:t>, e202488 (2020).</w:t>
      </w:r>
    </w:p>
    <w:p w14:paraId="11398D9B" w14:textId="77777777" w:rsidR="004B4359" w:rsidRPr="004B4359" w:rsidRDefault="004B4359" w:rsidP="004B4359">
      <w:pPr>
        <w:pStyle w:val="Bibliography"/>
        <w:rPr>
          <w:rFonts w:ascii="Calibri" w:hAnsi="Calibri" w:cs="Calibri"/>
        </w:rPr>
      </w:pPr>
      <w:r w:rsidRPr="004B4359">
        <w:rPr>
          <w:rFonts w:ascii="Calibri" w:hAnsi="Calibri" w:cs="Calibri"/>
        </w:rPr>
        <w:t>3.</w:t>
      </w:r>
      <w:r w:rsidRPr="004B4359">
        <w:rPr>
          <w:rFonts w:ascii="Calibri" w:hAnsi="Calibri" w:cs="Calibri"/>
        </w:rPr>
        <w:tab/>
        <w:t xml:space="preserve">Prasad, V., Kim, C., Burotto, M. &amp; Vandross, A. The Strength of Association Between Surrogate End Points and Survival in Oncology: A Systematic Review of Trial-Level Meta-analyses. </w:t>
      </w:r>
      <w:r w:rsidRPr="004B4359">
        <w:rPr>
          <w:rFonts w:ascii="Calibri" w:hAnsi="Calibri" w:cs="Calibri"/>
          <w:i/>
          <w:iCs/>
        </w:rPr>
        <w:t>JAMA Intern. Med.</w:t>
      </w:r>
      <w:r w:rsidRPr="004B4359">
        <w:rPr>
          <w:rFonts w:ascii="Calibri" w:hAnsi="Calibri" w:cs="Calibri"/>
        </w:rPr>
        <w:t xml:space="preserve"> </w:t>
      </w:r>
      <w:r w:rsidRPr="004B4359">
        <w:rPr>
          <w:rFonts w:ascii="Calibri" w:hAnsi="Calibri" w:cs="Calibri"/>
          <w:b/>
          <w:bCs/>
        </w:rPr>
        <w:t>175</w:t>
      </w:r>
      <w:r w:rsidRPr="004B4359">
        <w:rPr>
          <w:rFonts w:ascii="Calibri" w:hAnsi="Calibri" w:cs="Calibri"/>
        </w:rPr>
        <w:t>, 1389–1398 (2015).</w:t>
      </w:r>
    </w:p>
    <w:p w14:paraId="67FA322C" w14:textId="77777777" w:rsidR="004B4359" w:rsidRPr="004B4359" w:rsidRDefault="004B4359" w:rsidP="004B4359">
      <w:pPr>
        <w:pStyle w:val="Bibliography"/>
        <w:rPr>
          <w:rFonts w:ascii="Calibri" w:hAnsi="Calibri" w:cs="Calibri"/>
        </w:rPr>
      </w:pPr>
      <w:r w:rsidRPr="004B4359">
        <w:rPr>
          <w:rFonts w:ascii="Calibri" w:hAnsi="Calibri" w:cs="Calibri"/>
        </w:rPr>
        <w:t>4.</w:t>
      </w:r>
      <w:r w:rsidRPr="004B4359">
        <w:rPr>
          <w:rFonts w:ascii="Calibri" w:hAnsi="Calibri" w:cs="Calibri"/>
        </w:rPr>
        <w:tab/>
        <w:t xml:space="preserve">Yi, M. </w:t>
      </w:r>
      <w:r w:rsidRPr="004B4359">
        <w:rPr>
          <w:rFonts w:ascii="Calibri" w:hAnsi="Calibri" w:cs="Calibri"/>
          <w:i/>
          <w:iCs/>
        </w:rPr>
        <w:t>et al.</w:t>
      </w:r>
      <w:r w:rsidRPr="004B4359">
        <w:rPr>
          <w:rFonts w:ascii="Calibri" w:hAnsi="Calibri" w:cs="Calibri"/>
        </w:rPr>
        <w:t xml:space="preserve"> Synergistic effect of immune checkpoint blockade and anti-angiogenesis in cancer treatment. </w:t>
      </w:r>
      <w:r w:rsidRPr="004B4359">
        <w:rPr>
          <w:rFonts w:ascii="Calibri" w:hAnsi="Calibri" w:cs="Calibri"/>
          <w:i/>
          <w:iCs/>
        </w:rPr>
        <w:t>Mol. Cancer</w:t>
      </w:r>
      <w:r w:rsidRPr="004B4359">
        <w:rPr>
          <w:rFonts w:ascii="Calibri" w:hAnsi="Calibri" w:cs="Calibri"/>
        </w:rPr>
        <w:t xml:space="preserve"> </w:t>
      </w:r>
      <w:r w:rsidRPr="004B4359">
        <w:rPr>
          <w:rFonts w:ascii="Calibri" w:hAnsi="Calibri" w:cs="Calibri"/>
          <w:b/>
          <w:bCs/>
        </w:rPr>
        <w:t>18</w:t>
      </w:r>
      <w:r w:rsidRPr="004B4359">
        <w:rPr>
          <w:rFonts w:ascii="Calibri" w:hAnsi="Calibri" w:cs="Calibri"/>
        </w:rPr>
        <w:t>, 60 (2019).</w:t>
      </w:r>
    </w:p>
    <w:p w14:paraId="0463AB0A" w14:textId="77777777" w:rsidR="004B4359" w:rsidRPr="004B4359" w:rsidRDefault="004B4359" w:rsidP="004B4359">
      <w:pPr>
        <w:pStyle w:val="Bibliography"/>
        <w:rPr>
          <w:rFonts w:ascii="Calibri" w:hAnsi="Calibri" w:cs="Calibri"/>
        </w:rPr>
      </w:pPr>
      <w:r w:rsidRPr="004B4359">
        <w:rPr>
          <w:rFonts w:ascii="Calibri" w:hAnsi="Calibri" w:cs="Calibri"/>
        </w:rPr>
        <w:t>5.</w:t>
      </w:r>
      <w:r w:rsidRPr="004B4359">
        <w:rPr>
          <w:rFonts w:ascii="Calibri" w:hAnsi="Calibri" w:cs="Calibri"/>
        </w:rPr>
        <w:tab/>
        <w:t xml:space="preserve">Schmidt, E. V. Developing combination strategies using PD-1 checkpoint inhibitors to treat cancer. </w:t>
      </w:r>
      <w:r w:rsidRPr="004B4359">
        <w:rPr>
          <w:rFonts w:ascii="Calibri" w:hAnsi="Calibri" w:cs="Calibri"/>
          <w:i/>
          <w:iCs/>
        </w:rPr>
        <w:t>Semin. Immunopathol.</w:t>
      </w:r>
      <w:r w:rsidRPr="004B4359">
        <w:rPr>
          <w:rFonts w:ascii="Calibri" w:hAnsi="Calibri" w:cs="Calibri"/>
        </w:rPr>
        <w:t xml:space="preserve"> </w:t>
      </w:r>
      <w:r w:rsidRPr="004B4359">
        <w:rPr>
          <w:rFonts w:ascii="Calibri" w:hAnsi="Calibri" w:cs="Calibri"/>
          <w:b/>
          <w:bCs/>
        </w:rPr>
        <w:t>41</w:t>
      </w:r>
      <w:r w:rsidRPr="004B4359">
        <w:rPr>
          <w:rFonts w:ascii="Calibri" w:hAnsi="Calibri" w:cs="Calibri"/>
        </w:rPr>
        <w:t>, 21–30 (2019).</w:t>
      </w:r>
    </w:p>
    <w:p w14:paraId="7EA54511" w14:textId="77777777" w:rsidR="004B4359" w:rsidRPr="004B4359" w:rsidRDefault="004B4359" w:rsidP="004B4359">
      <w:pPr>
        <w:pStyle w:val="Bibliography"/>
        <w:rPr>
          <w:rFonts w:ascii="Calibri" w:hAnsi="Calibri" w:cs="Calibri"/>
        </w:rPr>
      </w:pPr>
      <w:r w:rsidRPr="004B4359">
        <w:rPr>
          <w:rFonts w:ascii="Calibri" w:hAnsi="Calibri" w:cs="Calibri"/>
        </w:rPr>
        <w:t>6.</w:t>
      </w:r>
      <w:r w:rsidRPr="004B4359">
        <w:rPr>
          <w:rFonts w:ascii="Calibri" w:hAnsi="Calibri" w:cs="Calibri"/>
        </w:rPr>
        <w:tab/>
        <w:t xml:space="preserve">Bajorin, D. F. </w:t>
      </w:r>
      <w:r w:rsidRPr="004B4359">
        <w:rPr>
          <w:rFonts w:ascii="Calibri" w:hAnsi="Calibri" w:cs="Calibri"/>
          <w:i/>
          <w:iCs/>
        </w:rPr>
        <w:t>et al.</w:t>
      </w:r>
      <w:r w:rsidRPr="004B4359">
        <w:rPr>
          <w:rFonts w:ascii="Calibri" w:hAnsi="Calibri" w:cs="Calibri"/>
        </w:rPr>
        <w:t xml:space="preserve"> Adjuvant Nivolumab versus Placebo in Muscle-Invasive Urothelial Carcinoma. </w:t>
      </w:r>
      <w:r w:rsidRPr="004B4359">
        <w:rPr>
          <w:rFonts w:ascii="Calibri" w:hAnsi="Calibri" w:cs="Calibri"/>
          <w:i/>
          <w:iCs/>
        </w:rPr>
        <w:t>N. Engl. J. Med.</w:t>
      </w:r>
      <w:r w:rsidRPr="004B4359">
        <w:rPr>
          <w:rFonts w:ascii="Calibri" w:hAnsi="Calibri" w:cs="Calibri"/>
        </w:rPr>
        <w:t xml:space="preserve"> </w:t>
      </w:r>
      <w:r w:rsidRPr="004B4359">
        <w:rPr>
          <w:rFonts w:ascii="Calibri" w:hAnsi="Calibri" w:cs="Calibri"/>
          <w:b/>
          <w:bCs/>
        </w:rPr>
        <w:t>384</w:t>
      </w:r>
      <w:r w:rsidRPr="004B4359">
        <w:rPr>
          <w:rFonts w:ascii="Calibri" w:hAnsi="Calibri" w:cs="Calibri"/>
        </w:rPr>
        <w:t>, 2102–2114 (2021).</w:t>
      </w:r>
    </w:p>
    <w:p w14:paraId="2557A459" w14:textId="77777777" w:rsidR="004B4359" w:rsidRPr="004B4359" w:rsidRDefault="004B4359" w:rsidP="004B4359">
      <w:pPr>
        <w:pStyle w:val="Bibliography"/>
        <w:rPr>
          <w:rFonts w:ascii="Calibri" w:hAnsi="Calibri" w:cs="Calibri"/>
        </w:rPr>
      </w:pPr>
      <w:r w:rsidRPr="004B4359">
        <w:rPr>
          <w:rFonts w:ascii="Calibri" w:hAnsi="Calibri" w:cs="Calibri"/>
        </w:rPr>
        <w:t>7.</w:t>
      </w:r>
      <w:r w:rsidRPr="004B4359">
        <w:rPr>
          <w:rFonts w:ascii="Calibri" w:hAnsi="Calibri" w:cs="Calibri"/>
        </w:rPr>
        <w:tab/>
        <w:t xml:space="preserve">Bellmunt, J. </w:t>
      </w:r>
      <w:r w:rsidRPr="004B4359">
        <w:rPr>
          <w:rFonts w:ascii="Calibri" w:hAnsi="Calibri" w:cs="Calibri"/>
          <w:i/>
          <w:iCs/>
        </w:rPr>
        <w:t>et al.</w:t>
      </w:r>
      <w:r w:rsidRPr="004B4359">
        <w:rPr>
          <w:rFonts w:ascii="Calibri" w:hAnsi="Calibri" w:cs="Calibri"/>
        </w:rPr>
        <w:t xml:space="preserve"> Adjuvant atezolizumab versus observation in muscle-invasive urothelial carcinoma (IMvigor010): a multicentre, open-label, randomised, phase 3 trial. </w:t>
      </w:r>
      <w:r w:rsidRPr="004B4359">
        <w:rPr>
          <w:rFonts w:ascii="Calibri" w:hAnsi="Calibri" w:cs="Calibri"/>
          <w:i/>
          <w:iCs/>
        </w:rPr>
        <w:t>Lancet Oncol.</w:t>
      </w:r>
      <w:r w:rsidRPr="004B4359">
        <w:rPr>
          <w:rFonts w:ascii="Calibri" w:hAnsi="Calibri" w:cs="Calibri"/>
        </w:rPr>
        <w:t xml:space="preserve"> </w:t>
      </w:r>
      <w:r w:rsidRPr="004B4359">
        <w:rPr>
          <w:rFonts w:ascii="Calibri" w:hAnsi="Calibri" w:cs="Calibri"/>
          <w:b/>
          <w:bCs/>
        </w:rPr>
        <w:t>22</w:t>
      </w:r>
      <w:r w:rsidRPr="004B4359">
        <w:rPr>
          <w:rFonts w:ascii="Calibri" w:hAnsi="Calibri" w:cs="Calibri"/>
        </w:rPr>
        <w:t>, 525–537 (2021).</w:t>
      </w:r>
    </w:p>
    <w:p w14:paraId="2E48B7E2" w14:textId="77777777" w:rsidR="004B4359" w:rsidRPr="004B4359" w:rsidRDefault="004B4359" w:rsidP="004B4359">
      <w:pPr>
        <w:pStyle w:val="Bibliography"/>
        <w:rPr>
          <w:rFonts w:ascii="Calibri" w:hAnsi="Calibri" w:cs="Calibri"/>
        </w:rPr>
      </w:pPr>
      <w:r w:rsidRPr="004B4359">
        <w:rPr>
          <w:rFonts w:ascii="Calibri" w:hAnsi="Calibri" w:cs="Calibri"/>
        </w:rPr>
        <w:t>8.</w:t>
      </w:r>
      <w:r w:rsidRPr="004B4359">
        <w:rPr>
          <w:rFonts w:ascii="Calibri" w:hAnsi="Calibri" w:cs="Calibri"/>
        </w:rPr>
        <w:tab/>
        <w:t xml:space="preserve">Prasad, V. &amp; Booth, C. M. Multiplicity in oncology randomised controlled trials: a threat to medical evidence? </w:t>
      </w:r>
      <w:r w:rsidRPr="004B4359">
        <w:rPr>
          <w:rFonts w:ascii="Calibri" w:hAnsi="Calibri" w:cs="Calibri"/>
          <w:i/>
          <w:iCs/>
        </w:rPr>
        <w:t>Lancet Oncol.</w:t>
      </w:r>
      <w:r w:rsidRPr="004B4359">
        <w:rPr>
          <w:rFonts w:ascii="Calibri" w:hAnsi="Calibri" w:cs="Calibri"/>
        </w:rPr>
        <w:t xml:space="preserve"> </w:t>
      </w:r>
      <w:r w:rsidRPr="004B4359">
        <w:rPr>
          <w:rFonts w:ascii="Calibri" w:hAnsi="Calibri" w:cs="Calibri"/>
          <w:b/>
          <w:bCs/>
        </w:rPr>
        <w:t>20</w:t>
      </w:r>
      <w:r w:rsidRPr="004B4359">
        <w:rPr>
          <w:rFonts w:ascii="Calibri" w:hAnsi="Calibri" w:cs="Calibri"/>
        </w:rPr>
        <w:t>, 1638–1640 (2019).</w:t>
      </w:r>
    </w:p>
    <w:p w14:paraId="36C332DE" w14:textId="77777777" w:rsidR="004B4359" w:rsidRPr="004B4359" w:rsidRDefault="004B4359" w:rsidP="004B4359">
      <w:pPr>
        <w:pStyle w:val="Bibliography"/>
        <w:rPr>
          <w:rFonts w:ascii="Calibri" w:hAnsi="Calibri" w:cs="Calibri"/>
        </w:rPr>
      </w:pPr>
      <w:r w:rsidRPr="004B4359">
        <w:rPr>
          <w:rFonts w:ascii="Calibri" w:hAnsi="Calibri" w:cs="Calibri"/>
        </w:rPr>
        <w:t>9.</w:t>
      </w:r>
      <w:r w:rsidRPr="004B4359">
        <w:rPr>
          <w:rFonts w:ascii="Calibri" w:hAnsi="Calibri" w:cs="Calibri"/>
        </w:rPr>
        <w:tab/>
        <w:t xml:space="preserve">Mousavi, I., Olivier, T. &amp; Prasad, V. Cost per Event Averted in Cancer Trials in the Adjuvant Setting From 2018 to 2022. </w:t>
      </w:r>
      <w:r w:rsidRPr="004B4359">
        <w:rPr>
          <w:rFonts w:ascii="Calibri" w:hAnsi="Calibri" w:cs="Calibri"/>
          <w:i/>
          <w:iCs/>
        </w:rPr>
        <w:t>JAMA Netw. Open</w:t>
      </w:r>
      <w:r w:rsidRPr="004B4359">
        <w:rPr>
          <w:rFonts w:ascii="Calibri" w:hAnsi="Calibri" w:cs="Calibri"/>
        </w:rPr>
        <w:t xml:space="preserve"> </w:t>
      </w:r>
      <w:r w:rsidRPr="004B4359">
        <w:rPr>
          <w:rFonts w:ascii="Calibri" w:hAnsi="Calibri" w:cs="Calibri"/>
          <w:b/>
          <w:bCs/>
        </w:rPr>
        <w:t>5</w:t>
      </w:r>
      <w:r w:rsidRPr="004B4359">
        <w:rPr>
          <w:rFonts w:ascii="Calibri" w:hAnsi="Calibri" w:cs="Calibri"/>
        </w:rPr>
        <w:t>, e2216058 (2022).</w:t>
      </w:r>
    </w:p>
    <w:p w14:paraId="73465A93" w14:textId="3A3C0F35" w:rsidR="008B090B" w:rsidRPr="006F55D2" w:rsidRDefault="008B090B" w:rsidP="008B090B">
      <w:pPr>
        <w:pStyle w:val="Bibliography"/>
        <w:rPr>
          <w:b/>
        </w:rPr>
      </w:pPr>
      <w:r>
        <w:rPr>
          <w:b/>
        </w:rPr>
        <w:fldChar w:fldCharType="end"/>
      </w:r>
    </w:p>
    <w:p w14:paraId="77214C9D" w14:textId="77777777" w:rsidR="001A77E3" w:rsidRDefault="001A77E3"/>
    <w:sectPr w:rsidR="001A7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0B"/>
    <w:rsid w:val="000057D6"/>
    <w:rsid w:val="00006137"/>
    <w:rsid w:val="00010A07"/>
    <w:rsid w:val="000848C9"/>
    <w:rsid w:val="0009067F"/>
    <w:rsid w:val="000E7EF1"/>
    <w:rsid w:val="00161660"/>
    <w:rsid w:val="001A77E3"/>
    <w:rsid w:val="0023752C"/>
    <w:rsid w:val="00237AEC"/>
    <w:rsid w:val="002B0F3E"/>
    <w:rsid w:val="00384A06"/>
    <w:rsid w:val="003B6A29"/>
    <w:rsid w:val="00440E43"/>
    <w:rsid w:val="00496152"/>
    <w:rsid w:val="004B4359"/>
    <w:rsid w:val="00501298"/>
    <w:rsid w:val="0052406F"/>
    <w:rsid w:val="005E3546"/>
    <w:rsid w:val="00614D6A"/>
    <w:rsid w:val="00640235"/>
    <w:rsid w:val="00687E05"/>
    <w:rsid w:val="006A49EA"/>
    <w:rsid w:val="006B2076"/>
    <w:rsid w:val="00746515"/>
    <w:rsid w:val="007641C8"/>
    <w:rsid w:val="00787A54"/>
    <w:rsid w:val="0079409D"/>
    <w:rsid w:val="007B6A78"/>
    <w:rsid w:val="007D22BB"/>
    <w:rsid w:val="007F4135"/>
    <w:rsid w:val="008454CD"/>
    <w:rsid w:val="008A5829"/>
    <w:rsid w:val="008B090B"/>
    <w:rsid w:val="008B592D"/>
    <w:rsid w:val="008C5907"/>
    <w:rsid w:val="008F3EBC"/>
    <w:rsid w:val="008F5104"/>
    <w:rsid w:val="00903105"/>
    <w:rsid w:val="0097705A"/>
    <w:rsid w:val="009B074F"/>
    <w:rsid w:val="009F55C5"/>
    <w:rsid w:val="00A174B7"/>
    <w:rsid w:val="00A96C88"/>
    <w:rsid w:val="00A96DED"/>
    <w:rsid w:val="00AF003B"/>
    <w:rsid w:val="00B16DFA"/>
    <w:rsid w:val="00B44CBA"/>
    <w:rsid w:val="00B5666C"/>
    <w:rsid w:val="00B934C6"/>
    <w:rsid w:val="00BB1442"/>
    <w:rsid w:val="00BC537F"/>
    <w:rsid w:val="00BE0CD8"/>
    <w:rsid w:val="00C055DE"/>
    <w:rsid w:val="00C20BEE"/>
    <w:rsid w:val="00C54C7A"/>
    <w:rsid w:val="00C72586"/>
    <w:rsid w:val="00CB4F7B"/>
    <w:rsid w:val="00CC79D3"/>
    <w:rsid w:val="00CF0338"/>
    <w:rsid w:val="00CF1F27"/>
    <w:rsid w:val="00D260C5"/>
    <w:rsid w:val="00D57A7F"/>
    <w:rsid w:val="00D85A5A"/>
    <w:rsid w:val="00D86B26"/>
    <w:rsid w:val="00E15FA2"/>
    <w:rsid w:val="00E210C5"/>
    <w:rsid w:val="00E252BA"/>
    <w:rsid w:val="00E343F5"/>
    <w:rsid w:val="00E90164"/>
    <w:rsid w:val="00EA2F6A"/>
    <w:rsid w:val="00EE33F9"/>
    <w:rsid w:val="00F501FA"/>
    <w:rsid w:val="00F83081"/>
    <w:rsid w:val="00F8593A"/>
    <w:rsid w:val="00FB61E8"/>
    <w:rsid w:val="00FD0A4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2841"/>
  <w15:docId w15:val="{A2DAD61D-FF08-4226-8823-CD3A884A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90B"/>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8B090B"/>
    <w:pPr>
      <w:tabs>
        <w:tab w:val="left" w:pos="384"/>
      </w:tabs>
      <w:spacing w:after="0" w:line="480" w:lineRule="auto"/>
      <w:ind w:left="384" w:hanging="384"/>
    </w:pPr>
  </w:style>
  <w:style w:type="character" w:styleId="LineNumber">
    <w:name w:val="line number"/>
    <w:basedOn w:val="DefaultParagraphFont"/>
    <w:uiPriority w:val="99"/>
    <w:semiHidden/>
    <w:unhideWhenUsed/>
    <w:rsid w:val="00C20BEE"/>
  </w:style>
  <w:style w:type="paragraph" w:styleId="BalloonText">
    <w:name w:val="Balloon Text"/>
    <w:basedOn w:val="Normal"/>
    <w:link w:val="BalloonTextChar"/>
    <w:uiPriority w:val="99"/>
    <w:semiHidden/>
    <w:unhideWhenUsed/>
    <w:rsid w:val="009B0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74F"/>
    <w:rPr>
      <w:rFonts w:ascii="Segoe UI" w:eastAsiaTheme="minorHAnsi" w:hAnsi="Segoe UI" w:cs="Segoe UI"/>
      <w:sz w:val="18"/>
      <w:szCs w:val="18"/>
    </w:rPr>
  </w:style>
  <w:style w:type="paragraph" w:styleId="Revision">
    <w:name w:val="Revision"/>
    <w:hidden/>
    <w:uiPriority w:val="99"/>
    <w:semiHidden/>
    <w:rsid w:val="00FB61E8"/>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43669">
      <w:bodyDiv w:val="1"/>
      <w:marLeft w:val="0"/>
      <w:marRight w:val="0"/>
      <w:marTop w:val="0"/>
      <w:marBottom w:val="0"/>
      <w:divBdr>
        <w:top w:val="none" w:sz="0" w:space="0" w:color="auto"/>
        <w:left w:val="none" w:sz="0" w:space="0" w:color="auto"/>
        <w:bottom w:val="none" w:sz="0" w:space="0" w:color="auto"/>
        <w:right w:val="none" w:sz="0" w:space="0" w:color="auto"/>
      </w:divBdr>
    </w:div>
    <w:div w:id="1545557020">
      <w:bodyDiv w:val="1"/>
      <w:marLeft w:val="0"/>
      <w:marRight w:val="0"/>
      <w:marTop w:val="0"/>
      <w:marBottom w:val="0"/>
      <w:divBdr>
        <w:top w:val="none" w:sz="0" w:space="0" w:color="auto"/>
        <w:left w:val="none" w:sz="0" w:space="0" w:color="auto"/>
        <w:bottom w:val="none" w:sz="0" w:space="0" w:color="auto"/>
        <w:right w:val="none" w:sz="0" w:space="0" w:color="auto"/>
      </w:divBdr>
    </w:div>
    <w:div w:id="1819152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0322275\Downloads\Zotero%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addZoteroNote" Type="http://schemas.openxmlformats.org/officeDocument/2006/relationships/image" Target="images/addZoteroNote.png"/><Relationship Id="setZoteroDocPrefs" Type="http://schemas.openxmlformats.org/officeDocument/2006/relationships/image" Target="images/setZoteroDocPrefs.png"/><Relationship Id="addEditZoteroBibliography" Type="http://schemas.openxmlformats.org/officeDocument/2006/relationships/image" Target="images/addEditZoteroBibliography.png"/><Relationship Id="addEditZoteroCitation-small" Type="http://schemas.openxmlformats.org/officeDocument/2006/relationships/image" Target="images/addEditZoteroCitation-small.png"/><Relationship Id="zoteroz16" Type="http://schemas.openxmlformats.org/officeDocument/2006/relationships/image" Target="images/zotero-z-16.png"/><Relationship Id="addEditZoteroBibliography-small" Type="http://schemas.openxmlformats.org/officeDocument/2006/relationships/image" Target="images/addEditZoteroBibliography-small.png"/><Relationship Id="setZoteroDocPrefs-small" Type="http://schemas.openxmlformats.org/officeDocument/2006/relationships/image" Target="images/setZoteroDocPrefs-small.png"/><Relationship Id="addEditZoteroCitation" Type="http://schemas.openxmlformats.org/officeDocument/2006/relationships/image" Target="images/addEditZoteroCitation0.png"/></Relationships>
</file>

<file path=customUI/customUI.xml><?xml version="1.0" encoding="utf-8"?>
<customUI xmlns="http://schemas.microsoft.com/office/2006/01/customui">
  <ribbon>
    <tabs>
      <tab id="ZoteroTab" getLabel="ZoteroRibbon.ZoteroTabLabel" insertBeforeMso="TabAddIns">
        <group id="ZoteroGroup" image="zoteroz16" label="Zotero">
          <button id="InsertZoteroCitationButton" label="Add/Edit Citation" size="large" image="addEditZoteroCitation" onAction="ZoteroRibbon.ZoteroRibbonAddEditCitation" supertip="Insert a new citation, or edit the citation at the current cursor position"/>
          <button id="InsertZoteroNoteButton" label="Add Note" size="large" image="addZoteroNote" onAction="ZoteroRibbon.ZoteroRibbonAddNote" supertip="Insert a new note at the current cursor position"/>
          <button id="InsertZoteroBibliographyButton" label="Add/Edit Bibliography" size="large" image="addEditZoteroBibliography" onAction="ZoteroRibbon.ZoteroRibbonAddEditBibliography" supertip="Insert a new bibliography, or edit the existing bibliography, at the current cursor position"/>
          <button id="ZoteroSetDocPrefs" label="Document Preferences" image="setZoteroDocPrefs-small" onAction="ZoteroRibbon.ZoteroRibbonSetDocPrefs" supertip="Change the citation style or locale"/>
          <button id="RefreshZotero" label="Refresh" imageMso="RecordsRefreshRecords" onAction="ZoteroRibbon.ZoteroRibbonRefresh" supertip="Update all citations to reflect changes"/>
          <button id="ZoteroRemoveCodes" label="Unlink Citations" imageMso="TableUnlinkExternalData" onAction="ZoteroRibbon.ZoteroRibbonRemoveCodes" supertip="Remove all Zotero field codes and unlink from Zotero library"/>
          <!-- <button id="InsertZoteroCitationButtonSmall" visible="false" label="Add/Edit Citation" image="addEditZoteroCitation-small" onAction="ZoteroRibbon.ZoteroRibbonAddEditCitation" supertip="Insert a new citation, or edit the citation at the current cursor position"/>
	    <button id="InsertZoteroBibliographyButtonSmall" visible="false" label="Add/Edit Bibliography" size="large" image="addEditZoteroBibliography-small" onAction="ZoteroRibbon.ZoteroRibbonAddEditBibliography" supertip="Insert a new bibliography, or edit the existing bibliography, at the current cursor position"/>
          <button id="ZoteroSetDocPrefsLarge" visible="false" label="Document Preferences" size="large" image="setZoteroDocPrefs" onAction="ZoteroRibbon.ZoteroRibbonSetDocPrefs" supertip="Change the citation style or locale"/> -->
        </group>
      </tab>
    </tabs>
  </ribbon>
</customUI>
</file>

<file path=docProps/app.xml><?xml version="1.0" encoding="utf-8"?>
<Properties xmlns="http://schemas.openxmlformats.org/officeDocument/2006/extended-properties" xmlns:vt="http://schemas.openxmlformats.org/officeDocument/2006/docPropsVTypes">
  <Template>C:\Users\s0322275\Downloads\Zotero (1).dotm</Template>
  <TotalTime>26</TotalTime>
  <Pages>8</Pages>
  <Words>4908</Words>
  <Characters>27982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Khaki, Ali</dc:creator>
  <cp:lastModifiedBy>Lythgoe, Mark P</cp:lastModifiedBy>
  <cp:revision>4</cp:revision>
  <dcterms:created xsi:type="dcterms:W3CDTF">2022-12-07T17:49:00Z</dcterms:created>
  <dcterms:modified xsi:type="dcterms:W3CDTF">2023-01-11T11:43:00Z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id="vgsvMLT1"/&gt;&lt;style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