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DD3F1" w14:textId="77777777" w:rsidR="00EE4FD1" w:rsidRDefault="00EB0F94">
      <w:pPr>
        <w:spacing w:before="16"/>
        <w:ind w:left="3200" w:right="3200"/>
        <w:jc w:val="center"/>
        <w:rPr>
          <w:b/>
          <w:sz w:val="28"/>
        </w:rPr>
      </w:pPr>
      <w:r>
        <w:rPr>
          <w:b/>
          <w:sz w:val="28"/>
        </w:rPr>
        <w:t>Supplement Information</w:t>
      </w:r>
    </w:p>
    <w:p w14:paraId="4F3893C0" w14:textId="77777777" w:rsidR="00EE4FD1" w:rsidRDefault="00EE4FD1">
      <w:pPr>
        <w:pStyle w:val="BodyText"/>
        <w:spacing w:before="10"/>
        <w:rPr>
          <w:b/>
          <w:sz w:val="25"/>
        </w:rPr>
      </w:pPr>
    </w:p>
    <w:p w14:paraId="4889065D" w14:textId="77777777" w:rsidR="00EE4FD1" w:rsidRPr="00E76E08" w:rsidRDefault="00EB0F94" w:rsidP="00E76E08">
      <w:pPr>
        <w:pStyle w:val="ListParagraph"/>
        <w:numPr>
          <w:ilvl w:val="0"/>
          <w:numId w:val="3"/>
        </w:numPr>
        <w:tabs>
          <w:tab w:val="left" w:pos="839"/>
        </w:tabs>
        <w:rPr>
          <w:b/>
        </w:rPr>
      </w:pPr>
      <w:r w:rsidRPr="00E76E08">
        <w:rPr>
          <w:b/>
        </w:rPr>
        <w:t>Measurements of the optical</w:t>
      </w:r>
      <w:r w:rsidRPr="00E76E08">
        <w:rPr>
          <w:b/>
          <w:spacing w:val="1"/>
        </w:rPr>
        <w:t xml:space="preserve"> </w:t>
      </w:r>
      <w:r w:rsidRPr="00E76E08">
        <w:rPr>
          <w:b/>
        </w:rPr>
        <w:t>properties</w:t>
      </w:r>
    </w:p>
    <w:p w14:paraId="4BC600EA" w14:textId="77777777" w:rsidR="00EE4FD1" w:rsidRDefault="00EB0F94">
      <w:pPr>
        <w:pStyle w:val="BodyText"/>
        <w:spacing w:before="22" w:line="259" w:lineRule="auto"/>
        <w:ind w:left="118" w:right="111"/>
        <w:jc w:val="both"/>
      </w:pPr>
      <w:r>
        <w:t>The optical observations were performed by means of Oxford Cryosystems Metripol Birefringence Imaging System (known in the litertuare as Metripol setup). This system consists of a polarising microscope equipped with a polariser capable of rotating to fixed angles α from a reference position, a</w:t>
      </w:r>
      <w:r>
        <w:rPr>
          <w:spacing w:val="-14"/>
        </w:rPr>
        <w:t xml:space="preserve"> </w:t>
      </w:r>
      <w:r>
        <w:t>circularly</w:t>
      </w:r>
      <w:r>
        <w:rPr>
          <w:spacing w:val="-13"/>
        </w:rPr>
        <w:t xml:space="preserve"> </w:t>
      </w:r>
      <w:r>
        <w:t>polarising</w:t>
      </w:r>
      <w:r>
        <w:rPr>
          <w:spacing w:val="-15"/>
        </w:rPr>
        <w:t xml:space="preserve"> </w:t>
      </w:r>
      <w:r>
        <w:t>analyser</w:t>
      </w:r>
      <w:r>
        <w:rPr>
          <w:spacing w:val="-14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CCD</w:t>
      </w:r>
      <w:r>
        <w:rPr>
          <w:spacing w:val="-15"/>
        </w:rPr>
        <w:t xml:space="preserve"> </w:t>
      </w:r>
      <w:r>
        <w:t>camera.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sample</w:t>
      </w:r>
      <w:r>
        <w:rPr>
          <w:spacing w:val="-13"/>
        </w:rPr>
        <w:t xml:space="preserve"> </w:t>
      </w:r>
      <w:r>
        <w:t>is</w:t>
      </w:r>
      <w:r>
        <w:rPr>
          <w:spacing w:val="-14"/>
        </w:rPr>
        <w:t xml:space="preserve"> </w:t>
      </w:r>
      <w:r>
        <w:t>held</w:t>
      </w:r>
      <w:r>
        <w:rPr>
          <w:spacing w:val="-15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Linkam</w:t>
      </w:r>
      <w:r>
        <w:rPr>
          <w:spacing w:val="-15"/>
        </w:rPr>
        <w:t xml:space="preserve"> </w:t>
      </w:r>
      <w:r>
        <w:t>THMS600E</w:t>
      </w:r>
      <w:r>
        <w:rPr>
          <w:spacing w:val="-16"/>
        </w:rPr>
        <w:t xml:space="preserve"> </w:t>
      </w:r>
      <w:r>
        <w:t>temperature microscope stage, which maintains a constant temperature to within 0.1</w:t>
      </w:r>
      <w:r>
        <w:rPr>
          <w:spacing w:val="-10"/>
        </w:rPr>
        <w:t xml:space="preserve"> </w:t>
      </w:r>
      <w:r>
        <w:t>K.</w:t>
      </w:r>
    </w:p>
    <w:p w14:paraId="061DF6C4" w14:textId="77777777" w:rsidR="00EE4FD1" w:rsidRPr="007A5797" w:rsidRDefault="00EB0F94" w:rsidP="007A5797">
      <w:pPr>
        <w:pStyle w:val="BodyText"/>
        <w:ind w:left="118" w:right="110" w:firstLine="201"/>
        <w:jc w:val="both"/>
      </w:pPr>
      <w:r>
        <w:t xml:space="preserve">The principle of the measuring technique is that the light first passes through the polariser. Next, the polarised wave passes through an anisotropic crystal of thickness </w:t>
      </w:r>
      <w:r>
        <w:rPr>
          <w:b/>
          <w:bCs/>
        </w:rPr>
        <w:t>h</w:t>
      </w:r>
      <w:r>
        <w:t xml:space="preserve">. Birefringence results from anisotropy within the sample, leading to a variation of the refractive index </w:t>
      </w:r>
      <w:r>
        <w:rPr>
          <w:b/>
          <w:bCs/>
        </w:rPr>
        <w:t>n</w:t>
      </w:r>
      <w:r>
        <w:t xml:space="preserve">. An indicatrix represents </w:t>
      </w:r>
      <w:r>
        <w:rPr>
          <w:position w:val="2"/>
        </w:rPr>
        <w:t>this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variation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with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three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principal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refractive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indices</w:t>
      </w:r>
      <w:r>
        <w:rPr>
          <w:spacing w:val="-5"/>
          <w:position w:val="2"/>
        </w:rPr>
        <w:t xml:space="preserve"> </w:t>
      </w:r>
      <w:r>
        <w:rPr>
          <w:b/>
          <w:bCs/>
          <w:position w:val="2"/>
        </w:rPr>
        <w:t>n</w:t>
      </w:r>
      <w:r>
        <w:rPr>
          <w:b/>
          <w:bCs/>
          <w:sz w:val="14"/>
          <w:szCs w:val="14"/>
        </w:rPr>
        <w:t>1</w:t>
      </w:r>
      <w:r>
        <w:rPr>
          <w:b/>
          <w:bCs/>
          <w:position w:val="2"/>
        </w:rPr>
        <w:t>,</w:t>
      </w:r>
      <w:r>
        <w:rPr>
          <w:b/>
          <w:bCs/>
          <w:spacing w:val="-8"/>
          <w:position w:val="2"/>
        </w:rPr>
        <w:t xml:space="preserve"> </w:t>
      </w:r>
      <w:r>
        <w:rPr>
          <w:b/>
          <w:bCs/>
          <w:position w:val="2"/>
        </w:rPr>
        <w:t>n</w:t>
      </w:r>
      <w:r>
        <w:rPr>
          <w:b/>
          <w:bCs/>
          <w:sz w:val="14"/>
          <w:szCs w:val="14"/>
        </w:rPr>
        <w:t>2</w:t>
      </w:r>
      <w:r>
        <w:rPr>
          <w:b/>
          <w:bCs/>
          <w:spacing w:val="12"/>
          <w:sz w:val="14"/>
          <w:szCs w:val="14"/>
        </w:rPr>
        <w:t xml:space="preserve"> </w:t>
      </w:r>
      <w:r>
        <w:rPr>
          <w:position w:val="2"/>
        </w:rPr>
        <w:t>and</w:t>
      </w:r>
      <w:r>
        <w:rPr>
          <w:spacing w:val="-7"/>
          <w:position w:val="2"/>
        </w:rPr>
        <w:t xml:space="preserve"> </w:t>
      </w:r>
      <w:r>
        <w:rPr>
          <w:b/>
          <w:bCs/>
          <w:position w:val="2"/>
        </w:rPr>
        <w:t>n</w:t>
      </w:r>
      <w:r>
        <w:rPr>
          <w:b/>
          <w:bCs/>
          <w:sz w:val="14"/>
          <w:szCs w:val="14"/>
        </w:rPr>
        <w:t>3</w:t>
      </w:r>
      <w:r>
        <w:rPr>
          <w:position w:val="2"/>
        </w:rPr>
        <w:t>.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For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any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given</w:t>
      </w:r>
      <w:r>
        <w:rPr>
          <w:spacing w:val="-7"/>
          <w:position w:val="2"/>
        </w:rPr>
        <w:t xml:space="preserve"> </w:t>
      </w:r>
      <w:r>
        <w:rPr>
          <w:position w:val="2"/>
        </w:rPr>
        <w:t>incident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light</w:t>
      </w:r>
      <w:r>
        <w:rPr>
          <w:spacing w:val="-5"/>
          <w:position w:val="2"/>
        </w:rPr>
        <w:t xml:space="preserve"> </w:t>
      </w:r>
      <w:r>
        <w:rPr>
          <w:position w:val="2"/>
        </w:rPr>
        <w:t xml:space="preserve">direction, </w:t>
      </w:r>
      <w:r>
        <w:t xml:space="preserve">the perpendicular cross-section of the indicatrix will generally have the form of an ellipse. The </w:t>
      </w:r>
      <w:r>
        <w:rPr>
          <w:position w:val="2"/>
        </w:rPr>
        <w:t xml:space="preserve">difference in the lengths of the ellipse axes is equal to </w:t>
      </w:r>
      <w:r>
        <w:rPr>
          <w:b/>
          <w:bCs/>
          <w:position w:val="2"/>
        </w:rPr>
        <w:t>Δn = n</w:t>
      </w:r>
      <w:r>
        <w:rPr>
          <w:b/>
          <w:bCs/>
          <w:sz w:val="14"/>
          <w:szCs w:val="14"/>
        </w:rPr>
        <w:t xml:space="preserve">1 </w:t>
      </w:r>
      <w:r>
        <w:rPr>
          <w:b/>
          <w:bCs/>
          <w:position w:val="2"/>
        </w:rPr>
        <w:t>- n</w:t>
      </w:r>
      <w:r>
        <w:rPr>
          <w:b/>
          <w:bCs/>
          <w:sz w:val="14"/>
          <w:szCs w:val="14"/>
        </w:rPr>
        <w:t>2</w:t>
      </w:r>
      <w:r>
        <w:rPr>
          <w:position w:val="2"/>
        </w:rPr>
        <w:t xml:space="preserve">. Together with the inclination </w:t>
      </w:r>
      <w:r>
        <w:rPr>
          <w:b/>
          <w:bCs/>
          <w:position w:val="2"/>
        </w:rPr>
        <w:t xml:space="preserve">ϕ </w:t>
      </w:r>
      <w:r>
        <w:rPr>
          <w:position w:val="2"/>
        </w:rPr>
        <w:t xml:space="preserve">of </w:t>
      </w:r>
      <w:r>
        <w:t>the</w:t>
      </w:r>
      <w:r>
        <w:rPr>
          <w:spacing w:val="-8"/>
        </w:rPr>
        <w:t xml:space="preserve"> </w:t>
      </w:r>
      <w:r>
        <w:t>indicatrix,</w:t>
      </w:r>
      <w:r>
        <w:rPr>
          <w:spacing w:val="-9"/>
        </w:rPr>
        <w:t xml:space="preserve"> </w:t>
      </w:r>
      <w:r>
        <w:t>it</w:t>
      </w:r>
      <w:r>
        <w:rPr>
          <w:spacing w:val="-8"/>
        </w:rPr>
        <w:t xml:space="preserve"> </w:t>
      </w:r>
      <w:r>
        <w:t>produces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optical</w:t>
      </w:r>
      <w:r>
        <w:rPr>
          <w:spacing w:val="-9"/>
        </w:rPr>
        <w:t xml:space="preserve"> </w:t>
      </w:r>
      <w:r>
        <w:t>retardation</w:t>
      </w:r>
      <w:r>
        <w:rPr>
          <w:spacing w:val="-9"/>
        </w:rPr>
        <w:t xml:space="preserve"> </w:t>
      </w:r>
      <w:r>
        <w:t>(phase</w:t>
      </w:r>
      <w:r>
        <w:rPr>
          <w:spacing w:val="-8"/>
        </w:rPr>
        <w:t xml:space="preserve"> </w:t>
      </w:r>
      <w:r>
        <w:t>shift)</w:t>
      </w:r>
      <w:r>
        <w:rPr>
          <w:spacing w:val="-8"/>
        </w:rPr>
        <w:t xml:space="preserve"> </w:t>
      </w:r>
      <w:r>
        <w:rPr>
          <w:b/>
          <w:bCs/>
        </w:rPr>
        <w:t>δ</w:t>
      </w:r>
      <w:r>
        <w:rPr>
          <w:b/>
          <w:bCs/>
          <w:spacing w:val="-9"/>
        </w:rPr>
        <w:t xml:space="preserve"> </w:t>
      </w:r>
      <w:r>
        <w:t>within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sample</w:t>
      </w:r>
      <w:r>
        <w:rPr>
          <w:spacing w:val="-8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appears</w:t>
      </w:r>
      <w:r>
        <w:rPr>
          <w:spacing w:val="-9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 xml:space="preserve">the particular direction of light. This retardation can be measured by registering the  light  intensity  </w:t>
      </w:r>
      <w:r>
        <w:rPr>
          <w:b/>
          <w:bCs/>
        </w:rPr>
        <w:t xml:space="preserve">I  </w:t>
      </w:r>
      <w:r>
        <w:rPr>
          <w:spacing w:val="-4"/>
        </w:rPr>
        <w:t xml:space="preserve">by </w:t>
      </w:r>
      <w:r>
        <w:t>a CCD</w:t>
      </w:r>
      <w:r>
        <w:rPr>
          <w:spacing w:val="-2"/>
        </w:rPr>
        <w:t xml:space="preserve"> </w:t>
      </w:r>
      <w:r>
        <w:t>camera:</w:t>
      </w:r>
    </w:p>
    <w:p w14:paraId="469063F1" w14:textId="77777777" w:rsidR="007A5797" w:rsidRPr="007A5797" w:rsidRDefault="007A5797" w:rsidP="007A5797">
      <w:pPr>
        <w:rPr>
          <w:sz w:val="20"/>
          <w:szCs w:val="20"/>
        </w:rPr>
      </w:pPr>
      <m:oMathPara>
        <m:oMath>
          <m:r>
            <m:rPr>
              <m:sty m:val="b"/>
            </m:rPr>
            <w:rPr>
              <w:rFonts w:ascii="Cambria Math" w:hAnsi="Cambria Math"/>
              <w:sz w:val="20"/>
              <w:szCs w:val="20"/>
            </w:rPr>
            <m:t xml:space="preserve">I= </m:t>
          </m:r>
          <m:f>
            <m:fPr>
              <m:ctrlPr>
                <w:rPr>
                  <w:rFonts w:ascii="Cambria Math" w:hAnsi="Cambria Math"/>
                  <w:b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0"/>
                      <w:szCs w:val="20"/>
                    </w:rPr>
                    <m:t>I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b>
              </m:sSub>
            </m:num>
            <m:den>
              <m:r>
                <m:rPr>
                  <m:sty m:val="b"/>
                </m:rPr>
                <w:rPr>
                  <w:rFonts w:ascii="Cambria Math" w:hAnsi="Cambria Math"/>
                  <w:sz w:val="20"/>
                  <w:szCs w:val="20"/>
                </w:rPr>
                <m:t>2</m:t>
              </m:r>
            </m:den>
          </m:f>
          <m:r>
            <m:rPr>
              <m:sty m:val="b"/>
            </m:rPr>
            <w:rPr>
              <w:rFonts w:ascii="Cambria Math" w:hAnsi="Cambria Math"/>
              <w:sz w:val="20"/>
              <w:szCs w:val="20"/>
            </w:rPr>
            <m:t xml:space="preserve"> [1</m:t>
          </m:r>
          <m:r>
            <m:rPr>
              <m:sty m:val="p"/>
            </m:rPr>
            <w:rPr>
              <w:rFonts w:ascii="Cambria Math" w:hAnsi="Cambria Math"/>
              <w:sz w:val="20"/>
              <w:szCs w:val="20"/>
            </w:rPr>
            <m:t>+</m:t>
          </m:r>
          <m:r>
            <m:rPr>
              <m:sty m:val="b"/>
            </m:rPr>
            <w:rPr>
              <w:rFonts w:ascii="Cambria Math" w:hAnsi="Cambria Math"/>
              <w:sz w:val="20"/>
              <w:szCs w:val="20"/>
            </w:rPr>
            <m:t>sin</m:t>
          </m:r>
          <m:r>
            <m:rPr>
              <m:sty m:val="p"/>
            </m:rPr>
            <w:rPr>
              <w:rFonts w:ascii="Cambria Math" w:hAnsi="Cambria Math"/>
              <w:sz w:val="20"/>
              <w:szCs w:val="20"/>
            </w:rPr>
            <m:t>(</m:t>
          </m:r>
          <m:r>
            <m:rPr>
              <m:sty m:val="b"/>
            </m:rPr>
            <w:rPr>
              <w:rFonts w:ascii="Cambria Math" w:hAnsi="Cambria Math"/>
              <w:sz w:val="20"/>
              <w:szCs w:val="20"/>
            </w:rPr>
            <m:t>2ϕ</m:t>
          </m:r>
          <m:r>
            <m:rPr>
              <m:sty m:val="p"/>
            </m:rPr>
            <w:rPr>
              <w:rFonts w:ascii="Cambria Math" w:hAnsi="Cambria Math"/>
              <w:sz w:val="20"/>
              <w:szCs w:val="20"/>
            </w:rPr>
            <m:t>-</m:t>
          </m:r>
          <m:r>
            <m:rPr>
              <m:sty m:val="b"/>
            </m:rPr>
            <w:rPr>
              <w:rFonts w:ascii="Cambria Math" w:hAnsi="Cambria Math"/>
              <w:sz w:val="20"/>
              <w:szCs w:val="20"/>
            </w:rPr>
            <m:t>2α</m:t>
          </m:r>
          <m:r>
            <m:rPr>
              <m:sty m:val="p"/>
            </m:rPr>
            <w:rPr>
              <w:rFonts w:ascii="Cambria Math" w:hAnsi="Cambria Math"/>
              <w:sz w:val="20"/>
              <w:szCs w:val="20"/>
            </w:rPr>
            <m:t>)</m:t>
          </m:r>
          <m:r>
            <m:rPr>
              <m:sty m:val="b"/>
            </m:rPr>
            <w:rPr>
              <w:rFonts w:ascii="Cambria Math" w:hAnsi="Cambria Math"/>
              <w:sz w:val="20"/>
              <w:szCs w:val="20"/>
            </w:rPr>
            <m:t>sinδ</m:t>
          </m:r>
          <m:r>
            <m:rPr>
              <m:sty m:val="p"/>
            </m:rPr>
            <w:rPr>
              <w:rFonts w:ascii="Cambria Math" w:hAnsi="Cambria Math"/>
              <w:sz w:val="20"/>
              <w:szCs w:val="20"/>
            </w:rPr>
            <m:t>],</m:t>
          </m:r>
        </m:oMath>
      </m:oMathPara>
    </w:p>
    <w:p w14:paraId="1BD74AB6" w14:textId="77777777" w:rsidR="007A5797" w:rsidRDefault="007A5797">
      <w:pPr>
        <w:pStyle w:val="BodyText"/>
        <w:spacing w:before="11" w:line="250" w:lineRule="exact"/>
        <w:ind w:left="118" w:right="114"/>
        <w:jc w:val="both"/>
        <w:rPr>
          <w:position w:val="2"/>
        </w:rPr>
      </w:pPr>
    </w:p>
    <w:p w14:paraId="2D59E15D" w14:textId="77777777" w:rsidR="00EE4FD1" w:rsidRDefault="00EB0F94">
      <w:pPr>
        <w:pStyle w:val="BodyText"/>
        <w:spacing w:before="11" w:line="250" w:lineRule="exact"/>
        <w:ind w:left="118" w:right="114"/>
        <w:jc w:val="both"/>
      </w:pPr>
      <w:r>
        <w:rPr>
          <w:position w:val="2"/>
        </w:rPr>
        <w:t xml:space="preserve">where </w:t>
      </w:r>
      <w:r>
        <w:rPr>
          <w:b/>
          <w:bCs/>
          <w:position w:val="2"/>
        </w:rPr>
        <w:t>I</w:t>
      </w:r>
      <w:r>
        <w:rPr>
          <w:b/>
          <w:bCs/>
          <w:sz w:val="14"/>
          <w:szCs w:val="14"/>
        </w:rPr>
        <w:t xml:space="preserve">0 </w:t>
      </w:r>
      <w:r>
        <w:rPr>
          <w:position w:val="2"/>
        </w:rPr>
        <w:t xml:space="preserve">is the intensity of unpolarised light passing through the sample, </w:t>
      </w:r>
      <w:r>
        <w:rPr>
          <w:b/>
          <w:bCs/>
          <w:position w:val="2"/>
        </w:rPr>
        <w:t xml:space="preserve">α </w:t>
      </w:r>
      <w:r>
        <w:rPr>
          <w:position w:val="2"/>
        </w:rPr>
        <w:t xml:space="preserve">is the angular position of </w:t>
      </w:r>
      <w:r>
        <w:t>the analyser as it rotates, and ϕ is the angle of the principal axis of the indicatrix (optical orientation)</w:t>
      </w:r>
    </w:p>
    <w:p w14:paraId="6C277DEE" w14:textId="77777777" w:rsidR="00EE4FD1" w:rsidRDefault="00EB0F94">
      <w:pPr>
        <w:pStyle w:val="BodyText"/>
        <w:spacing w:before="8"/>
        <w:ind w:left="118" w:right="112"/>
        <w:jc w:val="both"/>
      </w:pPr>
      <w:r>
        <w:t xml:space="preserve">for a predetermined position. The </w:t>
      </w:r>
      <w:r>
        <w:rPr>
          <w:b/>
          <w:bCs/>
        </w:rPr>
        <w:t xml:space="preserve">ϕ </w:t>
      </w:r>
      <w:r>
        <w:t xml:space="preserve">is defined as the angle measured anticlockwise from the horizontal direction of the microscope stage to the slow (longer) axis of the indicatrix. The difference in refractive indexes introduces  phase  shift </w:t>
      </w:r>
      <w:r>
        <w:rPr>
          <w:b/>
          <w:bCs/>
        </w:rPr>
        <w:t xml:space="preserve">δ  =(2π/λ)*Δn*h </w:t>
      </w:r>
      <w:r>
        <w:t xml:space="preserve">to  the  light  rays on  passing  through a sample of thickness </w:t>
      </w:r>
      <w:r>
        <w:rPr>
          <w:b/>
          <w:bCs/>
        </w:rPr>
        <w:t>h</w:t>
      </w:r>
      <w:r>
        <w:t xml:space="preserve">. By measuring several images with varying positions </w:t>
      </w:r>
      <w:r>
        <w:rPr>
          <w:b/>
          <w:bCs/>
        </w:rPr>
        <w:t xml:space="preserve">α </w:t>
      </w:r>
      <w:r>
        <w:t xml:space="preserve">of the polariser, it is </w:t>
      </w:r>
      <w:r>
        <w:rPr>
          <w:position w:val="2"/>
        </w:rPr>
        <w:t>possible</w:t>
      </w:r>
      <w:r>
        <w:rPr>
          <w:spacing w:val="-16"/>
          <w:position w:val="2"/>
        </w:rPr>
        <w:t xml:space="preserve"> </w:t>
      </w:r>
      <w:r>
        <w:rPr>
          <w:position w:val="2"/>
        </w:rPr>
        <w:t>to</w:t>
      </w:r>
      <w:r>
        <w:rPr>
          <w:spacing w:val="-12"/>
          <w:position w:val="2"/>
        </w:rPr>
        <w:t xml:space="preserve"> </w:t>
      </w:r>
      <w:r>
        <w:rPr>
          <w:position w:val="2"/>
        </w:rPr>
        <w:t>refine</w:t>
      </w:r>
      <w:r>
        <w:rPr>
          <w:spacing w:val="-16"/>
          <w:position w:val="2"/>
        </w:rPr>
        <w:t xml:space="preserve"> </w:t>
      </w:r>
      <w:r>
        <w:rPr>
          <w:position w:val="2"/>
        </w:rPr>
        <w:t>the</w:t>
      </w:r>
      <w:r>
        <w:rPr>
          <w:spacing w:val="-12"/>
          <w:position w:val="2"/>
        </w:rPr>
        <w:t xml:space="preserve"> </w:t>
      </w:r>
      <w:r>
        <w:rPr>
          <w:position w:val="2"/>
        </w:rPr>
        <w:t>quantities</w:t>
      </w:r>
      <w:r>
        <w:rPr>
          <w:spacing w:val="-16"/>
          <w:position w:val="2"/>
        </w:rPr>
        <w:t xml:space="preserve"> </w:t>
      </w:r>
      <w:r>
        <w:rPr>
          <w:b/>
          <w:bCs/>
          <w:position w:val="2"/>
        </w:rPr>
        <w:t>I</w:t>
      </w:r>
      <w:r>
        <w:rPr>
          <w:b/>
          <w:bCs/>
          <w:sz w:val="14"/>
          <w:szCs w:val="14"/>
        </w:rPr>
        <w:t>0</w:t>
      </w:r>
      <w:r>
        <w:rPr>
          <w:position w:val="2"/>
        </w:rPr>
        <w:t>,</w:t>
      </w:r>
      <w:r>
        <w:rPr>
          <w:b/>
          <w:bCs/>
          <w:position w:val="2"/>
        </w:rPr>
        <w:t>|sinδ|</w:t>
      </w:r>
      <w:r>
        <w:rPr>
          <w:position w:val="2"/>
        </w:rPr>
        <w:t>and</w:t>
      </w:r>
      <w:r>
        <w:rPr>
          <w:spacing w:val="-14"/>
          <w:position w:val="2"/>
        </w:rPr>
        <w:t xml:space="preserve"> </w:t>
      </w:r>
      <w:r>
        <w:rPr>
          <w:b/>
          <w:bCs/>
          <w:position w:val="2"/>
        </w:rPr>
        <w:t>ϕ</w:t>
      </w:r>
      <w:r>
        <w:rPr>
          <w:b/>
          <w:bCs/>
          <w:spacing w:val="-15"/>
          <w:position w:val="2"/>
        </w:rPr>
        <w:t xml:space="preserve"> </w:t>
      </w:r>
      <w:r>
        <w:rPr>
          <w:position w:val="2"/>
        </w:rPr>
        <w:t>at</w:t>
      </w:r>
      <w:r>
        <w:rPr>
          <w:spacing w:val="-15"/>
          <w:position w:val="2"/>
        </w:rPr>
        <w:t xml:space="preserve"> </w:t>
      </w:r>
      <w:r>
        <w:rPr>
          <w:position w:val="2"/>
        </w:rPr>
        <w:t>each</w:t>
      </w:r>
      <w:r>
        <w:rPr>
          <w:spacing w:val="-16"/>
          <w:position w:val="2"/>
        </w:rPr>
        <w:t xml:space="preserve"> </w:t>
      </w:r>
      <w:r>
        <w:rPr>
          <w:position w:val="2"/>
        </w:rPr>
        <w:t>pixel</w:t>
      </w:r>
      <w:r>
        <w:rPr>
          <w:spacing w:val="-14"/>
          <w:position w:val="2"/>
        </w:rPr>
        <w:t xml:space="preserve"> </w:t>
      </w:r>
      <w:r>
        <w:rPr>
          <w:position w:val="2"/>
        </w:rPr>
        <w:t>position</w:t>
      </w:r>
      <w:r>
        <w:rPr>
          <w:spacing w:val="-16"/>
          <w:position w:val="2"/>
        </w:rPr>
        <w:t xml:space="preserve"> </w:t>
      </w:r>
      <w:r>
        <w:rPr>
          <w:position w:val="2"/>
        </w:rPr>
        <w:t>within</w:t>
      </w:r>
      <w:r>
        <w:rPr>
          <w:spacing w:val="-15"/>
          <w:position w:val="2"/>
        </w:rPr>
        <w:t xml:space="preserve"> </w:t>
      </w:r>
      <w:r>
        <w:rPr>
          <w:position w:val="2"/>
        </w:rPr>
        <w:t>the</w:t>
      </w:r>
      <w:r>
        <w:rPr>
          <w:spacing w:val="-12"/>
          <w:position w:val="2"/>
        </w:rPr>
        <w:t xml:space="preserve"> </w:t>
      </w:r>
      <w:r>
        <w:rPr>
          <w:position w:val="2"/>
        </w:rPr>
        <w:t>image,</w:t>
      </w:r>
      <w:r>
        <w:rPr>
          <w:spacing w:val="-14"/>
          <w:position w:val="2"/>
        </w:rPr>
        <w:t xml:space="preserve"> </w:t>
      </w:r>
      <w:r>
        <w:rPr>
          <w:position w:val="2"/>
        </w:rPr>
        <w:t>and</w:t>
      </w:r>
      <w:r>
        <w:rPr>
          <w:spacing w:val="-14"/>
          <w:position w:val="2"/>
        </w:rPr>
        <w:t xml:space="preserve"> </w:t>
      </w:r>
      <w:r>
        <w:rPr>
          <w:position w:val="2"/>
        </w:rPr>
        <w:t xml:space="preserve">false-colour </w:t>
      </w:r>
      <w:r>
        <w:t xml:space="preserve">images (maps) can be constructed of these quantities. In this way, the spatial variation of the optical retardation and indicatrix orientation can be seen simultaneously. Moreover, the setup enables calculating </w:t>
      </w:r>
      <w:r>
        <w:rPr>
          <w:b/>
          <w:bCs/>
        </w:rPr>
        <w:t xml:space="preserve">ϕ </w:t>
      </w:r>
      <w:r>
        <w:t xml:space="preserve">within the range of each degree in the range from </w:t>
      </w:r>
      <w:r>
        <w:rPr>
          <w:b/>
          <w:bCs/>
        </w:rPr>
        <w:t>0</w:t>
      </w:r>
      <w:r>
        <w:rPr>
          <w:b/>
          <w:bCs/>
          <w:vertAlign w:val="superscript"/>
        </w:rPr>
        <w:t>o</w:t>
      </w:r>
      <w:r>
        <w:rPr>
          <w:b/>
          <w:bCs/>
        </w:rPr>
        <w:t xml:space="preserve"> </w:t>
      </w:r>
      <w:r>
        <w:t xml:space="preserve">to </w:t>
      </w:r>
      <w:r>
        <w:rPr>
          <w:b/>
          <w:bCs/>
        </w:rPr>
        <w:t>180</w:t>
      </w:r>
      <w:r>
        <w:rPr>
          <w:b/>
          <w:bCs/>
          <w:vertAlign w:val="superscript"/>
        </w:rPr>
        <w:t>o</w:t>
      </w:r>
      <w:r>
        <w:t xml:space="preserve">. This option was used </w:t>
      </w:r>
      <w:r>
        <w:rPr>
          <w:spacing w:val="-3"/>
        </w:rPr>
        <w:t xml:space="preserve">to </w:t>
      </w:r>
      <w:r>
        <w:t>find the population of indicatrix orientations representing complex domains structure in the investigated PZT single</w:t>
      </w:r>
      <w:r>
        <w:rPr>
          <w:spacing w:val="-5"/>
        </w:rPr>
        <w:t xml:space="preserve"> </w:t>
      </w:r>
      <w:r>
        <w:t>crystal.</w:t>
      </w:r>
    </w:p>
    <w:p w14:paraId="421708CD" w14:textId="77777777" w:rsidR="00EE4FD1" w:rsidRDefault="00EB0F94">
      <w:pPr>
        <w:pStyle w:val="BodyText"/>
        <w:spacing w:before="5"/>
        <w:rPr>
          <w:sz w:val="11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7F68AA4D" wp14:editId="6D5A3DC9">
            <wp:simplePos x="0" y="0"/>
            <wp:positionH relativeFrom="page">
              <wp:posOffset>1036955</wp:posOffset>
            </wp:positionH>
            <wp:positionV relativeFrom="paragraph">
              <wp:posOffset>113488</wp:posOffset>
            </wp:positionV>
            <wp:extent cx="5290563" cy="3800189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90563" cy="38001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B96556" w14:textId="77777777" w:rsidR="00EE4FD1" w:rsidRDefault="00EE4FD1">
      <w:pPr>
        <w:rPr>
          <w:sz w:val="11"/>
        </w:rPr>
        <w:sectPr w:rsidR="00EE4FD1" w:rsidSect="00CB4D3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10" w:h="16840"/>
          <w:pgMar w:top="720" w:right="720" w:bottom="720" w:left="720" w:header="708" w:footer="708" w:gutter="0"/>
          <w:cols w:space="708"/>
          <w:docGrid w:linePitch="299"/>
        </w:sectPr>
      </w:pPr>
    </w:p>
    <w:p w14:paraId="4B7144F2" w14:textId="77777777" w:rsidR="00EE4FD1" w:rsidRPr="00E76E08" w:rsidRDefault="00EB0F94" w:rsidP="00E76E08">
      <w:pPr>
        <w:pStyle w:val="ListParagraph"/>
        <w:numPr>
          <w:ilvl w:val="0"/>
          <w:numId w:val="3"/>
        </w:numPr>
        <w:tabs>
          <w:tab w:val="left" w:pos="839"/>
        </w:tabs>
        <w:rPr>
          <w:b/>
        </w:rPr>
      </w:pPr>
      <w:r w:rsidRPr="00E76E08">
        <w:rPr>
          <w:b/>
        </w:rPr>
        <w:lastRenderedPageBreak/>
        <w:t>Piezoelectric resonances before and after AC field action</w:t>
      </w:r>
    </w:p>
    <w:p w14:paraId="536ED44D" w14:textId="77777777" w:rsidR="00EE4FD1" w:rsidRPr="00E76E08" w:rsidRDefault="00EB0F94" w:rsidP="00E76E08">
      <w:pPr>
        <w:spacing w:before="22"/>
        <w:ind w:left="118" w:right="112"/>
        <w:jc w:val="both"/>
      </w:pPr>
      <w:r w:rsidRPr="00EB0F94">
        <w:t xml:space="preserve">The  modulus  |Y|  of  the  complex  admittance  as  a  function  of  frequency  at  300K  for </w:t>
      </w:r>
      <w:r w:rsidRPr="00E76E08">
        <w:t>a</w:t>
      </w:r>
      <w:r w:rsidR="00E76E08" w:rsidRPr="00E76E08">
        <w:t> </w:t>
      </w:r>
      <w:r w:rsidRPr="00E76E08">
        <w:t>PbZr</w:t>
      </w:r>
      <w:r w:rsidRPr="00E76E08">
        <w:rPr>
          <w:vertAlign w:val="subscript"/>
        </w:rPr>
        <w:t>0.54</w:t>
      </w:r>
      <w:r w:rsidRPr="00E76E08">
        <w:t>Ti</w:t>
      </w:r>
      <w:r w:rsidR="00E76E08" w:rsidRPr="00E76E08">
        <w:rPr>
          <w:vertAlign w:val="subscript"/>
        </w:rPr>
        <w:t>0.</w:t>
      </w:r>
      <w:r w:rsidRPr="00E76E08">
        <w:rPr>
          <w:vertAlign w:val="subscript"/>
        </w:rPr>
        <w:t>46</w:t>
      </w:r>
      <w:r w:rsidRPr="00E76E08">
        <w:t>O</w:t>
      </w:r>
      <w:r w:rsidRPr="00E76E08">
        <w:rPr>
          <w:vertAlign w:val="subscript"/>
        </w:rPr>
        <w:t>3</w:t>
      </w:r>
      <w:r w:rsidRPr="00E76E08">
        <w:t xml:space="preserve"> single crystal, before (red points) and after (black points) measurements in the AC field is shown in the Figure below. The inset shows the dependence of the phase angle θ as a</w:t>
      </w:r>
      <w:r w:rsidR="00E76E08">
        <w:t> </w:t>
      </w:r>
      <w:r w:rsidRPr="00E76E08">
        <w:t>function of frequency. A small shift observed in the resonant frequencies, relative to those in Figure 5 in the main text, was because of the hard-to-avoid thermostat capacitance, in which simultaneous measurement of the d</w:t>
      </w:r>
      <w:r w:rsidRPr="00E76E08">
        <w:rPr>
          <w:vertAlign w:val="subscript"/>
        </w:rPr>
        <w:t>33</w:t>
      </w:r>
      <w:r w:rsidRPr="00E76E08">
        <w:t xml:space="preserve"> and d</w:t>
      </w:r>
      <w:r w:rsidRPr="00E76E08">
        <w:rPr>
          <w:vertAlign w:val="subscript"/>
        </w:rPr>
        <w:t>31</w:t>
      </w:r>
      <w:r w:rsidRPr="00E76E08">
        <w:t xml:space="preserve"> was </w:t>
      </w:r>
      <w:r w:rsidR="007A5797" w:rsidRPr="00E76E08">
        <w:t>performe</w:t>
      </w:r>
      <w:r w:rsidR="00E76E08">
        <w:t>d</w:t>
      </w:r>
      <w:r w:rsidR="007A5797" w:rsidRPr="00E76E08">
        <w:t>.</w:t>
      </w:r>
    </w:p>
    <w:p w14:paraId="5DD36663" w14:textId="77777777" w:rsidR="00EE4FD1" w:rsidRPr="00EB0F94" w:rsidRDefault="00EB0F94" w:rsidP="00E76E08">
      <w:pPr>
        <w:pStyle w:val="BodyText"/>
        <w:spacing w:before="10"/>
        <w:ind w:left="118"/>
      </w:pPr>
      <w:r w:rsidRPr="00EB0F94">
        <w:rPr>
          <w:noProof/>
        </w:rPr>
        <w:drawing>
          <wp:anchor distT="0" distB="0" distL="0" distR="0" simplePos="0" relativeHeight="251659264" behindDoc="0" locked="0" layoutInCell="1" allowOverlap="1" wp14:anchorId="3A0144ED" wp14:editId="5DBE0A25">
            <wp:simplePos x="0" y="0"/>
            <wp:positionH relativeFrom="page">
              <wp:posOffset>2163488</wp:posOffset>
            </wp:positionH>
            <wp:positionV relativeFrom="paragraph">
              <wp:posOffset>194375</wp:posOffset>
            </wp:positionV>
            <wp:extent cx="3096710" cy="2657094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6710" cy="26570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0BCAB2" w14:textId="77777777" w:rsidR="00EE4FD1" w:rsidRPr="00EB0F94" w:rsidRDefault="00EE4FD1" w:rsidP="00E76E08">
      <w:pPr>
        <w:pStyle w:val="BodyText"/>
        <w:ind w:left="118"/>
      </w:pPr>
    </w:p>
    <w:p w14:paraId="696BC343" w14:textId="77777777" w:rsidR="00EE4FD1" w:rsidRPr="00EB0F94" w:rsidRDefault="00EE4FD1" w:rsidP="00E76E08">
      <w:pPr>
        <w:pStyle w:val="BodyText"/>
        <w:ind w:left="118"/>
      </w:pPr>
    </w:p>
    <w:p w14:paraId="662ECECF" w14:textId="77777777" w:rsidR="00EE4FD1" w:rsidRPr="00EB0F94" w:rsidRDefault="00EE4FD1" w:rsidP="00E76E08">
      <w:pPr>
        <w:pStyle w:val="BodyText"/>
        <w:spacing w:before="5"/>
        <w:ind w:left="118"/>
      </w:pPr>
    </w:p>
    <w:p w14:paraId="2CC0C380" w14:textId="77777777" w:rsidR="00EE4FD1" w:rsidRPr="00EB0F94" w:rsidRDefault="00EB0F94" w:rsidP="00E76E08">
      <w:pPr>
        <w:pStyle w:val="ListParagraph"/>
        <w:numPr>
          <w:ilvl w:val="0"/>
          <w:numId w:val="3"/>
        </w:numPr>
        <w:tabs>
          <w:tab w:val="left" w:pos="839"/>
        </w:tabs>
        <w:rPr>
          <w:b/>
        </w:rPr>
      </w:pPr>
      <w:r w:rsidRPr="00EB0F94">
        <w:rPr>
          <w:b/>
        </w:rPr>
        <w:t>Dielectric properties near</w:t>
      </w:r>
      <w:r w:rsidRPr="00E76E08">
        <w:rPr>
          <w:b/>
        </w:rPr>
        <w:t xml:space="preserve"> </w:t>
      </w:r>
      <w:r w:rsidRPr="00EB0F94">
        <w:rPr>
          <w:b/>
        </w:rPr>
        <w:t>T</w:t>
      </w:r>
      <w:r w:rsidR="00E76E08">
        <w:rPr>
          <w:b/>
          <w:vertAlign w:val="subscript"/>
        </w:rPr>
        <w:t>C</w:t>
      </w:r>
    </w:p>
    <w:p w14:paraId="7A18D957" w14:textId="77777777" w:rsidR="00EE4FD1" w:rsidRPr="00E76E08" w:rsidRDefault="00EB0F94" w:rsidP="00E76E08">
      <w:pPr>
        <w:ind w:left="118"/>
      </w:pPr>
      <w:r w:rsidRPr="00E76E08">
        <w:t>The ratio of Curie-Weiss constants K' and K'', respectively above and below the transition, is dependent on frequency.</w:t>
      </w:r>
    </w:p>
    <w:p w14:paraId="2656E8A0" w14:textId="77777777" w:rsidR="00EE4FD1" w:rsidRPr="00EB0F94" w:rsidRDefault="00EB0F94">
      <w:pPr>
        <w:pStyle w:val="BodyText"/>
        <w:spacing w:before="5"/>
      </w:pPr>
      <w:r w:rsidRPr="00EB0F94">
        <w:rPr>
          <w:noProof/>
        </w:rPr>
        <w:lastRenderedPageBreak/>
        <w:drawing>
          <wp:anchor distT="0" distB="0" distL="0" distR="0" simplePos="0" relativeHeight="2" behindDoc="0" locked="0" layoutInCell="1" allowOverlap="1" wp14:anchorId="5E98034F" wp14:editId="08C3CDB0">
            <wp:simplePos x="0" y="0"/>
            <wp:positionH relativeFrom="page">
              <wp:posOffset>1483026</wp:posOffset>
            </wp:positionH>
            <wp:positionV relativeFrom="paragraph">
              <wp:posOffset>160326</wp:posOffset>
            </wp:positionV>
            <wp:extent cx="4566119" cy="3806190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6119" cy="3806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E4FD1" w:rsidRPr="00EB0F94">
      <w:pgSz w:w="11910" w:h="16840"/>
      <w:pgMar w:top="1080" w:right="1300" w:bottom="280" w:left="13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EB541" w14:textId="77777777" w:rsidR="00264806" w:rsidRDefault="00264806" w:rsidP="00264806">
      <w:r>
        <w:separator/>
      </w:r>
    </w:p>
  </w:endnote>
  <w:endnote w:type="continuationSeparator" w:id="0">
    <w:p w14:paraId="0ACD159C" w14:textId="77777777" w:rsidR="00264806" w:rsidRDefault="00264806" w:rsidP="00264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8CC5C" w14:textId="77777777" w:rsidR="00264806" w:rsidRDefault="002648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4C5BE" w14:textId="77777777" w:rsidR="00264806" w:rsidRDefault="0026480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AA2E5" w14:textId="77777777" w:rsidR="00264806" w:rsidRDefault="002648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425248" w14:textId="77777777" w:rsidR="00264806" w:rsidRDefault="00264806" w:rsidP="00264806">
      <w:r>
        <w:separator/>
      </w:r>
    </w:p>
  </w:footnote>
  <w:footnote w:type="continuationSeparator" w:id="0">
    <w:p w14:paraId="205E0348" w14:textId="77777777" w:rsidR="00264806" w:rsidRDefault="00264806" w:rsidP="002648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E4065" w14:textId="77777777" w:rsidR="00264806" w:rsidRDefault="002648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DF99A" w14:textId="787D5F00" w:rsidR="00264806" w:rsidRDefault="00264806" w:rsidP="00264806">
    <w:pPr>
      <w:pStyle w:val="Header"/>
      <w:jc w:val="center"/>
    </w:pPr>
    <w:r>
      <w:t>Published by the American Institute of Physics in:</w:t>
    </w:r>
  </w:p>
  <w:p w14:paraId="250D6170" w14:textId="77777777" w:rsidR="00264806" w:rsidRDefault="00264806" w:rsidP="00264806">
    <w:pPr>
      <w:pStyle w:val="Header"/>
      <w:jc w:val="center"/>
    </w:pPr>
    <w:r w:rsidRPr="009F394A">
      <w:t xml:space="preserve">Physical Review B </w:t>
    </w:r>
    <w:r w:rsidRPr="009F394A">
      <w:rPr>
        <w:b/>
        <w:bCs/>
      </w:rPr>
      <w:t>105</w:t>
    </w:r>
    <w:r w:rsidRPr="009F394A">
      <w:t>, 144104 (18th April 2022)</w:t>
    </w:r>
  </w:p>
  <w:p w14:paraId="7E00BDC8" w14:textId="20FB41CC" w:rsidR="00264806" w:rsidRDefault="00264806" w:rsidP="00264806">
    <w:pPr>
      <w:pStyle w:val="Header"/>
      <w:jc w:val="center"/>
    </w:pPr>
    <w:r w:rsidRPr="009F394A">
      <w:t>doi:</w:t>
    </w:r>
    <w:r w:rsidRPr="009F394A">
      <w:rPr>
        <w:color w:val="0000FF"/>
      </w:rPr>
      <w:t xml:space="preserve"> </w:t>
    </w:r>
    <w:r w:rsidRPr="009F394A">
      <w:t>10.1103/PhysRevB.105.144104</w:t>
    </w:r>
  </w:p>
  <w:p w14:paraId="369F279A" w14:textId="77777777" w:rsidR="00264806" w:rsidRDefault="00264806" w:rsidP="00264806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A055D" w14:textId="77777777" w:rsidR="00264806" w:rsidRDefault="002648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A7417"/>
    <w:multiLevelType w:val="hybridMultilevel"/>
    <w:tmpl w:val="CFBACB72"/>
    <w:lvl w:ilvl="0" w:tplc="FB243A30">
      <w:start w:val="1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" w15:restartNumberingAfterBreak="0">
    <w:nsid w:val="243A0A28"/>
    <w:multiLevelType w:val="hybridMultilevel"/>
    <w:tmpl w:val="A310496C"/>
    <w:lvl w:ilvl="0" w:tplc="B6648F9A">
      <w:start w:val="2"/>
      <w:numFmt w:val="decimal"/>
      <w:lvlText w:val="%1"/>
      <w:lvlJc w:val="left"/>
      <w:pPr>
        <w:ind w:left="8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7" w:hanging="360"/>
      </w:pPr>
    </w:lvl>
    <w:lvl w:ilvl="2" w:tplc="0415001B" w:tentative="1">
      <w:start w:val="1"/>
      <w:numFmt w:val="lowerRoman"/>
      <w:lvlText w:val="%3."/>
      <w:lvlJc w:val="right"/>
      <w:pPr>
        <w:ind w:left="2277" w:hanging="180"/>
      </w:pPr>
    </w:lvl>
    <w:lvl w:ilvl="3" w:tplc="0415000F" w:tentative="1">
      <w:start w:val="1"/>
      <w:numFmt w:val="decimal"/>
      <w:lvlText w:val="%4."/>
      <w:lvlJc w:val="left"/>
      <w:pPr>
        <w:ind w:left="2997" w:hanging="360"/>
      </w:pPr>
    </w:lvl>
    <w:lvl w:ilvl="4" w:tplc="04150019" w:tentative="1">
      <w:start w:val="1"/>
      <w:numFmt w:val="lowerLetter"/>
      <w:lvlText w:val="%5."/>
      <w:lvlJc w:val="left"/>
      <w:pPr>
        <w:ind w:left="3717" w:hanging="360"/>
      </w:pPr>
    </w:lvl>
    <w:lvl w:ilvl="5" w:tplc="0415001B" w:tentative="1">
      <w:start w:val="1"/>
      <w:numFmt w:val="lowerRoman"/>
      <w:lvlText w:val="%6."/>
      <w:lvlJc w:val="right"/>
      <w:pPr>
        <w:ind w:left="4437" w:hanging="180"/>
      </w:pPr>
    </w:lvl>
    <w:lvl w:ilvl="6" w:tplc="0415000F" w:tentative="1">
      <w:start w:val="1"/>
      <w:numFmt w:val="decimal"/>
      <w:lvlText w:val="%7."/>
      <w:lvlJc w:val="left"/>
      <w:pPr>
        <w:ind w:left="5157" w:hanging="360"/>
      </w:pPr>
    </w:lvl>
    <w:lvl w:ilvl="7" w:tplc="04150019" w:tentative="1">
      <w:start w:val="1"/>
      <w:numFmt w:val="lowerLetter"/>
      <w:lvlText w:val="%8."/>
      <w:lvlJc w:val="left"/>
      <w:pPr>
        <w:ind w:left="5877" w:hanging="360"/>
      </w:pPr>
    </w:lvl>
    <w:lvl w:ilvl="8" w:tplc="0415001B" w:tentative="1">
      <w:start w:val="1"/>
      <w:numFmt w:val="lowerRoman"/>
      <w:lvlText w:val="%9."/>
      <w:lvlJc w:val="right"/>
      <w:pPr>
        <w:ind w:left="6597" w:hanging="180"/>
      </w:pPr>
    </w:lvl>
  </w:abstractNum>
  <w:abstractNum w:abstractNumId="2" w15:restartNumberingAfterBreak="0">
    <w:nsid w:val="45F7664D"/>
    <w:multiLevelType w:val="hybridMultilevel"/>
    <w:tmpl w:val="E5684BFC"/>
    <w:lvl w:ilvl="0" w:tplc="9B0CC076">
      <w:start w:val="1"/>
      <w:numFmt w:val="decimal"/>
      <w:lvlText w:val="%1."/>
      <w:lvlJc w:val="left"/>
      <w:pPr>
        <w:ind w:left="838" w:hanging="361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l-PL" w:eastAsia="pl-PL" w:bidi="pl-PL"/>
      </w:rPr>
    </w:lvl>
    <w:lvl w:ilvl="1" w:tplc="1492AA9A">
      <w:numFmt w:val="bullet"/>
      <w:lvlText w:val="•"/>
      <w:lvlJc w:val="left"/>
      <w:pPr>
        <w:ind w:left="1686" w:hanging="361"/>
      </w:pPr>
      <w:rPr>
        <w:rFonts w:hint="default"/>
        <w:lang w:val="pl-PL" w:eastAsia="pl-PL" w:bidi="pl-PL"/>
      </w:rPr>
    </w:lvl>
    <w:lvl w:ilvl="2" w:tplc="57663C40">
      <w:numFmt w:val="bullet"/>
      <w:lvlText w:val="•"/>
      <w:lvlJc w:val="left"/>
      <w:pPr>
        <w:ind w:left="2533" w:hanging="361"/>
      </w:pPr>
      <w:rPr>
        <w:rFonts w:hint="default"/>
        <w:lang w:val="pl-PL" w:eastAsia="pl-PL" w:bidi="pl-PL"/>
      </w:rPr>
    </w:lvl>
    <w:lvl w:ilvl="3" w:tplc="B5D0775A">
      <w:numFmt w:val="bullet"/>
      <w:lvlText w:val="•"/>
      <w:lvlJc w:val="left"/>
      <w:pPr>
        <w:ind w:left="3379" w:hanging="361"/>
      </w:pPr>
      <w:rPr>
        <w:rFonts w:hint="default"/>
        <w:lang w:val="pl-PL" w:eastAsia="pl-PL" w:bidi="pl-PL"/>
      </w:rPr>
    </w:lvl>
    <w:lvl w:ilvl="4" w:tplc="59B845E6">
      <w:numFmt w:val="bullet"/>
      <w:lvlText w:val="•"/>
      <w:lvlJc w:val="left"/>
      <w:pPr>
        <w:ind w:left="4226" w:hanging="361"/>
      </w:pPr>
      <w:rPr>
        <w:rFonts w:hint="default"/>
        <w:lang w:val="pl-PL" w:eastAsia="pl-PL" w:bidi="pl-PL"/>
      </w:rPr>
    </w:lvl>
    <w:lvl w:ilvl="5" w:tplc="10562F2E">
      <w:numFmt w:val="bullet"/>
      <w:lvlText w:val="•"/>
      <w:lvlJc w:val="left"/>
      <w:pPr>
        <w:ind w:left="5073" w:hanging="361"/>
      </w:pPr>
      <w:rPr>
        <w:rFonts w:hint="default"/>
        <w:lang w:val="pl-PL" w:eastAsia="pl-PL" w:bidi="pl-PL"/>
      </w:rPr>
    </w:lvl>
    <w:lvl w:ilvl="6" w:tplc="682CF632">
      <w:numFmt w:val="bullet"/>
      <w:lvlText w:val="•"/>
      <w:lvlJc w:val="left"/>
      <w:pPr>
        <w:ind w:left="5919" w:hanging="361"/>
      </w:pPr>
      <w:rPr>
        <w:rFonts w:hint="default"/>
        <w:lang w:val="pl-PL" w:eastAsia="pl-PL" w:bidi="pl-PL"/>
      </w:rPr>
    </w:lvl>
    <w:lvl w:ilvl="7" w:tplc="6030975C">
      <w:numFmt w:val="bullet"/>
      <w:lvlText w:val="•"/>
      <w:lvlJc w:val="left"/>
      <w:pPr>
        <w:ind w:left="6766" w:hanging="361"/>
      </w:pPr>
      <w:rPr>
        <w:rFonts w:hint="default"/>
        <w:lang w:val="pl-PL" w:eastAsia="pl-PL" w:bidi="pl-PL"/>
      </w:rPr>
    </w:lvl>
    <w:lvl w:ilvl="8" w:tplc="39AAAFEA">
      <w:numFmt w:val="bullet"/>
      <w:lvlText w:val="•"/>
      <w:lvlJc w:val="left"/>
      <w:pPr>
        <w:ind w:left="7613" w:hanging="361"/>
      </w:pPr>
      <w:rPr>
        <w:rFonts w:hint="default"/>
        <w:lang w:val="pl-PL" w:eastAsia="pl-PL" w:bidi="pl-PL"/>
      </w:rPr>
    </w:lvl>
  </w:abstractNum>
  <w:abstractNum w:abstractNumId="3" w15:restartNumberingAfterBreak="0">
    <w:nsid w:val="653D240A"/>
    <w:multiLevelType w:val="hybridMultilevel"/>
    <w:tmpl w:val="E494C25A"/>
    <w:lvl w:ilvl="0" w:tplc="20441EF4">
      <w:start w:val="1"/>
      <w:numFmt w:val="decimal"/>
      <w:lvlText w:val="%1."/>
      <w:lvlJc w:val="left"/>
      <w:pPr>
        <w:ind w:left="8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num w:numId="1" w16cid:durableId="1985771506">
    <w:abstractNumId w:val="2"/>
  </w:num>
  <w:num w:numId="2" w16cid:durableId="596013850">
    <w:abstractNumId w:val="0"/>
  </w:num>
  <w:num w:numId="3" w16cid:durableId="974916287">
    <w:abstractNumId w:val="3"/>
  </w:num>
  <w:num w:numId="4" w16cid:durableId="16277362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QxNjIzMDYxtTQ3NzVT0lEKTi0uzszPAykwqgUAjSf3UywAAAA="/>
  </w:docVars>
  <w:rsids>
    <w:rsidRoot w:val="00EE4FD1"/>
    <w:rsid w:val="00264806"/>
    <w:rsid w:val="007A5797"/>
    <w:rsid w:val="0084717C"/>
    <w:rsid w:val="00CB4D31"/>
    <w:rsid w:val="00E76E08"/>
    <w:rsid w:val="00EB0F94"/>
    <w:rsid w:val="00EE4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0CDE92"/>
  <w15:docId w15:val="{C57D6558-73D0-4A13-9D18-42D0402D4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l-PL" w:eastAsia="pl-PL" w:bidi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838" w:hanging="36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PlaceholderText">
    <w:name w:val="Placeholder Text"/>
    <w:basedOn w:val="DefaultParagraphFont"/>
    <w:uiPriority w:val="99"/>
    <w:semiHidden/>
    <w:rsid w:val="007A5797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26480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4806"/>
    <w:rPr>
      <w:rFonts w:ascii="Calibri" w:eastAsia="Calibri" w:hAnsi="Calibri" w:cs="Calibri"/>
      <w:lang w:val="pl-PL" w:eastAsia="pl-PL" w:bidi="pl-PL"/>
    </w:rPr>
  </w:style>
  <w:style w:type="paragraph" w:styleId="Footer">
    <w:name w:val="footer"/>
    <w:basedOn w:val="Normal"/>
    <w:link w:val="FooterChar"/>
    <w:uiPriority w:val="99"/>
    <w:unhideWhenUsed/>
    <w:rsid w:val="0026480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4806"/>
    <w:rPr>
      <w:rFonts w:ascii="Calibri" w:eastAsia="Calibri" w:hAnsi="Calibri" w:cs="Calibri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497</Words>
  <Characters>2839</Characters>
  <Application>Microsoft Office Word</Application>
  <DocSecurity>0</DocSecurity>
  <Lines>23</Lines>
  <Paragraphs>6</Paragraphs>
  <ScaleCrop>false</ScaleCrop>
  <Company/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</dc:creator>
  <cp:lastModifiedBy>Roger Whatmore</cp:lastModifiedBy>
  <cp:revision>6</cp:revision>
  <dcterms:created xsi:type="dcterms:W3CDTF">2022-03-11T00:36:00Z</dcterms:created>
  <dcterms:modified xsi:type="dcterms:W3CDTF">2025-07-15T15:41:00Z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2022-03-10T00:00:00Z</vt:filetime>
  </property>
  <property fmtid="{D5CDD505-2E9C-101B-9397-08002B2CF9AE}" pid="3" name="Creator">
    <vt:lpwstr>Acrobat PDFMaker 20 dla programu Word</vt:lpwstr>
  </property>
  <property fmtid="{D5CDD505-2E9C-101B-9397-08002B2CF9AE}" pid="4" name="LastSaved">
    <vt:filetime>2022-03-11T00:00:00Z</vt:filetime>
  </property>
</Properties>
</file>