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AECC37" w14:textId="77777777" w:rsidR="004D4376" w:rsidRPr="001302E5" w:rsidRDefault="004D6D89">
      <w:pPr>
        <w:spacing w:line="360" w:lineRule="auto"/>
        <w:jc w:val="center"/>
        <w:rPr>
          <w:rFonts w:ascii="Times New Roman" w:hAnsi="Times New Roman"/>
          <w:b/>
          <w:color w:val="000000" w:themeColor="text1"/>
          <w:sz w:val="28"/>
          <w:szCs w:val="28"/>
        </w:rPr>
      </w:pPr>
      <w:r w:rsidRPr="001302E5">
        <w:rPr>
          <w:rFonts w:ascii="Times New Roman" w:hAnsi="Times New Roman"/>
          <w:b/>
          <w:color w:val="000000" w:themeColor="text1"/>
          <w:sz w:val="28"/>
          <w:szCs w:val="28"/>
        </w:rPr>
        <w:t>A computational exploration of the crystal energy and charge carrier mobility landscapes of the chiral [6]helicene molecule</w:t>
      </w:r>
    </w:p>
    <w:p w14:paraId="08DD3A6B" w14:textId="77777777" w:rsidR="004D4376" w:rsidRPr="001302E5" w:rsidRDefault="004D4376">
      <w:pPr>
        <w:spacing w:line="360" w:lineRule="auto"/>
        <w:jc w:val="center"/>
        <w:rPr>
          <w:rFonts w:ascii="Times New Roman" w:hAnsi="Times New Roman"/>
          <w:b/>
          <w:color w:val="000000" w:themeColor="text1"/>
          <w:sz w:val="28"/>
          <w:szCs w:val="28"/>
          <w:u w:val="single"/>
        </w:rPr>
      </w:pPr>
    </w:p>
    <w:p w14:paraId="2A16C5A8" w14:textId="77777777" w:rsidR="004D4376" w:rsidRPr="001302E5" w:rsidRDefault="004D6D89">
      <w:pPr>
        <w:spacing w:line="360" w:lineRule="auto"/>
        <w:rPr>
          <w:rFonts w:ascii="Times New Roman" w:hAnsi="Times New Roman"/>
          <w:i/>
          <w:color w:val="000000" w:themeColor="text1"/>
          <w:sz w:val="28"/>
          <w:szCs w:val="28"/>
        </w:rPr>
      </w:pPr>
      <w:r w:rsidRPr="001302E5">
        <w:rPr>
          <w:rFonts w:ascii="Times New Roman" w:hAnsi="Times New Roman"/>
          <w:i/>
          <w:color w:val="000000" w:themeColor="text1"/>
          <w:sz w:val="28"/>
          <w:szCs w:val="28"/>
        </w:rPr>
        <w:t>Beth Rice</w:t>
      </w:r>
      <w:r w:rsidRPr="001302E5">
        <w:rPr>
          <w:rFonts w:ascii="Times New Roman" w:hAnsi="Times New Roman"/>
          <w:i/>
          <w:color w:val="000000" w:themeColor="text1"/>
          <w:sz w:val="28"/>
          <w:szCs w:val="28"/>
          <w:vertAlign w:val="superscript"/>
        </w:rPr>
        <w:t>1,2</w:t>
      </w:r>
      <w:r w:rsidRPr="001302E5">
        <w:rPr>
          <w:rFonts w:ascii="Times New Roman" w:hAnsi="Times New Roman"/>
          <w:i/>
          <w:color w:val="000000" w:themeColor="text1"/>
          <w:sz w:val="28"/>
          <w:szCs w:val="28"/>
        </w:rPr>
        <w:t xml:space="preserve"> Luc M. LeBlanc,</w:t>
      </w:r>
      <w:r w:rsidRPr="001302E5">
        <w:rPr>
          <w:rFonts w:ascii="Times New Roman" w:hAnsi="Times New Roman"/>
          <w:i/>
          <w:color w:val="000000" w:themeColor="text1"/>
          <w:sz w:val="28"/>
          <w:szCs w:val="28"/>
          <w:vertAlign w:val="superscript"/>
        </w:rPr>
        <w:t>3</w:t>
      </w:r>
      <w:r w:rsidRPr="001302E5">
        <w:rPr>
          <w:rFonts w:ascii="Times New Roman" w:hAnsi="Times New Roman"/>
          <w:i/>
          <w:color w:val="000000" w:themeColor="text1"/>
          <w:sz w:val="28"/>
          <w:szCs w:val="28"/>
        </w:rPr>
        <w:t xml:space="preserve"> Alberto Otero-de-la-Roza,</w:t>
      </w:r>
      <w:r w:rsidRPr="001302E5">
        <w:rPr>
          <w:rFonts w:ascii="Times New Roman" w:hAnsi="Times New Roman"/>
          <w:i/>
          <w:color w:val="000000" w:themeColor="text1"/>
          <w:sz w:val="28"/>
          <w:szCs w:val="28"/>
          <w:vertAlign w:val="superscript"/>
        </w:rPr>
        <w:t>4</w:t>
      </w:r>
      <w:r w:rsidRPr="001302E5">
        <w:rPr>
          <w:rFonts w:ascii="Times New Roman" w:hAnsi="Times New Roman"/>
          <w:i/>
          <w:color w:val="000000" w:themeColor="text1"/>
          <w:sz w:val="28"/>
          <w:szCs w:val="28"/>
        </w:rPr>
        <w:t xml:space="preserve"> Matthew J. Fuchter,</w:t>
      </w:r>
      <w:r w:rsidRPr="001302E5">
        <w:rPr>
          <w:rFonts w:ascii="Times New Roman" w:hAnsi="Times New Roman"/>
          <w:i/>
          <w:color w:val="000000" w:themeColor="text1"/>
          <w:sz w:val="28"/>
          <w:szCs w:val="28"/>
          <w:vertAlign w:val="superscript"/>
        </w:rPr>
        <w:t>2,5</w:t>
      </w:r>
      <w:r w:rsidRPr="001302E5">
        <w:rPr>
          <w:rFonts w:ascii="Times New Roman" w:hAnsi="Times New Roman"/>
          <w:i/>
          <w:color w:val="000000" w:themeColor="text1"/>
          <w:sz w:val="28"/>
          <w:szCs w:val="28"/>
        </w:rPr>
        <w:t xml:space="preserve"> Erin R. Johnson,</w:t>
      </w:r>
      <w:r w:rsidRPr="001302E5">
        <w:rPr>
          <w:rFonts w:ascii="Times New Roman" w:hAnsi="Times New Roman"/>
          <w:i/>
          <w:color w:val="000000" w:themeColor="text1"/>
          <w:sz w:val="28"/>
          <w:szCs w:val="28"/>
          <w:vertAlign w:val="superscript"/>
        </w:rPr>
        <w:t>3</w:t>
      </w:r>
      <w:r w:rsidRPr="001302E5">
        <w:rPr>
          <w:rFonts w:ascii="Times New Roman" w:hAnsi="Times New Roman"/>
          <w:i/>
          <w:color w:val="000000" w:themeColor="text1"/>
          <w:sz w:val="28"/>
          <w:szCs w:val="28"/>
        </w:rPr>
        <w:t xml:space="preserve"> Jenny Nelson,</w:t>
      </w:r>
      <w:r w:rsidRPr="001302E5">
        <w:rPr>
          <w:rFonts w:ascii="Times New Roman" w:hAnsi="Times New Roman"/>
          <w:i/>
          <w:color w:val="000000" w:themeColor="text1"/>
          <w:sz w:val="28"/>
          <w:szCs w:val="28"/>
          <w:vertAlign w:val="superscript"/>
        </w:rPr>
        <w:t xml:space="preserve"> 1,2</w:t>
      </w:r>
      <w:r w:rsidRPr="001302E5">
        <w:rPr>
          <w:rFonts w:ascii="Times New Roman" w:hAnsi="Times New Roman"/>
          <w:i/>
          <w:color w:val="000000" w:themeColor="text1"/>
          <w:sz w:val="28"/>
          <w:szCs w:val="28"/>
        </w:rPr>
        <w:t xml:space="preserve"> Kim E. Jelfs</w:t>
      </w:r>
      <w:r w:rsidRPr="001302E5">
        <w:rPr>
          <w:rFonts w:ascii="Times New Roman" w:hAnsi="Times New Roman"/>
          <w:i/>
          <w:color w:val="000000" w:themeColor="text1"/>
          <w:sz w:val="28"/>
          <w:szCs w:val="28"/>
          <w:vertAlign w:val="superscript"/>
        </w:rPr>
        <w:t>2,5</w:t>
      </w:r>
      <w:r w:rsidRPr="001302E5">
        <w:rPr>
          <w:rFonts w:ascii="Times New Roman" w:hAnsi="Times New Roman"/>
          <w:i/>
          <w:color w:val="000000" w:themeColor="text1"/>
          <w:sz w:val="28"/>
          <w:szCs w:val="28"/>
        </w:rPr>
        <w:t>*</w:t>
      </w:r>
    </w:p>
    <w:p w14:paraId="46A98D01" w14:textId="77777777" w:rsidR="004D4376" w:rsidRPr="001302E5" w:rsidRDefault="004D4376">
      <w:pPr>
        <w:spacing w:line="360" w:lineRule="auto"/>
        <w:rPr>
          <w:rFonts w:ascii="Times New Roman" w:hAnsi="Times New Roman"/>
          <w:color w:val="000000" w:themeColor="text1"/>
          <w:sz w:val="28"/>
          <w:szCs w:val="28"/>
        </w:rPr>
      </w:pPr>
    </w:p>
    <w:p w14:paraId="71934A6F" w14:textId="77777777" w:rsidR="004D4376" w:rsidRPr="001302E5" w:rsidRDefault="004D6D89">
      <w:pPr>
        <w:pStyle w:val="AuthorsFull"/>
        <w:spacing w:line="360" w:lineRule="auto"/>
        <w:rPr>
          <w:i w:val="0"/>
          <w:color w:val="000000" w:themeColor="text1"/>
        </w:rPr>
      </w:pPr>
      <w:r w:rsidRPr="001302E5">
        <w:rPr>
          <w:i w:val="0"/>
          <w:color w:val="000000" w:themeColor="text1"/>
          <w:vertAlign w:val="superscript"/>
        </w:rPr>
        <w:t>1</w:t>
      </w:r>
      <w:r w:rsidRPr="001302E5">
        <w:rPr>
          <w:i w:val="0"/>
          <w:color w:val="000000" w:themeColor="text1"/>
        </w:rPr>
        <w:t>Department of Physics, Imperial College London, South Kensington, London, SW7 2AZ, U. K.</w:t>
      </w:r>
    </w:p>
    <w:p w14:paraId="3A9B73D1" w14:textId="77777777" w:rsidR="004D4376" w:rsidRPr="001302E5" w:rsidRDefault="004D6D89">
      <w:pPr>
        <w:spacing w:line="360" w:lineRule="auto"/>
        <w:rPr>
          <w:rFonts w:ascii="Times New Roman" w:hAnsi="Times New Roman"/>
          <w:color w:val="000000" w:themeColor="text1"/>
        </w:rPr>
      </w:pPr>
      <w:r w:rsidRPr="001302E5">
        <w:rPr>
          <w:rFonts w:ascii="Times New Roman" w:hAnsi="Times New Roman"/>
          <w:color w:val="000000" w:themeColor="text1"/>
          <w:vertAlign w:val="superscript"/>
        </w:rPr>
        <w:t>2</w:t>
      </w:r>
      <w:r w:rsidRPr="001302E5">
        <w:rPr>
          <w:rFonts w:ascii="Times New Roman" w:hAnsi="Times New Roman"/>
          <w:color w:val="000000" w:themeColor="text1"/>
        </w:rPr>
        <w:t>Centre for Plastic Electronics, Imperial College London, South Kensington, London, SW7 2AZ</w:t>
      </w:r>
      <w:r w:rsidRPr="001302E5">
        <w:rPr>
          <w:rFonts w:ascii="Times New Roman" w:hAnsi="Times New Roman"/>
          <w:i/>
          <w:color w:val="000000" w:themeColor="text1"/>
        </w:rPr>
        <w:t xml:space="preserve">, </w:t>
      </w:r>
      <w:r w:rsidRPr="001302E5">
        <w:rPr>
          <w:rFonts w:ascii="Times New Roman" w:hAnsi="Times New Roman"/>
          <w:color w:val="000000" w:themeColor="text1"/>
        </w:rPr>
        <w:t>U. K.</w:t>
      </w:r>
    </w:p>
    <w:p w14:paraId="78B6FD8D" w14:textId="77777777" w:rsidR="004D4376" w:rsidRPr="001302E5" w:rsidRDefault="004D6D89">
      <w:pPr>
        <w:pStyle w:val="AuthorsFull"/>
        <w:spacing w:line="360" w:lineRule="auto"/>
        <w:rPr>
          <w:i w:val="0"/>
          <w:color w:val="000000" w:themeColor="text1"/>
          <w:lang w:eastAsia="en-US"/>
        </w:rPr>
      </w:pPr>
      <w:r w:rsidRPr="001302E5">
        <w:rPr>
          <w:i w:val="0"/>
          <w:color w:val="000000" w:themeColor="text1"/>
          <w:vertAlign w:val="superscript"/>
        </w:rPr>
        <w:t>3</w:t>
      </w:r>
      <w:r w:rsidRPr="001302E5">
        <w:rPr>
          <w:i w:val="0"/>
          <w:color w:val="000000" w:themeColor="text1"/>
          <w:lang w:eastAsia="en-US"/>
        </w:rPr>
        <w:t>Department of Chemistry, Dalhousie University, Halifax, Nova Scotia, B3H 4R2, Canada.</w:t>
      </w:r>
    </w:p>
    <w:p w14:paraId="1F2A0841" w14:textId="77777777" w:rsidR="004D4376" w:rsidRPr="001302E5" w:rsidRDefault="004D6D89">
      <w:pPr>
        <w:pStyle w:val="AuthorsFull"/>
        <w:spacing w:line="360" w:lineRule="auto"/>
        <w:rPr>
          <w:i w:val="0"/>
          <w:color w:val="000000" w:themeColor="text1"/>
        </w:rPr>
      </w:pPr>
      <w:r w:rsidRPr="001302E5">
        <w:rPr>
          <w:i w:val="0"/>
          <w:color w:val="000000" w:themeColor="text1"/>
          <w:vertAlign w:val="superscript"/>
        </w:rPr>
        <w:t>4</w:t>
      </w:r>
      <w:r w:rsidRPr="001302E5">
        <w:rPr>
          <w:i w:val="0"/>
          <w:color w:val="000000" w:themeColor="text1"/>
        </w:rPr>
        <w:t>Department of Chemistry, University of British Columbia, Okanagan, 3247 University Way,</w:t>
      </w:r>
    </w:p>
    <w:p w14:paraId="2A8B6D2C" w14:textId="77777777" w:rsidR="004D4376" w:rsidRPr="001302E5" w:rsidRDefault="004D6D89">
      <w:pPr>
        <w:pStyle w:val="AuthorsFull"/>
        <w:spacing w:line="360" w:lineRule="auto"/>
        <w:rPr>
          <w:i w:val="0"/>
          <w:color w:val="000000" w:themeColor="text1"/>
          <w:lang w:val="en-GB" w:eastAsia="en-US"/>
        </w:rPr>
      </w:pPr>
      <w:r w:rsidRPr="001302E5">
        <w:rPr>
          <w:i w:val="0"/>
          <w:color w:val="000000" w:themeColor="text1"/>
          <w:lang w:val="en-GB" w:eastAsia="en-US"/>
        </w:rPr>
        <w:t>Kelowna, British Columbia, V1V 1V7, Canada.</w:t>
      </w:r>
    </w:p>
    <w:p w14:paraId="41E7F65E" w14:textId="77777777" w:rsidR="004D4376" w:rsidRPr="001302E5" w:rsidRDefault="004D6D89">
      <w:pPr>
        <w:pStyle w:val="AuthorsFull"/>
        <w:spacing w:line="360" w:lineRule="auto"/>
        <w:rPr>
          <w:i w:val="0"/>
          <w:color w:val="000000" w:themeColor="text1"/>
        </w:rPr>
      </w:pPr>
      <w:r w:rsidRPr="001302E5">
        <w:rPr>
          <w:i w:val="0"/>
          <w:color w:val="000000" w:themeColor="text1"/>
          <w:sz w:val="28"/>
          <w:szCs w:val="28"/>
          <w:vertAlign w:val="superscript"/>
        </w:rPr>
        <w:t>5</w:t>
      </w:r>
      <w:r w:rsidRPr="001302E5">
        <w:rPr>
          <w:i w:val="0"/>
          <w:color w:val="000000" w:themeColor="text1"/>
        </w:rPr>
        <w:t>Department of Chemistry, Imperial College London, South Kensington, London, SW7 2AZ, U. K.</w:t>
      </w:r>
    </w:p>
    <w:p w14:paraId="7AE355A0" w14:textId="77777777" w:rsidR="004D4376" w:rsidRPr="001302E5" w:rsidRDefault="004D4376">
      <w:pPr>
        <w:pStyle w:val="AuthorsFull"/>
        <w:spacing w:line="360" w:lineRule="auto"/>
        <w:rPr>
          <w:i w:val="0"/>
          <w:color w:val="000000" w:themeColor="text1"/>
        </w:rPr>
      </w:pPr>
    </w:p>
    <w:p w14:paraId="7E58E763" w14:textId="77777777" w:rsidR="004D4376" w:rsidRPr="001302E5" w:rsidRDefault="004D6D89">
      <w:pPr>
        <w:spacing w:line="360" w:lineRule="auto"/>
        <w:rPr>
          <w:rFonts w:ascii="Times New Roman" w:hAnsi="Times New Roman"/>
          <w:color w:val="000000" w:themeColor="text1"/>
        </w:rPr>
      </w:pPr>
      <w:r w:rsidRPr="001302E5">
        <w:rPr>
          <w:rFonts w:ascii="Times New Roman" w:hAnsi="Times New Roman"/>
          <w:color w:val="000000" w:themeColor="text1"/>
        </w:rPr>
        <w:t>Email: k.jelfs@imperial.ac.uk</w:t>
      </w:r>
    </w:p>
    <w:p w14:paraId="33B1C25E" w14:textId="77777777" w:rsidR="004D4376" w:rsidRPr="001302E5" w:rsidRDefault="004D4376">
      <w:pPr>
        <w:spacing w:line="360" w:lineRule="auto"/>
        <w:rPr>
          <w:rFonts w:ascii="Times New Roman" w:hAnsi="Times New Roman"/>
          <w:color w:val="000000" w:themeColor="text1"/>
          <w:sz w:val="28"/>
          <w:szCs w:val="28"/>
        </w:rPr>
      </w:pPr>
    </w:p>
    <w:p w14:paraId="457A5E4C" w14:textId="77777777" w:rsidR="004D4376" w:rsidRPr="001302E5" w:rsidRDefault="004D4376">
      <w:pPr>
        <w:spacing w:line="360" w:lineRule="auto"/>
        <w:rPr>
          <w:rFonts w:ascii="Times New Roman" w:hAnsi="Times New Roman"/>
          <w:b/>
          <w:color w:val="000000" w:themeColor="text1"/>
          <w:sz w:val="28"/>
          <w:szCs w:val="28"/>
        </w:rPr>
      </w:pPr>
    </w:p>
    <w:p w14:paraId="028074C3" w14:textId="77777777" w:rsidR="004D4376" w:rsidRPr="001302E5" w:rsidRDefault="004D4376">
      <w:pPr>
        <w:spacing w:line="360" w:lineRule="auto"/>
        <w:rPr>
          <w:rFonts w:ascii="Times New Roman" w:hAnsi="Times New Roman"/>
          <w:b/>
          <w:color w:val="000000" w:themeColor="text1"/>
          <w:sz w:val="28"/>
          <w:szCs w:val="28"/>
        </w:rPr>
      </w:pPr>
    </w:p>
    <w:p w14:paraId="150C0694" w14:textId="77777777" w:rsidR="004D4376" w:rsidRPr="001302E5" w:rsidRDefault="004D4376">
      <w:pPr>
        <w:spacing w:line="360" w:lineRule="auto"/>
        <w:rPr>
          <w:rFonts w:ascii="Times New Roman" w:hAnsi="Times New Roman"/>
          <w:b/>
          <w:color w:val="000000" w:themeColor="text1"/>
          <w:sz w:val="28"/>
          <w:szCs w:val="28"/>
        </w:rPr>
      </w:pPr>
    </w:p>
    <w:p w14:paraId="096515EA" w14:textId="77777777" w:rsidR="004D4376" w:rsidRPr="001302E5" w:rsidRDefault="004D4376">
      <w:pPr>
        <w:spacing w:line="360" w:lineRule="auto"/>
        <w:rPr>
          <w:rFonts w:ascii="Times New Roman" w:hAnsi="Times New Roman"/>
          <w:b/>
          <w:color w:val="000000" w:themeColor="text1"/>
          <w:sz w:val="28"/>
          <w:szCs w:val="28"/>
        </w:rPr>
      </w:pPr>
    </w:p>
    <w:p w14:paraId="06067AB1" w14:textId="77777777" w:rsidR="004D4376" w:rsidRPr="001302E5" w:rsidRDefault="004D4376">
      <w:pPr>
        <w:spacing w:line="360" w:lineRule="auto"/>
        <w:rPr>
          <w:rFonts w:ascii="Times New Roman" w:hAnsi="Times New Roman"/>
          <w:b/>
          <w:color w:val="000000" w:themeColor="text1"/>
          <w:sz w:val="28"/>
          <w:szCs w:val="28"/>
        </w:rPr>
      </w:pPr>
    </w:p>
    <w:p w14:paraId="419D931F" w14:textId="77777777" w:rsidR="004D4376" w:rsidRPr="001302E5" w:rsidRDefault="004D4376">
      <w:pPr>
        <w:spacing w:line="360" w:lineRule="auto"/>
        <w:rPr>
          <w:rFonts w:ascii="Times New Roman" w:hAnsi="Times New Roman"/>
          <w:b/>
          <w:color w:val="000000" w:themeColor="text1"/>
          <w:sz w:val="28"/>
          <w:szCs w:val="28"/>
        </w:rPr>
      </w:pPr>
    </w:p>
    <w:p w14:paraId="5521D64A" w14:textId="77777777" w:rsidR="004D4376" w:rsidRPr="001302E5" w:rsidRDefault="004D4376">
      <w:pPr>
        <w:spacing w:line="360" w:lineRule="auto"/>
        <w:rPr>
          <w:rFonts w:ascii="Times New Roman" w:hAnsi="Times New Roman"/>
          <w:b/>
          <w:color w:val="000000" w:themeColor="text1"/>
          <w:sz w:val="28"/>
          <w:szCs w:val="28"/>
        </w:rPr>
      </w:pPr>
    </w:p>
    <w:p w14:paraId="0E26C069" w14:textId="77777777" w:rsidR="004D4376" w:rsidRPr="001302E5" w:rsidRDefault="004D4376">
      <w:pPr>
        <w:spacing w:line="360" w:lineRule="auto"/>
        <w:rPr>
          <w:rFonts w:ascii="Times New Roman" w:hAnsi="Times New Roman"/>
          <w:b/>
          <w:color w:val="000000" w:themeColor="text1"/>
          <w:sz w:val="28"/>
          <w:szCs w:val="28"/>
        </w:rPr>
      </w:pPr>
    </w:p>
    <w:p w14:paraId="7FB0225B" w14:textId="77777777" w:rsidR="004D4376" w:rsidRPr="001302E5" w:rsidRDefault="004D4376">
      <w:pPr>
        <w:spacing w:line="360" w:lineRule="auto"/>
        <w:rPr>
          <w:rFonts w:ascii="Times New Roman" w:hAnsi="Times New Roman"/>
          <w:b/>
          <w:color w:val="000000" w:themeColor="text1"/>
          <w:sz w:val="28"/>
          <w:szCs w:val="28"/>
        </w:rPr>
      </w:pPr>
    </w:p>
    <w:p w14:paraId="2322EF54" w14:textId="77777777" w:rsidR="004D4376" w:rsidRPr="001302E5" w:rsidRDefault="004D4376">
      <w:pPr>
        <w:spacing w:line="360" w:lineRule="auto"/>
        <w:rPr>
          <w:rFonts w:ascii="Times New Roman" w:hAnsi="Times New Roman"/>
          <w:b/>
          <w:color w:val="000000" w:themeColor="text1"/>
          <w:sz w:val="28"/>
          <w:szCs w:val="28"/>
        </w:rPr>
      </w:pPr>
    </w:p>
    <w:p w14:paraId="0E441D25" w14:textId="77777777" w:rsidR="004D4376" w:rsidRPr="001302E5" w:rsidRDefault="004D4376">
      <w:pPr>
        <w:spacing w:line="360" w:lineRule="auto"/>
        <w:rPr>
          <w:rFonts w:ascii="Times New Roman" w:hAnsi="Times New Roman"/>
          <w:b/>
          <w:color w:val="000000" w:themeColor="text1"/>
          <w:sz w:val="28"/>
          <w:szCs w:val="28"/>
        </w:rPr>
      </w:pPr>
    </w:p>
    <w:p w14:paraId="661ECDAF" w14:textId="77777777" w:rsidR="004D4376" w:rsidRPr="001302E5" w:rsidRDefault="004D4376">
      <w:pPr>
        <w:spacing w:line="360" w:lineRule="auto"/>
        <w:rPr>
          <w:rFonts w:ascii="Times New Roman" w:hAnsi="Times New Roman"/>
          <w:b/>
          <w:color w:val="000000" w:themeColor="text1"/>
          <w:sz w:val="28"/>
          <w:szCs w:val="28"/>
        </w:rPr>
      </w:pPr>
    </w:p>
    <w:p w14:paraId="46C5AA16" w14:textId="77777777" w:rsidR="004D4376" w:rsidRPr="001302E5" w:rsidRDefault="004D6D89">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lastRenderedPageBreak/>
        <w:t>Abstract</w:t>
      </w:r>
    </w:p>
    <w:p w14:paraId="281ADCF8" w14:textId="7408F00E"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The potential of a given π-conjugated organic molecule in an organic semiconductor device is highly dependent on molecular packing, as it strongly influences the charge carrier mobility of the material. Such solid-state packing is sensitive to subtle differences in their intermolecular interactions and is challenging to predict. Chirality of the organic molecule adds an additional element of complexity to intuitive packing prediction. Here we use crystal structure prediction to explore the lattice energy landscape of a potential chiral organic semiconductor, [6]helicene. We reproduce the experimentally observed enantiopure crystal structure and explain the absence of an experimentally observed racemate structure. By exploring how the hole and electron mobility varies across the energy-structure-function landscape for [6]helicene, we find that an energetically favourable and frequently occurring packing motif is particularly promising for electron mobility, with a highest calculated mobility of 2.9</w:t>
      </w:r>
      <w:r w:rsidRPr="001302E5">
        <w:rPr>
          <w:rFonts w:ascii="Times New Roman" w:hAnsi="Times New Roman"/>
          <w:color w:val="000000" w:themeColor="text1"/>
          <w:sz w:val="28"/>
          <w:szCs w:val="28"/>
          <w:lang w:val="en-US"/>
        </w:rPr>
        <w:t> cm</w:t>
      </w:r>
      <w:r w:rsidRPr="001302E5">
        <w:rPr>
          <w:rFonts w:ascii="Times New Roman" w:hAnsi="Times New Roman"/>
          <w:color w:val="000000" w:themeColor="text1"/>
          <w:sz w:val="28"/>
          <w:szCs w:val="28"/>
          <w:vertAlign w:val="superscript"/>
          <w:lang w:val="en-US"/>
        </w:rPr>
        <w:t>2</w:t>
      </w:r>
      <w:r w:rsidRPr="001302E5">
        <w:rPr>
          <w:rFonts w:ascii="Times New Roman" w:hAnsi="Times New Roman"/>
          <w:color w:val="000000" w:themeColor="text1"/>
          <w:sz w:val="28"/>
          <w:szCs w:val="28"/>
          <w:lang w:val="en-US"/>
        </w:rPr>
        <w:t> V</w:t>
      </w:r>
      <w:r w:rsidRPr="001302E5">
        <w:rPr>
          <w:rFonts w:ascii="Times New Roman" w:hAnsi="Times New Roman"/>
          <w:color w:val="000000" w:themeColor="text1"/>
          <w:sz w:val="28"/>
          <w:szCs w:val="28"/>
          <w:vertAlign w:val="superscript"/>
          <w:lang w:val="en-US"/>
        </w:rPr>
        <w:t>-1 </w:t>
      </w:r>
      <w:r w:rsidRPr="001302E5">
        <w:rPr>
          <w:rFonts w:ascii="Times New Roman" w:hAnsi="Times New Roman"/>
          <w:color w:val="000000" w:themeColor="text1"/>
          <w:sz w:val="28"/>
          <w:szCs w:val="28"/>
          <w:lang w:val="en-US"/>
        </w:rPr>
        <w:t>s</w:t>
      </w:r>
      <w:r w:rsidRPr="001302E5">
        <w:rPr>
          <w:rFonts w:ascii="Times New Roman" w:hAnsi="Times New Roman"/>
          <w:color w:val="000000" w:themeColor="text1"/>
          <w:sz w:val="28"/>
          <w:szCs w:val="28"/>
          <w:vertAlign w:val="superscript"/>
          <w:lang w:val="en-US"/>
        </w:rPr>
        <w:t>-1</w:t>
      </w:r>
      <w:r w:rsidRPr="001302E5">
        <w:rPr>
          <w:rFonts w:ascii="Times New Roman" w:hAnsi="Times New Roman"/>
          <w:color w:val="000000" w:themeColor="text1"/>
          <w:sz w:val="28"/>
          <w:szCs w:val="28"/>
          <w:lang w:val="en-US"/>
        </w:rPr>
        <w:t xml:space="preserve"> (assuming a reorganization energy of </w:t>
      </w:r>
      <w:r w:rsidR="00E52879" w:rsidRPr="001302E5">
        <w:rPr>
          <w:rFonts w:ascii="Times New Roman" w:hAnsi="Times New Roman"/>
          <w:color w:val="000000" w:themeColor="text1"/>
          <w:sz w:val="28"/>
          <w:szCs w:val="28"/>
        </w:rPr>
        <w:t>0.46</w:t>
      </w:r>
      <w:r w:rsidRPr="001302E5">
        <w:rPr>
          <w:rFonts w:ascii="Times New Roman" w:hAnsi="Times New Roman"/>
          <w:color w:val="000000" w:themeColor="text1"/>
          <w:sz w:val="28"/>
          <w:szCs w:val="28"/>
        </w:rPr>
        <w:t xml:space="preserve"> eV</w:t>
      </w:r>
      <w:r w:rsidRPr="001302E5">
        <w:rPr>
          <w:rFonts w:ascii="Times New Roman" w:hAnsi="Times New Roman"/>
          <w:color w:val="000000" w:themeColor="text1"/>
          <w:sz w:val="28"/>
          <w:szCs w:val="28"/>
          <w:lang w:val="en-US"/>
        </w:rPr>
        <w:t xml:space="preserve">). We also calculate relatively high hole mobility in some structures, with a highest calculated mobility of </w:t>
      </w:r>
      <w:r w:rsidRPr="001302E5">
        <w:rPr>
          <w:rFonts w:ascii="Times New Roman" w:hAnsi="Times New Roman"/>
          <w:color w:val="000000" w:themeColor="text1"/>
          <w:sz w:val="28"/>
          <w:szCs w:val="28"/>
        </w:rPr>
        <w:t>2.0</w:t>
      </w:r>
      <w:r w:rsidRPr="001302E5">
        <w:rPr>
          <w:rFonts w:ascii="Times New Roman" w:hAnsi="Times New Roman"/>
          <w:color w:val="000000" w:themeColor="text1"/>
          <w:sz w:val="28"/>
          <w:szCs w:val="28"/>
          <w:lang w:val="en-US"/>
        </w:rPr>
        <w:t> cm</w:t>
      </w:r>
      <w:r w:rsidRPr="001302E5">
        <w:rPr>
          <w:rFonts w:ascii="Times New Roman" w:hAnsi="Times New Roman"/>
          <w:color w:val="000000" w:themeColor="text1"/>
          <w:sz w:val="28"/>
          <w:szCs w:val="28"/>
          <w:vertAlign w:val="superscript"/>
          <w:lang w:val="en-US"/>
        </w:rPr>
        <w:t>2</w:t>
      </w:r>
      <w:r w:rsidRPr="001302E5">
        <w:rPr>
          <w:rFonts w:ascii="Times New Roman" w:hAnsi="Times New Roman"/>
          <w:color w:val="000000" w:themeColor="text1"/>
          <w:sz w:val="28"/>
          <w:szCs w:val="28"/>
          <w:lang w:val="en-US"/>
        </w:rPr>
        <w:t> V</w:t>
      </w:r>
      <w:r w:rsidRPr="001302E5">
        <w:rPr>
          <w:rFonts w:ascii="Times New Roman" w:hAnsi="Times New Roman"/>
          <w:color w:val="000000" w:themeColor="text1"/>
          <w:sz w:val="28"/>
          <w:szCs w:val="28"/>
          <w:vertAlign w:val="superscript"/>
          <w:lang w:val="en-US"/>
        </w:rPr>
        <w:t>-1 </w:t>
      </w:r>
      <w:r w:rsidRPr="001302E5">
        <w:rPr>
          <w:rFonts w:ascii="Times New Roman" w:hAnsi="Times New Roman"/>
          <w:color w:val="000000" w:themeColor="text1"/>
          <w:sz w:val="28"/>
          <w:szCs w:val="28"/>
          <w:lang w:val="en-US"/>
        </w:rPr>
        <w:t>s</w:t>
      </w:r>
      <w:r w:rsidRPr="001302E5">
        <w:rPr>
          <w:rFonts w:ascii="Times New Roman" w:hAnsi="Times New Roman"/>
          <w:color w:val="000000" w:themeColor="text1"/>
          <w:sz w:val="28"/>
          <w:szCs w:val="28"/>
          <w:vertAlign w:val="superscript"/>
          <w:lang w:val="en-US"/>
        </w:rPr>
        <w:t>-1</w:t>
      </w:r>
      <w:r w:rsidRPr="001302E5">
        <w:rPr>
          <w:rFonts w:ascii="Times New Roman" w:hAnsi="Times New Roman"/>
          <w:color w:val="000000" w:themeColor="text1"/>
          <w:sz w:val="28"/>
          <w:szCs w:val="28"/>
          <w:lang w:val="en-US"/>
        </w:rPr>
        <w:t xml:space="preserve"> found for chains of helicenes packed in a herringbone fashion. Neither the energetically favourable nor high charge carrier mobility packing motifs are intuitively obvious, and this demonstrates the utility of our approach to computationally explore the energy-structure-function landscape for organic semiconductors. Our work</w:t>
      </w:r>
      <w:r w:rsidRPr="001302E5">
        <w:rPr>
          <w:rFonts w:ascii="Times New Roman" w:hAnsi="Times New Roman"/>
          <w:color w:val="000000" w:themeColor="text1"/>
          <w:sz w:val="28"/>
          <w:szCs w:val="28"/>
        </w:rPr>
        <w:t xml:space="preserve"> demonstrates a route for the use of computational simulations to aid in the design of new molecules for organic electronics, through the </w:t>
      </w:r>
      <w:r w:rsidRPr="001302E5">
        <w:rPr>
          <w:rFonts w:ascii="Times New Roman" w:hAnsi="Times New Roman"/>
          <w:i/>
          <w:color w:val="000000" w:themeColor="text1"/>
          <w:sz w:val="28"/>
          <w:szCs w:val="28"/>
        </w:rPr>
        <w:t>a priori</w:t>
      </w:r>
      <w:r w:rsidRPr="001302E5">
        <w:rPr>
          <w:rFonts w:ascii="Times New Roman" w:hAnsi="Times New Roman"/>
          <w:color w:val="000000" w:themeColor="text1"/>
          <w:sz w:val="28"/>
          <w:szCs w:val="28"/>
        </w:rPr>
        <w:t xml:space="preserve"> prediction of their likely solid-state form and properties.</w:t>
      </w:r>
    </w:p>
    <w:p w14:paraId="299BDACE" w14:textId="77777777" w:rsidR="004D4376" w:rsidRPr="001302E5" w:rsidRDefault="004D4376">
      <w:pPr>
        <w:spacing w:line="360" w:lineRule="auto"/>
        <w:jc w:val="both"/>
        <w:rPr>
          <w:rFonts w:ascii="Times New Roman" w:hAnsi="Times New Roman"/>
          <w:color w:val="000000" w:themeColor="text1"/>
          <w:sz w:val="28"/>
          <w:szCs w:val="28"/>
        </w:rPr>
      </w:pPr>
    </w:p>
    <w:p w14:paraId="5B25D9F7" w14:textId="77777777" w:rsidR="004D4376" w:rsidRPr="001302E5" w:rsidRDefault="004D4376">
      <w:pPr>
        <w:spacing w:line="360" w:lineRule="auto"/>
        <w:jc w:val="both"/>
        <w:rPr>
          <w:rFonts w:ascii="Times New Roman" w:hAnsi="Times New Roman"/>
          <w:b/>
          <w:color w:val="000000" w:themeColor="text1"/>
          <w:sz w:val="28"/>
          <w:szCs w:val="28"/>
          <w:lang w:val="en-US"/>
        </w:rPr>
      </w:pPr>
    </w:p>
    <w:p w14:paraId="5627BD5C" w14:textId="77777777" w:rsidR="004D4376" w:rsidRPr="001302E5" w:rsidRDefault="004D4376">
      <w:pPr>
        <w:spacing w:line="360" w:lineRule="auto"/>
        <w:jc w:val="both"/>
        <w:rPr>
          <w:rFonts w:ascii="Times New Roman" w:hAnsi="Times New Roman"/>
          <w:b/>
          <w:color w:val="000000" w:themeColor="text1"/>
          <w:sz w:val="28"/>
          <w:szCs w:val="28"/>
          <w:lang w:val="en-US"/>
        </w:rPr>
      </w:pPr>
    </w:p>
    <w:p w14:paraId="4D984A16" w14:textId="77777777" w:rsidR="004D4376" w:rsidRPr="001302E5" w:rsidRDefault="004D4376">
      <w:pPr>
        <w:spacing w:line="360" w:lineRule="auto"/>
        <w:jc w:val="both"/>
        <w:rPr>
          <w:rFonts w:ascii="Times New Roman" w:hAnsi="Times New Roman"/>
          <w:color w:val="000000" w:themeColor="text1"/>
          <w:sz w:val="28"/>
          <w:szCs w:val="28"/>
        </w:rPr>
      </w:pPr>
    </w:p>
    <w:p w14:paraId="665F1BC3" w14:textId="77777777" w:rsidR="004D4376" w:rsidRPr="001302E5" w:rsidRDefault="004D4376">
      <w:pPr>
        <w:spacing w:line="360" w:lineRule="auto"/>
        <w:jc w:val="both"/>
        <w:rPr>
          <w:rFonts w:ascii="Times New Roman" w:hAnsi="Times New Roman"/>
          <w:color w:val="000000" w:themeColor="text1"/>
          <w:sz w:val="28"/>
          <w:szCs w:val="28"/>
          <w:lang w:val="en-US"/>
        </w:rPr>
      </w:pPr>
    </w:p>
    <w:p w14:paraId="69B8E5A6" w14:textId="77777777" w:rsidR="004D4376" w:rsidRPr="001302E5" w:rsidRDefault="004D6D89">
      <w:pPr>
        <w:spacing w:line="360" w:lineRule="auto"/>
        <w:jc w:val="both"/>
        <w:rPr>
          <w:rFonts w:ascii="Times New Roman" w:hAnsi="Times New Roman"/>
          <w:b/>
          <w:color w:val="000000" w:themeColor="text1"/>
          <w:sz w:val="28"/>
          <w:szCs w:val="28"/>
          <w:lang w:val="en-US"/>
        </w:rPr>
      </w:pPr>
      <w:r w:rsidRPr="001302E5">
        <w:rPr>
          <w:rFonts w:ascii="Times New Roman" w:hAnsi="Times New Roman"/>
          <w:b/>
          <w:color w:val="000000" w:themeColor="text1"/>
          <w:sz w:val="28"/>
          <w:szCs w:val="28"/>
          <w:lang w:val="en-US"/>
        </w:rPr>
        <w:lastRenderedPageBreak/>
        <w:t>Introduction</w:t>
      </w:r>
    </w:p>
    <w:p w14:paraId="754EFB07"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Supramolecular materials consist of assemblies built from molecules packed through non-covalent interactions. The design of molecular materials with targeted properties is a long-standing goal, but, unfortunately, often thwarted by the inherent unpredictability of the supramolecular assembly.</w:t>
      </w:r>
      <w:r w:rsidRPr="001302E5">
        <w:rPr>
          <w:rFonts w:ascii="Times New Roman" w:hAnsi="Times New Roman"/>
          <w:color w:val="000000" w:themeColor="text1"/>
          <w:sz w:val="28"/>
          <w:szCs w:val="28"/>
          <w:vertAlign w:val="superscript"/>
          <w:lang w:val="en-US"/>
        </w:rPr>
        <w:t>1</w:t>
      </w:r>
      <w:r w:rsidRPr="001302E5">
        <w:rPr>
          <w:rFonts w:ascii="Times New Roman" w:hAnsi="Times New Roman"/>
          <w:color w:val="000000" w:themeColor="text1"/>
          <w:sz w:val="28"/>
          <w:szCs w:val="28"/>
        </w:rPr>
        <w:t xml:space="preserve"> In the absence of strong directional non-covalent interactions (for example hydrogen bonds), small changes in molecular position or conformation can have a large impact on the crystal packing and consequent properties. Crystal structure prediction (CSP) techniques have been developed over the last few decades for the prediction of polymorphism in pharmaceuticals.</w:t>
      </w:r>
      <w:r w:rsidRPr="001302E5">
        <w:rPr>
          <w:rFonts w:ascii="Times New Roman" w:hAnsi="Times New Roman"/>
          <w:color w:val="000000" w:themeColor="text1"/>
          <w:sz w:val="28"/>
          <w:szCs w:val="28"/>
          <w:vertAlign w:val="superscript"/>
          <w:lang w:val="en-US"/>
        </w:rPr>
        <w:t>2,3</w:t>
      </w:r>
      <w:r w:rsidRPr="001302E5">
        <w:rPr>
          <w:rFonts w:ascii="Times New Roman" w:hAnsi="Times New Roman"/>
          <w:color w:val="000000" w:themeColor="text1"/>
          <w:sz w:val="28"/>
          <w:szCs w:val="28"/>
        </w:rPr>
        <w:t xml:space="preserve"> Such techniques identify the most likely polymorphs of organic molecules by searching the potential energy landscapes and energetically ranking the structures. “Blind tests” of these methods have shown increasing success over the last decades, with successful predictions for increasingly complex systems, such as co-crystals, hydrates and larger, more flexible molecules.</w:t>
      </w:r>
      <w:r w:rsidRPr="001302E5">
        <w:rPr>
          <w:rFonts w:ascii="Times New Roman" w:hAnsi="Times New Roman"/>
          <w:color w:val="000000" w:themeColor="text1"/>
          <w:sz w:val="28"/>
          <w:szCs w:val="28"/>
          <w:vertAlign w:val="superscript"/>
          <w:lang w:val="en-US"/>
        </w:rPr>
        <w:t>4-6</w:t>
      </w:r>
      <w:r w:rsidRPr="001302E5">
        <w:rPr>
          <w:rFonts w:ascii="Times New Roman" w:hAnsi="Times New Roman"/>
          <w:color w:val="000000" w:themeColor="text1"/>
          <w:sz w:val="28"/>
          <w:szCs w:val="28"/>
        </w:rPr>
        <w:t xml:space="preserve"> However, the application of these techniques to molecular materials is still relatively rare, with some recent exceptions including the comparison of two polymorphs of an acetylene molecule in organic electronics</w:t>
      </w:r>
      <w:r w:rsidRPr="001302E5">
        <w:rPr>
          <w:rFonts w:ascii="Times New Roman" w:hAnsi="Times New Roman"/>
          <w:color w:val="000000" w:themeColor="text1"/>
          <w:sz w:val="28"/>
          <w:szCs w:val="28"/>
          <w:vertAlign w:val="superscript"/>
          <w:lang w:val="en-US"/>
        </w:rPr>
        <w:t>7</w:t>
      </w:r>
      <w:r w:rsidRPr="001302E5">
        <w:rPr>
          <w:rFonts w:ascii="Times New Roman" w:hAnsi="Times New Roman"/>
          <w:color w:val="000000" w:themeColor="text1"/>
          <w:sz w:val="28"/>
          <w:szCs w:val="28"/>
        </w:rPr>
        <w:t xml:space="preserve"> and in the prediction of porous molecular materials,</w:t>
      </w:r>
      <w:r w:rsidRPr="001302E5">
        <w:rPr>
          <w:rFonts w:ascii="Times New Roman" w:hAnsi="Times New Roman"/>
          <w:color w:val="000000" w:themeColor="text1"/>
          <w:sz w:val="28"/>
          <w:szCs w:val="28"/>
          <w:vertAlign w:val="superscript"/>
          <w:lang w:val="en-US"/>
        </w:rPr>
        <w:t>8</w:t>
      </w:r>
      <w:r w:rsidRPr="001302E5">
        <w:rPr>
          <w:rFonts w:ascii="Times New Roman" w:hAnsi="Times New Roman"/>
          <w:color w:val="000000" w:themeColor="text1"/>
          <w:sz w:val="28"/>
          <w:szCs w:val="28"/>
        </w:rPr>
        <w:t xml:space="preserve"> including the generation in 2017 of “energy-structure-function” (ESF) maps for extrinsically porous materials.</w:t>
      </w:r>
      <w:r w:rsidRPr="001302E5">
        <w:rPr>
          <w:rFonts w:ascii="Times New Roman" w:hAnsi="Times New Roman"/>
          <w:color w:val="000000" w:themeColor="text1"/>
          <w:sz w:val="28"/>
          <w:szCs w:val="28"/>
          <w:vertAlign w:val="superscript"/>
          <w:lang w:val="en-US"/>
        </w:rPr>
        <w:t>9</w:t>
      </w:r>
      <w:r w:rsidRPr="001302E5">
        <w:rPr>
          <w:rFonts w:ascii="Times New Roman" w:hAnsi="Times New Roman"/>
          <w:color w:val="000000" w:themeColor="text1"/>
          <w:sz w:val="28"/>
          <w:szCs w:val="28"/>
        </w:rPr>
        <w:t xml:space="preserve"> Very recently, Campbell </w:t>
      </w:r>
      <w:r w:rsidRPr="001302E5">
        <w:rPr>
          <w:rFonts w:ascii="Times New Roman" w:hAnsi="Times New Roman"/>
          <w:i/>
          <w:color w:val="000000" w:themeColor="text1"/>
          <w:sz w:val="28"/>
          <w:szCs w:val="28"/>
        </w:rPr>
        <w:t xml:space="preserve">et al. </w:t>
      </w:r>
      <w:r w:rsidRPr="001302E5">
        <w:rPr>
          <w:rFonts w:ascii="Times New Roman" w:hAnsi="Times New Roman"/>
          <w:color w:val="000000" w:themeColor="text1"/>
          <w:sz w:val="28"/>
          <w:szCs w:val="28"/>
        </w:rPr>
        <w:t>explored ESF maps for small molecule planar azapentacenes, demonstrating the influence of both intra- and intermolecular interactions in determining crystal packing and thus charge carrier mobilities in the molecules.</w:t>
      </w:r>
      <w:r w:rsidRPr="001302E5">
        <w:rPr>
          <w:rFonts w:ascii="Times New Roman" w:hAnsi="Times New Roman"/>
          <w:color w:val="000000" w:themeColor="text1"/>
          <w:sz w:val="28"/>
          <w:szCs w:val="28"/>
          <w:vertAlign w:val="superscript"/>
          <w:lang w:val="en-US"/>
        </w:rPr>
        <w:t>10</w:t>
      </w:r>
      <w:r w:rsidRPr="001302E5">
        <w:rPr>
          <w:rFonts w:ascii="Times New Roman" w:hAnsi="Times New Roman"/>
          <w:color w:val="000000" w:themeColor="text1"/>
          <w:sz w:val="28"/>
          <w:szCs w:val="28"/>
        </w:rPr>
        <w:t xml:space="preserve"> Through prediction of ESF maps, we can lay the basis for computational design, or rather, screening of molecules that will likely form structures with optimal properties such as electronic transport properties. In this work, we explore the energy-structure-function relationships for charge carrier mobilities in [6]helicene, a chiral molecule with high potential for novel organic electronic device applications.</w:t>
      </w:r>
    </w:p>
    <w:p w14:paraId="720120B2" w14:textId="77777777" w:rsidR="004D4376" w:rsidRPr="001302E5" w:rsidRDefault="004D6D89">
      <w:pPr>
        <w:spacing w:line="360" w:lineRule="auto"/>
        <w:ind w:firstLine="720"/>
        <w:jc w:val="both"/>
        <w:rPr>
          <w:rFonts w:ascii="Times New Roman" w:hAnsi="Times New Roman"/>
          <w:color w:val="000000" w:themeColor="text1"/>
          <w:sz w:val="28"/>
          <w:szCs w:val="28"/>
          <w:lang w:val="en-US"/>
        </w:rPr>
      </w:pPr>
      <w:r w:rsidRPr="001302E5">
        <w:rPr>
          <w:rFonts w:ascii="Times New Roman" w:hAnsi="Times New Roman"/>
          <w:color w:val="000000" w:themeColor="text1"/>
          <w:sz w:val="28"/>
          <w:szCs w:val="28"/>
        </w:rPr>
        <w:lastRenderedPageBreak/>
        <w:t>Helicenes are a class of chiral molecules where the chirality arises from the intrinsically helical nature of their twisted aromatic structure (see Fig. 1).</w:t>
      </w:r>
      <w:r w:rsidRPr="001302E5">
        <w:rPr>
          <w:rFonts w:ascii="Times New Roman" w:hAnsi="Times New Roman"/>
          <w:color w:val="000000" w:themeColor="text1"/>
          <w:sz w:val="28"/>
          <w:szCs w:val="28"/>
          <w:vertAlign w:val="superscript"/>
          <w:lang w:val="en-US"/>
        </w:rPr>
        <w:t>11</w:t>
      </w:r>
      <w:r w:rsidRPr="001302E5">
        <w:rPr>
          <w:rFonts w:ascii="Times New Roman" w:hAnsi="Times New Roman"/>
          <w:color w:val="000000" w:themeColor="text1"/>
          <w:sz w:val="28"/>
          <w:szCs w:val="28"/>
        </w:rPr>
        <w:t xml:space="preserve"> Like all chiral molecules, they can exist in both left-handed or right-handed forms (so-called enantiomers) and single-handed (enantiopure) helicenes exhibit exceptionally strong chiroptical properties, such as circular dichroism and </w:t>
      </w:r>
      <w:r w:rsidRPr="001302E5">
        <w:rPr>
          <w:rFonts w:ascii="Times New Roman" w:hAnsi="Times New Roman"/>
          <w:color w:val="000000" w:themeColor="text1"/>
          <w:sz w:val="28"/>
          <w:szCs w:val="28"/>
          <w:lang w:val="en-US"/>
        </w:rPr>
        <w:t>high optical rotatory power.</w:t>
      </w:r>
      <w:r w:rsidRPr="001302E5">
        <w:rPr>
          <w:rFonts w:ascii="Times New Roman" w:hAnsi="Times New Roman"/>
          <w:color w:val="000000" w:themeColor="text1"/>
          <w:sz w:val="28"/>
          <w:szCs w:val="28"/>
          <w:vertAlign w:val="superscript"/>
          <w:lang w:val="en-US"/>
        </w:rPr>
        <w:t>11</w:t>
      </w:r>
      <w:r w:rsidRPr="001302E5">
        <w:rPr>
          <w:rFonts w:ascii="Times New Roman" w:hAnsi="Times New Roman"/>
          <w:color w:val="000000" w:themeColor="text1"/>
          <w:sz w:val="28"/>
          <w:szCs w:val="28"/>
          <w:lang w:val="en-US"/>
        </w:rPr>
        <w:t xml:space="preserve"> Helicenes have been investigated for application in chemosensors, stereoselective charge transfer complexes, liquid crystals, organic light emitting diodes (OLEDs), asymmetric catalysis, molecular machines and in biological chemistry.</w:t>
      </w:r>
      <w:r w:rsidRPr="001302E5">
        <w:rPr>
          <w:rFonts w:ascii="Times New Roman" w:hAnsi="Times New Roman"/>
          <w:color w:val="000000" w:themeColor="text1"/>
          <w:sz w:val="28"/>
          <w:szCs w:val="28"/>
          <w:vertAlign w:val="superscript"/>
          <w:lang w:val="en-US"/>
        </w:rPr>
        <w:t>11-14</w:t>
      </w:r>
      <w:r w:rsidRPr="001302E5">
        <w:rPr>
          <w:rFonts w:ascii="Times New Roman" w:hAnsi="Times New Roman"/>
          <w:color w:val="000000" w:themeColor="text1"/>
          <w:sz w:val="28"/>
          <w:szCs w:val="28"/>
          <w:lang w:val="en-US"/>
        </w:rPr>
        <w:t xml:space="preserve"> Many of these applications depend on the presence of certain supramolecular assemblies of the molecular helicenes. For example, functionalized helicenes have been developed to form one-dimensional columnar aggregates, the fibres of which have then exhibited high non-linear optical susceptibility. </w:t>
      </w:r>
      <w:r w:rsidRPr="001302E5">
        <w:rPr>
          <w:rFonts w:ascii="Times New Roman" w:hAnsi="Times New Roman"/>
          <w:color w:val="000000" w:themeColor="text1"/>
          <w:sz w:val="28"/>
          <w:szCs w:val="28"/>
          <w:vertAlign w:val="superscript"/>
          <w:lang w:val="en-US"/>
        </w:rPr>
        <w:t>15-17</w:t>
      </w:r>
      <w:r w:rsidRPr="001302E5">
        <w:rPr>
          <w:rFonts w:ascii="Times New Roman" w:hAnsi="Times New Roman"/>
          <w:color w:val="000000" w:themeColor="text1"/>
          <w:sz w:val="28"/>
          <w:szCs w:val="28"/>
          <w:lang w:val="en-US"/>
        </w:rPr>
        <w:t xml:space="preserve"> Chemical modifications of such molecules have directed how they pack into mesophases as helical discotic liquid crystals,</w:t>
      </w:r>
      <w:r w:rsidRPr="001302E5">
        <w:rPr>
          <w:rFonts w:ascii="Times New Roman" w:hAnsi="Times New Roman"/>
          <w:color w:val="000000" w:themeColor="text1"/>
          <w:sz w:val="28"/>
          <w:szCs w:val="28"/>
          <w:vertAlign w:val="superscript"/>
          <w:lang w:val="en-US"/>
        </w:rPr>
        <w:t>18</w:t>
      </w:r>
      <w:r w:rsidRPr="001302E5">
        <w:rPr>
          <w:rFonts w:ascii="Times New Roman" w:hAnsi="Times New Roman"/>
          <w:color w:val="000000" w:themeColor="text1"/>
          <w:sz w:val="28"/>
          <w:szCs w:val="28"/>
          <w:lang w:val="en-US"/>
        </w:rPr>
        <w:t xml:space="preserve"> and studies of their assembly on surfaces have shed light on their chiral molecular recognition (see </w:t>
      </w:r>
      <w:r w:rsidRPr="001302E5">
        <w:rPr>
          <w:rFonts w:ascii="Times New Roman" w:hAnsi="Times New Roman"/>
          <w:color w:val="000000" w:themeColor="text1"/>
          <w:sz w:val="28"/>
          <w:szCs w:val="28"/>
        </w:rPr>
        <w:t xml:space="preserve">references 19 and </w:t>
      </w:r>
      <w:r w:rsidRPr="001302E5">
        <w:rPr>
          <w:rFonts w:ascii="Times New Roman" w:hAnsi="Times New Roman"/>
          <w:color w:val="000000" w:themeColor="text1"/>
          <w:sz w:val="28"/>
          <w:szCs w:val="28"/>
          <w:lang w:val="en-US"/>
        </w:rPr>
        <w:t>20 and references therein).</w:t>
      </w:r>
    </w:p>
    <w:p w14:paraId="30502EE5" w14:textId="77777777" w:rsidR="004D4376" w:rsidRPr="001302E5" w:rsidRDefault="004D4376">
      <w:pPr>
        <w:spacing w:line="360" w:lineRule="auto"/>
        <w:ind w:firstLine="720"/>
        <w:jc w:val="both"/>
        <w:rPr>
          <w:rFonts w:ascii="Times New Roman" w:hAnsi="Times New Roman"/>
          <w:color w:val="000000" w:themeColor="text1"/>
          <w:sz w:val="28"/>
          <w:szCs w:val="28"/>
          <w:lang w:val="en-US"/>
        </w:rPr>
      </w:pPr>
    </w:p>
    <w:p w14:paraId="0F23E621" w14:textId="77777777" w:rsidR="004D4376" w:rsidRPr="001302E5" w:rsidRDefault="004D4376">
      <w:pPr>
        <w:spacing w:line="360" w:lineRule="auto"/>
        <w:ind w:firstLine="720"/>
        <w:jc w:val="both"/>
        <w:rPr>
          <w:rFonts w:ascii="Times New Roman" w:hAnsi="Times New Roman"/>
          <w:color w:val="000000" w:themeColor="text1"/>
          <w:sz w:val="28"/>
          <w:szCs w:val="28"/>
          <w:lang w:val="en-US"/>
        </w:rPr>
      </w:pPr>
    </w:p>
    <w:p w14:paraId="6F4038C8" w14:textId="77777777" w:rsidR="004D4376" w:rsidRPr="001302E5" w:rsidRDefault="004D6D89">
      <w:pPr>
        <w:spacing w:line="360" w:lineRule="auto"/>
        <w:jc w:val="center"/>
        <w:rPr>
          <w:color w:val="000000" w:themeColor="text1"/>
        </w:rPr>
      </w:pPr>
      <w:r w:rsidRPr="001302E5">
        <w:rPr>
          <w:noProof/>
          <w:color w:val="000000" w:themeColor="text1"/>
          <w:lang w:val="en-US"/>
        </w:rPr>
        <w:drawing>
          <wp:inline distT="0" distB="0" distL="0" distR="0" wp14:anchorId="28A99809" wp14:editId="0D3A48B8">
            <wp:extent cx="2540000" cy="280924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7"/>
                    <a:stretch>
                      <a:fillRect/>
                    </a:stretch>
                  </pic:blipFill>
                  <pic:spPr bwMode="auto">
                    <a:xfrm>
                      <a:off x="0" y="0"/>
                      <a:ext cx="2540000" cy="2809240"/>
                    </a:xfrm>
                    <a:prstGeom prst="rect">
                      <a:avLst/>
                    </a:prstGeom>
                    <a:noFill/>
                    <a:ln w="9525">
                      <a:noFill/>
                      <a:miter lim="800000"/>
                      <a:headEnd/>
                      <a:tailEnd/>
                    </a:ln>
                  </pic:spPr>
                </pic:pic>
              </a:graphicData>
            </a:graphic>
          </wp:inline>
        </w:drawing>
      </w:r>
    </w:p>
    <w:p w14:paraId="0DCF44B9" w14:textId="77777777" w:rsidR="004D4376" w:rsidRPr="001302E5" w:rsidRDefault="004D6D89">
      <w:pPr>
        <w:widowControl w:val="0"/>
        <w:spacing w:after="240"/>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Figure 1: The two enantiomers of the chiral [6]helicene molecule, shown in a top-down view (bold bonds indicate bonds projecting towards the viewer).</w:t>
      </w:r>
    </w:p>
    <w:p w14:paraId="638C2E9E" w14:textId="77777777" w:rsidR="004D4376" w:rsidRPr="001302E5" w:rsidRDefault="004D4376">
      <w:pPr>
        <w:spacing w:line="360" w:lineRule="auto"/>
        <w:ind w:firstLine="720"/>
        <w:jc w:val="both"/>
        <w:rPr>
          <w:rFonts w:ascii="Times New Roman" w:hAnsi="Times New Roman"/>
          <w:color w:val="000000" w:themeColor="text1"/>
          <w:sz w:val="28"/>
          <w:szCs w:val="28"/>
          <w:lang w:val="en-US"/>
        </w:rPr>
      </w:pPr>
    </w:p>
    <w:p w14:paraId="13E55332" w14:textId="4ED4C211" w:rsidR="004D4376" w:rsidRPr="001302E5" w:rsidRDefault="004D6D89">
      <w:pPr>
        <w:spacing w:line="360" w:lineRule="auto"/>
        <w:ind w:firstLine="720"/>
        <w:jc w:val="both"/>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Given their conjugated aromatic framework, the solid state structures of helicenes provide significant opportunities for use in organic electronic devices.</w:t>
      </w:r>
      <w:r w:rsidRPr="001302E5">
        <w:rPr>
          <w:rFonts w:ascii="Times New Roman" w:hAnsi="Times New Roman"/>
          <w:color w:val="000000" w:themeColor="text1"/>
          <w:sz w:val="28"/>
          <w:szCs w:val="28"/>
          <w:vertAlign w:val="superscript"/>
          <w:lang w:val="en-US"/>
        </w:rPr>
        <w:t>11,14</w:t>
      </w:r>
      <w:r w:rsidRPr="001302E5">
        <w:rPr>
          <w:rFonts w:ascii="Times New Roman" w:hAnsi="Times New Roman"/>
          <w:color w:val="000000" w:themeColor="text1"/>
          <w:sz w:val="28"/>
          <w:szCs w:val="28"/>
          <w:lang w:val="en-US"/>
        </w:rPr>
        <w:t xml:space="preserve"> Furthermore, the chirality of these materials allows for additional functionality in devices, such as OLEDs that emit circularly polarized light,</w:t>
      </w:r>
      <w:r w:rsidRPr="001302E5">
        <w:rPr>
          <w:rFonts w:ascii="Times New Roman" w:hAnsi="Times New Roman"/>
          <w:color w:val="000000" w:themeColor="text1"/>
          <w:sz w:val="28"/>
          <w:szCs w:val="28"/>
          <w:vertAlign w:val="superscript"/>
          <w:lang w:val="en-US"/>
        </w:rPr>
        <w:t>21,22</w:t>
      </w:r>
      <w:r w:rsidRPr="001302E5">
        <w:rPr>
          <w:rFonts w:ascii="Times New Roman" w:hAnsi="Times New Roman"/>
          <w:color w:val="000000" w:themeColor="text1"/>
          <w:sz w:val="28"/>
          <w:szCs w:val="28"/>
          <w:lang w:val="en-US"/>
        </w:rPr>
        <w:t xml:space="preserve"> and spintronic devices based on the chiral-induced spin-selectivity effect.</w:t>
      </w:r>
      <w:r w:rsidRPr="001302E5">
        <w:rPr>
          <w:rFonts w:ascii="Times New Roman" w:hAnsi="Times New Roman"/>
          <w:color w:val="000000" w:themeColor="text1"/>
          <w:sz w:val="28"/>
          <w:szCs w:val="28"/>
          <w:vertAlign w:val="superscript"/>
          <w:lang w:val="en-US"/>
        </w:rPr>
        <w:t>23</w:t>
      </w:r>
      <w:r w:rsidRPr="001302E5">
        <w:rPr>
          <w:rFonts w:ascii="Times New Roman" w:hAnsi="Times New Roman"/>
          <w:color w:val="000000" w:themeColor="text1"/>
          <w:sz w:val="28"/>
          <w:szCs w:val="28"/>
          <w:lang w:val="en-US"/>
        </w:rPr>
        <w:t xml:space="preserve"> Despite such high promise however, the application of helicenes to electronic devices is, to date, in its infancy. In part, this is due to a poor understanding of molecular packing and how this impacts device performance. Furthermore, chiral materials will pack differently depending on whether a single-handed (enantiopure), racemic (a 50:50 mix of left-handed and right-handed molecules), or some other mixture is employed. For example, Hatakeyama </w:t>
      </w:r>
      <w:r w:rsidRPr="001302E5">
        <w:rPr>
          <w:rFonts w:ascii="Times New Roman" w:hAnsi="Times New Roman"/>
          <w:i/>
          <w:color w:val="000000" w:themeColor="text1"/>
          <w:sz w:val="28"/>
          <w:szCs w:val="28"/>
          <w:lang w:val="en-US"/>
        </w:rPr>
        <w:t>et al.</w:t>
      </w:r>
      <w:r w:rsidRPr="001302E5">
        <w:rPr>
          <w:rFonts w:ascii="Times New Roman" w:hAnsi="Times New Roman"/>
          <w:color w:val="000000" w:themeColor="text1"/>
          <w:sz w:val="28"/>
          <w:szCs w:val="28"/>
          <w:lang w:val="en-US"/>
        </w:rPr>
        <w:t xml:space="preserve"> reported a difference in the carrier type for azaboradibenzo[6]helicene between the racemic form, which exhibited higher mobility for holes, and the enantiopure form, which exhibited higher mobility for electrons.</w:t>
      </w:r>
      <w:r w:rsidRPr="001302E5">
        <w:rPr>
          <w:rFonts w:ascii="Times New Roman" w:hAnsi="Times New Roman"/>
          <w:color w:val="000000" w:themeColor="text1"/>
          <w:sz w:val="28"/>
          <w:szCs w:val="28"/>
          <w:vertAlign w:val="superscript"/>
          <w:lang w:val="en-US"/>
        </w:rPr>
        <w:t>24</w:t>
      </w:r>
      <w:r w:rsidRPr="001302E5">
        <w:rPr>
          <w:rFonts w:ascii="Times New Roman" w:hAnsi="Times New Roman"/>
          <w:color w:val="000000" w:themeColor="text1"/>
          <w:sz w:val="28"/>
          <w:szCs w:val="28"/>
          <w:lang w:val="en-US"/>
        </w:rPr>
        <w:t xml:space="preserve"> They rationalized this on the basis of the differences in molecular packing between the two forms, driven by molecular chirality. One of us has previously reported the use of aza[6]helicene in OFETs, finding opposite enantiomers to have, as expected, a strong dependence of photogenerated current on the handedness of circularly polarized light.</w:t>
      </w:r>
      <w:r w:rsidRPr="001302E5">
        <w:rPr>
          <w:rFonts w:ascii="Times New Roman" w:hAnsi="Times New Roman"/>
          <w:color w:val="000000" w:themeColor="text1"/>
          <w:sz w:val="28"/>
          <w:szCs w:val="28"/>
          <w:vertAlign w:val="superscript"/>
          <w:lang w:val="en-US"/>
        </w:rPr>
        <w:t>25</w:t>
      </w:r>
      <w:r w:rsidRPr="001302E5">
        <w:rPr>
          <w:rFonts w:ascii="Times New Roman" w:hAnsi="Times New Roman"/>
          <w:color w:val="000000" w:themeColor="text1"/>
          <w:sz w:val="28"/>
          <w:szCs w:val="28"/>
          <w:lang w:val="en-US"/>
        </w:rPr>
        <w:t xml:space="preserve"> Recently, P3HT-helicene blend organic photovoltaics (OPVs) were reported, which showed a five-fold increase in power conversion efficiency when switching from a racemic to an enantiopure helicene additive as part of a polymer blend material.</w:t>
      </w:r>
      <w:r w:rsidRPr="001302E5">
        <w:rPr>
          <w:rFonts w:ascii="Times New Roman" w:hAnsi="Times New Roman"/>
          <w:color w:val="000000" w:themeColor="text1"/>
          <w:sz w:val="28"/>
          <w:szCs w:val="28"/>
          <w:vertAlign w:val="superscript"/>
          <w:lang w:val="en-US"/>
        </w:rPr>
        <w:t>26</w:t>
      </w:r>
      <w:r w:rsidRPr="001302E5">
        <w:rPr>
          <w:rFonts w:ascii="Times New Roman" w:hAnsi="Times New Roman"/>
          <w:color w:val="000000" w:themeColor="text1"/>
          <w:sz w:val="28"/>
          <w:szCs w:val="28"/>
          <w:lang w:val="en-US"/>
        </w:rPr>
        <w:t xml:space="preserve"> We have recently shown for aza[6]helicene that differences in molecular packing cause an 80-fold difference in charge mobility for OFET devices fabricated using enantiopure </w:t>
      </w:r>
      <w:r w:rsidRPr="001302E5">
        <w:rPr>
          <w:rFonts w:ascii="Times New Roman" w:hAnsi="Times New Roman"/>
          <w:i/>
          <w:color w:val="000000" w:themeColor="text1"/>
          <w:sz w:val="28"/>
          <w:szCs w:val="28"/>
          <w:lang w:val="en-US"/>
        </w:rPr>
        <w:t>vs.</w:t>
      </w:r>
      <w:r w:rsidRPr="001302E5">
        <w:rPr>
          <w:rFonts w:ascii="Times New Roman" w:hAnsi="Times New Roman"/>
          <w:color w:val="000000" w:themeColor="text1"/>
          <w:sz w:val="28"/>
          <w:szCs w:val="28"/>
          <w:lang w:val="en-US"/>
        </w:rPr>
        <w:t xml:space="preserve"> racemate mixtures.</w:t>
      </w:r>
      <w:r w:rsidRPr="001302E5">
        <w:rPr>
          <w:rFonts w:ascii="Times New Roman" w:hAnsi="Times New Roman"/>
          <w:color w:val="000000" w:themeColor="text1"/>
          <w:sz w:val="28"/>
          <w:szCs w:val="28"/>
          <w:vertAlign w:val="superscript"/>
          <w:lang w:val="en-US"/>
        </w:rPr>
        <w:t>27</w:t>
      </w:r>
      <w:r w:rsidRPr="001302E5">
        <w:rPr>
          <w:rFonts w:ascii="Times New Roman" w:hAnsi="Times New Roman"/>
          <w:color w:val="000000" w:themeColor="text1"/>
          <w:sz w:val="28"/>
          <w:szCs w:val="28"/>
          <w:lang w:val="en-US"/>
        </w:rPr>
        <w:t xml:space="preserve"> Understanding the packing–electronic property relationship would enable control of useful properties for applications.</w:t>
      </w:r>
    </w:p>
    <w:p w14:paraId="5FB558F0" w14:textId="77777777" w:rsidR="004D4376" w:rsidRPr="001302E5" w:rsidRDefault="004D6D89">
      <w:pPr>
        <w:spacing w:line="360" w:lineRule="auto"/>
        <w:ind w:firstLine="720"/>
        <w:jc w:val="both"/>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 xml:space="preserve">Thus far, attempts to control the solid-state assembly of helicenes have largely been based on a combination of chemical intuition and trial-and-error in </w:t>
      </w:r>
      <w:r w:rsidRPr="001302E5">
        <w:rPr>
          <w:rFonts w:ascii="Times New Roman" w:hAnsi="Times New Roman"/>
          <w:color w:val="000000" w:themeColor="text1"/>
          <w:sz w:val="28"/>
          <w:szCs w:val="28"/>
          <w:lang w:val="en-US"/>
        </w:rPr>
        <w:lastRenderedPageBreak/>
        <w:t>the laboratory. The ability to control or predict the assembly of a given helicene, in particular towards helical columns, is tantalizing as this could help to dramatically improve properties related to a chiroptical response</w:t>
      </w:r>
      <w:r w:rsidRPr="001302E5">
        <w:rPr>
          <w:rFonts w:ascii="Times New Roman" w:hAnsi="Times New Roman"/>
          <w:color w:val="000000" w:themeColor="text1"/>
          <w:sz w:val="28"/>
          <w:szCs w:val="28"/>
          <w:vertAlign w:val="superscript"/>
          <w:lang w:val="en-US"/>
        </w:rPr>
        <w:t>15</w:t>
      </w:r>
      <w:r w:rsidRPr="001302E5">
        <w:rPr>
          <w:rFonts w:ascii="Times New Roman" w:hAnsi="Times New Roman"/>
          <w:color w:val="000000" w:themeColor="text1"/>
          <w:sz w:val="28"/>
          <w:szCs w:val="28"/>
          <w:lang w:val="en-US"/>
        </w:rPr>
        <w:t xml:space="preserve"> and therefore potential device performance in certain contexts. Detailed experimental studies into polymorphism in helicenes are, however, relatively rare. In this work, we use CSP to explore the lattice energy landscape for the carbohelicene, [6]helicene (see Fig. 1), allowing us to explore what drives the molecular packing of this molecule. Furthermore, through calculating the charge mobility of the energetically accessible hypothetical polymorphs, we are able to explore the energy-structure-function relationships for this material. The relationship between molecular structure and the macroscopic properties of relevance in organic electronics is a complex one. Charge carrier mobility is influenced by molecular structure, conformation, molecular packing and the degree of order. There are often a wide range of mobilities reported for a single chemical structure, due to the various causes of heterogeneity. High mobility in the crystalline part is a condition for high mobility in the film, so we would like to understand both the mobility – crystal structure relationship and the preference for given crystal structures.</w:t>
      </w:r>
    </w:p>
    <w:p w14:paraId="4B21DCBB" w14:textId="77777777" w:rsidR="004D4376" w:rsidRPr="001302E5" w:rsidRDefault="004D6D89">
      <w:pPr>
        <w:spacing w:line="360" w:lineRule="auto"/>
        <w:jc w:val="both"/>
        <w:rPr>
          <w:rFonts w:ascii="Times New Roman" w:hAnsi="Times New Roman"/>
          <w:color w:val="000000" w:themeColor="text1"/>
          <w:sz w:val="28"/>
          <w:szCs w:val="28"/>
          <w:vertAlign w:val="superscript"/>
          <w:lang w:val="en-US"/>
        </w:rPr>
      </w:pPr>
      <w:r w:rsidRPr="001302E5">
        <w:rPr>
          <w:rFonts w:ascii="Times New Roman" w:hAnsi="Times New Roman"/>
          <w:color w:val="000000" w:themeColor="text1"/>
          <w:sz w:val="28"/>
          <w:szCs w:val="28"/>
        </w:rPr>
        <w:tab/>
        <w:t>We selected [6]helicene because it is well known and studied.</w:t>
      </w:r>
      <w:r w:rsidRPr="001302E5">
        <w:rPr>
          <w:rFonts w:ascii="Times New Roman" w:hAnsi="Times New Roman"/>
          <w:color w:val="000000" w:themeColor="text1"/>
          <w:sz w:val="28"/>
          <w:szCs w:val="28"/>
          <w:vertAlign w:val="superscript"/>
          <w:lang w:val="en-US"/>
        </w:rPr>
        <w:t>28,29</w:t>
      </w:r>
      <w:r w:rsidRPr="001302E5">
        <w:rPr>
          <w:rFonts w:ascii="Times New Roman" w:hAnsi="Times New Roman"/>
          <w:color w:val="000000" w:themeColor="text1"/>
          <w:sz w:val="28"/>
          <w:szCs w:val="28"/>
        </w:rPr>
        <w:t xml:space="preserve"> It also expresses an interesting range of crystalline forms including homochiral structures and intergrowths. The solid state form of enantiopure [6]helicene was reported by de Rango </w:t>
      </w:r>
      <w:r w:rsidRPr="001302E5">
        <w:rPr>
          <w:rFonts w:ascii="Times New Roman" w:hAnsi="Times New Roman"/>
          <w:i/>
          <w:color w:val="000000" w:themeColor="text1"/>
          <w:sz w:val="28"/>
          <w:szCs w:val="28"/>
        </w:rPr>
        <w:t>et al.</w:t>
      </w:r>
      <w:r w:rsidRPr="001302E5">
        <w:rPr>
          <w:rFonts w:ascii="Times New Roman" w:hAnsi="Times New Roman"/>
          <w:color w:val="000000" w:themeColor="text1"/>
          <w:sz w:val="28"/>
          <w:szCs w:val="28"/>
        </w:rPr>
        <w:t xml:space="preserve"> in 1973 with the chiral P2</w:t>
      </w:r>
      <w:r w:rsidRPr="001302E5">
        <w:rPr>
          <w:rFonts w:ascii="Times New Roman" w:hAnsi="Times New Roman"/>
          <w:color w:val="000000" w:themeColor="text1"/>
          <w:sz w:val="28"/>
          <w:szCs w:val="28"/>
          <w:vertAlign w:val="subscript"/>
        </w:rPr>
        <w:t>1</w:t>
      </w:r>
      <w:r w:rsidRPr="001302E5">
        <w:rPr>
          <w:rFonts w:ascii="Times New Roman" w:hAnsi="Times New Roman"/>
          <w:color w:val="000000" w:themeColor="text1"/>
          <w:sz w:val="28"/>
          <w:szCs w:val="28"/>
        </w:rPr>
        <w:t>2</w:t>
      </w:r>
      <w:r w:rsidRPr="001302E5">
        <w:rPr>
          <w:rFonts w:ascii="Times New Roman" w:hAnsi="Times New Roman"/>
          <w:color w:val="000000" w:themeColor="text1"/>
          <w:sz w:val="28"/>
          <w:szCs w:val="28"/>
          <w:vertAlign w:val="subscript"/>
        </w:rPr>
        <w:t>1</w:t>
      </w:r>
      <w:r w:rsidRPr="001302E5">
        <w:rPr>
          <w:rFonts w:ascii="Times New Roman" w:hAnsi="Times New Roman"/>
          <w:color w:val="000000" w:themeColor="text1"/>
          <w:sz w:val="28"/>
          <w:szCs w:val="28"/>
        </w:rPr>
        <w:t>2</w:t>
      </w:r>
      <w:r w:rsidRPr="001302E5">
        <w:rPr>
          <w:rFonts w:ascii="Times New Roman" w:hAnsi="Times New Roman"/>
          <w:color w:val="000000" w:themeColor="text1"/>
          <w:sz w:val="28"/>
          <w:szCs w:val="28"/>
          <w:vertAlign w:val="subscript"/>
        </w:rPr>
        <w:t>1</w:t>
      </w:r>
      <w:r w:rsidRPr="001302E5">
        <w:rPr>
          <w:rFonts w:ascii="Times New Roman" w:hAnsi="Times New Roman"/>
          <w:color w:val="000000" w:themeColor="text1"/>
          <w:sz w:val="28"/>
          <w:szCs w:val="28"/>
        </w:rPr>
        <w:t xml:space="preserve"> space group.</w:t>
      </w:r>
      <w:r w:rsidRPr="001302E5">
        <w:rPr>
          <w:rFonts w:ascii="Times New Roman" w:hAnsi="Times New Roman"/>
          <w:color w:val="000000" w:themeColor="text1"/>
          <w:sz w:val="28"/>
          <w:szCs w:val="28"/>
          <w:vertAlign w:val="superscript"/>
          <w:lang w:val="en-US"/>
        </w:rPr>
        <w:t>29</w:t>
      </w:r>
      <w:r w:rsidRPr="001302E5">
        <w:rPr>
          <w:rFonts w:ascii="Times New Roman" w:hAnsi="Times New Roman"/>
          <w:color w:val="000000" w:themeColor="text1"/>
          <w:sz w:val="28"/>
          <w:szCs w:val="28"/>
        </w:rPr>
        <w:t xml:space="preserve"> Interestingly, a racemate crystal structure has never been reported for [6]helicene. Instead, the racemic solutions of [6]helicene spontaneously crystallise as conglomerates of </w:t>
      </w:r>
      <w:r w:rsidRPr="001302E5">
        <w:rPr>
          <w:rFonts w:ascii="Times New Roman" w:hAnsi="Times New Roman"/>
          <w:color w:val="000000" w:themeColor="text1"/>
          <w:sz w:val="28"/>
          <w:szCs w:val="28"/>
          <w:lang w:val="en-US"/>
        </w:rPr>
        <w:t>homochiral crystals</w:t>
      </w:r>
      <w:r w:rsidRPr="001302E5">
        <w:rPr>
          <w:rFonts w:ascii="Times New Roman" w:hAnsi="Times New Roman"/>
          <w:color w:val="000000" w:themeColor="text1"/>
          <w:sz w:val="28"/>
          <w:lang w:val="en-US"/>
        </w:rPr>
        <w:t xml:space="preserve"> </w:t>
      </w:r>
      <w:r w:rsidRPr="001302E5">
        <w:rPr>
          <w:rFonts w:ascii="Times New Roman" w:hAnsi="Times New Roman"/>
          <w:color w:val="000000" w:themeColor="text1"/>
          <w:sz w:val="28"/>
          <w:szCs w:val="28"/>
        </w:rPr>
        <w:t>in the chiral P2</w:t>
      </w:r>
      <w:r w:rsidRPr="001302E5">
        <w:rPr>
          <w:rFonts w:ascii="Times New Roman" w:hAnsi="Times New Roman"/>
          <w:color w:val="000000" w:themeColor="text1"/>
          <w:sz w:val="28"/>
          <w:szCs w:val="28"/>
          <w:vertAlign w:val="subscript"/>
        </w:rPr>
        <w:t>1</w:t>
      </w:r>
      <w:r w:rsidRPr="001302E5">
        <w:rPr>
          <w:rFonts w:ascii="Times New Roman" w:hAnsi="Times New Roman"/>
          <w:color w:val="000000" w:themeColor="text1"/>
          <w:sz w:val="28"/>
          <w:szCs w:val="28"/>
        </w:rPr>
        <w:t>2</w:t>
      </w:r>
      <w:r w:rsidRPr="001302E5">
        <w:rPr>
          <w:rFonts w:ascii="Times New Roman" w:hAnsi="Times New Roman"/>
          <w:color w:val="000000" w:themeColor="text1"/>
          <w:sz w:val="28"/>
          <w:szCs w:val="28"/>
          <w:vertAlign w:val="subscript"/>
        </w:rPr>
        <w:t>1</w:t>
      </w:r>
      <w:r w:rsidRPr="001302E5">
        <w:rPr>
          <w:rFonts w:ascii="Times New Roman" w:hAnsi="Times New Roman"/>
          <w:color w:val="000000" w:themeColor="text1"/>
          <w:sz w:val="28"/>
          <w:szCs w:val="28"/>
        </w:rPr>
        <w:t>2</w:t>
      </w:r>
      <w:r w:rsidRPr="001302E5">
        <w:rPr>
          <w:rFonts w:ascii="Times New Roman" w:hAnsi="Times New Roman"/>
          <w:color w:val="000000" w:themeColor="text1"/>
          <w:sz w:val="28"/>
          <w:szCs w:val="28"/>
          <w:vertAlign w:val="subscript"/>
        </w:rPr>
        <w:t>1</w:t>
      </w:r>
      <w:r w:rsidRPr="001302E5">
        <w:rPr>
          <w:rFonts w:ascii="Times New Roman" w:hAnsi="Times New Roman"/>
          <w:color w:val="000000" w:themeColor="text1"/>
          <w:sz w:val="28"/>
          <w:szCs w:val="28"/>
        </w:rPr>
        <w:t xml:space="preserve"> space group.</w:t>
      </w:r>
      <w:r w:rsidRPr="001302E5">
        <w:rPr>
          <w:rFonts w:ascii="Times New Roman" w:hAnsi="Times New Roman"/>
          <w:color w:val="000000" w:themeColor="text1"/>
          <w:sz w:val="28"/>
          <w:szCs w:val="28"/>
          <w:vertAlign w:val="superscript"/>
          <w:lang w:val="en-US"/>
        </w:rPr>
        <w:t>30</w:t>
      </w:r>
      <w:r w:rsidRPr="001302E5">
        <w:rPr>
          <w:rFonts w:ascii="Times New Roman" w:hAnsi="Times New Roman"/>
          <w:color w:val="000000" w:themeColor="text1"/>
          <w:sz w:val="28"/>
          <w:szCs w:val="28"/>
        </w:rPr>
        <w:t xml:space="preserve"> Such preference for homochiral interactions is relatively rare (found with ~19% of chiral compounds).</w:t>
      </w:r>
      <w:r w:rsidRPr="001302E5">
        <w:rPr>
          <w:rFonts w:ascii="Times New Roman" w:hAnsi="Times New Roman"/>
          <w:color w:val="000000" w:themeColor="text1"/>
          <w:sz w:val="28"/>
          <w:szCs w:val="28"/>
          <w:vertAlign w:val="superscript"/>
          <w:lang w:val="en-US"/>
        </w:rPr>
        <w:t>31</w:t>
      </w:r>
      <w:r w:rsidRPr="001302E5">
        <w:rPr>
          <w:rFonts w:ascii="Times New Roman" w:hAnsi="Times New Roman"/>
          <w:color w:val="000000" w:themeColor="text1"/>
          <w:sz w:val="28"/>
          <w:szCs w:val="28"/>
        </w:rPr>
        <w:t xml:space="preserve"> However, further investigation has shown that the individual crystals with a chiral space group formed from a racemic [6]helicene solution are in fact racemic, with enantiomeric excesses (</w:t>
      </w:r>
      <w:r w:rsidRPr="001302E5">
        <w:rPr>
          <w:rFonts w:ascii="Times New Roman" w:hAnsi="Times New Roman"/>
          <w:i/>
          <w:color w:val="000000" w:themeColor="text1"/>
          <w:sz w:val="28"/>
          <w:szCs w:val="28"/>
        </w:rPr>
        <w:t>e.e.</w:t>
      </w:r>
      <w:r w:rsidRPr="001302E5">
        <w:rPr>
          <w:rFonts w:ascii="Times New Roman" w:hAnsi="Times New Roman"/>
          <w:color w:val="000000" w:themeColor="text1"/>
          <w:sz w:val="28"/>
          <w:szCs w:val="28"/>
        </w:rPr>
        <w:t xml:space="preserve">s) of a </w:t>
      </w:r>
      <w:r w:rsidRPr="001302E5">
        <w:rPr>
          <w:rFonts w:ascii="Times New Roman" w:hAnsi="Times New Roman"/>
          <w:color w:val="000000" w:themeColor="text1"/>
          <w:sz w:val="28"/>
          <w:szCs w:val="28"/>
        </w:rPr>
        <w:lastRenderedPageBreak/>
        <w:t>few percent.</w:t>
      </w:r>
      <w:r w:rsidRPr="001302E5">
        <w:rPr>
          <w:rFonts w:ascii="Times New Roman" w:hAnsi="Times New Roman"/>
          <w:color w:val="000000" w:themeColor="text1"/>
          <w:sz w:val="28"/>
          <w:szCs w:val="28"/>
          <w:vertAlign w:val="superscript"/>
          <w:lang w:val="en-US"/>
        </w:rPr>
        <w:t xml:space="preserve">30 </w:t>
      </w:r>
      <w:r w:rsidRPr="001302E5">
        <w:rPr>
          <w:rFonts w:ascii="Times New Roman" w:hAnsi="Times New Roman"/>
          <w:color w:val="000000" w:themeColor="text1"/>
          <w:sz w:val="28"/>
          <w:szCs w:val="28"/>
        </w:rPr>
        <w:t>In 1981, Thomas and co-workers suggested this was due to intergrowths with alternating layers of opposite helicene enantiomers forming, and using surface energy calculations they postulated a (100) intergrowth was most likely to form.</w:t>
      </w:r>
      <w:r w:rsidRPr="001302E5">
        <w:rPr>
          <w:rFonts w:ascii="Times New Roman" w:hAnsi="Times New Roman"/>
          <w:color w:val="000000" w:themeColor="text1"/>
          <w:sz w:val="28"/>
          <w:szCs w:val="28"/>
          <w:vertAlign w:val="superscript"/>
          <w:lang w:val="en-US"/>
        </w:rPr>
        <w:t>30</w:t>
      </w:r>
    </w:p>
    <w:p w14:paraId="6D1DE133"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b/>
          <w:color w:val="000000" w:themeColor="text1"/>
          <w:sz w:val="28"/>
          <w:szCs w:val="28"/>
        </w:rPr>
        <w:tab/>
      </w:r>
      <w:r w:rsidRPr="001302E5">
        <w:rPr>
          <w:rFonts w:ascii="Times New Roman" w:hAnsi="Times New Roman"/>
          <w:color w:val="000000" w:themeColor="text1"/>
          <w:sz w:val="28"/>
          <w:szCs w:val="28"/>
        </w:rPr>
        <w:t xml:space="preserve">A critical factor in the improvement of polymorph prediction, as observed in the blind tests, has been the use of electronic structure calculations as a final step in the reliable ranking of the hypothetical polymorphs. This is a particular challenge due to the requirement for an accurate description of the non-covalent interactions between molecules. These London dispersion interactions are fundamentally absent in standard density functional theory (DFT).  </w:t>
      </w:r>
      <w:r w:rsidRPr="001302E5">
        <w:rPr>
          <w:rFonts w:ascii="Times New Roman" w:hAnsi="Times New Roman"/>
          <w:color w:val="000000" w:themeColor="text1"/>
          <w:sz w:val="28"/>
          <w:szCs w:val="28"/>
          <w:lang w:val="en-US"/>
        </w:rPr>
        <w:t>In this work, we utilise the exchange-hole dipole moment (XDM) dispersion model</w:t>
      </w:r>
      <w:r w:rsidRPr="001302E5">
        <w:rPr>
          <w:rFonts w:ascii="Times New Roman" w:hAnsi="Times New Roman"/>
          <w:color w:val="000000" w:themeColor="text1"/>
          <w:sz w:val="28"/>
          <w:szCs w:val="28"/>
          <w:vertAlign w:val="superscript"/>
          <w:lang w:val="en-US"/>
        </w:rPr>
        <w:t>32,33</w:t>
      </w:r>
      <w:r w:rsidRPr="001302E5">
        <w:rPr>
          <w:rFonts w:ascii="Times New Roman" w:hAnsi="Times New Roman"/>
          <w:color w:val="000000" w:themeColor="text1"/>
          <w:sz w:val="28"/>
          <w:szCs w:val="28"/>
          <w:lang w:val="en-US"/>
        </w:rPr>
        <w:t xml:space="preserve"> for this reason. XDM is a non-empirical model of dispersion, in which the C</w:t>
      </w:r>
      <w:r w:rsidRPr="001302E5">
        <w:rPr>
          <w:rFonts w:ascii="Times New Roman" w:hAnsi="Times New Roman"/>
          <w:color w:val="000000" w:themeColor="text1"/>
          <w:sz w:val="28"/>
          <w:szCs w:val="28"/>
          <w:vertAlign w:val="subscript"/>
          <w:lang w:val="en-US"/>
        </w:rPr>
        <w:t>6</w:t>
      </w:r>
      <w:r w:rsidRPr="001302E5">
        <w:rPr>
          <w:rFonts w:ascii="Times New Roman" w:hAnsi="Times New Roman"/>
          <w:color w:val="000000" w:themeColor="text1"/>
          <w:sz w:val="28"/>
          <w:szCs w:val="28"/>
          <w:lang w:val="en-US"/>
        </w:rPr>
        <w:t>, C</w:t>
      </w:r>
      <w:r w:rsidRPr="001302E5">
        <w:rPr>
          <w:rFonts w:ascii="Times New Roman" w:hAnsi="Times New Roman"/>
          <w:color w:val="000000" w:themeColor="text1"/>
          <w:sz w:val="28"/>
          <w:szCs w:val="28"/>
          <w:vertAlign w:val="subscript"/>
          <w:lang w:val="en-US"/>
        </w:rPr>
        <w:t>8</w:t>
      </w:r>
      <w:r w:rsidRPr="001302E5">
        <w:rPr>
          <w:rFonts w:ascii="Times New Roman" w:hAnsi="Times New Roman"/>
          <w:color w:val="000000" w:themeColor="text1"/>
          <w:sz w:val="28"/>
          <w:szCs w:val="28"/>
          <w:lang w:val="en-US"/>
        </w:rPr>
        <w:t>, and C</w:t>
      </w:r>
      <w:r w:rsidRPr="001302E5">
        <w:rPr>
          <w:rFonts w:ascii="Times New Roman" w:hAnsi="Times New Roman"/>
          <w:color w:val="000000" w:themeColor="text1"/>
          <w:sz w:val="28"/>
          <w:szCs w:val="28"/>
          <w:vertAlign w:val="subscript"/>
          <w:lang w:val="en-US"/>
        </w:rPr>
        <w:t>10</w:t>
      </w:r>
      <w:r w:rsidRPr="001302E5">
        <w:rPr>
          <w:rFonts w:ascii="Times New Roman" w:hAnsi="Times New Roman"/>
          <w:color w:val="000000" w:themeColor="text1"/>
          <w:sz w:val="28"/>
          <w:szCs w:val="28"/>
          <w:lang w:val="en-US"/>
        </w:rPr>
        <w:t xml:space="preserve"> dispersion coefficients are calculated directly from properties of the electron density and therefore vary depending on the local chemical environment. When combined with the B86bPBE density functional,</w:t>
      </w:r>
      <w:r w:rsidRPr="001302E5">
        <w:rPr>
          <w:rFonts w:ascii="Times New Roman" w:hAnsi="Times New Roman"/>
          <w:color w:val="000000" w:themeColor="text1"/>
          <w:sz w:val="28"/>
          <w:szCs w:val="28"/>
          <w:vertAlign w:val="superscript"/>
          <w:lang w:val="en-US"/>
        </w:rPr>
        <w:t>34</w:t>
      </w:r>
      <w:r w:rsidRPr="001302E5">
        <w:rPr>
          <w:rFonts w:ascii="Times New Roman" w:hAnsi="Times New Roman"/>
          <w:color w:val="000000" w:themeColor="text1"/>
          <w:sz w:val="28"/>
          <w:szCs w:val="28"/>
          <w:lang w:val="en-US"/>
        </w:rPr>
        <w:t xml:space="preserve"> XDM has been shown to reproduce well the experimental sublimation enthalpies and geometries for molecular solids,</w:t>
      </w:r>
      <w:r w:rsidRPr="001302E5">
        <w:rPr>
          <w:rFonts w:ascii="Times New Roman" w:hAnsi="Times New Roman"/>
          <w:color w:val="000000" w:themeColor="text1"/>
          <w:sz w:val="28"/>
          <w:szCs w:val="28"/>
          <w:vertAlign w:val="superscript"/>
          <w:lang w:val="en-US"/>
        </w:rPr>
        <w:t>35,36</w:t>
      </w:r>
      <w:r w:rsidRPr="001302E5">
        <w:rPr>
          <w:rFonts w:ascii="Times New Roman" w:hAnsi="Times New Roman"/>
          <w:color w:val="000000" w:themeColor="text1"/>
          <w:sz w:val="28"/>
          <w:szCs w:val="28"/>
          <w:lang w:val="en-US"/>
        </w:rPr>
        <w:t xml:space="preserve"> predict experimental </w:t>
      </w:r>
      <w:r w:rsidRPr="001302E5">
        <w:rPr>
          <w:rFonts w:ascii="Times New Roman" w:hAnsi="Times New Roman"/>
          <w:i/>
          <w:color w:val="000000" w:themeColor="text1"/>
          <w:sz w:val="28"/>
          <w:szCs w:val="28"/>
          <w:lang w:val="en-US"/>
        </w:rPr>
        <w:t>e.e.</w:t>
      </w:r>
      <w:r w:rsidRPr="001302E5">
        <w:rPr>
          <w:rFonts w:ascii="Times New Roman" w:hAnsi="Times New Roman"/>
          <w:color w:val="000000" w:themeColor="text1"/>
          <w:sz w:val="28"/>
          <w:szCs w:val="28"/>
          <w:lang w:val="en-US"/>
        </w:rPr>
        <w:t>s describing the relative stabilities of enantiopure and racemic crystals,</w:t>
      </w:r>
      <w:r w:rsidRPr="001302E5">
        <w:rPr>
          <w:rFonts w:ascii="Times New Roman" w:hAnsi="Times New Roman"/>
          <w:color w:val="000000" w:themeColor="text1"/>
          <w:sz w:val="28"/>
          <w:szCs w:val="28"/>
          <w:vertAlign w:val="superscript"/>
          <w:lang w:val="en-US"/>
        </w:rPr>
        <w:t>36</w:t>
      </w:r>
      <w:r w:rsidRPr="001302E5">
        <w:rPr>
          <w:rFonts w:ascii="Times New Roman" w:hAnsi="Times New Roman"/>
          <w:color w:val="000000" w:themeColor="text1"/>
          <w:sz w:val="28"/>
          <w:szCs w:val="28"/>
          <w:lang w:val="en-US"/>
        </w:rPr>
        <w:t xml:space="preserve"> and to produce reliable energy rankings for CSP.</w:t>
      </w:r>
      <w:r w:rsidRPr="001302E5">
        <w:rPr>
          <w:rFonts w:ascii="Times New Roman" w:hAnsi="Times New Roman"/>
          <w:color w:val="000000" w:themeColor="text1"/>
          <w:sz w:val="28"/>
          <w:szCs w:val="28"/>
          <w:vertAlign w:val="superscript"/>
          <w:lang w:val="en-US"/>
        </w:rPr>
        <w:t>37</w:t>
      </w:r>
      <w:r w:rsidRPr="001302E5">
        <w:rPr>
          <w:rFonts w:ascii="Times New Roman" w:hAnsi="Times New Roman"/>
          <w:color w:val="000000" w:themeColor="text1"/>
          <w:sz w:val="28"/>
          <w:szCs w:val="28"/>
        </w:rPr>
        <w:t xml:space="preserve"> With knowledge of the crystal structure and molecular structures, non-adiabatic Marcus theory can be used to calculate the direction and field dependent rate of charge hopping between molecules in the non-adiabatic limit, and hence to predict the charge carrier mobility. </w:t>
      </w:r>
    </w:p>
    <w:p w14:paraId="2E55579E" w14:textId="77777777" w:rsidR="004D4376" w:rsidRPr="001302E5" w:rsidRDefault="004D4376">
      <w:pPr>
        <w:spacing w:line="360" w:lineRule="auto"/>
        <w:rPr>
          <w:rFonts w:ascii="Times New Roman" w:hAnsi="Times New Roman"/>
          <w:b/>
          <w:color w:val="000000" w:themeColor="text1"/>
          <w:sz w:val="28"/>
          <w:szCs w:val="28"/>
          <w:u w:val="single"/>
        </w:rPr>
      </w:pPr>
    </w:p>
    <w:p w14:paraId="1B0F0611" w14:textId="77777777" w:rsidR="004D4376" w:rsidRPr="001302E5" w:rsidRDefault="004D6D89">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t>Methods</w:t>
      </w:r>
    </w:p>
    <w:p w14:paraId="2A688076" w14:textId="1D18241D" w:rsidR="004D4376" w:rsidRPr="001302E5" w:rsidRDefault="004D6D89">
      <w:pPr>
        <w:spacing w:line="360" w:lineRule="auto"/>
        <w:jc w:val="both"/>
        <w:rPr>
          <w:rFonts w:ascii="Times New Roman" w:hAnsi="Times New Roman"/>
          <w:color w:val="000000" w:themeColor="text1"/>
          <w:sz w:val="28"/>
          <w:szCs w:val="28"/>
          <w:shd w:val="clear" w:color="auto" w:fill="FFFF00"/>
          <w:lang w:val="en-US"/>
        </w:rPr>
      </w:pPr>
      <w:r w:rsidRPr="001302E5">
        <w:rPr>
          <w:rFonts w:ascii="Times New Roman" w:hAnsi="Times New Roman"/>
          <w:color w:val="000000" w:themeColor="text1"/>
          <w:sz w:val="28"/>
          <w:szCs w:val="28"/>
        </w:rPr>
        <w:t>Full methodological details are provided in the supporting information. For the CSP calculations, a molecular model of [6]helicene was constructed manually and geometry optimised in Gaussian09</w:t>
      </w:r>
      <w:r w:rsidRPr="001302E5">
        <w:rPr>
          <w:rFonts w:ascii="Times New Roman" w:hAnsi="Times New Roman"/>
          <w:color w:val="000000" w:themeColor="text1"/>
          <w:sz w:val="28"/>
          <w:szCs w:val="28"/>
          <w:vertAlign w:val="superscript"/>
          <w:lang w:val="en-US"/>
        </w:rPr>
        <w:t>38</w:t>
      </w:r>
      <w:r w:rsidRPr="001302E5">
        <w:rPr>
          <w:rFonts w:ascii="Times New Roman" w:hAnsi="Times New Roman"/>
          <w:color w:val="000000" w:themeColor="text1"/>
          <w:sz w:val="28"/>
          <w:szCs w:val="28"/>
        </w:rPr>
        <w:t xml:space="preserve"> at the B3LYP/6-31G(</w:t>
      </w:r>
      <w:r w:rsidRPr="001302E5">
        <w:rPr>
          <w:rFonts w:ascii="Times New Roman" w:hAnsi="Times New Roman"/>
          <w:i/>
          <w:color w:val="000000" w:themeColor="text1"/>
          <w:sz w:val="28"/>
          <w:szCs w:val="28"/>
        </w:rPr>
        <w:t>d,p</w:t>
      </w:r>
      <w:r w:rsidRPr="001302E5">
        <w:rPr>
          <w:rFonts w:ascii="Times New Roman" w:hAnsi="Times New Roman"/>
          <w:color w:val="000000" w:themeColor="text1"/>
          <w:sz w:val="28"/>
          <w:szCs w:val="28"/>
        </w:rPr>
        <w:t>) level of theory. CrystalPredictor</w:t>
      </w:r>
      <w:r w:rsidRPr="001302E5">
        <w:rPr>
          <w:rFonts w:ascii="Times New Roman" w:hAnsi="Times New Roman"/>
          <w:color w:val="000000" w:themeColor="text1"/>
          <w:sz w:val="28"/>
          <w:szCs w:val="28"/>
          <w:vertAlign w:val="superscript"/>
          <w:lang w:val="en-US"/>
        </w:rPr>
        <w:t>39,40</w:t>
      </w:r>
      <w:r w:rsidRPr="001302E5">
        <w:rPr>
          <w:rFonts w:ascii="Times New Roman" w:hAnsi="Times New Roman"/>
          <w:color w:val="000000" w:themeColor="text1"/>
          <w:sz w:val="28"/>
          <w:szCs w:val="28"/>
        </w:rPr>
        <w:t xml:space="preserve"> was used to generate the hypothetical crystal structures, with the search restricted to structures with a single molecule in the </w:t>
      </w:r>
      <w:r w:rsidRPr="001302E5">
        <w:rPr>
          <w:rFonts w:ascii="Times New Roman" w:hAnsi="Times New Roman"/>
          <w:color w:val="000000" w:themeColor="text1"/>
          <w:sz w:val="28"/>
          <w:szCs w:val="28"/>
        </w:rPr>
        <w:lastRenderedPageBreak/>
        <w:t>asymmetric unit (Z</w:t>
      </w:r>
      <w:r w:rsidRPr="001302E5">
        <w:rPr>
          <w:rFonts w:ascii="Arial" w:eastAsia="Times New Roman" w:hAnsi="Arial" w:cs="Arial"/>
          <w:color w:val="000000" w:themeColor="text1"/>
          <w:shd w:val="clear" w:color="auto" w:fill="FFFFFF"/>
        </w:rPr>
        <w:t>′</w:t>
      </w:r>
      <w:r w:rsidRPr="001302E5">
        <w:rPr>
          <w:rFonts w:ascii="Times New Roman" w:hAnsi="Times New Roman"/>
          <w:color w:val="000000" w:themeColor="text1"/>
          <w:sz w:val="28"/>
          <w:szCs w:val="28"/>
        </w:rPr>
        <w:t>=1) and using only common space groups that included both enantiopure and racemic packings.</w:t>
      </w:r>
      <w:r w:rsidRPr="001302E5">
        <w:rPr>
          <w:rFonts w:ascii="Times New Roman" w:hAnsi="Times New Roman"/>
          <w:color w:val="000000" w:themeColor="text1"/>
          <w:sz w:val="28"/>
          <w:szCs w:val="28"/>
          <w:lang w:val="en-US"/>
        </w:rPr>
        <w:t xml:space="preserve"> The structure search was conducted with the helicene treated as a rigid molecule and the electrostatic component of the intermolecular forces evaluated based upon a distributed multipole analysis</w:t>
      </w:r>
      <w:r w:rsidRPr="001302E5">
        <w:rPr>
          <w:rFonts w:ascii="Times New Roman" w:hAnsi="Times New Roman"/>
          <w:color w:val="000000" w:themeColor="text1"/>
          <w:sz w:val="28"/>
          <w:szCs w:val="28"/>
          <w:vertAlign w:val="superscript"/>
          <w:lang w:val="en-US"/>
        </w:rPr>
        <w:t>41</w:t>
      </w:r>
      <w:r w:rsidRPr="001302E5">
        <w:rPr>
          <w:rFonts w:ascii="Times New Roman" w:hAnsi="Times New Roman"/>
          <w:color w:val="000000" w:themeColor="text1"/>
          <w:sz w:val="28"/>
          <w:szCs w:val="28"/>
          <w:lang w:val="en-US"/>
        </w:rPr>
        <w:t xml:space="preserve"> (calculated using GDMA2)</w:t>
      </w:r>
      <w:r w:rsidRPr="001302E5">
        <w:rPr>
          <w:rFonts w:ascii="Times New Roman" w:hAnsi="Times New Roman"/>
          <w:color w:val="000000" w:themeColor="text1"/>
          <w:sz w:val="28"/>
          <w:szCs w:val="28"/>
          <w:vertAlign w:val="superscript"/>
          <w:lang w:val="en-US"/>
        </w:rPr>
        <w:t>42</w:t>
      </w:r>
      <w:r w:rsidRPr="001302E5">
        <w:rPr>
          <w:rFonts w:ascii="Times New Roman" w:hAnsi="Times New Roman"/>
          <w:color w:val="000000" w:themeColor="text1"/>
          <w:sz w:val="28"/>
          <w:szCs w:val="28"/>
          <w:lang w:val="en-US"/>
        </w:rPr>
        <w:t xml:space="preserve"> and the remaining intermolecular forces were calculated using the Williams potential.</w:t>
      </w:r>
      <w:r w:rsidRPr="001302E5">
        <w:rPr>
          <w:rFonts w:ascii="Times New Roman" w:hAnsi="Times New Roman"/>
          <w:color w:val="000000" w:themeColor="text1"/>
          <w:sz w:val="28"/>
          <w:szCs w:val="28"/>
          <w:vertAlign w:val="superscript"/>
          <w:lang w:val="en-US"/>
        </w:rPr>
        <w:t>43</w:t>
      </w:r>
      <w:r w:rsidRPr="001302E5">
        <w:rPr>
          <w:rFonts w:ascii="Times New Roman" w:hAnsi="Times New Roman"/>
          <w:color w:val="000000" w:themeColor="text1"/>
          <w:sz w:val="28"/>
          <w:szCs w:val="28"/>
          <w:lang w:val="en-US"/>
        </w:rPr>
        <w:t xml:space="preserve"> The unique structures from the search (~10,000) were then lattice energy minimised using DMACRYS.</w:t>
      </w:r>
      <w:r w:rsidRPr="001302E5">
        <w:rPr>
          <w:rFonts w:ascii="Times New Roman" w:hAnsi="Times New Roman"/>
          <w:color w:val="000000" w:themeColor="text1"/>
          <w:sz w:val="28"/>
          <w:szCs w:val="28"/>
          <w:vertAlign w:val="superscript"/>
          <w:lang w:val="en-US"/>
        </w:rPr>
        <w:t>44</w:t>
      </w:r>
      <w:r w:rsidRPr="001302E5">
        <w:rPr>
          <w:rFonts w:ascii="Times New Roman" w:hAnsi="Times New Roman"/>
          <w:color w:val="000000" w:themeColor="text1"/>
          <w:sz w:val="28"/>
          <w:szCs w:val="28"/>
          <w:lang w:val="en-US"/>
        </w:rPr>
        <w:t xml:space="preserve"> We constructed three intergrowth models manually</w:t>
      </w:r>
      <w:r w:rsidR="00FD3E4A" w:rsidRPr="001302E5">
        <w:rPr>
          <w:rFonts w:ascii="Times New Roman" w:hAnsi="Times New Roman"/>
          <w:color w:val="000000" w:themeColor="text1"/>
          <w:sz w:val="28"/>
          <w:szCs w:val="28"/>
          <w:lang w:val="en-US"/>
        </w:rPr>
        <w:t xml:space="preserve"> (see Fig. S1)</w:t>
      </w:r>
      <w:r w:rsidRPr="001302E5">
        <w:rPr>
          <w:rFonts w:ascii="Times New Roman" w:hAnsi="Times New Roman"/>
          <w:color w:val="000000" w:themeColor="text1"/>
          <w:sz w:val="28"/>
          <w:szCs w:val="28"/>
          <w:lang w:val="en-US"/>
        </w:rPr>
        <w:t>, finding the lowest energy stable structure to be that with a (100) interface previously found by Thomas and co-workers.</w:t>
      </w:r>
      <w:r w:rsidRPr="001302E5">
        <w:rPr>
          <w:rFonts w:ascii="Times New Roman" w:hAnsi="Times New Roman"/>
          <w:color w:val="000000" w:themeColor="text1"/>
          <w:sz w:val="28"/>
          <w:szCs w:val="28"/>
          <w:vertAlign w:val="superscript"/>
          <w:lang w:val="en-US"/>
        </w:rPr>
        <w:t>30</w:t>
      </w:r>
      <w:r w:rsidRPr="001302E5">
        <w:rPr>
          <w:rFonts w:ascii="Times New Roman" w:hAnsi="Times New Roman"/>
          <w:color w:val="000000" w:themeColor="text1"/>
          <w:sz w:val="28"/>
          <w:szCs w:val="28"/>
          <w:lang w:val="en-US"/>
        </w:rPr>
        <w:t xml:space="preserve"> </w:t>
      </w:r>
      <w:r w:rsidRPr="001302E5">
        <w:rPr>
          <w:rFonts w:ascii="Times New Roman" w:hAnsi="Times New Roman"/>
          <w:color w:val="000000" w:themeColor="text1"/>
          <w:sz w:val="28"/>
          <w:szCs w:val="28"/>
        </w:rPr>
        <w:t>This structure was energy minimised as described above.</w:t>
      </w:r>
      <w:r w:rsidRPr="001302E5">
        <w:rPr>
          <w:rFonts w:ascii="Times New Roman" w:hAnsi="Times New Roman"/>
          <w:color w:val="000000" w:themeColor="text1"/>
          <w:sz w:val="28"/>
          <w:szCs w:val="28"/>
          <w:shd w:val="clear" w:color="auto" w:fill="FFFF00"/>
          <w:lang w:val="en-US"/>
        </w:rPr>
        <w:t xml:space="preserve"> </w:t>
      </w:r>
    </w:p>
    <w:p w14:paraId="0614F0E2" w14:textId="77777777" w:rsidR="004D4376" w:rsidRPr="001302E5" w:rsidRDefault="004D6D89">
      <w:pPr>
        <w:spacing w:line="360" w:lineRule="auto"/>
        <w:ind w:firstLine="720"/>
        <w:jc w:val="both"/>
        <w:rPr>
          <w:rFonts w:ascii="Times New Roman" w:hAnsi="Times New Roman"/>
          <w:color w:val="000000" w:themeColor="text1"/>
          <w:sz w:val="28"/>
          <w:szCs w:val="28"/>
        </w:rPr>
      </w:pPr>
      <w:r w:rsidRPr="001302E5">
        <w:rPr>
          <w:rFonts w:ascii="Times New Roman" w:hAnsi="Times New Roman"/>
          <w:color w:val="000000" w:themeColor="text1"/>
          <w:sz w:val="28"/>
          <w:szCs w:val="28"/>
          <w:lang w:val="en-US"/>
        </w:rPr>
        <w:t>The 50 lowest energy structures from the crystal structure search, along with the intergrowth structure, were then reoptimised using electronic structure calculations</w:t>
      </w:r>
      <w:r w:rsidRPr="001302E5">
        <w:rPr>
          <w:rFonts w:ascii="Times New Roman" w:hAnsi="Times New Roman"/>
          <w:color w:val="000000" w:themeColor="text1"/>
          <w:sz w:val="28"/>
          <w:szCs w:val="28"/>
          <w:vertAlign w:val="superscript"/>
          <w:lang w:val="en-US"/>
        </w:rPr>
        <w:t>32,33</w:t>
      </w:r>
      <w:r w:rsidRPr="001302E5">
        <w:rPr>
          <w:rFonts w:ascii="Times New Roman" w:hAnsi="Times New Roman"/>
          <w:color w:val="000000" w:themeColor="text1"/>
          <w:sz w:val="28"/>
          <w:szCs w:val="28"/>
          <w:lang w:val="en-US"/>
        </w:rPr>
        <w:t xml:space="preserve"> with the exchange-hole dipole moment (XDM) dispersion correction, B86BPBE density functional</w:t>
      </w:r>
      <w:r w:rsidRPr="001302E5">
        <w:rPr>
          <w:rFonts w:ascii="Times New Roman" w:hAnsi="Times New Roman"/>
          <w:color w:val="000000" w:themeColor="text1"/>
          <w:sz w:val="28"/>
          <w:szCs w:val="28"/>
          <w:vertAlign w:val="superscript"/>
          <w:lang w:val="en-US"/>
        </w:rPr>
        <w:t>34,45</w:t>
      </w:r>
      <w:r w:rsidRPr="001302E5">
        <w:rPr>
          <w:rFonts w:ascii="Times New Roman" w:hAnsi="Times New Roman"/>
          <w:color w:val="000000" w:themeColor="text1"/>
          <w:sz w:val="28"/>
          <w:szCs w:val="28"/>
          <w:lang w:val="en-US"/>
        </w:rPr>
        <w:t xml:space="preserve"> and a plane-wave/pseudopotentials approach</w:t>
      </w:r>
      <w:r w:rsidRPr="001302E5">
        <w:rPr>
          <w:rFonts w:ascii="Times New Roman" w:hAnsi="Times New Roman"/>
          <w:color w:val="000000" w:themeColor="text1"/>
          <w:sz w:val="28"/>
          <w:szCs w:val="28"/>
          <w:vertAlign w:val="superscript"/>
          <w:lang w:val="en-US"/>
        </w:rPr>
        <w:t>46</w:t>
      </w:r>
      <w:r w:rsidRPr="001302E5">
        <w:rPr>
          <w:rFonts w:ascii="Times New Roman" w:hAnsi="Times New Roman"/>
          <w:color w:val="000000" w:themeColor="text1"/>
          <w:sz w:val="28"/>
          <w:szCs w:val="28"/>
          <w:lang w:val="en-US"/>
        </w:rPr>
        <w:t xml:space="preserve"> in Quantum ESPRESSO,</w:t>
      </w:r>
      <w:r w:rsidRPr="001302E5">
        <w:rPr>
          <w:rFonts w:ascii="Times New Roman" w:hAnsi="Times New Roman"/>
          <w:color w:val="000000" w:themeColor="text1"/>
          <w:sz w:val="28"/>
          <w:szCs w:val="28"/>
          <w:vertAlign w:val="superscript"/>
          <w:lang w:val="en-US"/>
        </w:rPr>
        <w:t>47</w:t>
      </w:r>
      <w:r w:rsidRPr="001302E5">
        <w:rPr>
          <w:rFonts w:ascii="Times New Roman" w:hAnsi="Times New Roman"/>
          <w:color w:val="000000" w:themeColor="text1"/>
          <w:sz w:val="28"/>
          <w:szCs w:val="28"/>
          <w:lang w:val="en-US"/>
        </w:rPr>
        <w:t xml:space="preserve"> version 5. </w:t>
      </w:r>
      <w:r w:rsidRPr="001302E5">
        <w:rPr>
          <w:rFonts w:ascii="Times New Roman" w:hAnsi="Times New Roman"/>
          <w:color w:val="000000" w:themeColor="text1"/>
          <w:sz w:val="28"/>
          <w:szCs w:val="28"/>
        </w:rPr>
        <w:t>Crystal structure comparisons were performed using the COMPACK</w:t>
      </w:r>
      <w:r w:rsidRPr="001302E5">
        <w:rPr>
          <w:rFonts w:ascii="Times New Roman" w:hAnsi="Times New Roman"/>
          <w:color w:val="000000" w:themeColor="text1"/>
          <w:sz w:val="28"/>
          <w:szCs w:val="28"/>
          <w:vertAlign w:val="superscript"/>
          <w:lang w:val="en-US"/>
        </w:rPr>
        <w:t>48</w:t>
      </w:r>
      <w:r w:rsidRPr="001302E5">
        <w:rPr>
          <w:rFonts w:ascii="Times New Roman" w:hAnsi="Times New Roman"/>
          <w:color w:val="000000" w:themeColor="text1"/>
          <w:sz w:val="28"/>
          <w:szCs w:val="28"/>
        </w:rPr>
        <w:t xml:space="preserve"> procedure in Mercury.</w:t>
      </w:r>
      <w:r w:rsidRPr="001302E5">
        <w:rPr>
          <w:rFonts w:ascii="Times New Roman" w:hAnsi="Times New Roman"/>
          <w:color w:val="000000" w:themeColor="text1"/>
          <w:sz w:val="28"/>
          <w:szCs w:val="28"/>
          <w:vertAlign w:val="superscript"/>
          <w:lang w:val="en-US"/>
        </w:rPr>
        <w:t>49</w:t>
      </w:r>
      <w:r w:rsidRPr="001302E5">
        <w:rPr>
          <w:rFonts w:ascii="Times New Roman" w:hAnsi="Times New Roman"/>
          <w:color w:val="000000" w:themeColor="text1"/>
          <w:sz w:val="28"/>
          <w:szCs w:val="28"/>
        </w:rPr>
        <w:t xml:space="preserve"> </w:t>
      </w:r>
    </w:p>
    <w:p w14:paraId="6C69C28D" w14:textId="2207CA85" w:rsidR="004D4376" w:rsidRPr="001302E5" w:rsidRDefault="004D6D89">
      <w:pPr>
        <w:spacing w:line="360" w:lineRule="auto"/>
        <w:jc w:val="both"/>
        <w:rPr>
          <w:rFonts w:ascii="Times New Roman" w:hAnsi="Times New Roman"/>
          <w:color w:val="000000" w:themeColor="text1"/>
          <w:sz w:val="28"/>
          <w:szCs w:val="28"/>
          <w:lang w:val="en-US"/>
        </w:rPr>
      </w:pPr>
      <w:r w:rsidRPr="001302E5">
        <w:rPr>
          <w:rFonts w:ascii="Times New Roman" w:hAnsi="Times New Roman"/>
          <w:color w:val="000000" w:themeColor="text1"/>
          <w:sz w:val="28"/>
          <w:szCs w:val="28"/>
        </w:rPr>
        <w:tab/>
        <w:t xml:space="preserve">Charge carrier mobility calculations were performed on the 27 low energy structures, see the SI for full details. For each of these, the geometry of the first molecule in the unit cell was relaxed with hybrid DFT using the B3LYP functional and the 6-31G(d) basis set. </w:t>
      </w:r>
      <w:r w:rsidR="00FB637A" w:rsidRPr="001302E5">
        <w:rPr>
          <w:rFonts w:ascii="Times New Roman" w:hAnsi="Times New Roman"/>
          <w:color w:val="000000" w:themeColor="text1"/>
          <w:sz w:val="28"/>
          <w:szCs w:val="28"/>
          <w:lang w:val="en-US"/>
        </w:rPr>
        <w:t>It was necessary to reoptimise with B3LYP before performing the single point energy calculations to reduce the self-interaction error and localize charges on the molecules. B3LYP has been shown to give good results for the electronic structure for organic materials.</w:t>
      </w:r>
      <w:r w:rsidR="00520C1D" w:rsidRPr="001302E5">
        <w:rPr>
          <w:rFonts w:ascii="Times New Roman" w:hAnsi="Times New Roman"/>
          <w:color w:val="000000" w:themeColor="text1"/>
          <w:sz w:val="28"/>
          <w:szCs w:val="28"/>
          <w:vertAlign w:val="superscript"/>
          <w:lang w:val="en-US"/>
        </w:rPr>
        <w:t>50</w:t>
      </w:r>
      <w:r w:rsidR="00E951DE" w:rsidRPr="001302E5">
        <w:rPr>
          <w:rFonts w:ascii="Times New Roman" w:hAnsi="Times New Roman"/>
          <w:color w:val="000000" w:themeColor="text1"/>
          <w:sz w:val="28"/>
          <w:szCs w:val="28"/>
          <w:lang w:val="en-US"/>
        </w:rPr>
        <w:t xml:space="preserve"> </w:t>
      </w:r>
      <w:r w:rsidRPr="001302E5">
        <w:rPr>
          <w:rFonts w:ascii="Times New Roman" w:hAnsi="Times New Roman"/>
          <w:color w:val="000000" w:themeColor="text1"/>
          <w:sz w:val="28"/>
          <w:szCs w:val="28"/>
        </w:rPr>
        <w:t>This relaxed molecule was then projected to its equivalent positions in the unit cell with symmetry operations, and translated by the lattice units to make up a 3x3x3 supercell. The transfer integrals between all molecules in the u</w:t>
      </w:r>
      <w:r w:rsidR="00317E04" w:rsidRPr="001302E5">
        <w:rPr>
          <w:rFonts w:ascii="Times New Roman" w:hAnsi="Times New Roman"/>
          <w:color w:val="000000" w:themeColor="text1"/>
          <w:sz w:val="28"/>
          <w:szCs w:val="28"/>
        </w:rPr>
        <w:tab/>
      </w:r>
      <w:r w:rsidRPr="001302E5">
        <w:rPr>
          <w:rFonts w:ascii="Times New Roman" w:hAnsi="Times New Roman"/>
          <w:color w:val="000000" w:themeColor="text1"/>
          <w:sz w:val="28"/>
          <w:szCs w:val="28"/>
        </w:rPr>
        <w:t>nit cell to all other molecules were calculated, subject to a distance cut-off of 18 Å, at which separation the transfer integrals were typically less than 1 x 10</w:t>
      </w:r>
      <w:r w:rsidRPr="001302E5">
        <w:rPr>
          <w:rFonts w:ascii="Times New Roman" w:hAnsi="Times New Roman"/>
          <w:color w:val="000000" w:themeColor="text1"/>
          <w:sz w:val="28"/>
          <w:szCs w:val="28"/>
          <w:vertAlign w:val="superscript"/>
        </w:rPr>
        <w:t>-9</w:t>
      </w:r>
      <w:r w:rsidRPr="001302E5">
        <w:rPr>
          <w:rFonts w:ascii="Times New Roman" w:hAnsi="Times New Roman"/>
          <w:color w:val="000000" w:themeColor="text1"/>
          <w:sz w:val="28"/>
          <w:szCs w:val="28"/>
        </w:rPr>
        <w:t xml:space="preserve"> eV. The </w:t>
      </w:r>
      <w:r w:rsidRPr="001302E5">
        <w:rPr>
          <w:rFonts w:ascii="Times New Roman" w:hAnsi="Times New Roman"/>
          <w:color w:val="000000" w:themeColor="text1"/>
          <w:sz w:val="28"/>
          <w:szCs w:val="28"/>
        </w:rPr>
        <w:lastRenderedPageBreak/>
        <w:t>symmetry of the supercell means that only a subset of all possible transfer integrals need to be calculated explicitly. The transfer integrals were calculated with a hybrid DFT molecular pair calculation and the projective method, which involves projecting the orbitals of a pair of molecules onto a basis set defined by the unperturbed orbitals of the individual molecules.</w:t>
      </w:r>
      <w:r w:rsidRPr="001302E5">
        <w:rPr>
          <w:rFonts w:ascii="Times New Roman" w:hAnsi="Times New Roman"/>
          <w:color w:val="000000" w:themeColor="text1"/>
          <w:sz w:val="28"/>
          <w:szCs w:val="28"/>
          <w:vertAlign w:val="superscript"/>
          <w:lang w:val="en-US"/>
        </w:rPr>
        <w:t>5</w:t>
      </w:r>
      <w:r w:rsidR="00317E04" w:rsidRPr="001302E5">
        <w:rPr>
          <w:rFonts w:ascii="Times New Roman" w:hAnsi="Times New Roman"/>
          <w:color w:val="000000" w:themeColor="text1"/>
          <w:sz w:val="28"/>
          <w:szCs w:val="28"/>
          <w:vertAlign w:val="superscript"/>
          <w:lang w:val="en-US"/>
        </w:rPr>
        <w:t>1</w:t>
      </w:r>
      <w:r w:rsidRPr="001302E5">
        <w:rPr>
          <w:rFonts w:ascii="Times New Roman" w:hAnsi="Times New Roman"/>
          <w:color w:val="000000" w:themeColor="text1"/>
          <w:sz w:val="28"/>
          <w:szCs w:val="28"/>
        </w:rPr>
        <w:t xml:space="preserve"> The electron and hole transfer rates in a particular direction were calculated with non-adiabatic Marcus theory</w:t>
      </w:r>
      <w:r w:rsidRPr="001302E5">
        <w:rPr>
          <w:rFonts w:ascii="Times New Roman" w:hAnsi="Times New Roman"/>
          <w:color w:val="000000" w:themeColor="text1"/>
          <w:sz w:val="28"/>
          <w:szCs w:val="28"/>
          <w:vertAlign w:val="superscript"/>
          <w:lang w:val="en-US"/>
        </w:rPr>
        <w:t>5</w:t>
      </w:r>
      <w:r w:rsidR="00317E04" w:rsidRPr="001302E5">
        <w:rPr>
          <w:rFonts w:ascii="Times New Roman" w:hAnsi="Times New Roman"/>
          <w:color w:val="000000" w:themeColor="text1"/>
          <w:sz w:val="28"/>
          <w:szCs w:val="28"/>
          <w:vertAlign w:val="superscript"/>
          <w:lang w:val="en-US"/>
        </w:rPr>
        <w:t>2</w:t>
      </w:r>
      <w:r w:rsidRPr="001302E5">
        <w:rPr>
          <w:rFonts w:ascii="Times New Roman" w:hAnsi="Times New Roman"/>
          <w:color w:val="000000" w:themeColor="text1"/>
          <w:sz w:val="28"/>
          <w:szCs w:val="28"/>
        </w:rPr>
        <w:t xml:space="preserve"> with a reorganisation energy of 0.</w:t>
      </w:r>
      <w:r w:rsidR="001A4BEF" w:rsidRPr="001302E5">
        <w:rPr>
          <w:rFonts w:ascii="Times New Roman" w:hAnsi="Times New Roman"/>
          <w:color w:val="000000" w:themeColor="text1"/>
          <w:sz w:val="28"/>
          <w:szCs w:val="28"/>
        </w:rPr>
        <w:t>46</w:t>
      </w:r>
      <w:r w:rsidRPr="001302E5">
        <w:rPr>
          <w:rFonts w:ascii="Times New Roman" w:hAnsi="Times New Roman"/>
          <w:color w:val="000000" w:themeColor="text1"/>
          <w:sz w:val="28"/>
          <w:szCs w:val="28"/>
        </w:rPr>
        <w:t xml:space="preserve"> eV, assuming no energetic disorder, and a master equation approach. </w:t>
      </w:r>
      <w:r w:rsidR="0069672D" w:rsidRPr="001302E5">
        <w:rPr>
          <w:rFonts w:ascii="Times New Roman" w:hAnsi="Times New Roman"/>
          <w:color w:val="000000" w:themeColor="text1"/>
          <w:sz w:val="28"/>
          <w:szCs w:val="28"/>
          <w:lang w:val="en-US"/>
        </w:rPr>
        <w:t xml:space="preserve">As the absolute value for the outer sphere component of the reorganisation energy is not known, the calculated values of the charge mobility cannot be considered as absolute. However the calculated mobilities do allow direct comparison between different crystal structures and transport directions where the same reorganisation energy has been used. </w:t>
      </w:r>
      <w:r w:rsidR="00FC1AD4" w:rsidRPr="001302E5">
        <w:rPr>
          <w:rFonts w:ascii="Times New Roman" w:hAnsi="Times New Roman"/>
          <w:color w:val="000000" w:themeColor="text1"/>
          <w:sz w:val="28"/>
          <w:szCs w:val="28"/>
          <w:lang w:val="en-US"/>
        </w:rPr>
        <w:t xml:space="preserve">As an alternative measure of anisotropy, we also calculated the ratio between the maximum and minimum mobility. </w:t>
      </w:r>
      <w:r w:rsidR="00CC7AA8" w:rsidRPr="001302E5">
        <w:rPr>
          <w:rFonts w:ascii="Times New Roman" w:hAnsi="Times New Roman"/>
          <w:color w:val="000000" w:themeColor="text1"/>
          <w:sz w:val="28"/>
          <w:szCs w:val="28"/>
        </w:rPr>
        <w:t>We further compared this to the</w:t>
      </w:r>
      <w:r w:rsidR="0055147A" w:rsidRPr="001302E5">
        <w:rPr>
          <w:rFonts w:ascii="Times New Roman" w:hAnsi="Times New Roman"/>
          <w:color w:val="000000" w:themeColor="text1"/>
          <w:sz w:val="28"/>
          <w:szCs w:val="28"/>
        </w:rPr>
        <w:t xml:space="preserve"> ratio between the maximum and minimum mobility, as an alternative approach to considering anisotropy of the mobility.</w:t>
      </w:r>
    </w:p>
    <w:p w14:paraId="30597AC2" w14:textId="77777777" w:rsidR="004D4376" w:rsidRPr="001302E5" w:rsidRDefault="004D4376">
      <w:pPr>
        <w:spacing w:line="360" w:lineRule="auto"/>
        <w:rPr>
          <w:rFonts w:ascii="Times New Roman" w:hAnsi="Times New Roman"/>
          <w:b/>
          <w:color w:val="000000" w:themeColor="text1"/>
          <w:sz w:val="28"/>
          <w:szCs w:val="28"/>
          <w:u w:val="single"/>
        </w:rPr>
      </w:pPr>
    </w:p>
    <w:p w14:paraId="73C72EBA" w14:textId="77777777" w:rsidR="004D4376" w:rsidRPr="001302E5" w:rsidRDefault="004D6D89">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t>Results and discussion</w:t>
      </w:r>
    </w:p>
    <w:p w14:paraId="3B5895FF" w14:textId="77777777" w:rsidR="004D4376" w:rsidRPr="001302E5" w:rsidRDefault="004D6D89">
      <w:pPr>
        <w:spacing w:line="360" w:lineRule="auto"/>
        <w:rPr>
          <w:rFonts w:ascii="Times New Roman" w:hAnsi="Times New Roman"/>
          <w:b/>
          <w:i/>
          <w:color w:val="000000" w:themeColor="text1"/>
          <w:sz w:val="28"/>
          <w:szCs w:val="28"/>
        </w:rPr>
      </w:pPr>
      <w:r w:rsidRPr="001302E5">
        <w:rPr>
          <w:rFonts w:ascii="Times New Roman" w:hAnsi="Times New Roman"/>
          <w:b/>
          <w:i/>
          <w:color w:val="000000" w:themeColor="text1"/>
          <w:sz w:val="28"/>
          <w:szCs w:val="28"/>
        </w:rPr>
        <w:t>Crystal structure prediction</w:t>
      </w:r>
    </w:p>
    <w:p w14:paraId="507F3E5D" w14:textId="5A11279F"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lang w:val="en-US"/>
        </w:rPr>
        <w:t xml:space="preserve">Throughout our results, structures are numbered according to the energetic ranking from the DFT calculations, with </w:t>
      </w:r>
      <w:r w:rsidRPr="001302E5">
        <w:rPr>
          <w:rFonts w:ascii="Times New Roman" w:hAnsi="Times New Roman"/>
          <w:b/>
          <w:color w:val="000000" w:themeColor="text1"/>
          <w:sz w:val="28"/>
          <w:szCs w:val="28"/>
          <w:lang w:val="en-US"/>
        </w:rPr>
        <w:t>1</w:t>
      </w:r>
      <w:r w:rsidRPr="001302E5">
        <w:rPr>
          <w:rFonts w:ascii="Times New Roman" w:hAnsi="Times New Roman"/>
          <w:color w:val="000000" w:themeColor="text1"/>
          <w:sz w:val="28"/>
          <w:szCs w:val="28"/>
          <w:lang w:val="en-US"/>
        </w:rPr>
        <w:t xml:space="preserve"> being the lowest energy polymorph found. </w:t>
      </w:r>
      <w:r w:rsidRPr="001302E5">
        <w:rPr>
          <w:rFonts w:ascii="Times New Roman" w:hAnsi="Times New Roman"/>
          <w:color w:val="000000" w:themeColor="text1"/>
          <w:sz w:val="28"/>
          <w:szCs w:val="28"/>
        </w:rPr>
        <w:t>Nyman and Day have previously calculated the lattice energies for 508 polymorphic organic molecules and found that the lattice energies of experimentally observed polymorphs fall within 7.2 kJ mol</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of the absolute minimum in 95% of cases.</w:t>
      </w:r>
      <w:r w:rsidRPr="001302E5">
        <w:rPr>
          <w:rFonts w:ascii="Times New Roman" w:hAnsi="Times New Roman"/>
          <w:color w:val="000000" w:themeColor="text1"/>
          <w:sz w:val="28"/>
          <w:szCs w:val="28"/>
          <w:vertAlign w:val="superscript"/>
          <w:lang w:val="en-US"/>
        </w:rPr>
        <w:t>5</w:t>
      </w:r>
      <w:r w:rsidR="00317E04" w:rsidRPr="001302E5">
        <w:rPr>
          <w:rFonts w:ascii="Times New Roman" w:hAnsi="Times New Roman"/>
          <w:color w:val="000000" w:themeColor="text1"/>
          <w:sz w:val="28"/>
          <w:szCs w:val="28"/>
          <w:vertAlign w:val="superscript"/>
          <w:lang w:val="en-US"/>
        </w:rPr>
        <w:t>3</w:t>
      </w:r>
      <w:r w:rsidRPr="001302E5">
        <w:rPr>
          <w:rFonts w:ascii="Times New Roman" w:hAnsi="Times New Roman"/>
          <w:color w:val="000000" w:themeColor="text1"/>
          <w:sz w:val="28"/>
          <w:szCs w:val="28"/>
        </w:rPr>
        <w:t xml:space="preserve"> Therefore, for further structural analysis and calculations of charge mobility in the hypothetical helicene crystal structures, we included only those unique structures that lay within this energetic window from the XDM calculations, a total of 27 crystal structures.</w:t>
      </w:r>
      <w:r w:rsidRPr="001302E5">
        <w:rPr>
          <w:rFonts w:ascii="Times New Roman" w:hAnsi="Times New Roman"/>
          <w:b/>
          <w:color w:val="000000" w:themeColor="text1"/>
          <w:sz w:val="28"/>
          <w:szCs w:val="28"/>
        </w:rPr>
        <w:t xml:space="preserve"> </w:t>
      </w:r>
      <w:r w:rsidRPr="001302E5">
        <w:rPr>
          <w:rFonts w:ascii="Times New Roman" w:hAnsi="Times New Roman"/>
          <w:color w:val="000000" w:themeColor="text1"/>
          <w:sz w:val="28"/>
          <w:szCs w:val="28"/>
          <w:lang w:val="en-US"/>
        </w:rPr>
        <w:t xml:space="preserve">We found the lowest energy stable intergrowth structure to be that with a (100) interface previously </w:t>
      </w:r>
      <w:r w:rsidRPr="001302E5">
        <w:rPr>
          <w:rFonts w:ascii="Times New Roman" w:hAnsi="Times New Roman"/>
          <w:color w:val="000000" w:themeColor="text1"/>
          <w:sz w:val="28"/>
          <w:szCs w:val="28"/>
          <w:lang w:val="en-US"/>
        </w:rPr>
        <w:lastRenderedPageBreak/>
        <w:t>found by Thomas and co-workers.</w:t>
      </w:r>
      <w:r w:rsidRPr="001302E5">
        <w:rPr>
          <w:rFonts w:ascii="Times New Roman" w:hAnsi="Times New Roman"/>
          <w:color w:val="000000" w:themeColor="text1"/>
          <w:sz w:val="28"/>
          <w:szCs w:val="28"/>
          <w:vertAlign w:val="superscript"/>
          <w:lang w:val="en-US"/>
        </w:rPr>
        <w:t>30</w:t>
      </w:r>
      <w:r w:rsidRPr="001302E5">
        <w:rPr>
          <w:rFonts w:ascii="Times New Roman" w:hAnsi="Times New Roman"/>
          <w:color w:val="000000" w:themeColor="text1"/>
          <w:sz w:val="28"/>
          <w:szCs w:val="28"/>
          <w:lang w:val="en-US"/>
        </w:rPr>
        <w:t xml:space="preserve"> </w:t>
      </w:r>
      <w:r w:rsidRPr="001302E5">
        <w:rPr>
          <w:rFonts w:ascii="Times New Roman" w:hAnsi="Times New Roman"/>
          <w:color w:val="000000" w:themeColor="text1"/>
          <w:sz w:val="28"/>
          <w:szCs w:val="28"/>
        </w:rPr>
        <w:t xml:space="preserve">Fig. 2 shows the intergrowth structure and how this relates to the enantiopure structure (the Cambridge Structure Database (CSD) reference for this structure is HEXHEL). </w:t>
      </w:r>
      <w:r w:rsidRPr="001302E5">
        <w:rPr>
          <w:rFonts w:ascii="Times New Roman" w:hAnsi="Times New Roman"/>
          <w:color w:val="000000" w:themeColor="text1"/>
          <w:sz w:val="28"/>
          <w:szCs w:val="28"/>
        </w:rPr>
        <w:tab/>
      </w:r>
      <w:r w:rsidRPr="001302E5">
        <w:rPr>
          <w:rFonts w:ascii="Times New Roman" w:hAnsi="Times New Roman"/>
          <w:color w:val="000000" w:themeColor="text1"/>
          <w:sz w:val="28"/>
          <w:szCs w:val="28"/>
        </w:rPr>
        <w:tab/>
      </w:r>
    </w:p>
    <w:p w14:paraId="3C8850C0" w14:textId="77777777" w:rsidR="004D4376" w:rsidRPr="001302E5" w:rsidRDefault="004D6D89">
      <w:pPr>
        <w:spacing w:line="360" w:lineRule="auto"/>
        <w:rPr>
          <w:color w:val="000000" w:themeColor="text1"/>
        </w:rPr>
      </w:pPr>
      <w:r w:rsidRPr="001302E5">
        <w:rPr>
          <w:noProof/>
          <w:color w:val="000000" w:themeColor="text1"/>
          <w:lang w:val="en-US"/>
        </w:rPr>
        <w:drawing>
          <wp:inline distT="0" distB="0" distL="0" distR="0" wp14:anchorId="10047E35" wp14:editId="176A760C">
            <wp:extent cx="5770880" cy="2644140"/>
            <wp:effectExtent l="0" t="0" r="0" b="0"/>
            <wp:docPr id="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8"/>
                    <a:srcRect l="2643" t="7026" r="1972" b="5793"/>
                    <a:stretch>
                      <a:fillRect/>
                    </a:stretch>
                  </pic:blipFill>
                  <pic:spPr bwMode="auto">
                    <a:xfrm>
                      <a:off x="0" y="0"/>
                      <a:ext cx="5770880" cy="2644140"/>
                    </a:xfrm>
                    <a:prstGeom prst="rect">
                      <a:avLst/>
                    </a:prstGeom>
                    <a:noFill/>
                    <a:ln w="9525">
                      <a:noFill/>
                      <a:miter lim="800000"/>
                      <a:headEnd/>
                      <a:tailEnd/>
                    </a:ln>
                  </pic:spPr>
                </pic:pic>
              </a:graphicData>
            </a:graphic>
          </wp:inline>
        </w:drawing>
      </w:r>
    </w:p>
    <w:p w14:paraId="548E9CDB" w14:textId="77777777" w:rsidR="004D4376" w:rsidRPr="001302E5" w:rsidRDefault="004D6D89">
      <w:pPr>
        <w:widowControl w:val="0"/>
        <w:spacing w:after="240"/>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Figure 2: A comparison of the three lowest energy computed [6]helicene structures, each shown in two perpendicular views. In the enantiopure structure, all molecules are grey, in the intergrowth and racemate structures, the left-handed molecule is shown in cyan and the right-handed in purple. The unit cells are shown with a black box; Across all structures in the top row, chains of helicenes with translational symmetry run vertically on the page, while on the bottom row, chains of alternating interlocked and “back-to-back” helicene pairs run vertically on the page.</w:t>
      </w:r>
    </w:p>
    <w:p w14:paraId="7E2465DB" w14:textId="77777777" w:rsidR="004D4376" w:rsidRPr="001302E5" w:rsidRDefault="004D6D89">
      <w:pPr>
        <w:widowControl w:val="0"/>
        <w:spacing w:after="240"/>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 xml:space="preserve"> </w:t>
      </w:r>
    </w:p>
    <w:p w14:paraId="55647CC4" w14:textId="65E860C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b/>
        <w:t xml:space="preserve">The lattice energy landscape for [6]helicene is typical of an organic molecule, with an overall trend whereby more dense structures, that are packed more efficiently, have lower lattice energy. The lattice energy landscapes are shown in Fig. 3 for </w:t>
      </w:r>
      <w:r w:rsidR="001442FB" w:rsidRPr="001302E5">
        <w:rPr>
          <w:rFonts w:ascii="Times New Roman" w:hAnsi="Times New Roman"/>
          <w:color w:val="000000" w:themeColor="text1"/>
          <w:sz w:val="28"/>
          <w:szCs w:val="28"/>
        </w:rPr>
        <w:t>the DFT calculations, in Fig. S3</w:t>
      </w:r>
      <w:r w:rsidRPr="001302E5">
        <w:rPr>
          <w:rFonts w:ascii="Times New Roman" w:hAnsi="Times New Roman"/>
          <w:color w:val="000000" w:themeColor="text1"/>
          <w:sz w:val="28"/>
          <w:szCs w:val="28"/>
        </w:rPr>
        <w:t xml:space="preserve"> for the rigid-body search and the data for both is given in Table S2. The reoptimization of the structures at the DFT level resulted in significant re-ranking of the predicted crystal structures, with the majority of structures being significantly stabi</w:t>
      </w:r>
      <w:r w:rsidR="001442FB" w:rsidRPr="001302E5">
        <w:rPr>
          <w:rFonts w:ascii="Times New Roman" w:hAnsi="Times New Roman"/>
          <w:color w:val="000000" w:themeColor="text1"/>
          <w:sz w:val="28"/>
          <w:szCs w:val="28"/>
        </w:rPr>
        <w:t>lised (see comparison in Fig. S4</w:t>
      </w:r>
      <w:r w:rsidRPr="001302E5">
        <w:rPr>
          <w:rFonts w:ascii="Times New Roman" w:hAnsi="Times New Roman"/>
          <w:color w:val="000000" w:themeColor="text1"/>
          <w:sz w:val="28"/>
          <w:szCs w:val="28"/>
        </w:rPr>
        <w:t xml:space="preserve">) relative to the global minimum structure. The most thermodynamically stable structure from the DFT calculations is an enantiopure structure in the chiral </w:t>
      </w:r>
      <w:r w:rsidRPr="001302E5">
        <w:rPr>
          <w:rFonts w:ascii="Times New Roman" w:hAnsi="Times New Roman"/>
          <w:i/>
          <w:color w:val="000000" w:themeColor="text1"/>
          <w:sz w:val="30"/>
          <w:szCs w:val="30"/>
          <w:lang w:val="en-US"/>
        </w:rPr>
        <w:t>P</w:t>
      </w:r>
      <w:r w:rsidRPr="001302E5">
        <w:rPr>
          <w:rFonts w:ascii="Times New Roman" w:hAnsi="Times New Roman"/>
          <w:color w:val="000000" w:themeColor="text1"/>
          <w:sz w:val="28"/>
          <w:szCs w:val="28"/>
          <w:lang w:val="en-US"/>
        </w:rPr>
        <w:t>2</w:t>
      </w:r>
      <w:r w:rsidRPr="001302E5">
        <w:rPr>
          <w:rFonts w:ascii="Times New Roman" w:hAnsi="Times New Roman"/>
          <w:color w:val="000000" w:themeColor="text1"/>
          <w:sz w:val="28"/>
          <w:szCs w:val="28"/>
          <w:vertAlign w:val="subscript"/>
          <w:lang w:val="en-US"/>
        </w:rPr>
        <w:t>1</w:t>
      </w:r>
      <w:r w:rsidRPr="001302E5">
        <w:rPr>
          <w:rFonts w:ascii="Times New Roman" w:hAnsi="Times New Roman"/>
          <w:color w:val="000000" w:themeColor="text1"/>
          <w:sz w:val="28"/>
          <w:szCs w:val="28"/>
          <w:lang w:val="en-US"/>
        </w:rPr>
        <w:t>2</w:t>
      </w:r>
      <w:r w:rsidRPr="001302E5">
        <w:rPr>
          <w:rFonts w:ascii="Times New Roman" w:hAnsi="Times New Roman"/>
          <w:color w:val="000000" w:themeColor="text1"/>
          <w:sz w:val="28"/>
          <w:szCs w:val="28"/>
          <w:vertAlign w:val="subscript"/>
          <w:lang w:val="en-US"/>
        </w:rPr>
        <w:t>1</w:t>
      </w:r>
      <w:r w:rsidRPr="001302E5">
        <w:rPr>
          <w:rFonts w:ascii="Times New Roman" w:hAnsi="Times New Roman"/>
          <w:color w:val="000000" w:themeColor="text1"/>
          <w:sz w:val="28"/>
          <w:szCs w:val="28"/>
          <w:lang w:val="en-US"/>
        </w:rPr>
        <w:t>2</w:t>
      </w:r>
      <w:r w:rsidRPr="001302E5">
        <w:rPr>
          <w:rFonts w:ascii="Times New Roman" w:hAnsi="Times New Roman"/>
          <w:color w:val="000000" w:themeColor="text1"/>
          <w:sz w:val="28"/>
          <w:szCs w:val="28"/>
          <w:vertAlign w:val="subscript"/>
          <w:lang w:val="en-US"/>
        </w:rPr>
        <w:t>1</w:t>
      </w:r>
      <w:r w:rsidRPr="001302E5">
        <w:rPr>
          <w:rFonts w:ascii="Times New Roman" w:hAnsi="Times New Roman"/>
          <w:color w:val="000000" w:themeColor="text1"/>
          <w:sz w:val="28"/>
          <w:szCs w:val="28"/>
          <w:lang w:val="en-US"/>
        </w:rPr>
        <w:t xml:space="preserve"> space group </w:t>
      </w:r>
      <w:r w:rsidRPr="001302E5">
        <w:rPr>
          <w:rFonts w:ascii="Times New Roman" w:hAnsi="Times New Roman"/>
          <w:color w:val="000000" w:themeColor="text1"/>
          <w:sz w:val="28"/>
          <w:szCs w:val="28"/>
        </w:rPr>
        <w:t xml:space="preserve">that is a match to the experimentally </w:t>
      </w:r>
      <w:r w:rsidRPr="001302E5">
        <w:rPr>
          <w:rFonts w:ascii="Times New Roman" w:hAnsi="Times New Roman"/>
          <w:color w:val="000000" w:themeColor="text1"/>
          <w:sz w:val="28"/>
          <w:szCs w:val="28"/>
        </w:rPr>
        <w:lastRenderedPageBreak/>
        <w:t xml:space="preserve">reported structure of de Rango </w:t>
      </w:r>
      <w:r w:rsidRPr="001302E5">
        <w:rPr>
          <w:rFonts w:ascii="Times New Roman" w:hAnsi="Times New Roman"/>
          <w:i/>
          <w:color w:val="000000" w:themeColor="text1"/>
          <w:sz w:val="28"/>
          <w:szCs w:val="28"/>
        </w:rPr>
        <w:t xml:space="preserve">et al. </w:t>
      </w:r>
      <w:r w:rsidRPr="001302E5">
        <w:rPr>
          <w:rFonts w:ascii="Times New Roman" w:hAnsi="Times New Roman"/>
          <w:color w:val="000000" w:themeColor="text1"/>
          <w:sz w:val="28"/>
          <w:szCs w:val="28"/>
        </w:rPr>
        <w:t>(CSD code HEXHEL),</w:t>
      </w:r>
      <w:r w:rsidRPr="001302E5">
        <w:rPr>
          <w:rFonts w:ascii="Times New Roman" w:hAnsi="Times New Roman"/>
          <w:color w:val="000000" w:themeColor="text1"/>
          <w:sz w:val="28"/>
          <w:szCs w:val="28"/>
          <w:vertAlign w:val="superscript"/>
          <w:lang w:val="en-US"/>
        </w:rPr>
        <w:t>5</w:t>
      </w:r>
      <w:r w:rsidR="00317E04" w:rsidRPr="001302E5">
        <w:rPr>
          <w:rFonts w:ascii="Times New Roman" w:hAnsi="Times New Roman"/>
          <w:color w:val="000000" w:themeColor="text1"/>
          <w:sz w:val="28"/>
          <w:szCs w:val="28"/>
          <w:vertAlign w:val="superscript"/>
          <w:lang w:val="en-US"/>
        </w:rPr>
        <w:t>4</w:t>
      </w:r>
      <w:r w:rsidRPr="001302E5">
        <w:rPr>
          <w:rFonts w:ascii="Times New Roman" w:hAnsi="Times New Roman"/>
          <w:color w:val="000000" w:themeColor="text1"/>
          <w:sz w:val="28"/>
          <w:szCs w:val="28"/>
        </w:rPr>
        <w:t xml:space="preserve"> with a root-mean-square-displacement for a 15 molecule comparison (RMSD</w:t>
      </w:r>
      <w:r w:rsidRPr="001302E5">
        <w:rPr>
          <w:rFonts w:ascii="Times New Roman" w:hAnsi="Times New Roman"/>
          <w:color w:val="000000" w:themeColor="text1"/>
          <w:sz w:val="28"/>
          <w:szCs w:val="28"/>
          <w:vertAlign w:val="subscript"/>
        </w:rPr>
        <w:t>15</w:t>
      </w:r>
      <w:r w:rsidRPr="001302E5">
        <w:rPr>
          <w:rFonts w:ascii="Times New Roman" w:hAnsi="Times New Roman"/>
          <w:color w:val="000000" w:themeColor="text1"/>
          <w:sz w:val="28"/>
          <w:szCs w:val="28"/>
        </w:rPr>
        <w:t xml:space="preserve">) of 0.208 Å. The structural overlay of the experimentally observed and predicted structure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is shown in Fig. 4. The density of the predicted structure from the DFT calculations is 1.362 g cm</w:t>
      </w:r>
      <w:r w:rsidRPr="001302E5">
        <w:rPr>
          <w:rFonts w:ascii="Times New Roman" w:hAnsi="Times New Roman"/>
          <w:color w:val="000000" w:themeColor="text1"/>
          <w:sz w:val="28"/>
          <w:szCs w:val="28"/>
          <w:vertAlign w:val="superscript"/>
        </w:rPr>
        <w:t>-3</w:t>
      </w:r>
      <w:r w:rsidRPr="001302E5">
        <w:rPr>
          <w:rFonts w:ascii="Times New Roman" w:hAnsi="Times New Roman"/>
          <w:color w:val="000000" w:themeColor="text1"/>
          <w:sz w:val="28"/>
          <w:szCs w:val="28"/>
        </w:rPr>
        <w:t>, which is ~6% more dense than the experimentally reported density of 1.289 g cm</w:t>
      </w:r>
      <w:r w:rsidRPr="001302E5">
        <w:rPr>
          <w:rFonts w:ascii="Times New Roman" w:hAnsi="Times New Roman"/>
          <w:color w:val="000000" w:themeColor="text1"/>
          <w:sz w:val="28"/>
          <w:szCs w:val="28"/>
          <w:vertAlign w:val="superscript"/>
        </w:rPr>
        <w:t>-3</w:t>
      </w:r>
      <w:r w:rsidRPr="001302E5">
        <w:rPr>
          <w:rFonts w:ascii="Times New Roman" w:hAnsi="Times New Roman"/>
          <w:color w:val="000000" w:themeColor="text1"/>
          <w:sz w:val="28"/>
          <w:szCs w:val="28"/>
        </w:rPr>
        <w:t>, leading to a very slight difference in the relative positions of helicenes in the experimental and theoretical structures shown in Fig 4. This is to be expected given that we did not account for thermal expansion and zero-point-vibrational effects in these systems in our calculations, due to their large size.</w:t>
      </w:r>
      <w:r w:rsidRPr="001302E5">
        <w:rPr>
          <w:rFonts w:ascii="Times New Roman" w:hAnsi="Times New Roman"/>
          <w:color w:val="000000" w:themeColor="text1"/>
          <w:sz w:val="28"/>
          <w:szCs w:val="28"/>
          <w:vertAlign w:val="superscript"/>
          <w:lang w:val="en-US"/>
        </w:rPr>
        <w:t>35</w:t>
      </w:r>
      <w:r w:rsidRPr="001302E5">
        <w:rPr>
          <w:rFonts w:ascii="Times New Roman" w:hAnsi="Times New Roman"/>
          <w:color w:val="000000" w:themeColor="text1"/>
          <w:sz w:val="28"/>
          <w:szCs w:val="28"/>
        </w:rPr>
        <w:tab/>
      </w:r>
    </w:p>
    <w:p w14:paraId="0B134EF0"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b/>
      </w:r>
    </w:p>
    <w:p w14:paraId="7EC7F798" w14:textId="77777777" w:rsidR="004D4376" w:rsidRPr="001302E5" w:rsidRDefault="004D6D89">
      <w:pPr>
        <w:spacing w:line="360" w:lineRule="auto"/>
        <w:jc w:val="center"/>
        <w:rPr>
          <w:color w:val="000000" w:themeColor="text1"/>
        </w:rPr>
      </w:pPr>
      <w:r w:rsidRPr="001302E5">
        <w:rPr>
          <w:noProof/>
          <w:color w:val="000000" w:themeColor="text1"/>
          <w:lang w:val="en-US"/>
        </w:rPr>
        <w:drawing>
          <wp:inline distT="0" distB="0" distL="0" distR="0" wp14:anchorId="6A3F6613" wp14:editId="1D3BDE31">
            <wp:extent cx="4646930" cy="3623310"/>
            <wp:effectExtent l="0" t="0" r="0" b="0"/>
            <wp:docPr id="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9"/>
                    <a:srcRect l="5722" t="8986" r="6736"/>
                    <a:stretch>
                      <a:fillRect/>
                    </a:stretch>
                  </pic:blipFill>
                  <pic:spPr bwMode="auto">
                    <a:xfrm>
                      <a:off x="0" y="0"/>
                      <a:ext cx="4646930" cy="3623310"/>
                    </a:xfrm>
                    <a:prstGeom prst="rect">
                      <a:avLst/>
                    </a:prstGeom>
                    <a:noFill/>
                    <a:ln w="9525">
                      <a:noFill/>
                      <a:miter lim="800000"/>
                      <a:headEnd/>
                      <a:tailEnd/>
                    </a:ln>
                  </pic:spPr>
                </pic:pic>
              </a:graphicData>
            </a:graphic>
          </wp:inline>
        </w:drawing>
      </w:r>
    </w:p>
    <w:p w14:paraId="58727B14" w14:textId="77777777" w:rsidR="004D4376" w:rsidRPr="001302E5" w:rsidRDefault="004D6D89">
      <w:pPr>
        <w:widowControl w:val="0"/>
        <w:spacing w:after="240"/>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Figure 3: Lattice energy landscape with the B86bPBE-XDM method for the energetically low-lying [6]helicene polymorphs. The structure labelled HEXHEL is the observed enantiopure structure and all structures are numbered according to their final energetic ranking; this numbering is used to refer to the structures throughout the text.</w:t>
      </w:r>
    </w:p>
    <w:p w14:paraId="3AE887A8" w14:textId="77777777" w:rsidR="004D4376" w:rsidRPr="001302E5" w:rsidRDefault="004D6D89">
      <w:pPr>
        <w:spacing w:line="360" w:lineRule="auto"/>
        <w:jc w:val="center"/>
        <w:rPr>
          <w:color w:val="000000" w:themeColor="text1"/>
        </w:rPr>
      </w:pPr>
      <w:r w:rsidRPr="001302E5">
        <w:rPr>
          <w:noProof/>
          <w:color w:val="000000" w:themeColor="text1"/>
          <w:lang w:val="en-US"/>
        </w:rPr>
        <w:lastRenderedPageBreak/>
        <w:drawing>
          <wp:inline distT="0" distB="0" distL="0" distR="0" wp14:anchorId="1CC7B7DF" wp14:editId="34E5B716">
            <wp:extent cx="2388870" cy="1935480"/>
            <wp:effectExtent l="0" t="0" r="0" b="0"/>
            <wp:docPr id="4"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pic:cNvPicPr>
                      <a:picLocks noChangeAspect="1" noChangeArrowheads="1"/>
                    </pic:cNvPicPr>
                  </pic:nvPicPr>
                  <pic:blipFill>
                    <a:blip r:embed="rId10"/>
                    <a:stretch>
                      <a:fillRect/>
                    </a:stretch>
                  </pic:blipFill>
                  <pic:spPr bwMode="auto">
                    <a:xfrm>
                      <a:off x="0" y="0"/>
                      <a:ext cx="2388870" cy="1935480"/>
                    </a:xfrm>
                    <a:prstGeom prst="rect">
                      <a:avLst/>
                    </a:prstGeom>
                    <a:noFill/>
                    <a:ln w="9525">
                      <a:noFill/>
                      <a:miter lim="800000"/>
                      <a:headEnd/>
                      <a:tailEnd/>
                    </a:ln>
                  </pic:spPr>
                </pic:pic>
              </a:graphicData>
            </a:graphic>
          </wp:inline>
        </w:drawing>
      </w:r>
    </w:p>
    <w:p w14:paraId="05A90643" w14:textId="77777777" w:rsidR="004D4376" w:rsidRPr="001302E5" w:rsidRDefault="004D6D89">
      <w:pPr>
        <w:widowControl w:val="0"/>
        <w:spacing w:after="240"/>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Figure 4: An overlay of the experimental HEXHEL enantiopure structure (</w:t>
      </w:r>
      <w:r w:rsidRPr="001302E5">
        <w:rPr>
          <w:rFonts w:ascii="Times New Roman" w:hAnsi="Times New Roman"/>
          <w:b/>
          <w:i/>
          <w:color w:val="000000" w:themeColor="text1"/>
          <w:sz w:val="28"/>
          <w:szCs w:val="28"/>
        </w:rPr>
        <w:t>1</w:t>
      </w:r>
      <w:r w:rsidRPr="001302E5">
        <w:rPr>
          <w:rFonts w:ascii="Times New Roman" w:hAnsi="Times New Roman"/>
          <w:i/>
          <w:color w:val="000000" w:themeColor="text1"/>
          <w:sz w:val="28"/>
          <w:szCs w:val="28"/>
        </w:rPr>
        <w:t xml:space="preserve">) viewed down the c axis (red) and the lowest energy computed [6]helicene crystal structure (blue), as relaxed with the B86bPBE-XDM method. </w:t>
      </w:r>
    </w:p>
    <w:p w14:paraId="4061DDBB" w14:textId="77777777" w:rsidR="004D4376" w:rsidRPr="001302E5" w:rsidRDefault="004D4376">
      <w:pPr>
        <w:spacing w:line="360" w:lineRule="auto"/>
        <w:ind w:firstLine="720"/>
        <w:jc w:val="both"/>
        <w:rPr>
          <w:rFonts w:ascii="Times New Roman" w:hAnsi="Times New Roman"/>
          <w:color w:val="000000" w:themeColor="text1"/>
          <w:sz w:val="28"/>
          <w:szCs w:val="28"/>
        </w:rPr>
      </w:pPr>
    </w:p>
    <w:p w14:paraId="05841AEA" w14:textId="1E58BE32" w:rsidR="004D4376" w:rsidRPr="001302E5" w:rsidRDefault="004D6D89">
      <w:pPr>
        <w:spacing w:line="360" w:lineRule="auto"/>
        <w:ind w:firstLine="720"/>
        <w:jc w:val="both"/>
        <w:rPr>
          <w:rFonts w:ascii="Times New Roman" w:hAnsi="Times New Roman"/>
          <w:color w:val="000000" w:themeColor="text1"/>
          <w:sz w:val="28"/>
          <w:szCs w:val="28"/>
          <w:vertAlign w:val="superscript"/>
          <w:lang w:val="en-US"/>
        </w:rPr>
      </w:pPr>
      <w:r w:rsidRPr="001302E5">
        <w:rPr>
          <w:rFonts w:ascii="Times New Roman" w:hAnsi="Times New Roman"/>
          <w:color w:val="000000" w:themeColor="text1"/>
          <w:sz w:val="28"/>
          <w:szCs w:val="28"/>
        </w:rPr>
        <w:t xml:space="preserve">Whilst our calculations do correctly predict the experimentally observed HEXHEL enantiopure structure as the thermodynamically most stable structure, the difference in ranking across predicted structures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2</w:t>
      </w:r>
      <w:r w:rsidRPr="001302E5">
        <w:rPr>
          <w:rFonts w:ascii="Times New Roman" w:hAnsi="Times New Roman"/>
          <w:color w:val="000000" w:themeColor="text1"/>
          <w:sz w:val="28"/>
          <w:szCs w:val="28"/>
        </w:rPr>
        <w:t xml:space="preserve"> and </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 xml:space="preserve"> is small, &lt;1 kJ mol</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The relative ranking of these structures is of particular interest, as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is the lowest enantiopure structure, </w:t>
      </w:r>
      <w:r w:rsidRPr="001302E5">
        <w:rPr>
          <w:rFonts w:ascii="Times New Roman" w:hAnsi="Times New Roman"/>
          <w:b/>
          <w:color w:val="000000" w:themeColor="text1"/>
          <w:sz w:val="28"/>
          <w:szCs w:val="28"/>
        </w:rPr>
        <w:t>2</w:t>
      </w:r>
      <w:r w:rsidRPr="001302E5">
        <w:rPr>
          <w:rFonts w:ascii="Times New Roman" w:hAnsi="Times New Roman"/>
          <w:color w:val="000000" w:themeColor="text1"/>
          <w:sz w:val="28"/>
          <w:szCs w:val="28"/>
        </w:rPr>
        <w:t xml:space="preserve"> is the intergrowth structure and </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 xml:space="preserve"> is the lowest energy racemate structure, with space group </w:t>
      </w:r>
      <w:r w:rsidRPr="001302E5">
        <w:rPr>
          <w:rFonts w:ascii="Times New Roman" w:hAnsi="Times New Roman"/>
          <w:i/>
          <w:color w:val="000000" w:themeColor="text1"/>
          <w:sz w:val="28"/>
          <w:szCs w:val="28"/>
        </w:rPr>
        <w:t>Pna2</w:t>
      </w:r>
      <w:r w:rsidRPr="001302E5">
        <w:rPr>
          <w:rFonts w:ascii="Times New Roman" w:hAnsi="Times New Roman"/>
          <w:i/>
          <w:color w:val="000000" w:themeColor="text1"/>
          <w:sz w:val="28"/>
          <w:szCs w:val="28"/>
          <w:vertAlign w:val="subscript"/>
        </w:rPr>
        <w:t>1</w:t>
      </w:r>
      <w:r w:rsidRPr="001302E5">
        <w:rPr>
          <w:rFonts w:ascii="Times New Roman" w:hAnsi="Times New Roman"/>
          <w:color w:val="000000" w:themeColor="text1"/>
          <w:sz w:val="28"/>
          <w:szCs w:val="28"/>
        </w:rPr>
        <w:t>. Our final prediction regarding the order of thermodynamic stability is thus: enantiopure &gt; intergrowth &gt; racemate; suggesting [6]helicene defies the typical trend of racemates being favoured over conglomerates of homochiral crystals. Thus, not only do we correctly predict the observed enantiopure structure, we also predict that for a racemic mixture of [6]helicene, the intergrowth structure is more stable than a racemate structure, providing confirmation of the earlier suggestions</w:t>
      </w:r>
      <w:r w:rsidRPr="001302E5">
        <w:rPr>
          <w:rFonts w:ascii="Times New Roman" w:hAnsi="Times New Roman"/>
          <w:color w:val="000000" w:themeColor="text1"/>
          <w:sz w:val="28"/>
          <w:szCs w:val="28"/>
          <w:vertAlign w:val="superscript"/>
          <w:lang w:val="en-US"/>
        </w:rPr>
        <w:t>30</w:t>
      </w:r>
      <w:r w:rsidRPr="001302E5">
        <w:rPr>
          <w:rFonts w:ascii="Times New Roman" w:hAnsi="Times New Roman"/>
          <w:color w:val="000000" w:themeColor="text1"/>
          <w:sz w:val="28"/>
          <w:szCs w:val="28"/>
        </w:rPr>
        <w:t xml:space="preserve"> that the lack of an observed racemate crystal structure for [6]helicene is the result of intergrowths preferentially forming. We do note, that the ranking of these three structures was different i</w:t>
      </w:r>
      <w:r w:rsidR="001442FB" w:rsidRPr="001302E5">
        <w:rPr>
          <w:rFonts w:ascii="Times New Roman" w:hAnsi="Times New Roman"/>
          <w:color w:val="000000" w:themeColor="text1"/>
          <w:sz w:val="28"/>
          <w:szCs w:val="28"/>
        </w:rPr>
        <w:t>n the rigid-body search (Fig. S3</w:t>
      </w:r>
      <w:r w:rsidRPr="001302E5">
        <w:rPr>
          <w:rFonts w:ascii="Times New Roman" w:hAnsi="Times New Roman"/>
          <w:color w:val="000000" w:themeColor="text1"/>
          <w:sz w:val="28"/>
          <w:szCs w:val="28"/>
        </w:rPr>
        <w:t xml:space="preserve"> and Table S2) and that the errors introduced in neglecting thermal expansion are typically ~1-2 kJ mol</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at room temperature,</w:t>
      </w:r>
      <w:r w:rsidRPr="001302E5">
        <w:rPr>
          <w:rFonts w:ascii="Times New Roman" w:hAnsi="Times New Roman"/>
          <w:color w:val="000000" w:themeColor="text1"/>
          <w:sz w:val="28"/>
          <w:szCs w:val="28"/>
          <w:vertAlign w:val="superscript"/>
          <w:lang w:val="en-US"/>
        </w:rPr>
        <w:t>5</w:t>
      </w:r>
      <w:r w:rsidR="00EA6DFA" w:rsidRPr="001302E5">
        <w:rPr>
          <w:rFonts w:ascii="Times New Roman" w:hAnsi="Times New Roman"/>
          <w:color w:val="000000" w:themeColor="text1"/>
          <w:sz w:val="28"/>
          <w:szCs w:val="28"/>
          <w:vertAlign w:val="superscript"/>
          <w:lang w:val="en-US"/>
        </w:rPr>
        <w:t>5</w:t>
      </w:r>
      <w:r w:rsidRPr="001302E5">
        <w:rPr>
          <w:rFonts w:ascii="Times New Roman" w:hAnsi="Times New Roman"/>
          <w:color w:val="000000" w:themeColor="text1"/>
          <w:sz w:val="28"/>
          <w:szCs w:val="28"/>
        </w:rPr>
        <w:t xml:space="preserve"> which is greater than the lattice energy differences calculated herein. In a previous CSP study (without DFT level relaxation) of three spontaneously resolving systems by D’Oria </w:t>
      </w:r>
      <w:r w:rsidRPr="001302E5">
        <w:rPr>
          <w:rFonts w:ascii="Times New Roman" w:hAnsi="Times New Roman"/>
          <w:i/>
          <w:color w:val="000000" w:themeColor="text1"/>
          <w:sz w:val="28"/>
          <w:szCs w:val="28"/>
        </w:rPr>
        <w:t xml:space="preserve">et </w:t>
      </w:r>
      <w:r w:rsidRPr="001302E5">
        <w:rPr>
          <w:rFonts w:ascii="Times New Roman" w:hAnsi="Times New Roman"/>
          <w:i/>
          <w:color w:val="000000" w:themeColor="text1"/>
          <w:sz w:val="28"/>
          <w:szCs w:val="28"/>
        </w:rPr>
        <w:lastRenderedPageBreak/>
        <w:t>al.</w:t>
      </w:r>
      <w:r w:rsidRPr="001302E5">
        <w:rPr>
          <w:rFonts w:ascii="Times New Roman" w:hAnsi="Times New Roman"/>
          <w:color w:val="000000" w:themeColor="text1"/>
          <w:sz w:val="28"/>
          <w:szCs w:val="28"/>
        </w:rPr>
        <w:t>,</w:t>
      </w:r>
      <w:r w:rsidRPr="001302E5">
        <w:rPr>
          <w:rFonts w:ascii="Times New Roman" w:hAnsi="Times New Roman"/>
          <w:color w:val="000000" w:themeColor="text1"/>
          <w:sz w:val="28"/>
          <w:szCs w:val="28"/>
          <w:vertAlign w:val="superscript"/>
          <w:lang w:val="en-US"/>
        </w:rPr>
        <w:t>5</w:t>
      </w:r>
      <w:r w:rsidR="00EA6DFA" w:rsidRPr="001302E5">
        <w:rPr>
          <w:rFonts w:ascii="Times New Roman" w:hAnsi="Times New Roman"/>
          <w:color w:val="000000" w:themeColor="text1"/>
          <w:sz w:val="28"/>
          <w:szCs w:val="28"/>
          <w:vertAlign w:val="superscript"/>
          <w:lang w:val="en-US"/>
        </w:rPr>
        <w:t>6</w:t>
      </w:r>
      <w:r w:rsidRPr="001302E5">
        <w:rPr>
          <w:rFonts w:ascii="Times New Roman" w:hAnsi="Times New Roman"/>
          <w:color w:val="000000" w:themeColor="text1"/>
          <w:sz w:val="28"/>
          <w:szCs w:val="28"/>
        </w:rPr>
        <w:t xml:space="preserve"> the energy differences between the enantiopure and racemate structures were also found to be less than a few kJ mol</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and therefore easily influenced by kinetic and entropic effects. In our case however, this means that lattice energy differences alone, although arguably within the margin of error, are sufficient to explain the experimental observations, as was the case with another previous CSP study that used hybrid DFT to predict spontaneous resolution.</w:t>
      </w:r>
      <w:r w:rsidR="00EA6DFA" w:rsidRPr="001302E5">
        <w:rPr>
          <w:rFonts w:ascii="Times New Roman" w:hAnsi="Times New Roman"/>
          <w:color w:val="000000" w:themeColor="text1"/>
          <w:sz w:val="28"/>
          <w:szCs w:val="28"/>
          <w:vertAlign w:val="superscript"/>
          <w:lang w:val="en-US"/>
        </w:rPr>
        <w:t>57</w:t>
      </w:r>
    </w:p>
    <w:p w14:paraId="38093D87" w14:textId="5D758515"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b/>
        <w:t xml:space="preserve">Predicted structures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2</w:t>
      </w:r>
      <w:r w:rsidRPr="001302E5">
        <w:rPr>
          <w:rFonts w:ascii="Times New Roman" w:hAnsi="Times New Roman"/>
          <w:color w:val="000000" w:themeColor="text1"/>
          <w:sz w:val="28"/>
          <w:szCs w:val="28"/>
        </w:rPr>
        <w:t xml:space="preserve"> and </w:t>
      </w:r>
      <w:r w:rsidRPr="001302E5">
        <w:rPr>
          <w:rFonts w:ascii="Times New Roman" w:hAnsi="Times New Roman"/>
          <w:b/>
          <w:color w:val="000000" w:themeColor="text1"/>
          <w:sz w:val="28"/>
          <w:szCs w:val="28"/>
        </w:rPr>
        <w:t xml:space="preserve">3 </w:t>
      </w:r>
      <w:r w:rsidRPr="001302E5">
        <w:rPr>
          <w:rFonts w:ascii="Times New Roman" w:hAnsi="Times New Roman"/>
          <w:color w:val="000000" w:themeColor="text1"/>
          <w:sz w:val="28"/>
          <w:szCs w:val="28"/>
        </w:rPr>
        <w:t xml:space="preserve">are highly interrelated, as can be seen from inspection of Fig. 2. The enantiopure structure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contains chains of homochiral pairs of helicenes that are interlocked, with each interlocked pair packed “back-to-back” with the next. Perpendicular to this, there run columns of homochiral helicenes with translational symmetry. The intergrowth structure </w:t>
      </w:r>
      <w:r w:rsidRPr="001302E5">
        <w:rPr>
          <w:rFonts w:ascii="Times New Roman" w:hAnsi="Times New Roman"/>
          <w:b/>
          <w:color w:val="000000" w:themeColor="text1"/>
          <w:sz w:val="28"/>
          <w:szCs w:val="28"/>
        </w:rPr>
        <w:t>2</w:t>
      </w:r>
      <w:r w:rsidRPr="001302E5">
        <w:rPr>
          <w:rFonts w:ascii="Times New Roman" w:hAnsi="Times New Roman"/>
          <w:color w:val="000000" w:themeColor="text1"/>
          <w:sz w:val="28"/>
          <w:szCs w:val="28"/>
        </w:rPr>
        <w:t xml:space="preserve">, which was constructed as a (100) intergrowth of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has the same substructures, but in a larger cell where the unit cell of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is packed next to the same unit cell, but with helicenes of the opposite chirality. Finally, the racemate structure </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 xml:space="preserve"> again has the same substructure features, but it has alternating chains and columns of opposite chirality helicenes. Thus, from this we can hypothesise that these homochiral interlocked chains and translational symmetry chains are the low energy packings for [6]helicene. The differences in how these are packed together with adjacent homochiral or heterochiral chains is most likely all that is responsible for the subtle differences in their energetic rankings and consequently for their experimental observation. Comparing the two-dimensional (2D) fingerprint plots</w:t>
      </w:r>
      <w:r w:rsidRPr="001302E5">
        <w:rPr>
          <w:rFonts w:ascii="Times New Roman" w:hAnsi="Times New Roman"/>
          <w:color w:val="000000" w:themeColor="text1"/>
          <w:sz w:val="28"/>
          <w:szCs w:val="28"/>
          <w:vertAlign w:val="superscript"/>
          <w:lang w:val="en-US"/>
        </w:rPr>
        <w:t>5</w:t>
      </w:r>
      <w:r w:rsidR="00F377E3" w:rsidRPr="001302E5">
        <w:rPr>
          <w:rFonts w:ascii="Times New Roman" w:hAnsi="Times New Roman"/>
          <w:color w:val="000000" w:themeColor="text1"/>
          <w:sz w:val="28"/>
          <w:szCs w:val="28"/>
          <w:vertAlign w:val="superscript"/>
          <w:lang w:val="en-US"/>
        </w:rPr>
        <w:t>8</w:t>
      </w:r>
      <w:r w:rsidR="001442FB" w:rsidRPr="001302E5">
        <w:rPr>
          <w:rFonts w:ascii="Times New Roman" w:hAnsi="Times New Roman"/>
          <w:color w:val="000000" w:themeColor="text1"/>
          <w:sz w:val="28"/>
          <w:szCs w:val="28"/>
        </w:rPr>
        <w:t xml:space="preserve"> (see Fig. S7</w:t>
      </w:r>
      <w:r w:rsidRPr="001302E5">
        <w:rPr>
          <w:rFonts w:ascii="Times New Roman" w:hAnsi="Times New Roman"/>
          <w:color w:val="000000" w:themeColor="text1"/>
          <w:sz w:val="28"/>
          <w:szCs w:val="28"/>
        </w:rPr>
        <w:t xml:space="preserve">) for these three structures, it can be seen that the alignment of exclusively homochiral chains in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results in the strongest C-H---</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 xml:space="preserve"> and </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 xml:space="preserve"> interactions across the three structures. This highlights how critical control of the interactions in all three dimensions would be in the “design” of a molecule with desired crystal packing features.</w:t>
      </w:r>
    </w:p>
    <w:p w14:paraId="558A3890" w14:textId="7710AF98"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b/>
        <w:t>It is clear that there is a far greater number of racemic than enantiopure structures in the energetically low-lying region of the energy landscape we have investigated (&lt;7.2 kJ mol</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with 23 and 3 predicted structures, respectively. </w:t>
      </w:r>
      <w:r w:rsidRPr="001302E5">
        <w:rPr>
          <w:rFonts w:ascii="Times New Roman" w:hAnsi="Times New Roman"/>
          <w:color w:val="000000" w:themeColor="text1"/>
          <w:sz w:val="28"/>
          <w:szCs w:val="28"/>
        </w:rPr>
        <w:lastRenderedPageBreak/>
        <w:t>The predicted racemic structures are found in a ra</w:t>
      </w:r>
      <w:r w:rsidR="001442FB" w:rsidRPr="001302E5">
        <w:rPr>
          <w:rFonts w:ascii="Times New Roman" w:hAnsi="Times New Roman"/>
          <w:color w:val="000000" w:themeColor="text1"/>
          <w:sz w:val="28"/>
          <w:szCs w:val="28"/>
        </w:rPr>
        <w:t>nge of space groups (see Fig. S5</w:t>
      </w:r>
      <w:r w:rsidRPr="001302E5">
        <w:rPr>
          <w:rFonts w:ascii="Times New Roman" w:hAnsi="Times New Roman"/>
          <w:color w:val="000000" w:themeColor="text1"/>
          <w:sz w:val="28"/>
          <w:szCs w:val="28"/>
        </w:rPr>
        <w:t>), with P2</w:t>
      </w:r>
      <w:r w:rsidRPr="001302E5">
        <w:rPr>
          <w:rFonts w:ascii="Times New Roman" w:hAnsi="Times New Roman"/>
          <w:color w:val="000000" w:themeColor="text1"/>
          <w:sz w:val="28"/>
          <w:szCs w:val="28"/>
          <w:vertAlign w:val="subscript"/>
        </w:rPr>
        <w:t>1</w:t>
      </w:r>
      <w:r w:rsidRPr="001302E5">
        <w:rPr>
          <w:rFonts w:ascii="Times New Roman" w:hAnsi="Times New Roman"/>
          <w:color w:val="000000" w:themeColor="text1"/>
          <w:sz w:val="28"/>
          <w:szCs w:val="28"/>
        </w:rPr>
        <w:t xml:space="preserve">/c being the most common of the lowest energy structures. Structures </w:t>
      </w:r>
      <w:r w:rsidRPr="001302E5">
        <w:rPr>
          <w:rFonts w:ascii="Times New Roman" w:hAnsi="Times New Roman"/>
          <w:b/>
          <w:color w:val="000000" w:themeColor="text1"/>
          <w:sz w:val="28"/>
          <w:szCs w:val="28"/>
        </w:rPr>
        <w:t>5</w:t>
      </w:r>
      <w:r w:rsidRPr="001302E5">
        <w:rPr>
          <w:rFonts w:ascii="Times New Roman" w:hAnsi="Times New Roman"/>
          <w:color w:val="000000" w:themeColor="text1"/>
          <w:sz w:val="28"/>
          <w:szCs w:val="28"/>
        </w:rPr>
        <w:t xml:space="preserve"> and </w:t>
      </w:r>
      <w:r w:rsidRPr="001302E5">
        <w:rPr>
          <w:rFonts w:ascii="Times New Roman" w:hAnsi="Times New Roman"/>
          <w:b/>
          <w:color w:val="000000" w:themeColor="text1"/>
          <w:sz w:val="28"/>
          <w:szCs w:val="28"/>
        </w:rPr>
        <w:t>6</w:t>
      </w:r>
      <w:r w:rsidRPr="001302E5">
        <w:rPr>
          <w:rFonts w:ascii="Times New Roman" w:hAnsi="Times New Roman"/>
          <w:color w:val="000000" w:themeColor="text1"/>
          <w:sz w:val="28"/>
          <w:szCs w:val="28"/>
        </w:rPr>
        <w:t xml:space="preserve"> are particularly interesting, given that they are the two highest density structures found and yet are not lowest in energy. Structures </w:t>
      </w:r>
      <w:r w:rsidRPr="001302E5">
        <w:rPr>
          <w:rFonts w:ascii="Times New Roman" w:hAnsi="Times New Roman"/>
          <w:b/>
          <w:color w:val="000000" w:themeColor="text1"/>
          <w:sz w:val="28"/>
          <w:szCs w:val="28"/>
        </w:rPr>
        <w:t xml:space="preserve">5 </w:t>
      </w:r>
      <w:r w:rsidRPr="001302E5">
        <w:rPr>
          <w:rFonts w:ascii="Times New Roman" w:hAnsi="Times New Roman"/>
          <w:color w:val="000000" w:themeColor="text1"/>
          <w:sz w:val="28"/>
          <w:szCs w:val="28"/>
        </w:rPr>
        <w:t xml:space="preserve">and </w:t>
      </w:r>
      <w:r w:rsidRPr="001302E5">
        <w:rPr>
          <w:rFonts w:ascii="Times New Roman" w:hAnsi="Times New Roman"/>
          <w:b/>
          <w:color w:val="000000" w:themeColor="text1"/>
          <w:sz w:val="28"/>
          <w:szCs w:val="28"/>
        </w:rPr>
        <w:t>6</w:t>
      </w:r>
      <w:r w:rsidRPr="001302E5">
        <w:rPr>
          <w:rFonts w:ascii="Times New Roman" w:hAnsi="Times New Roman"/>
          <w:color w:val="000000" w:themeColor="text1"/>
          <w:sz w:val="28"/>
          <w:szCs w:val="28"/>
        </w:rPr>
        <w:t xml:space="preserve"> both feature interlocked heterochiral helicene pairings, rather than the interlocked homochiral helicene pairs in structures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 xml:space="preserve">. However, 2D fingerprint plots of the non-covalent interactions of </w:t>
      </w:r>
      <w:r w:rsidRPr="001302E5">
        <w:rPr>
          <w:rFonts w:ascii="Times New Roman" w:hAnsi="Times New Roman"/>
          <w:b/>
          <w:color w:val="000000" w:themeColor="text1"/>
          <w:sz w:val="28"/>
          <w:szCs w:val="28"/>
        </w:rPr>
        <w:t xml:space="preserve">5 </w:t>
      </w:r>
      <w:r w:rsidRPr="001302E5">
        <w:rPr>
          <w:rFonts w:ascii="Times New Roman" w:hAnsi="Times New Roman"/>
          <w:color w:val="000000" w:themeColor="text1"/>
          <w:sz w:val="28"/>
          <w:szCs w:val="28"/>
        </w:rPr>
        <w:t xml:space="preserve">and </w:t>
      </w:r>
      <w:r w:rsidRPr="001302E5">
        <w:rPr>
          <w:rFonts w:ascii="Times New Roman" w:hAnsi="Times New Roman"/>
          <w:b/>
          <w:color w:val="000000" w:themeColor="text1"/>
          <w:sz w:val="28"/>
          <w:szCs w:val="28"/>
        </w:rPr>
        <w:t>6</w:t>
      </w:r>
      <w:r w:rsidR="001442FB" w:rsidRPr="001302E5">
        <w:rPr>
          <w:rFonts w:ascii="Times New Roman" w:hAnsi="Times New Roman"/>
          <w:color w:val="000000" w:themeColor="text1"/>
          <w:sz w:val="28"/>
          <w:szCs w:val="28"/>
        </w:rPr>
        <w:t xml:space="preserve"> (Fig. S7</w:t>
      </w:r>
      <w:r w:rsidRPr="001302E5">
        <w:rPr>
          <w:rFonts w:ascii="Times New Roman" w:hAnsi="Times New Roman"/>
          <w:color w:val="000000" w:themeColor="text1"/>
          <w:sz w:val="28"/>
          <w:szCs w:val="28"/>
        </w:rPr>
        <w:t>) show that compared to the more thermodynamically stable structures, these lack C-H---</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 xml:space="preserve"> interactions. This shows that whilst inversion symmetry in a helicene structure can increase the density, this does not necessarily mean that favourable non-covalent interactions are maximised. </w:t>
      </w:r>
    </w:p>
    <w:p w14:paraId="32A8C1F5" w14:textId="77777777" w:rsidR="004D4376" w:rsidRPr="001302E5" w:rsidRDefault="004D4376">
      <w:pPr>
        <w:spacing w:line="360" w:lineRule="auto"/>
        <w:jc w:val="both"/>
        <w:rPr>
          <w:rFonts w:ascii="Times New Roman" w:hAnsi="Times New Roman"/>
          <w:color w:val="000000" w:themeColor="text1"/>
          <w:sz w:val="28"/>
          <w:szCs w:val="28"/>
        </w:rPr>
      </w:pPr>
    </w:p>
    <w:p w14:paraId="0F259F16" w14:textId="77777777" w:rsidR="004D4376" w:rsidRPr="001302E5" w:rsidRDefault="004D6D89">
      <w:pPr>
        <w:spacing w:line="360" w:lineRule="auto"/>
        <w:jc w:val="both"/>
        <w:rPr>
          <w:rFonts w:ascii="Times New Roman" w:hAnsi="Times New Roman"/>
          <w:b/>
          <w:i/>
          <w:color w:val="000000" w:themeColor="text1"/>
          <w:sz w:val="28"/>
          <w:szCs w:val="28"/>
        </w:rPr>
      </w:pPr>
      <w:r w:rsidRPr="001302E5">
        <w:rPr>
          <w:rFonts w:ascii="Times New Roman" w:hAnsi="Times New Roman"/>
          <w:b/>
          <w:i/>
          <w:color w:val="000000" w:themeColor="text1"/>
          <w:sz w:val="28"/>
          <w:szCs w:val="28"/>
        </w:rPr>
        <w:t>Classification of structure motifs</w:t>
      </w:r>
    </w:p>
    <w:p w14:paraId="3154C29E" w14:textId="22E1CAC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b/>
          <w:color w:val="000000" w:themeColor="text1"/>
          <w:sz w:val="28"/>
          <w:szCs w:val="28"/>
        </w:rPr>
        <w:tab/>
      </w:r>
      <w:r w:rsidRPr="001302E5">
        <w:rPr>
          <w:rFonts w:ascii="Times New Roman" w:hAnsi="Times New Roman"/>
          <w:color w:val="000000" w:themeColor="text1"/>
          <w:sz w:val="28"/>
          <w:szCs w:val="28"/>
        </w:rPr>
        <w:t xml:space="preserve">As the energy-structure relationships uncovered thus far had shown trends based on particular substructure features, we decided to investigate the crystal packing of the 27 lowest energy structures further. We began by producing a packing </w:t>
      </w:r>
      <w:r w:rsidR="001442FB" w:rsidRPr="001302E5">
        <w:rPr>
          <w:rFonts w:ascii="Times New Roman" w:hAnsi="Times New Roman"/>
          <w:color w:val="000000" w:themeColor="text1"/>
          <w:sz w:val="28"/>
          <w:szCs w:val="28"/>
        </w:rPr>
        <w:t>similarity tree diagram (Fig. S2</w:t>
      </w:r>
      <w:r w:rsidRPr="001302E5">
        <w:rPr>
          <w:rFonts w:ascii="Times New Roman" w:hAnsi="Times New Roman"/>
          <w:color w:val="000000" w:themeColor="text1"/>
          <w:sz w:val="28"/>
          <w:szCs w:val="28"/>
        </w:rPr>
        <w:t xml:space="preserve">, Table S3) and this allowed us to identify common substructures to search for throughout the predicted polymorphs. These results are shown in Fig. 5 and Table S1, with the substructures displayed in Fig. 5b. We identified 10 common substructures, which can be listed in order of their frequency of appearance (given in brackets, together with a label of the substructure number): </w:t>
      </w:r>
    </w:p>
    <w:p w14:paraId="1BBB0702" w14:textId="77777777" w:rsidR="004D4376" w:rsidRPr="001302E5" w:rsidRDefault="004D4376">
      <w:pPr>
        <w:pStyle w:val="ListParagraph"/>
        <w:spacing w:line="360" w:lineRule="auto"/>
        <w:ind w:left="792"/>
        <w:jc w:val="both"/>
        <w:rPr>
          <w:rFonts w:ascii="Times New Roman" w:hAnsi="Times New Roman"/>
          <w:color w:val="000000" w:themeColor="text1"/>
          <w:sz w:val="28"/>
          <w:szCs w:val="28"/>
        </w:rPr>
      </w:pPr>
    </w:p>
    <w:p w14:paraId="7108A8DF"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homochiral chain with translational symmetry (63%; </w:t>
      </w: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w:t>
      </w:r>
    </w:p>
    <w:p w14:paraId="74436859"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homochiral back-to-back pair (48%; </w:t>
      </w:r>
      <w:r w:rsidRPr="001302E5">
        <w:rPr>
          <w:rFonts w:ascii="Times New Roman" w:hAnsi="Times New Roman"/>
          <w:b/>
          <w:color w:val="000000" w:themeColor="text1"/>
          <w:sz w:val="28"/>
          <w:szCs w:val="28"/>
        </w:rPr>
        <w:t>II</w:t>
      </w:r>
      <w:r w:rsidRPr="001302E5">
        <w:rPr>
          <w:rFonts w:ascii="Times New Roman" w:hAnsi="Times New Roman"/>
          <w:color w:val="000000" w:themeColor="text1"/>
          <w:sz w:val="28"/>
          <w:szCs w:val="28"/>
        </w:rPr>
        <w:t>)</w:t>
      </w:r>
    </w:p>
    <w:p w14:paraId="5907098E"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heterochiral interlocked pair (30%; </w:t>
      </w:r>
      <w:r w:rsidRPr="001302E5">
        <w:rPr>
          <w:rFonts w:ascii="Times New Roman" w:hAnsi="Times New Roman"/>
          <w:b/>
          <w:color w:val="000000" w:themeColor="text1"/>
          <w:sz w:val="28"/>
          <w:szCs w:val="28"/>
        </w:rPr>
        <w:t>III</w:t>
      </w:r>
      <w:r w:rsidRPr="001302E5">
        <w:rPr>
          <w:rFonts w:ascii="Times New Roman" w:hAnsi="Times New Roman"/>
          <w:color w:val="000000" w:themeColor="text1"/>
          <w:sz w:val="28"/>
          <w:szCs w:val="28"/>
        </w:rPr>
        <w:t>)</w:t>
      </w:r>
    </w:p>
    <w:p w14:paraId="7E0663B9"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homochiral interlocked pair (26%; </w:t>
      </w:r>
      <w:r w:rsidRPr="001302E5">
        <w:rPr>
          <w:rFonts w:ascii="Times New Roman" w:hAnsi="Times New Roman"/>
          <w:b/>
          <w:color w:val="000000" w:themeColor="text1"/>
          <w:sz w:val="28"/>
          <w:szCs w:val="28"/>
        </w:rPr>
        <w:t>IV</w:t>
      </w:r>
      <w:r w:rsidRPr="001302E5">
        <w:rPr>
          <w:rFonts w:ascii="Times New Roman" w:hAnsi="Times New Roman"/>
          <w:color w:val="000000" w:themeColor="text1"/>
          <w:sz w:val="28"/>
          <w:szCs w:val="28"/>
        </w:rPr>
        <w:t>)</w:t>
      </w:r>
    </w:p>
    <w:p w14:paraId="562CB9ED"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lastRenderedPageBreak/>
        <w:t xml:space="preserve">a homochiral chain; consisting of alternating back-to-back and interlocked pairs (15%; </w:t>
      </w:r>
      <w:r w:rsidRPr="001302E5">
        <w:rPr>
          <w:rFonts w:ascii="Times New Roman" w:hAnsi="Times New Roman"/>
          <w:b/>
          <w:color w:val="000000" w:themeColor="text1"/>
          <w:sz w:val="28"/>
          <w:szCs w:val="28"/>
        </w:rPr>
        <w:t>V</w:t>
      </w:r>
      <w:r w:rsidRPr="001302E5">
        <w:rPr>
          <w:rFonts w:ascii="Times New Roman" w:hAnsi="Times New Roman"/>
          <w:color w:val="000000" w:themeColor="text1"/>
          <w:sz w:val="28"/>
          <w:szCs w:val="28"/>
        </w:rPr>
        <w:t>)</w:t>
      </w:r>
    </w:p>
    <w:p w14:paraId="0CE58D8C"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heterochiral back-to-back pair, “centre”; where the two central aromatic rings on each of the molecules are closest, although not at </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 xml:space="preserve"> stacking distances (15%; </w:t>
      </w:r>
      <w:r w:rsidRPr="001302E5">
        <w:rPr>
          <w:rFonts w:ascii="Times New Roman" w:hAnsi="Times New Roman"/>
          <w:b/>
          <w:color w:val="000000" w:themeColor="text1"/>
          <w:sz w:val="28"/>
          <w:szCs w:val="28"/>
        </w:rPr>
        <w:t>VI</w:t>
      </w:r>
      <w:r w:rsidRPr="001302E5">
        <w:rPr>
          <w:rFonts w:ascii="Times New Roman" w:hAnsi="Times New Roman"/>
          <w:color w:val="000000" w:themeColor="text1"/>
          <w:sz w:val="28"/>
          <w:szCs w:val="28"/>
        </w:rPr>
        <w:t>)</w:t>
      </w:r>
    </w:p>
    <w:p w14:paraId="5D73DC2B"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heterochiral back-to-back pair, “edge”; where the second and third aromatic rings on each of the molecules are closest, although not at </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w:t>
      </w:r>
      <w:r w:rsidRPr="001302E5">
        <w:rPr>
          <w:rFonts w:ascii="Symbol" w:hAnsi="Symbol"/>
          <w:color w:val="000000" w:themeColor="text1"/>
          <w:sz w:val="28"/>
          <w:szCs w:val="28"/>
        </w:rPr>
        <w:t></w:t>
      </w:r>
      <w:r w:rsidRPr="001302E5">
        <w:rPr>
          <w:rFonts w:ascii="Times New Roman" w:hAnsi="Times New Roman"/>
          <w:color w:val="000000" w:themeColor="text1"/>
          <w:sz w:val="28"/>
          <w:szCs w:val="28"/>
        </w:rPr>
        <w:t xml:space="preserve"> stacking distances or orientation (15%; </w:t>
      </w:r>
      <w:r w:rsidRPr="001302E5">
        <w:rPr>
          <w:rFonts w:ascii="Times New Roman" w:hAnsi="Times New Roman"/>
          <w:b/>
          <w:color w:val="000000" w:themeColor="text1"/>
          <w:sz w:val="28"/>
          <w:szCs w:val="28"/>
        </w:rPr>
        <w:t>VII</w:t>
      </w:r>
      <w:r w:rsidRPr="001302E5">
        <w:rPr>
          <w:rFonts w:ascii="Times New Roman" w:hAnsi="Times New Roman"/>
          <w:color w:val="000000" w:themeColor="text1"/>
          <w:sz w:val="28"/>
          <w:szCs w:val="28"/>
        </w:rPr>
        <w:t>)</w:t>
      </w:r>
    </w:p>
    <w:p w14:paraId="40D2532F"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heterochiral chain; consisting of alternating back-to-back and interlocked pairs (11%; </w:t>
      </w:r>
      <w:r w:rsidRPr="001302E5">
        <w:rPr>
          <w:rFonts w:ascii="Times New Roman" w:hAnsi="Times New Roman"/>
          <w:b/>
          <w:color w:val="000000" w:themeColor="text1"/>
          <w:sz w:val="28"/>
          <w:szCs w:val="28"/>
        </w:rPr>
        <w:t>VIII</w:t>
      </w:r>
      <w:r w:rsidRPr="001302E5">
        <w:rPr>
          <w:rFonts w:ascii="Times New Roman" w:hAnsi="Times New Roman"/>
          <w:color w:val="000000" w:themeColor="text1"/>
          <w:sz w:val="28"/>
          <w:szCs w:val="28"/>
        </w:rPr>
        <w:t>)</w:t>
      </w:r>
    </w:p>
    <w:p w14:paraId="5FCE0BB0"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heterochiral chain; consisting of helicenes sitting adjacent to each other edge-to-edge (11%; </w:t>
      </w:r>
      <w:r w:rsidRPr="001302E5">
        <w:rPr>
          <w:rFonts w:ascii="Times New Roman" w:hAnsi="Times New Roman"/>
          <w:b/>
          <w:color w:val="000000" w:themeColor="text1"/>
          <w:sz w:val="28"/>
          <w:szCs w:val="28"/>
        </w:rPr>
        <w:t>IX</w:t>
      </w:r>
      <w:r w:rsidRPr="001302E5">
        <w:rPr>
          <w:rFonts w:ascii="Times New Roman" w:hAnsi="Times New Roman"/>
          <w:color w:val="000000" w:themeColor="text1"/>
          <w:sz w:val="28"/>
          <w:szCs w:val="28"/>
        </w:rPr>
        <w:t>)</w:t>
      </w:r>
    </w:p>
    <w:p w14:paraId="7EA34210" w14:textId="77777777" w:rsidR="004D4376" w:rsidRPr="001302E5" w:rsidRDefault="004D6D89">
      <w:pPr>
        <w:pStyle w:val="ListParagraph"/>
        <w:numPr>
          <w:ilvl w:val="0"/>
          <w:numId w:val="1"/>
        </w:num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a homochiral chain with translational symmetry, arranged in a herringbone packing (11%; </w:t>
      </w:r>
      <w:r w:rsidRPr="001302E5">
        <w:rPr>
          <w:rFonts w:ascii="Times New Roman" w:hAnsi="Times New Roman"/>
          <w:b/>
          <w:color w:val="000000" w:themeColor="text1"/>
          <w:sz w:val="28"/>
          <w:szCs w:val="28"/>
        </w:rPr>
        <w:t>X</w:t>
      </w:r>
      <w:r w:rsidRPr="001302E5">
        <w:rPr>
          <w:rFonts w:ascii="Times New Roman" w:hAnsi="Times New Roman"/>
          <w:color w:val="000000" w:themeColor="text1"/>
          <w:sz w:val="28"/>
          <w:szCs w:val="28"/>
        </w:rPr>
        <w:t>)</w:t>
      </w:r>
    </w:p>
    <w:p w14:paraId="582A6BED" w14:textId="77777777" w:rsidR="004D4376" w:rsidRPr="001302E5" w:rsidRDefault="004D4376">
      <w:pPr>
        <w:spacing w:line="360" w:lineRule="auto"/>
        <w:ind w:left="432"/>
        <w:jc w:val="both"/>
        <w:rPr>
          <w:rFonts w:ascii="Times New Roman" w:hAnsi="Times New Roman"/>
          <w:color w:val="000000" w:themeColor="text1"/>
          <w:sz w:val="28"/>
          <w:szCs w:val="28"/>
        </w:rPr>
      </w:pPr>
    </w:p>
    <w:p w14:paraId="6E7B56B6"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 xml:space="preserve">Molecular structure files for these features are provided as supporting information. Some clear themes emerge from the results; firstly, chains of homochiral [6]helicenes (substructure </w:t>
      </w:r>
      <w:r w:rsidRPr="001302E5">
        <w:rPr>
          <w:rFonts w:ascii="Times New Roman" w:hAnsi="Times New Roman"/>
          <w:b/>
          <w:color w:val="000000" w:themeColor="text1"/>
          <w:sz w:val="28"/>
          <w:szCs w:val="28"/>
        </w:rPr>
        <w:t>V</w:t>
      </w:r>
      <w:r w:rsidRPr="001302E5">
        <w:rPr>
          <w:rFonts w:ascii="Times New Roman" w:hAnsi="Times New Roman"/>
          <w:color w:val="000000" w:themeColor="text1"/>
          <w:sz w:val="28"/>
          <w:szCs w:val="28"/>
        </w:rPr>
        <w:t>) are present in all but one of the eleven lowest energy structures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w:t>
      </w:r>
      <w:r w:rsidRPr="001302E5">
        <w:rPr>
          <w:rFonts w:ascii="Times New Roman" w:hAnsi="Times New Roman"/>
          <w:b/>
          <w:color w:val="000000" w:themeColor="text1"/>
          <w:sz w:val="28"/>
          <w:szCs w:val="28"/>
        </w:rPr>
        <w:t>11</w:t>
      </w:r>
      <w:r w:rsidRPr="001302E5">
        <w:rPr>
          <w:rFonts w:ascii="Times New Roman" w:hAnsi="Times New Roman"/>
          <w:color w:val="000000" w:themeColor="text1"/>
          <w:sz w:val="28"/>
          <w:szCs w:val="28"/>
        </w:rPr>
        <w:t xml:space="preserve">) and this is therefore a low energy packing feature, common to both enantiopure and racemate structures. Thus, whilst space groups change between enantiopure and racemate structures, key positioning of neighbouring molecules, </w:t>
      </w:r>
      <w:r w:rsidRPr="001302E5">
        <w:rPr>
          <w:rFonts w:ascii="Times New Roman" w:hAnsi="Times New Roman"/>
          <w:i/>
          <w:color w:val="000000" w:themeColor="text1"/>
          <w:sz w:val="28"/>
          <w:szCs w:val="28"/>
        </w:rPr>
        <w:t xml:space="preserve">i.e. </w:t>
      </w:r>
      <w:r w:rsidRPr="001302E5">
        <w:rPr>
          <w:rFonts w:ascii="Times New Roman" w:hAnsi="Times New Roman"/>
          <w:color w:val="000000" w:themeColor="text1"/>
          <w:sz w:val="28"/>
          <w:szCs w:val="28"/>
        </w:rPr>
        <w:t xml:space="preserve">substructures, are frequently retained. Secondly, crystal structure </w:t>
      </w:r>
      <w:r w:rsidRPr="001302E5">
        <w:rPr>
          <w:rFonts w:ascii="Times New Roman" w:hAnsi="Times New Roman"/>
          <w:b/>
          <w:color w:val="000000" w:themeColor="text1"/>
          <w:sz w:val="28"/>
          <w:szCs w:val="28"/>
        </w:rPr>
        <w:t>4</w:t>
      </w:r>
      <w:r w:rsidRPr="001302E5">
        <w:rPr>
          <w:rFonts w:ascii="Times New Roman" w:hAnsi="Times New Roman"/>
          <w:color w:val="000000" w:themeColor="text1"/>
          <w:sz w:val="28"/>
          <w:szCs w:val="28"/>
        </w:rPr>
        <w:t xml:space="preserve"> exhibits completely different substructures; with a homochiral chain of molecules packed in a herringbone fashion with translational symmetry (substructure </w:t>
      </w:r>
      <w:r w:rsidRPr="001302E5">
        <w:rPr>
          <w:rFonts w:ascii="Times New Roman" w:hAnsi="Times New Roman"/>
          <w:b/>
          <w:color w:val="000000" w:themeColor="text1"/>
          <w:sz w:val="28"/>
          <w:szCs w:val="28"/>
        </w:rPr>
        <w:t>X</w:t>
      </w:r>
      <w:r w:rsidRPr="001302E5">
        <w:rPr>
          <w:rFonts w:ascii="Times New Roman" w:hAnsi="Times New Roman"/>
          <w:color w:val="000000" w:themeColor="text1"/>
          <w:sz w:val="28"/>
          <w:szCs w:val="28"/>
        </w:rPr>
        <w:t xml:space="preserve">), and in the perpendicular direction heterochiral chains with the helicenes adjacent to each other in an edge-to-edge fashion (substructure </w:t>
      </w:r>
      <w:r w:rsidRPr="001302E5">
        <w:rPr>
          <w:rFonts w:ascii="Times New Roman" w:hAnsi="Times New Roman"/>
          <w:b/>
          <w:color w:val="000000" w:themeColor="text1"/>
          <w:sz w:val="28"/>
          <w:szCs w:val="28"/>
        </w:rPr>
        <w:t>IX</w:t>
      </w:r>
      <w:r w:rsidRPr="001302E5">
        <w:rPr>
          <w:rFonts w:ascii="Times New Roman" w:hAnsi="Times New Roman"/>
          <w:color w:val="000000" w:themeColor="text1"/>
          <w:sz w:val="28"/>
          <w:szCs w:val="28"/>
        </w:rPr>
        <w:t xml:space="preserve">). Thirdly, for the densest racemate structures, a similar set of features to those in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 xml:space="preserve"> is observed, except with the </w:t>
      </w:r>
      <w:r w:rsidRPr="001302E5">
        <w:rPr>
          <w:rFonts w:ascii="Times New Roman" w:hAnsi="Times New Roman"/>
          <w:color w:val="000000" w:themeColor="text1"/>
          <w:sz w:val="28"/>
          <w:szCs w:val="28"/>
        </w:rPr>
        <w:lastRenderedPageBreak/>
        <w:t xml:space="preserve">chains featuring alternating interlocked and back-to-back pairs that are hetero- (substructure </w:t>
      </w:r>
      <w:r w:rsidRPr="001302E5">
        <w:rPr>
          <w:rFonts w:ascii="Times New Roman" w:hAnsi="Times New Roman"/>
          <w:b/>
          <w:color w:val="000000" w:themeColor="text1"/>
          <w:sz w:val="28"/>
          <w:szCs w:val="28"/>
        </w:rPr>
        <w:t>VIII</w:t>
      </w:r>
      <w:r w:rsidRPr="001302E5">
        <w:rPr>
          <w:rFonts w:ascii="Times New Roman" w:hAnsi="Times New Roman"/>
          <w:color w:val="000000" w:themeColor="text1"/>
          <w:sz w:val="28"/>
          <w:szCs w:val="28"/>
        </w:rPr>
        <w:t xml:space="preserve">) rather than homochiral. Finally, higher in the energy landscape, it can be seen that a heterochiral back-to-back pair, aligned centrally (substructure </w:t>
      </w:r>
      <w:r w:rsidRPr="001302E5">
        <w:rPr>
          <w:rFonts w:ascii="Times New Roman" w:hAnsi="Times New Roman"/>
          <w:b/>
          <w:color w:val="000000" w:themeColor="text1"/>
          <w:sz w:val="28"/>
          <w:szCs w:val="28"/>
        </w:rPr>
        <w:t>VII</w:t>
      </w:r>
      <w:r w:rsidRPr="001302E5">
        <w:rPr>
          <w:rFonts w:ascii="Times New Roman" w:hAnsi="Times New Roman"/>
          <w:color w:val="000000" w:themeColor="text1"/>
          <w:sz w:val="28"/>
          <w:szCs w:val="28"/>
        </w:rPr>
        <w:t xml:space="preserve">), excludes any of the other common substructure features. </w:t>
      </w:r>
    </w:p>
    <w:p w14:paraId="0CBA6860" w14:textId="77777777" w:rsidR="004D4376" w:rsidRPr="001302E5" w:rsidRDefault="004D4376">
      <w:pPr>
        <w:spacing w:line="360" w:lineRule="auto"/>
        <w:jc w:val="both"/>
        <w:rPr>
          <w:rFonts w:ascii="Times New Roman" w:hAnsi="Times New Roman"/>
          <w:color w:val="000000" w:themeColor="text1"/>
          <w:sz w:val="28"/>
          <w:szCs w:val="28"/>
        </w:rPr>
      </w:pPr>
    </w:p>
    <w:p w14:paraId="6642DFD9" w14:textId="77777777" w:rsidR="004D4376" w:rsidRPr="001302E5" w:rsidRDefault="004D4376">
      <w:pPr>
        <w:spacing w:line="360" w:lineRule="auto"/>
        <w:jc w:val="both"/>
        <w:rPr>
          <w:rFonts w:ascii="Times New Roman" w:hAnsi="Times New Roman"/>
          <w:color w:val="000000" w:themeColor="text1"/>
          <w:sz w:val="28"/>
          <w:szCs w:val="28"/>
        </w:rPr>
      </w:pPr>
    </w:p>
    <w:p w14:paraId="2E9271C8" w14:textId="77777777" w:rsidR="004D4376" w:rsidRPr="001302E5" w:rsidRDefault="004D4376">
      <w:pPr>
        <w:spacing w:line="360" w:lineRule="auto"/>
        <w:jc w:val="both"/>
        <w:rPr>
          <w:rFonts w:ascii="Times New Roman" w:hAnsi="Times New Roman"/>
          <w:color w:val="000000" w:themeColor="text1"/>
          <w:sz w:val="28"/>
          <w:szCs w:val="28"/>
        </w:rPr>
      </w:pPr>
    </w:p>
    <w:p w14:paraId="4323D95A" w14:textId="77777777" w:rsidR="004D4376" w:rsidRPr="001302E5" w:rsidRDefault="004D4376">
      <w:pPr>
        <w:spacing w:line="360" w:lineRule="auto"/>
        <w:jc w:val="both"/>
        <w:rPr>
          <w:rFonts w:ascii="Times New Roman" w:hAnsi="Times New Roman"/>
          <w:color w:val="000000" w:themeColor="text1"/>
          <w:sz w:val="28"/>
          <w:szCs w:val="28"/>
        </w:rPr>
      </w:pPr>
    </w:p>
    <w:p w14:paraId="5156276A" w14:textId="77777777" w:rsidR="004D4376" w:rsidRPr="001302E5" w:rsidRDefault="004D4376">
      <w:pPr>
        <w:spacing w:line="360" w:lineRule="auto"/>
        <w:jc w:val="both"/>
        <w:rPr>
          <w:rFonts w:ascii="Times New Roman" w:hAnsi="Times New Roman"/>
          <w:color w:val="000000" w:themeColor="text1"/>
          <w:sz w:val="28"/>
          <w:szCs w:val="28"/>
        </w:rPr>
      </w:pPr>
    </w:p>
    <w:p w14:paraId="7132DF8D" w14:textId="77777777" w:rsidR="004D4376" w:rsidRPr="001302E5" w:rsidRDefault="004D4376">
      <w:pPr>
        <w:spacing w:line="360" w:lineRule="auto"/>
        <w:jc w:val="both"/>
        <w:rPr>
          <w:rFonts w:ascii="Times New Roman" w:hAnsi="Times New Roman"/>
          <w:color w:val="000000" w:themeColor="text1"/>
          <w:sz w:val="28"/>
          <w:szCs w:val="28"/>
        </w:rPr>
      </w:pPr>
    </w:p>
    <w:p w14:paraId="47B72074" w14:textId="77777777" w:rsidR="004D4376" w:rsidRPr="001302E5" w:rsidRDefault="004D4376">
      <w:pPr>
        <w:spacing w:line="360" w:lineRule="auto"/>
        <w:jc w:val="both"/>
        <w:rPr>
          <w:rFonts w:ascii="Times New Roman" w:hAnsi="Times New Roman"/>
          <w:color w:val="000000" w:themeColor="text1"/>
          <w:sz w:val="28"/>
          <w:szCs w:val="28"/>
        </w:rPr>
      </w:pPr>
    </w:p>
    <w:p w14:paraId="5764E246" w14:textId="77777777" w:rsidR="004D4376" w:rsidRPr="001302E5" w:rsidRDefault="004D4376">
      <w:pPr>
        <w:spacing w:line="360" w:lineRule="auto"/>
        <w:jc w:val="both"/>
        <w:rPr>
          <w:rFonts w:ascii="Times New Roman" w:hAnsi="Times New Roman"/>
          <w:color w:val="000000" w:themeColor="text1"/>
          <w:sz w:val="28"/>
          <w:szCs w:val="28"/>
        </w:rPr>
      </w:pPr>
    </w:p>
    <w:p w14:paraId="544972FE" w14:textId="77777777" w:rsidR="004D4376" w:rsidRPr="001302E5" w:rsidRDefault="004D4376">
      <w:pPr>
        <w:spacing w:line="360" w:lineRule="auto"/>
        <w:jc w:val="both"/>
        <w:rPr>
          <w:rFonts w:ascii="Times New Roman" w:hAnsi="Times New Roman"/>
          <w:color w:val="000000" w:themeColor="text1"/>
          <w:sz w:val="28"/>
          <w:szCs w:val="28"/>
        </w:rPr>
      </w:pPr>
    </w:p>
    <w:p w14:paraId="20CD52C4" w14:textId="77777777" w:rsidR="004D4376" w:rsidRPr="001302E5" w:rsidRDefault="004D4376">
      <w:pPr>
        <w:spacing w:line="360" w:lineRule="auto"/>
        <w:jc w:val="both"/>
        <w:rPr>
          <w:rFonts w:ascii="Times New Roman" w:hAnsi="Times New Roman"/>
          <w:color w:val="000000" w:themeColor="text1"/>
          <w:sz w:val="28"/>
          <w:szCs w:val="28"/>
        </w:rPr>
      </w:pPr>
    </w:p>
    <w:p w14:paraId="7FECF088" w14:textId="77777777" w:rsidR="004D4376" w:rsidRPr="001302E5" w:rsidRDefault="004D4376">
      <w:pPr>
        <w:spacing w:line="360" w:lineRule="auto"/>
        <w:jc w:val="both"/>
        <w:rPr>
          <w:rFonts w:ascii="Times New Roman" w:hAnsi="Times New Roman"/>
          <w:color w:val="000000" w:themeColor="text1"/>
          <w:sz w:val="28"/>
          <w:szCs w:val="28"/>
        </w:rPr>
      </w:pPr>
    </w:p>
    <w:p w14:paraId="3FD48E9D" w14:textId="77777777" w:rsidR="004D4376" w:rsidRPr="001302E5" w:rsidRDefault="004D4376">
      <w:pPr>
        <w:spacing w:line="360" w:lineRule="auto"/>
        <w:jc w:val="both"/>
        <w:rPr>
          <w:rFonts w:ascii="Times New Roman" w:hAnsi="Times New Roman"/>
          <w:color w:val="000000" w:themeColor="text1"/>
          <w:sz w:val="28"/>
          <w:szCs w:val="28"/>
        </w:rPr>
      </w:pPr>
    </w:p>
    <w:p w14:paraId="586FE497" w14:textId="77777777" w:rsidR="004D4376" w:rsidRPr="001302E5" w:rsidRDefault="004D4376">
      <w:pPr>
        <w:spacing w:line="360" w:lineRule="auto"/>
        <w:jc w:val="both"/>
        <w:rPr>
          <w:rFonts w:ascii="Times New Roman" w:hAnsi="Times New Roman"/>
          <w:color w:val="000000" w:themeColor="text1"/>
          <w:sz w:val="28"/>
          <w:szCs w:val="28"/>
        </w:rPr>
      </w:pPr>
    </w:p>
    <w:p w14:paraId="57A1609A" w14:textId="77777777" w:rsidR="004D4376" w:rsidRPr="001302E5" w:rsidRDefault="004D6D89">
      <w:pPr>
        <w:widowControl w:val="0"/>
        <w:spacing w:after="240" w:line="360" w:lineRule="auto"/>
        <w:jc w:val="center"/>
        <w:rPr>
          <w:color w:val="000000" w:themeColor="text1"/>
        </w:rPr>
      </w:pPr>
      <w:r w:rsidRPr="001302E5">
        <w:rPr>
          <w:noProof/>
          <w:color w:val="000000" w:themeColor="text1"/>
          <w:lang w:val="en-US"/>
        </w:rPr>
        <w:lastRenderedPageBreak/>
        <w:drawing>
          <wp:inline distT="0" distB="0" distL="0" distR="0" wp14:anchorId="6BAD8EFF" wp14:editId="7C53BBD4">
            <wp:extent cx="5309235" cy="4034790"/>
            <wp:effectExtent l="0" t="0" r="0" b="0"/>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pic:cNvPicPr>
                      <a:picLocks noChangeAspect="1" noChangeArrowheads="1"/>
                    </pic:cNvPicPr>
                  </pic:nvPicPr>
                  <pic:blipFill>
                    <a:blip r:embed="rId11"/>
                    <a:stretch>
                      <a:fillRect/>
                    </a:stretch>
                  </pic:blipFill>
                  <pic:spPr bwMode="auto">
                    <a:xfrm>
                      <a:off x="0" y="0"/>
                      <a:ext cx="5309235" cy="4034790"/>
                    </a:xfrm>
                    <a:prstGeom prst="rect">
                      <a:avLst/>
                    </a:prstGeom>
                    <a:noFill/>
                    <a:ln w="9525">
                      <a:noFill/>
                      <a:miter lim="800000"/>
                      <a:headEnd/>
                      <a:tailEnd/>
                    </a:ln>
                  </pic:spPr>
                </pic:pic>
              </a:graphicData>
            </a:graphic>
          </wp:inline>
        </w:drawing>
      </w:r>
      <w:r w:rsidRPr="001302E5">
        <w:rPr>
          <w:noProof/>
          <w:color w:val="000000" w:themeColor="text1"/>
          <w:lang w:val="en-US"/>
        </w:rPr>
        <w:drawing>
          <wp:inline distT="0" distB="0" distL="0" distR="0" wp14:anchorId="3359A323" wp14:editId="10D43794">
            <wp:extent cx="3632835" cy="3411855"/>
            <wp:effectExtent l="0" t="0" r="0" b="0"/>
            <wp:docPr id="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2"/>
                    <a:stretch>
                      <a:fillRect/>
                    </a:stretch>
                  </pic:blipFill>
                  <pic:spPr bwMode="auto">
                    <a:xfrm>
                      <a:off x="0" y="0"/>
                      <a:ext cx="3632835" cy="3411855"/>
                    </a:xfrm>
                    <a:prstGeom prst="rect">
                      <a:avLst/>
                    </a:prstGeom>
                    <a:noFill/>
                    <a:ln w="9525">
                      <a:noFill/>
                      <a:miter lim="800000"/>
                      <a:headEnd/>
                      <a:tailEnd/>
                    </a:ln>
                  </pic:spPr>
                </pic:pic>
              </a:graphicData>
            </a:graphic>
          </wp:inline>
        </w:drawing>
      </w:r>
    </w:p>
    <w:p w14:paraId="6503D56D" w14:textId="7B02E495" w:rsidR="004D4376" w:rsidRPr="001302E5" w:rsidRDefault="004D6D89">
      <w:pPr>
        <w:widowControl w:val="0"/>
        <w:spacing w:after="240"/>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Figure 5: (a) Lat</w:t>
      </w:r>
      <w:bookmarkStart w:id="0" w:name="_GoBack"/>
      <w:bookmarkEnd w:id="0"/>
      <w:r w:rsidRPr="001302E5">
        <w:rPr>
          <w:rFonts w:ascii="Times New Roman" w:hAnsi="Times New Roman"/>
          <w:i/>
          <w:color w:val="000000" w:themeColor="text1"/>
          <w:sz w:val="28"/>
          <w:szCs w:val="28"/>
        </w:rPr>
        <w:t>tice energy landscape labelled according to which molecular substructures they contain. Substructures are ordered by decreasing frequency. Note, two predicted structures (</w:t>
      </w:r>
      <w:r w:rsidRPr="001302E5">
        <w:rPr>
          <w:rFonts w:ascii="Times New Roman" w:hAnsi="Times New Roman"/>
          <w:b/>
          <w:i/>
          <w:color w:val="000000" w:themeColor="text1"/>
          <w:sz w:val="28"/>
          <w:szCs w:val="28"/>
        </w:rPr>
        <w:t>17</w:t>
      </w:r>
      <w:r w:rsidRPr="001302E5">
        <w:rPr>
          <w:rFonts w:ascii="Times New Roman" w:hAnsi="Times New Roman"/>
          <w:i/>
          <w:color w:val="000000" w:themeColor="text1"/>
          <w:sz w:val="28"/>
          <w:szCs w:val="28"/>
        </w:rPr>
        <w:t xml:space="preserve"> and </w:t>
      </w:r>
      <w:r w:rsidRPr="001302E5">
        <w:rPr>
          <w:rFonts w:ascii="Times New Roman" w:hAnsi="Times New Roman"/>
          <w:b/>
          <w:i/>
          <w:color w:val="000000" w:themeColor="text1"/>
          <w:sz w:val="28"/>
          <w:szCs w:val="28"/>
        </w:rPr>
        <w:t>26</w:t>
      </w:r>
      <w:r w:rsidRPr="001302E5">
        <w:rPr>
          <w:rFonts w:ascii="Times New Roman" w:hAnsi="Times New Roman"/>
          <w:i/>
          <w:color w:val="000000" w:themeColor="text1"/>
          <w:sz w:val="28"/>
          <w:szCs w:val="28"/>
        </w:rPr>
        <w:t xml:space="preserve">) do not appear on the plot as they contain none of these substructures, for their positions, refer back to Fig. 3; (b) The molecular substructures, with surrounding boxes coloured and labelled as </w:t>
      </w:r>
      <w:r w:rsidRPr="001302E5">
        <w:rPr>
          <w:rFonts w:ascii="Times New Roman" w:hAnsi="Times New Roman"/>
          <w:i/>
          <w:color w:val="000000" w:themeColor="text1"/>
          <w:sz w:val="28"/>
          <w:szCs w:val="28"/>
        </w:rPr>
        <w:lastRenderedPageBreak/>
        <w:t>per (a). Where necessary, two perpendicular views of the same substructure are shown within the box, divided by a line. Helicene molecules within homochiral substructures are shown grey and within heterochiral substructures opposite enantiomers are shown purple and cyan; no hydrogens are shown.</w:t>
      </w:r>
      <w:r w:rsidR="007F4D93" w:rsidRPr="001302E5">
        <w:rPr>
          <w:rFonts w:ascii="Times New Roman" w:hAnsi="Times New Roman"/>
          <w:i/>
          <w:color w:val="000000" w:themeColor="text1"/>
          <w:sz w:val="28"/>
          <w:szCs w:val="28"/>
        </w:rPr>
        <w:t xml:space="preserve"> Table S1 gives the substructures found in each </w:t>
      </w:r>
      <w:r w:rsidR="008959F7" w:rsidRPr="001302E5">
        <w:rPr>
          <w:rFonts w:ascii="Times New Roman" w:hAnsi="Times New Roman"/>
          <w:i/>
          <w:color w:val="000000" w:themeColor="text1"/>
          <w:sz w:val="28"/>
          <w:szCs w:val="28"/>
        </w:rPr>
        <w:t xml:space="preserve">of the 27 </w:t>
      </w:r>
      <w:r w:rsidR="007F4D93" w:rsidRPr="001302E5">
        <w:rPr>
          <w:rFonts w:ascii="Times New Roman" w:hAnsi="Times New Roman"/>
          <w:i/>
          <w:color w:val="000000" w:themeColor="text1"/>
          <w:sz w:val="28"/>
          <w:szCs w:val="28"/>
        </w:rPr>
        <w:t>structure</w:t>
      </w:r>
      <w:r w:rsidR="008959F7" w:rsidRPr="001302E5">
        <w:rPr>
          <w:rFonts w:ascii="Times New Roman" w:hAnsi="Times New Roman"/>
          <w:i/>
          <w:color w:val="000000" w:themeColor="text1"/>
          <w:sz w:val="28"/>
          <w:szCs w:val="28"/>
        </w:rPr>
        <w:t>s</w:t>
      </w:r>
      <w:r w:rsidR="007F4D93" w:rsidRPr="001302E5">
        <w:rPr>
          <w:rFonts w:ascii="Times New Roman" w:hAnsi="Times New Roman"/>
          <w:i/>
          <w:color w:val="000000" w:themeColor="text1"/>
          <w:sz w:val="28"/>
          <w:szCs w:val="28"/>
        </w:rPr>
        <w:t>.</w:t>
      </w:r>
    </w:p>
    <w:p w14:paraId="5F1F9C80" w14:textId="77777777" w:rsidR="004D4376" w:rsidRPr="001302E5" w:rsidRDefault="004D4376">
      <w:pPr>
        <w:spacing w:line="360" w:lineRule="auto"/>
        <w:rPr>
          <w:rFonts w:ascii="Times New Roman" w:hAnsi="Times New Roman"/>
          <w:b/>
          <w:color w:val="000000" w:themeColor="text1"/>
          <w:sz w:val="28"/>
          <w:szCs w:val="28"/>
          <w:u w:val="single"/>
        </w:rPr>
      </w:pPr>
    </w:p>
    <w:p w14:paraId="5AC3B589" w14:textId="77777777" w:rsidR="004D4376" w:rsidRPr="001302E5" w:rsidRDefault="004D6D89">
      <w:pPr>
        <w:spacing w:line="360" w:lineRule="auto"/>
        <w:rPr>
          <w:rFonts w:ascii="Times New Roman" w:hAnsi="Times New Roman"/>
          <w:b/>
          <w:i/>
          <w:color w:val="000000" w:themeColor="text1"/>
          <w:sz w:val="28"/>
          <w:szCs w:val="28"/>
        </w:rPr>
      </w:pPr>
      <w:r w:rsidRPr="001302E5">
        <w:rPr>
          <w:rFonts w:ascii="Times New Roman" w:hAnsi="Times New Roman"/>
          <w:b/>
          <w:i/>
          <w:color w:val="000000" w:themeColor="text1"/>
          <w:sz w:val="28"/>
          <w:szCs w:val="28"/>
        </w:rPr>
        <w:t>Charge carrier mobilities</w:t>
      </w:r>
    </w:p>
    <w:p w14:paraId="21183D36" w14:textId="5531AF60" w:rsidR="004D4376" w:rsidRPr="001302E5" w:rsidRDefault="004D6D89">
      <w:pPr>
        <w:spacing w:line="360" w:lineRule="auto"/>
        <w:ind w:firstLine="720"/>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Among the most important properties of organic semiconductor crystals are the charge carrier mobilities. Mobility is a particularly interesting property in the present context, because it can vary by orders of magnitude depending on the crystal polymorph, as well as crystal direction. To the best of our knowledge, there have not been any previous reports of experimental measurements of charge carrier mobility for [6]helicene films. Here, we calculate direction-dependent electron and hole mobilities within the Marcus hopping model</w:t>
      </w:r>
      <w:r w:rsidRPr="001302E5">
        <w:rPr>
          <w:rFonts w:ascii="Times New Roman" w:hAnsi="Times New Roman"/>
          <w:color w:val="000000" w:themeColor="text1"/>
          <w:sz w:val="28"/>
          <w:szCs w:val="28"/>
          <w:vertAlign w:val="superscript"/>
          <w:lang w:val="en-US"/>
        </w:rPr>
        <w:t>51</w:t>
      </w:r>
      <w:r w:rsidRPr="001302E5">
        <w:rPr>
          <w:rFonts w:ascii="Times New Roman" w:hAnsi="Times New Roman"/>
          <w:color w:val="000000" w:themeColor="text1"/>
          <w:sz w:val="28"/>
          <w:szCs w:val="28"/>
        </w:rPr>
        <w:t xml:space="preserve"> for all low energy structures and investigate the correlation between packing motif and calculated mobility. The relationship between the maximum transfer integral (</w:t>
      </w:r>
      <w:r w:rsidRPr="001302E5">
        <w:rPr>
          <w:rFonts w:ascii="Times New Roman" w:hAnsi="Times New Roman"/>
          <w:i/>
          <w:color w:val="000000" w:themeColor="text1"/>
          <w:sz w:val="28"/>
          <w:szCs w:val="28"/>
        </w:rPr>
        <w:t>J</w:t>
      </w:r>
      <w:r w:rsidRPr="001302E5">
        <w:rPr>
          <w:rFonts w:ascii="Times New Roman" w:hAnsi="Times New Roman"/>
          <w:color w:val="000000" w:themeColor="text1"/>
          <w:sz w:val="28"/>
          <w:szCs w:val="28"/>
        </w:rPr>
        <w:t>) and charge carrier mobility is given in Table S4</w:t>
      </w:r>
      <w:r w:rsidR="00313DF1" w:rsidRPr="001302E5">
        <w:rPr>
          <w:rFonts w:ascii="Times New Roman" w:hAnsi="Times New Roman"/>
          <w:color w:val="000000" w:themeColor="text1"/>
          <w:sz w:val="28"/>
          <w:szCs w:val="28"/>
        </w:rPr>
        <w:t xml:space="preserve"> for hole mobilty and </w:t>
      </w:r>
      <w:r w:rsidR="00361C2B" w:rsidRPr="001302E5">
        <w:rPr>
          <w:rFonts w:ascii="Times New Roman" w:hAnsi="Times New Roman"/>
          <w:color w:val="000000" w:themeColor="text1"/>
          <w:sz w:val="28"/>
          <w:szCs w:val="28"/>
        </w:rPr>
        <w:t xml:space="preserve">Table </w:t>
      </w:r>
      <w:r w:rsidR="00313DF1" w:rsidRPr="001302E5">
        <w:rPr>
          <w:rFonts w:ascii="Times New Roman" w:hAnsi="Times New Roman"/>
          <w:color w:val="000000" w:themeColor="text1"/>
          <w:sz w:val="28"/>
          <w:szCs w:val="28"/>
        </w:rPr>
        <w:t>S5 for electron mobility</w:t>
      </w:r>
      <w:r w:rsidRPr="001302E5">
        <w:rPr>
          <w:rFonts w:ascii="Times New Roman" w:hAnsi="Times New Roman"/>
          <w:color w:val="000000" w:themeColor="text1"/>
          <w:sz w:val="28"/>
          <w:szCs w:val="28"/>
        </w:rPr>
        <w:t xml:space="preserve"> and we find that a large maximum transfer integral does not necessarily mean a large mobility. This is because the large transfer integrals could be between adjacent pairs, so there is no extended high coupling pathway through the structure that can result in high charge carrier mobility. We have also plotted histograms of the complete set of transfer integrals for the highest and lowest hole and electron </w:t>
      </w:r>
      <w:r w:rsidR="001442FB" w:rsidRPr="001302E5">
        <w:rPr>
          <w:rFonts w:ascii="Times New Roman" w:hAnsi="Times New Roman"/>
          <w:color w:val="000000" w:themeColor="text1"/>
          <w:sz w:val="28"/>
          <w:szCs w:val="28"/>
        </w:rPr>
        <w:t>mobility structures (see Fig. S9</w:t>
      </w:r>
      <w:r w:rsidRPr="001302E5">
        <w:rPr>
          <w:rFonts w:ascii="Times New Roman" w:hAnsi="Times New Roman"/>
          <w:color w:val="000000" w:themeColor="text1"/>
          <w:sz w:val="28"/>
          <w:szCs w:val="28"/>
        </w:rPr>
        <w:t xml:space="preserve">). If we consider a significant transfer integral as one that is greater than 1 meV, then the plots indicate that a greater number of transfer integrals above this threshold results in a larger mobility. These plots do not tell the whole story, as a high coupling pathway is still the most important factor in determining high mobility. </w:t>
      </w:r>
    </w:p>
    <w:p w14:paraId="39F0FE6F" w14:textId="3F161A2B" w:rsidR="004D4376" w:rsidRPr="001302E5" w:rsidRDefault="004D6D89">
      <w:pPr>
        <w:spacing w:line="360" w:lineRule="auto"/>
        <w:ind w:firstLine="720"/>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The charge mobility obtained for the 27 low energy structures ranges from 0.0 to 2.0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 xml:space="preserve">-1 </w:t>
      </w:r>
      <w:r w:rsidRPr="001302E5">
        <w:rPr>
          <w:rFonts w:ascii="Times New Roman" w:hAnsi="Times New Roman"/>
          <w:color w:val="000000" w:themeColor="text1"/>
          <w:sz w:val="28"/>
          <w:szCs w:val="28"/>
        </w:rPr>
        <w:t>for holes and 0.1 to 2.9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 xml:space="preserve">-1 </w:t>
      </w:r>
      <w:r w:rsidRPr="001302E5">
        <w:rPr>
          <w:rFonts w:ascii="Times New Roman" w:hAnsi="Times New Roman"/>
          <w:color w:val="000000" w:themeColor="text1"/>
          <w:sz w:val="28"/>
          <w:szCs w:val="28"/>
        </w:rPr>
        <w:t xml:space="preserve">for electrons, using </w:t>
      </w:r>
      <w:r w:rsidRPr="001302E5">
        <w:rPr>
          <w:rFonts w:ascii="Times New Roman" w:hAnsi="Times New Roman"/>
          <w:color w:val="000000" w:themeColor="text1"/>
          <w:sz w:val="28"/>
          <w:szCs w:val="28"/>
        </w:rPr>
        <w:lastRenderedPageBreak/>
        <w:t>a reorganisation energy of 0.</w:t>
      </w:r>
      <w:r w:rsidR="001A4BEF" w:rsidRPr="001302E5">
        <w:rPr>
          <w:rFonts w:ascii="Times New Roman" w:hAnsi="Times New Roman"/>
          <w:color w:val="000000" w:themeColor="text1"/>
          <w:sz w:val="28"/>
          <w:szCs w:val="28"/>
        </w:rPr>
        <w:t>46</w:t>
      </w:r>
      <w:r w:rsidRPr="001302E5">
        <w:rPr>
          <w:rFonts w:ascii="Times New Roman" w:hAnsi="Times New Roman"/>
          <w:color w:val="000000" w:themeColor="text1"/>
          <w:sz w:val="28"/>
          <w:szCs w:val="28"/>
        </w:rPr>
        <w:t xml:space="preserve"> eV in both cases; the values are shown in Fig</w:t>
      </w:r>
      <w:r w:rsidR="004D7018" w:rsidRPr="001302E5">
        <w:rPr>
          <w:rFonts w:ascii="Times New Roman" w:hAnsi="Times New Roman"/>
          <w:color w:val="000000" w:themeColor="text1"/>
          <w:sz w:val="28"/>
          <w:szCs w:val="28"/>
        </w:rPr>
        <w:t>s</w:t>
      </w:r>
      <w:r w:rsidRPr="001302E5">
        <w:rPr>
          <w:rFonts w:ascii="Times New Roman" w:hAnsi="Times New Roman"/>
          <w:color w:val="000000" w:themeColor="text1"/>
          <w:sz w:val="28"/>
          <w:szCs w:val="28"/>
        </w:rPr>
        <w:t>. 6</w:t>
      </w:r>
      <w:r w:rsidR="004D7018" w:rsidRPr="001302E5">
        <w:rPr>
          <w:rFonts w:ascii="Times New Roman" w:hAnsi="Times New Roman"/>
          <w:color w:val="000000" w:themeColor="text1"/>
          <w:sz w:val="28"/>
          <w:szCs w:val="28"/>
        </w:rPr>
        <w:t>, S10</w:t>
      </w:r>
      <w:r w:rsidRPr="001302E5">
        <w:rPr>
          <w:rFonts w:ascii="Times New Roman" w:hAnsi="Times New Roman"/>
          <w:color w:val="000000" w:themeColor="text1"/>
          <w:sz w:val="28"/>
          <w:szCs w:val="28"/>
        </w:rPr>
        <w:t xml:space="preserve"> and Table</w:t>
      </w:r>
      <w:r w:rsidR="007D5E12" w:rsidRPr="001302E5">
        <w:rPr>
          <w:rFonts w:ascii="Times New Roman" w:hAnsi="Times New Roman"/>
          <w:color w:val="000000" w:themeColor="text1"/>
          <w:sz w:val="28"/>
          <w:szCs w:val="28"/>
        </w:rPr>
        <w:t>s</w:t>
      </w:r>
      <w:r w:rsidRPr="001302E5">
        <w:rPr>
          <w:rFonts w:ascii="Times New Roman" w:hAnsi="Times New Roman"/>
          <w:color w:val="000000" w:themeColor="text1"/>
          <w:sz w:val="28"/>
          <w:szCs w:val="28"/>
        </w:rPr>
        <w:t xml:space="preserve"> S4</w:t>
      </w:r>
      <w:r w:rsidR="007D5E12" w:rsidRPr="001302E5">
        <w:rPr>
          <w:rFonts w:ascii="Times New Roman" w:hAnsi="Times New Roman"/>
          <w:color w:val="000000" w:themeColor="text1"/>
          <w:sz w:val="28"/>
          <w:szCs w:val="28"/>
        </w:rPr>
        <w:t xml:space="preserve"> and S5</w:t>
      </w:r>
      <w:r w:rsidRPr="001302E5">
        <w:rPr>
          <w:rFonts w:ascii="Times New Roman" w:hAnsi="Times New Roman"/>
          <w:color w:val="000000" w:themeColor="text1"/>
          <w:sz w:val="28"/>
          <w:szCs w:val="28"/>
        </w:rPr>
        <w:t xml:space="preserve">. </w:t>
      </w:r>
      <w:r w:rsidR="00EB3064" w:rsidRPr="001302E5">
        <w:rPr>
          <w:rFonts w:ascii="Times New Roman" w:hAnsi="Times New Roman"/>
          <w:color w:val="000000" w:themeColor="text1"/>
          <w:sz w:val="28"/>
          <w:szCs w:val="28"/>
          <w:lang w:val="en-US"/>
        </w:rPr>
        <w:t xml:space="preserve">As the value of the outer component of the reorganisation energy cannot be calculated precisely, such calculations are best used for comparing relative carrier mobilities in a series of structures, as we have here, rather than absolute values. </w:t>
      </w:r>
      <w:r w:rsidRPr="001302E5">
        <w:rPr>
          <w:rFonts w:ascii="Times New Roman" w:hAnsi="Times New Roman"/>
          <w:color w:val="000000" w:themeColor="text1"/>
          <w:sz w:val="28"/>
          <w:szCs w:val="28"/>
        </w:rPr>
        <w:t>We can, however, compare the magnitude of our predicted mobilities to systems where the same method has been applied, although we note that the value for the reorganisation energy used in the calculations will influence the magnitude of the mobilities.  In this context, the calculated carrier mobilities of [6]helicene structures are promising, with the maximum hole mobility of 2.0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 xml:space="preserve">-1 </w:t>
      </w:r>
      <w:r w:rsidRPr="001302E5">
        <w:rPr>
          <w:rFonts w:ascii="Times New Roman" w:hAnsi="Times New Roman"/>
          <w:color w:val="000000" w:themeColor="text1"/>
          <w:sz w:val="28"/>
          <w:szCs w:val="28"/>
        </w:rPr>
        <w:t>greater than that previously rep</w:t>
      </w:r>
      <w:r w:rsidRPr="001302E5">
        <w:rPr>
          <w:rFonts w:ascii="Times New Roman" w:hAnsi="Times New Roman"/>
          <w:color w:val="000000" w:themeColor="text1"/>
          <w:sz w:val="28"/>
        </w:rPr>
        <w:t xml:space="preserve">orted from calculations for </w:t>
      </w:r>
      <w:r w:rsidRPr="001302E5">
        <w:rPr>
          <w:rFonts w:ascii="Times New Roman" w:hAnsi="Times New Roman"/>
          <w:color w:val="000000" w:themeColor="text1"/>
          <w:sz w:val="28"/>
          <w:lang w:val="en-US"/>
        </w:rPr>
        <w:t xml:space="preserve">(rac)-aza[6]helicene (0.058 </w:t>
      </w:r>
      <w:r w:rsidRPr="001302E5">
        <w:rPr>
          <w:rFonts w:ascii="Times New Roman" w:hAnsi="Times New Roman"/>
          <w:color w:val="000000" w:themeColor="text1"/>
          <w:sz w:val="28"/>
          <w:szCs w:val="28"/>
        </w:rPr>
        <w:t>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lang w:val="en-US"/>
        </w:rPr>
        <w:t>),</w:t>
      </w:r>
      <w:r w:rsidRPr="001302E5">
        <w:rPr>
          <w:rFonts w:ascii="Times New Roman" w:hAnsi="Times New Roman"/>
          <w:color w:val="000000" w:themeColor="text1"/>
          <w:sz w:val="28"/>
          <w:szCs w:val="28"/>
          <w:vertAlign w:val="superscript"/>
          <w:lang w:val="en-US"/>
        </w:rPr>
        <w:t>27</w:t>
      </w:r>
      <w:r w:rsidRPr="001302E5">
        <w:rPr>
          <w:rFonts w:ascii="Times New Roman" w:hAnsi="Times New Roman"/>
          <w:color w:val="000000" w:themeColor="text1"/>
          <w:sz w:val="28"/>
          <w:lang w:val="en-US"/>
        </w:rPr>
        <w:t xml:space="preserve"> (+)-aza[6]helicene (0.032),</w:t>
      </w:r>
      <w:r w:rsidRPr="001302E5">
        <w:rPr>
          <w:rFonts w:ascii="Times New Roman" w:hAnsi="Times New Roman"/>
          <w:color w:val="000000" w:themeColor="text1"/>
          <w:sz w:val="28"/>
          <w:szCs w:val="28"/>
          <w:vertAlign w:val="superscript"/>
          <w:lang w:val="en-US"/>
        </w:rPr>
        <w:t>27</w:t>
      </w:r>
      <w:r w:rsidRPr="001302E5">
        <w:rPr>
          <w:rFonts w:ascii="Times New Roman" w:hAnsi="Times New Roman"/>
          <w:color w:val="000000" w:themeColor="text1"/>
          <w:sz w:val="28"/>
          <w:lang w:val="en-US"/>
        </w:rPr>
        <w:t xml:space="preserve"> TIPS-pentacene (0.33),</w:t>
      </w:r>
      <w:r w:rsidRPr="001302E5">
        <w:rPr>
          <w:rFonts w:ascii="Times New Roman" w:hAnsi="Times New Roman"/>
          <w:color w:val="000000" w:themeColor="text1"/>
          <w:sz w:val="28"/>
          <w:szCs w:val="28"/>
          <w:vertAlign w:val="superscript"/>
          <w:lang w:val="en-US"/>
        </w:rPr>
        <w:t>5</w:t>
      </w:r>
      <w:r w:rsidR="00F377E3" w:rsidRPr="001302E5">
        <w:rPr>
          <w:rFonts w:ascii="Times New Roman" w:hAnsi="Times New Roman"/>
          <w:color w:val="000000" w:themeColor="text1"/>
          <w:sz w:val="28"/>
          <w:szCs w:val="28"/>
          <w:vertAlign w:val="superscript"/>
          <w:lang w:val="en-US"/>
        </w:rPr>
        <w:t>9</w:t>
      </w:r>
      <w:r w:rsidRPr="001302E5">
        <w:rPr>
          <w:rFonts w:ascii="Times New Roman" w:hAnsi="Times New Roman"/>
          <w:color w:val="000000" w:themeColor="text1"/>
          <w:sz w:val="28"/>
          <w:lang w:val="en-US"/>
        </w:rPr>
        <w:t xml:space="preserve"> TES-pentacene (0.28),</w:t>
      </w:r>
      <w:r w:rsidRPr="001302E5">
        <w:rPr>
          <w:rFonts w:ascii="Times New Roman" w:hAnsi="Times New Roman"/>
          <w:color w:val="000000" w:themeColor="text1"/>
          <w:sz w:val="28"/>
          <w:szCs w:val="28"/>
          <w:vertAlign w:val="superscript"/>
          <w:lang w:val="en-US"/>
        </w:rPr>
        <w:t>5</w:t>
      </w:r>
      <w:r w:rsidR="00F377E3" w:rsidRPr="001302E5">
        <w:rPr>
          <w:rFonts w:ascii="Times New Roman" w:hAnsi="Times New Roman"/>
          <w:color w:val="000000" w:themeColor="text1"/>
          <w:sz w:val="28"/>
          <w:szCs w:val="28"/>
          <w:vertAlign w:val="superscript"/>
          <w:lang w:val="en-US"/>
        </w:rPr>
        <w:t>9</w:t>
      </w:r>
      <w:r w:rsidRPr="001302E5">
        <w:rPr>
          <w:rFonts w:ascii="Times New Roman" w:hAnsi="Times New Roman"/>
          <w:color w:val="000000" w:themeColor="text1"/>
          <w:sz w:val="28"/>
          <w:lang w:val="en-US"/>
        </w:rPr>
        <w:t xml:space="preserve"> PCBM (0.0093),</w:t>
      </w:r>
      <w:r w:rsidR="00F377E3" w:rsidRPr="001302E5">
        <w:rPr>
          <w:rFonts w:ascii="Times New Roman" w:hAnsi="Times New Roman"/>
          <w:color w:val="000000" w:themeColor="text1"/>
          <w:sz w:val="28"/>
          <w:szCs w:val="28"/>
          <w:vertAlign w:val="superscript"/>
          <w:lang w:val="en-US"/>
        </w:rPr>
        <w:t>60</w:t>
      </w:r>
      <w:r w:rsidRPr="001302E5">
        <w:rPr>
          <w:rFonts w:ascii="Times New Roman" w:hAnsi="Times New Roman"/>
          <w:color w:val="000000" w:themeColor="text1"/>
          <w:sz w:val="28"/>
          <w:lang w:val="en-US"/>
        </w:rPr>
        <w:t xml:space="preserve"> </w:t>
      </w:r>
      <w:r w:rsidRPr="001302E5">
        <w:rPr>
          <w:rFonts w:ascii="Times New Roman" w:hAnsi="Times New Roman"/>
          <w:i/>
          <w:color w:val="000000" w:themeColor="text1"/>
          <w:sz w:val="28"/>
          <w:lang w:val="en-US"/>
        </w:rPr>
        <w:t>bis</w:t>
      </w:r>
      <w:r w:rsidRPr="001302E5">
        <w:rPr>
          <w:rFonts w:ascii="Times New Roman" w:hAnsi="Times New Roman"/>
          <w:color w:val="000000" w:themeColor="text1"/>
          <w:sz w:val="28"/>
          <w:lang w:val="en-US"/>
        </w:rPr>
        <w:t>-PCBM (0.0005)</w:t>
      </w:r>
      <w:r w:rsidR="00F377E3" w:rsidRPr="001302E5">
        <w:rPr>
          <w:rFonts w:ascii="Times New Roman" w:hAnsi="Times New Roman"/>
          <w:color w:val="000000" w:themeColor="text1"/>
          <w:sz w:val="28"/>
          <w:szCs w:val="28"/>
          <w:vertAlign w:val="superscript"/>
          <w:lang w:val="en-US"/>
        </w:rPr>
        <w:t>60</w:t>
      </w:r>
      <w:r w:rsidRPr="001302E5">
        <w:rPr>
          <w:rFonts w:ascii="Times New Roman" w:hAnsi="Times New Roman"/>
          <w:color w:val="000000" w:themeColor="text1"/>
          <w:sz w:val="28"/>
          <w:lang w:val="en-US"/>
        </w:rPr>
        <w:t xml:space="preserve"> and </w:t>
      </w:r>
      <w:r w:rsidRPr="001302E5">
        <w:rPr>
          <w:rFonts w:ascii="Times New Roman" w:hAnsi="Times New Roman"/>
          <w:i/>
          <w:color w:val="000000" w:themeColor="text1"/>
          <w:sz w:val="28"/>
          <w:lang w:val="en-US"/>
        </w:rPr>
        <w:t>tris</w:t>
      </w:r>
      <w:r w:rsidRPr="001302E5">
        <w:rPr>
          <w:rFonts w:ascii="Times New Roman" w:hAnsi="Times New Roman"/>
          <w:color w:val="000000" w:themeColor="text1"/>
          <w:sz w:val="28"/>
          <w:lang w:val="en-US"/>
        </w:rPr>
        <w:t>-PCBM (0.000009),</w:t>
      </w:r>
      <w:r w:rsidR="00F377E3" w:rsidRPr="001302E5">
        <w:rPr>
          <w:rFonts w:ascii="Times New Roman" w:hAnsi="Times New Roman"/>
          <w:color w:val="000000" w:themeColor="text1"/>
          <w:sz w:val="28"/>
          <w:szCs w:val="28"/>
          <w:vertAlign w:val="superscript"/>
          <w:lang w:val="en-US"/>
        </w:rPr>
        <w:t>60</w:t>
      </w:r>
      <w:r w:rsidRPr="001302E5">
        <w:rPr>
          <w:rFonts w:ascii="Times New Roman" w:hAnsi="Times New Roman"/>
          <w:color w:val="000000" w:themeColor="text1"/>
          <w:sz w:val="28"/>
          <w:lang w:val="en-US"/>
        </w:rPr>
        <w:t xml:space="preserve"> all using similar values of reorganization energy (λ in the range 0.2 to 0.5 eV). </w:t>
      </w:r>
      <w:r w:rsidRPr="001302E5">
        <w:rPr>
          <w:rFonts w:ascii="Times New Roman" w:hAnsi="Times New Roman"/>
          <w:color w:val="000000" w:themeColor="text1"/>
          <w:sz w:val="28"/>
          <w:szCs w:val="28"/>
        </w:rPr>
        <w:t>We see that high hole mobility structures within our energetically low-lying set of [6]helicenes polymorphs is a relatively rare feature; only 6 of the 27 structures have hole mobility greater than 1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This suggests that whilst relatively high hole mobility is achievable for [6]helicene, there would have to be some degree of serendipity for a high hole mobility structure to be the one obtained experimentally. By comparison, high electron mobility above 1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is relatively common for the [6]helicene structures, occurring in 17 </w:t>
      </w:r>
      <w:r w:rsidR="00393A49" w:rsidRPr="001302E5">
        <w:rPr>
          <w:rFonts w:ascii="Times New Roman" w:hAnsi="Times New Roman"/>
          <w:color w:val="000000" w:themeColor="text1"/>
          <w:sz w:val="28"/>
          <w:szCs w:val="28"/>
        </w:rPr>
        <w:t xml:space="preserve">of the 27 low-lying polymorphs, including the </w:t>
      </w:r>
      <w:r w:rsidRPr="001302E5">
        <w:rPr>
          <w:rFonts w:ascii="Times New Roman" w:hAnsi="Times New Roman"/>
          <w:color w:val="000000" w:themeColor="text1"/>
          <w:sz w:val="28"/>
          <w:szCs w:val="28"/>
        </w:rPr>
        <w:t xml:space="preserve">experimentally isolated structure,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xml:space="preserve"> (HEXHEL), for which a particularly high value of 2.1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was calculated. </w:t>
      </w:r>
      <w:r w:rsidR="00CC7AA8" w:rsidRPr="001302E5">
        <w:rPr>
          <w:rFonts w:ascii="Times New Roman" w:hAnsi="Times New Roman"/>
          <w:color w:val="000000" w:themeColor="text1"/>
          <w:sz w:val="28"/>
          <w:szCs w:val="28"/>
          <w:lang w:val="en-US"/>
        </w:rPr>
        <w:t>This</w:t>
      </w:r>
      <w:r w:rsidR="00141513" w:rsidRPr="001302E5">
        <w:rPr>
          <w:rFonts w:ascii="Times New Roman" w:hAnsi="Times New Roman"/>
          <w:color w:val="000000" w:themeColor="text1"/>
          <w:sz w:val="28"/>
          <w:szCs w:val="28"/>
          <w:lang w:val="en-US"/>
        </w:rPr>
        <w:t xml:space="preserve"> </w:t>
      </w:r>
      <w:r w:rsidR="00393A49" w:rsidRPr="001302E5">
        <w:rPr>
          <w:rFonts w:ascii="Times New Roman" w:hAnsi="Times New Roman"/>
          <w:color w:val="000000" w:themeColor="text1"/>
          <w:sz w:val="28"/>
          <w:szCs w:val="28"/>
          <w:lang w:val="en-US"/>
        </w:rPr>
        <w:t xml:space="preserve">finding </w:t>
      </w:r>
      <w:r w:rsidR="00141513" w:rsidRPr="001302E5">
        <w:rPr>
          <w:rFonts w:ascii="Times New Roman" w:hAnsi="Times New Roman"/>
          <w:color w:val="000000" w:themeColor="text1"/>
          <w:sz w:val="28"/>
          <w:szCs w:val="28"/>
          <w:lang w:val="en-US"/>
        </w:rPr>
        <w:t xml:space="preserve">suggests that [6]helicene is </w:t>
      </w:r>
      <w:r w:rsidR="00CC7AA8" w:rsidRPr="001302E5">
        <w:rPr>
          <w:rFonts w:ascii="Times New Roman" w:hAnsi="Times New Roman"/>
          <w:color w:val="000000" w:themeColor="text1"/>
          <w:sz w:val="28"/>
          <w:szCs w:val="28"/>
          <w:lang w:val="en-US"/>
        </w:rPr>
        <w:t>an ambipolar transport material</w:t>
      </w:r>
      <w:r w:rsidR="00141513" w:rsidRPr="001302E5">
        <w:rPr>
          <w:rFonts w:ascii="Times New Roman" w:hAnsi="Times New Roman"/>
          <w:color w:val="000000" w:themeColor="text1"/>
          <w:sz w:val="28"/>
          <w:szCs w:val="28"/>
          <w:lang w:val="en-US"/>
        </w:rPr>
        <w:t xml:space="preserve"> and, since encouraging electron mobilities are seldom reported, [6]helicene may be a promising material class to investigate for electron mobility.</w:t>
      </w:r>
    </w:p>
    <w:p w14:paraId="6D5DBC8B" w14:textId="5C84E6EF" w:rsidR="004D4376" w:rsidRPr="001302E5" w:rsidRDefault="004D6D89">
      <w:pPr>
        <w:spacing w:line="360" w:lineRule="auto"/>
        <w:ind w:firstLine="720"/>
        <w:jc w:val="both"/>
        <w:rPr>
          <w:rFonts w:ascii="Times New Roman" w:hAnsi="Times New Roman"/>
          <w:color w:val="000000" w:themeColor="text1"/>
          <w:sz w:val="28"/>
          <w:szCs w:val="28"/>
        </w:rPr>
      </w:pPr>
      <w:r w:rsidRPr="001302E5">
        <w:rPr>
          <w:rFonts w:ascii="Times New Roman" w:hAnsi="Times New Roman"/>
          <w:color w:val="000000" w:themeColor="text1"/>
          <w:sz w:val="28"/>
          <w:szCs w:val="28"/>
          <w:lang w:val="en-US"/>
        </w:rPr>
        <w:t xml:space="preserve">No strong correlation between the electron and hole mobilities is observed for the various candidate structures (Fig. 6a). While the racemic </w:t>
      </w:r>
      <w:r w:rsidRPr="001302E5">
        <w:rPr>
          <w:rFonts w:ascii="Times New Roman" w:hAnsi="Times New Roman"/>
          <w:color w:val="000000" w:themeColor="text1"/>
          <w:sz w:val="28"/>
          <w:szCs w:val="28"/>
          <w:lang w:val="en-US"/>
        </w:rPr>
        <w:lastRenderedPageBreak/>
        <w:t xml:space="preserve">structures tend to have higher hole mobilities and lower electron mobilities, relative to the enantiopure structures (in agreement with previous results from Hatakeyama </w:t>
      </w:r>
      <w:r w:rsidRPr="001302E5">
        <w:rPr>
          <w:rFonts w:ascii="Times New Roman" w:hAnsi="Times New Roman"/>
          <w:i/>
          <w:color w:val="000000" w:themeColor="text1"/>
          <w:sz w:val="28"/>
          <w:szCs w:val="28"/>
          <w:lang w:val="en-US"/>
        </w:rPr>
        <w:t>et al.</w:t>
      </w:r>
      <w:r w:rsidRPr="001302E5">
        <w:rPr>
          <w:rFonts w:ascii="Times New Roman" w:hAnsi="Times New Roman"/>
          <w:color w:val="000000" w:themeColor="text1"/>
          <w:sz w:val="28"/>
          <w:szCs w:val="28"/>
          <w:lang w:val="en-US"/>
        </w:rPr>
        <w:t xml:space="preserve"> for azaboradibenzo[6]helicene</w:t>
      </w:r>
      <w:r w:rsidRPr="001302E5">
        <w:rPr>
          <w:rFonts w:ascii="Times New Roman" w:hAnsi="Times New Roman"/>
          <w:color w:val="000000" w:themeColor="text1"/>
          <w:sz w:val="28"/>
          <w:szCs w:val="28"/>
          <w:vertAlign w:val="superscript"/>
          <w:lang w:val="en-US"/>
        </w:rPr>
        <w:t>24</w:t>
      </w:r>
      <w:r w:rsidRPr="001302E5">
        <w:rPr>
          <w:rFonts w:ascii="Times New Roman" w:hAnsi="Times New Roman"/>
          <w:color w:val="000000" w:themeColor="text1"/>
          <w:sz w:val="28"/>
          <w:szCs w:val="28"/>
          <w:lang w:val="en-US"/>
        </w:rPr>
        <w:t xml:space="preserve">), the highest electron and hole mobilities are both obtained for racemic structures. Thus, it is clear that the specific packing is more important in determining the charge-carrier mobilities than the overall chirality of the crystal. </w:t>
      </w:r>
      <w:r w:rsidRPr="001302E5">
        <w:rPr>
          <w:rFonts w:ascii="Times New Roman" w:hAnsi="Times New Roman"/>
          <w:color w:val="000000" w:themeColor="text1"/>
          <w:sz w:val="28"/>
          <w:szCs w:val="28"/>
        </w:rPr>
        <w:t xml:space="preserve">Examining our results further for structure-energy-function relationships, we see that there is no strong correlation for highest </w:t>
      </w:r>
      <w:r w:rsidR="000B29CF" w:rsidRPr="001302E5">
        <w:rPr>
          <w:rFonts w:ascii="Times New Roman" w:hAnsi="Times New Roman"/>
          <w:color w:val="000000" w:themeColor="text1"/>
          <w:sz w:val="28"/>
          <w:szCs w:val="28"/>
        </w:rPr>
        <w:t xml:space="preserve">charge carrier </w:t>
      </w:r>
      <w:r w:rsidRPr="001302E5">
        <w:rPr>
          <w:rFonts w:ascii="Times New Roman" w:hAnsi="Times New Roman"/>
          <w:color w:val="000000" w:themeColor="text1"/>
          <w:sz w:val="28"/>
          <w:szCs w:val="28"/>
        </w:rPr>
        <w:t>mobility with relative energy, density or mobility anisotropy across the polymorphs (Fig 6b-d</w:t>
      </w:r>
      <w:r w:rsidR="000B29CF" w:rsidRPr="001302E5">
        <w:rPr>
          <w:rFonts w:ascii="Times New Roman" w:hAnsi="Times New Roman"/>
          <w:color w:val="000000" w:themeColor="text1"/>
          <w:sz w:val="28"/>
          <w:szCs w:val="28"/>
        </w:rPr>
        <w:t xml:space="preserve"> and Fig. S10</w:t>
      </w:r>
      <w:r w:rsidRPr="001302E5">
        <w:rPr>
          <w:rFonts w:ascii="Times New Roman" w:hAnsi="Times New Roman"/>
          <w:color w:val="000000" w:themeColor="text1"/>
          <w:sz w:val="28"/>
          <w:szCs w:val="28"/>
        </w:rPr>
        <w:t xml:space="preserve">). </w:t>
      </w:r>
      <w:r w:rsidRPr="001302E5">
        <w:rPr>
          <w:rFonts w:ascii="Times New Roman" w:hAnsi="Times New Roman"/>
          <w:color w:val="000000" w:themeColor="text1"/>
          <w:sz w:val="28"/>
          <w:szCs w:val="28"/>
          <w:lang w:val="en-US"/>
        </w:rPr>
        <w:t xml:space="preserve">Examining the dependence of charge-carrier mobilities on the relative energies allows one to ascertain whether or not certain high hole mobility structures are </w:t>
      </w:r>
      <w:r w:rsidR="00194B18" w:rsidRPr="001302E5">
        <w:rPr>
          <w:rFonts w:ascii="Times New Roman" w:hAnsi="Times New Roman"/>
          <w:color w:val="000000" w:themeColor="text1"/>
          <w:sz w:val="28"/>
          <w:szCs w:val="28"/>
          <w:lang w:val="en-US"/>
        </w:rPr>
        <w:t xml:space="preserve">at least </w:t>
      </w:r>
      <w:r w:rsidRPr="001302E5">
        <w:rPr>
          <w:rFonts w:ascii="Times New Roman" w:hAnsi="Times New Roman"/>
          <w:color w:val="000000" w:themeColor="text1"/>
          <w:sz w:val="28"/>
          <w:szCs w:val="28"/>
          <w:lang w:val="en-US"/>
        </w:rPr>
        <w:t>thermodynamically accessible.</w:t>
      </w:r>
      <w:r w:rsidRPr="001302E5">
        <w:rPr>
          <w:rFonts w:ascii="Times New Roman" w:hAnsi="Times New Roman"/>
          <w:color w:val="000000" w:themeColor="text1"/>
          <w:sz w:val="28"/>
          <w:szCs w:val="28"/>
        </w:rPr>
        <w:t xml:space="preserve"> The structure with the highest hole mobility, </w:t>
      </w:r>
      <w:r w:rsidRPr="001302E5">
        <w:rPr>
          <w:rFonts w:ascii="Times New Roman" w:hAnsi="Times New Roman"/>
          <w:b/>
          <w:color w:val="000000" w:themeColor="text1"/>
          <w:sz w:val="28"/>
          <w:szCs w:val="28"/>
        </w:rPr>
        <w:t>4</w:t>
      </w:r>
      <w:r w:rsidRPr="001302E5">
        <w:rPr>
          <w:rFonts w:ascii="Times New Roman" w:hAnsi="Times New Roman"/>
          <w:color w:val="000000" w:themeColor="text1"/>
          <w:sz w:val="28"/>
          <w:szCs w:val="28"/>
        </w:rPr>
        <w:t>, is ranked only 1.1 kJ mol</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above the global minimum, suggesting it is feasible that this polymorph could be crystallised </w:t>
      </w:r>
      <w:r w:rsidR="00B16A2A" w:rsidRPr="001302E5">
        <w:rPr>
          <w:rFonts w:ascii="Times New Roman" w:hAnsi="Times New Roman"/>
          <w:color w:val="000000" w:themeColor="text1"/>
          <w:sz w:val="28"/>
          <w:szCs w:val="28"/>
        </w:rPr>
        <w:t xml:space="preserve">from a thermodynamic perspective </w:t>
      </w:r>
      <w:r w:rsidRPr="001302E5">
        <w:rPr>
          <w:rFonts w:ascii="Times New Roman" w:hAnsi="Times New Roman"/>
          <w:color w:val="000000" w:themeColor="text1"/>
          <w:sz w:val="28"/>
          <w:szCs w:val="28"/>
        </w:rPr>
        <w:t xml:space="preserve">and display optimal hole mobility. The structure with the highest electron mobility, </w:t>
      </w:r>
      <w:r w:rsidRPr="001302E5">
        <w:rPr>
          <w:rFonts w:ascii="Times New Roman" w:hAnsi="Times New Roman"/>
          <w:b/>
          <w:color w:val="000000" w:themeColor="text1"/>
          <w:sz w:val="28"/>
          <w:szCs w:val="28"/>
        </w:rPr>
        <w:t>11</w:t>
      </w:r>
      <w:r w:rsidRPr="001302E5">
        <w:rPr>
          <w:rFonts w:ascii="Times New Roman" w:hAnsi="Times New Roman"/>
          <w:color w:val="000000" w:themeColor="text1"/>
          <w:sz w:val="28"/>
          <w:szCs w:val="28"/>
        </w:rPr>
        <w:t>, is only 4.6 kJ mol</w:t>
      </w:r>
      <w:r w:rsidRPr="001302E5">
        <w:rPr>
          <w:rFonts w:ascii="Times New Roman" w:hAnsi="Times New Roman"/>
          <w:color w:val="000000" w:themeColor="text1"/>
          <w:sz w:val="28"/>
          <w:szCs w:val="28"/>
          <w:vertAlign w:val="superscript"/>
        </w:rPr>
        <w:t xml:space="preserve">-1 </w:t>
      </w:r>
      <w:r w:rsidRPr="001302E5">
        <w:rPr>
          <w:rFonts w:ascii="Times New Roman" w:hAnsi="Times New Roman"/>
          <w:color w:val="000000" w:themeColor="text1"/>
          <w:sz w:val="28"/>
          <w:szCs w:val="28"/>
        </w:rPr>
        <w:t xml:space="preserve">above the global minimum, and so might also be experimentally accessible. </w:t>
      </w:r>
    </w:p>
    <w:p w14:paraId="401700A1" w14:textId="77777777" w:rsidR="004D4376" w:rsidRPr="001302E5" w:rsidRDefault="004D4376">
      <w:pPr>
        <w:spacing w:line="360" w:lineRule="auto"/>
        <w:rPr>
          <w:color w:val="000000" w:themeColor="text1"/>
        </w:rPr>
      </w:pPr>
    </w:p>
    <w:p w14:paraId="4D7FFC20" w14:textId="410D6919" w:rsidR="004D4376" w:rsidRPr="001302E5" w:rsidRDefault="00004668">
      <w:pPr>
        <w:spacing w:line="360" w:lineRule="auto"/>
        <w:jc w:val="center"/>
        <w:rPr>
          <w:color w:val="000000" w:themeColor="text1"/>
        </w:rPr>
      </w:pPr>
      <w:r w:rsidRPr="001302E5">
        <w:rPr>
          <w:noProof/>
          <w:color w:val="000000" w:themeColor="text1"/>
          <w:lang w:val="en-US"/>
        </w:rPr>
        <w:lastRenderedPageBreak/>
        <w:drawing>
          <wp:inline distT="0" distB="0" distL="0" distR="0" wp14:anchorId="3A85B11C" wp14:editId="5CB4BE89">
            <wp:extent cx="5731510" cy="53682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w_Fig6.png"/>
                    <pic:cNvPicPr/>
                  </pic:nvPicPr>
                  <pic:blipFill>
                    <a:blip r:embed="rId13">
                      <a:extLst>
                        <a:ext uri="{28A0092B-C50C-407E-A947-70E740481C1C}">
                          <a14:useLocalDpi xmlns:a14="http://schemas.microsoft.com/office/drawing/2010/main" val="0"/>
                        </a:ext>
                      </a:extLst>
                    </a:blip>
                    <a:stretch>
                      <a:fillRect/>
                    </a:stretch>
                  </pic:blipFill>
                  <pic:spPr>
                    <a:xfrm>
                      <a:off x="0" y="0"/>
                      <a:ext cx="5731510" cy="5368290"/>
                    </a:xfrm>
                    <a:prstGeom prst="rect">
                      <a:avLst/>
                    </a:prstGeom>
                  </pic:spPr>
                </pic:pic>
              </a:graphicData>
            </a:graphic>
          </wp:inline>
        </w:drawing>
      </w:r>
    </w:p>
    <w:p w14:paraId="41F83715" w14:textId="19687E7C" w:rsidR="004D4376" w:rsidRPr="001302E5" w:rsidRDefault="004D6D89">
      <w:pPr>
        <w:jc w:val="both"/>
        <w:rPr>
          <w:rStyle w:val="CommentReference"/>
          <w:color w:val="000000" w:themeColor="text1"/>
        </w:rPr>
      </w:pPr>
      <w:r w:rsidRPr="001302E5">
        <w:rPr>
          <w:rFonts w:ascii="Times New Roman" w:hAnsi="Times New Roman"/>
          <w:i/>
          <w:color w:val="000000" w:themeColor="text1"/>
          <w:sz w:val="28"/>
          <w:szCs w:val="28"/>
        </w:rPr>
        <w:t xml:space="preserve">Figure 6: </w:t>
      </w:r>
      <w:r w:rsidR="00AE7C4A" w:rsidRPr="001302E5">
        <w:rPr>
          <w:rFonts w:ascii="Times New Roman" w:hAnsi="Times New Roman"/>
          <w:i/>
          <w:color w:val="000000" w:themeColor="text1"/>
          <w:sz w:val="28"/>
          <w:szCs w:val="28"/>
        </w:rPr>
        <w:t>Electron</w:t>
      </w:r>
      <w:r w:rsidRPr="001302E5">
        <w:rPr>
          <w:rFonts w:ascii="Times New Roman" w:hAnsi="Times New Roman"/>
          <w:i/>
          <w:color w:val="000000" w:themeColor="text1"/>
          <w:sz w:val="28"/>
          <w:szCs w:val="28"/>
        </w:rPr>
        <w:t xml:space="preserve"> mobility for the energetically low-lying [6]helicene polymorphs compared to (a) </w:t>
      </w:r>
      <w:r w:rsidR="00AE7C4A" w:rsidRPr="001302E5">
        <w:rPr>
          <w:rFonts w:ascii="Times New Roman" w:hAnsi="Times New Roman"/>
          <w:i/>
          <w:color w:val="000000" w:themeColor="text1"/>
          <w:sz w:val="28"/>
          <w:szCs w:val="28"/>
        </w:rPr>
        <w:t>hole</w:t>
      </w:r>
      <w:r w:rsidRPr="001302E5">
        <w:rPr>
          <w:rFonts w:ascii="Times New Roman" w:hAnsi="Times New Roman"/>
          <w:i/>
          <w:color w:val="000000" w:themeColor="text1"/>
          <w:sz w:val="28"/>
          <w:szCs w:val="28"/>
        </w:rPr>
        <w:t xml:space="preserve"> mobility, (b) DFT relative energy, (c) density and (d) anisotropy of </w:t>
      </w:r>
      <w:r w:rsidR="001D727D" w:rsidRPr="001302E5">
        <w:rPr>
          <w:rFonts w:ascii="Times New Roman" w:hAnsi="Times New Roman"/>
          <w:i/>
          <w:color w:val="000000" w:themeColor="text1"/>
          <w:sz w:val="28"/>
          <w:szCs w:val="28"/>
        </w:rPr>
        <w:t>electron</w:t>
      </w:r>
      <w:r w:rsidRPr="001302E5">
        <w:rPr>
          <w:rFonts w:ascii="Times New Roman" w:hAnsi="Times New Roman"/>
          <w:i/>
          <w:color w:val="000000" w:themeColor="text1"/>
          <w:sz w:val="28"/>
          <w:szCs w:val="28"/>
        </w:rPr>
        <w:t xml:space="preserve"> mobility. The data points are coloured according to the substructure type</w:t>
      </w:r>
      <w:r w:rsidRPr="001302E5">
        <w:rPr>
          <w:rStyle w:val="CommentReference"/>
          <w:color w:val="000000" w:themeColor="text1"/>
        </w:rPr>
        <w:t>.</w:t>
      </w:r>
      <w:r w:rsidR="000A0BCA" w:rsidRPr="001302E5">
        <w:rPr>
          <w:rStyle w:val="CommentReference"/>
          <w:color w:val="000000" w:themeColor="text1"/>
        </w:rPr>
        <w:t xml:space="preserve"> </w:t>
      </w:r>
      <w:r w:rsidR="000A0BCA" w:rsidRPr="001302E5">
        <w:rPr>
          <w:rFonts w:ascii="Times New Roman" w:hAnsi="Times New Roman"/>
          <w:i/>
          <w:color w:val="000000" w:themeColor="text1"/>
          <w:sz w:val="28"/>
          <w:szCs w:val="28"/>
        </w:rPr>
        <w:t>The equivalent plots for hole mobility are in Fig. S10.</w:t>
      </w:r>
    </w:p>
    <w:p w14:paraId="6A660A33" w14:textId="77777777" w:rsidR="004D4376" w:rsidRPr="001302E5" w:rsidRDefault="004D4376">
      <w:pPr>
        <w:spacing w:line="360" w:lineRule="auto"/>
        <w:rPr>
          <w:rFonts w:ascii="Times New Roman" w:hAnsi="Times New Roman"/>
          <w:color w:val="000000" w:themeColor="text1"/>
          <w:sz w:val="28"/>
          <w:szCs w:val="28"/>
        </w:rPr>
      </w:pPr>
    </w:p>
    <w:p w14:paraId="20B2835C" w14:textId="363E6C62" w:rsidR="00477B9F" w:rsidRPr="001302E5" w:rsidRDefault="004D6D89" w:rsidP="00477B9F">
      <w:pPr>
        <w:spacing w:line="360" w:lineRule="auto"/>
        <w:ind w:firstLine="720"/>
        <w:jc w:val="both"/>
        <w:rPr>
          <w:rFonts w:ascii="Times New Roman" w:hAnsi="Times New Roman"/>
          <w:color w:val="000000" w:themeColor="text1"/>
          <w:sz w:val="28"/>
          <w:szCs w:val="28"/>
          <w:lang w:val="en-US"/>
        </w:rPr>
      </w:pPr>
      <w:r w:rsidRPr="001302E5">
        <w:rPr>
          <w:rFonts w:ascii="Times New Roman" w:hAnsi="Times New Roman"/>
          <w:color w:val="000000" w:themeColor="text1"/>
          <w:sz w:val="28"/>
          <w:szCs w:val="28"/>
        </w:rPr>
        <w:t xml:space="preserve">We can examine the highest hole mobility racemic structure </w:t>
      </w:r>
      <w:r w:rsidRPr="001302E5">
        <w:rPr>
          <w:rFonts w:ascii="Times New Roman" w:hAnsi="Times New Roman"/>
          <w:b/>
          <w:color w:val="000000" w:themeColor="text1"/>
          <w:sz w:val="28"/>
          <w:szCs w:val="28"/>
        </w:rPr>
        <w:t>4</w:t>
      </w:r>
      <w:r w:rsidRPr="001302E5">
        <w:rPr>
          <w:rFonts w:ascii="Times New Roman" w:hAnsi="Times New Roman"/>
          <w:color w:val="000000" w:themeColor="text1"/>
          <w:sz w:val="28"/>
          <w:szCs w:val="28"/>
        </w:rPr>
        <w:t xml:space="preserve"> to uncover the origin of this property. The angular dependent mobility in each of the three orthogonal planes of </w:t>
      </w:r>
      <w:r w:rsidRPr="001302E5">
        <w:rPr>
          <w:rFonts w:ascii="Times New Roman" w:hAnsi="Times New Roman"/>
          <w:b/>
          <w:color w:val="000000" w:themeColor="text1"/>
          <w:sz w:val="28"/>
          <w:szCs w:val="28"/>
        </w:rPr>
        <w:t xml:space="preserve">4 </w:t>
      </w:r>
      <w:r w:rsidRPr="001302E5">
        <w:rPr>
          <w:rFonts w:ascii="Times New Roman" w:hAnsi="Times New Roman"/>
          <w:color w:val="000000" w:themeColor="text1"/>
          <w:sz w:val="28"/>
          <w:szCs w:val="28"/>
        </w:rPr>
        <w:t>is shown in Fig. 7</w:t>
      </w:r>
      <w:r w:rsidR="00C11E3B" w:rsidRPr="001302E5">
        <w:rPr>
          <w:rFonts w:ascii="Times New Roman" w:hAnsi="Times New Roman"/>
          <w:color w:val="000000" w:themeColor="text1"/>
          <w:sz w:val="28"/>
          <w:szCs w:val="28"/>
        </w:rPr>
        <w:t xml:space="preserve"> and key data in Table 1</w:t>
      </w:r>
      <w:r w:rsidRPr="001302E5">
        <w:rPr>
          <w:rFonts w:ascii="Times New Roman" w:hAnsi="Times New Roman"/>
          <w:color w:val="000000" w:themeColor="text1"/>
          <w:sz w:val="28"/>
          <w:szCs w:val="28"/>
        </w:rPr>
        <w:t xml:space="preserve">. In terms of substructures, it contains both the adjacent heterochiral chain (substructure </w:t>
      </w:r>
      <w:r w:rsidRPr="001302E5">
        <w:rPr>
          <w:rFonts w:ascii="Times New Roman" w:hAnsi="Times New Roman"/>
          <w:b/>
          <w:color w:val="000000" w:themeColor="text1"/>
          <w:sz w:val="28"/>
          <w:szCs w:val="28"/>
        </w:rPr>
        <w:t>IX</w:t>
      </w:r>
      <w:r w:rsidRPr="001302E5">
        <w:rPr>
          <w:rFonts w:ascii="Times New Roman" w:hAnsi="Times New Roman"/>
          <w:color w:val="000000" w:themeColor="text1"/>
          <w:sz w:val="28"/>
          <w:szCs w:val="28"/>
        </w:rPr>
        <w:t xml:space="preserve">, Fig. 7d) and the herringbone translational homochiral chain (substructure </w:t>
      </w:r>
      <w:r w:rsidRPr="001302E5">
        <w:rPr>
          <w:rFonts w:ascii="Times New Roman" w:hAnsi="Times New Roman"/>
          <w:b/>
          <w:color w:val="000000" w:themeColor="text1"/>
          <w:sz w:val="28"/>
          <w:szCs w:val="28"/>
        </w:rPr>
        <w:t>X</w:t>
      </w:r>
      <w:r w:rsidRPr="001302E5">
        <w:rPr>
          <w:rFonts w:ascii="Times New Roman" w:hAnsi="Times New Roman"/>
          <w:color w:val="000000" w:themeColor="text1"/>
          <w:sz w:val="28"/>
          <w:szCs w:val="28"/>
        </w:rPr>
        <w:t xml:space="preserve">, Fig. 7e). These substructures are also found in structures </w:t>
      </w:r>
      <w:r w:rsidRPr="001302E5">
        <w:rPr>
          <w:rFonts w:ascii="Times New Roman" w:hAnsi="Times New Roman"/>
          <w:b/>
          <w:color w:val="000000" w:themeColor="text1"/>
          <w:sz w:val="28"/>
          <w:szCs w:val="28"/>
        </w:rPr>
        <w:t xml:space="preserve">16 </w:t>
      </w:r>
      <w:r w:rsidRPr="001302E5">
        <w:rPr>
          <w:rFonts w:ascii="Times New Roman" w:hAnsi="Times New Roman"/>
          <w:color w:val="000000" w:themeColor="text1"/>
          <w:sz w:val="28"/>
          <w:szCs w:val="28"/>
        </w:rPr>
        <w:t xml:space="preserve">and </w:t>
      </w:r>
      <w:r w:rsidRPr="001302E5">
        <w:rPr>
          <w:rFonts w:ascii="Times New Roman" w:hAnsi="Times New Roman"/>
          <w:b/>
          <w:color w:val="000000" w:themeColor="text1"/>
          <w:sz w:val="28"/>
          <w:szCs w:val="28"/>
        </w:rPr>
        <w:t>25</w:t>
      </w:r>
      <w:r w:rsidRPr="001302E5">
        <w:rPr>
          <w:rFonts w:ascii="Times New Roman" w:hAnsi="Times New Roman"/>
          <w:color w:val="000000" w:themeColor="text1"/>
          <w:sz w:val="28"/>
          <w:szCs w:val="28"/>
        </w:rPr>
        <w:t xml:space="preserve">, which have the second and fifth best hole mobility respectively, thus they are clearly </w:t>
      </w:r>
      <w:r w:rsidRPr="001302E5">
        <w:rPr>
          <w:rFonts w:ascii="Times New Roman" w:hAnsi="Times New Roman"/>
          <w:color w:val="000000" w:themeColor="text1"/>
          <w:sz w:val="28"/>
          <w:szCs w:val="28"/>
        </w:rPr>
        <w:lastRenderedPageBreak/>
        <w:t xml:space="preserve">beneficial substructures for high hole mobility. Within </w:t>
      </w:r>
      <w:r w:rsidRPr="001302E5">
        <w:rPr>
          <w:rFonts w:ascii="Times New Roman" w:hAnsi="Times New Roman"/>
          <w:b/>
          <w:color w:val="000000" w:themeColor="text1"/>
          <w:sz w:val="28"/>
          <w:szCs w:val="28"/>
        </w:rPr>
        <w:t>4</w:t>
      </w:r>
      <w:r w:rsidRPr="001302E5">
        <w:rPr>
          <w:rFonts w:ascii="Times New Roman" w:hAnsi="Times New Roman"/>
          <w:color w:val="000000" w:themeColor="text1"/>
          <w:sz w:val="28"/>
          <w:szCs w:val="28"/>
        </w:rPr>
        <w:t>, the hole mobility along the herringbone chain was 2.0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whereas it was lower, 0.01 cm</w:t>
      </w:r>
      <w:r w:rsidRPr="001302E5">
        <w:rPr>
          <w:rFonts w:ascii="Times New Roman" w:hAnsi="Times New Roman"/>
          <w:color w:val="000000" w:themeColor="text1"/>
          <w:sz w:val="28"/>
          <w:szCs w:val="28"/>
          <w:vertAlign w:val="superscript"/>
        </w:rPr>
        <w:t>2</w:t>
      </w:r>
      <w:r w:rsidRPr="001302E5">
        <w:rPr>
          <w:rFonts w:ascii="Times New Roman" w:hAnsi="Times New Roman"/>
          <w:color w:val="000000" w:themeColor="text1"/>
          <w:sz w:val="28"/>
          <w:szCs w:val="28"/>
        </w:rPr>
        <w:t xml:space="preserve"> V</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s</w:t>
      </w:r>
      <w:r w:rsidRPr="001302E5">
        <w:rPr>
          <w:rFonts w:ascii="Times New Roman" w:hAnsi="Times New Roman"/>
          <w:color w:val="000000" w:themeColor="text1"/>
          <w:sz w:val="28"/>
          <w:szCs w:val="28"/>
          <w:vertAlign w:val="superscript"/>
        </w:rPr>
        <w:t>-1</w:t>
      </w:r>
      <w:r w:rsidRPr="001302E5">
        <w:rPr>
          <w:rFonts w:ascii="Times New Roman" w:hAnsi="Times New Roman"/>
          <w:color w:val="000000" w:themeColor="text1"/>
          <w:sz w:val="28"/>
          <w:szCs w:val="28"/>
        </w:rPr>
        <w:t xml:space="preserve">, along the adjacent heterochiral chain. The highest mobility direction in </w:t>
      </w:r>
      <w:r w:rsidRPr="001302E5">
        <w:rPr>
          <w:rFonts w:ascii="Times New Roman" w:hAnsi="Times New Roman"/>
          <w:b/>
          <w:color w:val="000000" w:themeColor="text1"/>
          <w:sz w:val="28"/>
          <w:szCs w:val="28"/>
        </w:rPr>
        <w:t>4</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16</w:t>
      </w:r>
      <w:r w:rsidRPr="001302E5">
        <w:rPr>
          <w:rFonts w:ascii="Times New Roman" w:hAnsi="Times New Roman"/>
          <w:color w:val="000000" w:themeColor="text1"/>
          <w:sz w:val="28"/>
          <w:szCs w:val="28"/>
        </w:rPr>
        <w:t xml:space="preserve"> and </w:t>
      </w:r>
      <w:r w:rsidRPr="001302E5">
        <w:rPr>
          <w:rFonts w:ascii="Times New Roman" w:hAnsi="Times New Roman"/>
          <w:b/>
          <w:color w:val="000000" w:themeColor="text1"/>
          <w:sz w:val="28"/>
          <w:szCs w:val="28"/>
        </w:rPr>
        <w:t>25</w:t>
      </w:r>
      <w:r w:rsidRPr="001302E5">
        <w:rPr>
          <w:rFonts w:ascii="Times New Roman" w:hAnsi="Times New Roman"/>
          <w:color w:val="000000" w:themeColor="text1"/>
          <w:sz w:val="28"/>
          <w:szCs w:val="28"/>
        </w:rPr>
        <w:t xml:space="preserve"> was always along the herringbone translational chain (substructure </w:t>
      </w:r>
      <w:r w:rsidRPr="001302E5">
        <w:rPr>
          <w:rFonts w:ascii="Times New Roman" w:hAnsi="Times New Roman"/>
          <w:b/>
          <w:color w:val="000000" w:themeColor="text1"/>
          <w:sz w:val="28"/>
          <w:szCs w:val="28"/>
        </w:rPr>
        <w:t>X</w:t>
      </w:r>
      <w:r w:rsidRPr="001302E5">
        <w:rPr>
          <w:rFonts w:ascii="Times New Roman" w:hAnsi="Times New Roman"/>
          <w:color w:val="000000" w:themeColor="text1"/>
          <w:sz w:val="28"/>
          <w:szCs w:val="28"/>
        </w:rPr>
        <w:t>). This high hole mobility sub</w:t>
      </w:r>
      <w:r w:rsidR="00F722C9" w:rsidRPr="001302E5">
        <w:rPr>
          <w:rFonts w:ascii="Times New Roman" w:hAnsi="Times New Roman"/>
          <w:color w:val="000000" w:themeColor="text1"/>
          <w:sz w:val="28"/>
          <w:szCs w:val="28"/>
        </w:rPr>
        <w:t>structure was only found in 3 of the 27 (11%)</w:t>
      </w:r>
      <w:r w:rsidRPr="001302E5">
        <w:rPr>
          <w:rFonts w:ascii="Times New Roman" w:hAnsi="Times New Roman"/>
          <w:color w:val="000000" w:themeColor="text1"/>
          <w:sz w:val="28"/>
          <w:szCs w:val="28"/>
        </w:rPr>
        <w:t xml:space="preserve"> low energy [6]helicene polymorphs, so is a relatively rare feature. Examination of the HOMOs and LUMOs fo</w:t>
      </w:r>
      <w:r w:rsidR="001442FB" w:rsidRPr="001302E5">
        <w:rPr>
          <w:rFonts w:ascii="Times New Roman" w:hAnsi="Times New Roman"/>
          <w:color w:val="000000" w:themeColor="text1"/>
          <w:sz w:val="28"/>
          <w:szCs w:val="28"/>
        </w:rPr>
        <w:t>r this substructure (see Fig. S8</w:t>
      </w:r>
      <w:r w:rsidRPr="001302E5">
        <w:rPr>
          <w:rFonts w:ascii="Times New Roman" w:hAnsi="Times New Roman"/>
          <w:color w:val="000000" w:themeColor="text1"/>
          <w:sz w:val="28"/>
          <w:szCs w:val="28"/>
        </w:rPr>
        <w:t>) shows that it is not immediately obvious from either the inspection of these molecular orbitals or the underlying molecular structures as to why there would be high hole mobility. This demonstrates the utility of our approach in calculating the charge carrier mobility, which is not chemically intuitive to determine.</w:t>
      </w:r>
      <w:r w:rsidR="00DD2F88" w:rsidRPr="001302E5">
        <w:rPr>
          <w:rFonts w:ascii="Times New Roman" w:hAnsi="Times New Roman"/>
          <w:color w:val="000000" w:themeColor="text1"/>
          <w:sz w:val="28"/>
          <w:szCs w:val="28"/>
        </w:rPr>
        <w:t xml:space="preserve"> </w:t>
      </w:r>
      <w:r w:rsidR="00CB56DF" w:rsidRPr="001302E5">
        <w:rPr>
          <w:rFonts w:ascii="Times New Roman" w:hAnsi="Times New Roman"/>
          <w:color w:val="000000" w:themeColor="text1"/>
          <w:sz w:val="28"/>
          <w:szCs w:val="28"/>
          <w:lang w:val="en-US"/>
        </w:rPr>
        <w:t>The finding that a herringbone alignment leads to high mobility is consistent with evidence for high mobilities in crystal structures with a herringbone packing motif</w:t>
      </w:r>
      <w:r w:rsidR="006C37BD" w:rsidRPr="001302E5">
        <w:rPr>
          <w:rFonts w:ascii="Times New Roman" w:hAnsi="Times New Roman"/>
          <w:color w:val="000000" w:themeColor="text1"/>
          <w:sz w:val="28"/>
          <w:szCs w:val="28"/>
          <w:lang w:val="en-US"/>
        </w:rPr>
        <w:t>.</w:t>
      </w:r>
      <w:r w:rsidR="000E51BA" w:rsidRPr="001302E5">
        <w:rPr>
          <w:rFonts w:ascii="Times New Roman" w:hAnsi="Times New Roman"/>
          <w:color w:val="000000" w:themeColor="text1"/>
          <w:sz w:val="28"/>
          <w:szCs w:val="28"/>
          <w:vertAlign w:val="superscript"/>
          <w:lang w:val="en-US"/>
        </w:rPr>
        <w:t>61</w:t>
      </w:r>
      <w:r w:rsidR="0089326A" w:rsidRPr="001302E5">
        <w:rPr>
          <w:rFonts w:ascii="Times New Roman" w:hAnsi="Times New Roman"/>
          <w:color w:val="000000" w:themeColor="text1"/>
          <w:sz w:val="28"/>
          <w:szCs w:val="28"/>
          <w:lang w:val="en-US"/>
        </w:rPr>
        <w:t xml:space="preserve"> However, other factors such as the sign of the transfer integral</w:t>
      </w:r>
      <w:r w:rsidR="006C37BD" w:rsidRPr="001302E5">
        <w:rPr>
          <w:rFonts w:ascii="Times New Roman" w:hAnsi="Times New Roman"/>
          <w:color w:val="000000" w:themeColor="text1"/>
          <w:sz w:val="28"/>
          <w:szCs w:val="28"/>
          <w:lang w:val="en-US"/>
        </w:rPr>
        <w:t>,</w:t>
      </w:r>
      <w:r w:rsidR="000E51BA" w:rsidRPr="001302E5">
        <w:rPr>
          <w:rFonts w:ascii="Times New Roman" w:hAnsi="Times New Roman"/>
          <w:color w:val="000000" w:themeColor="text1"/>
          <w:sz w:val="28"/>
          <w:szCs w:val="28"/>
          <w:vertAlign w:val="superscript"/>
          <w:lang w:val="en-US"/>
        </w:rPr>
        <w:t>62</w:t>
      </w:r>
      <w:r w:rsidR="0089326A" w:rsidRPr="001302E5">
        <w:rPr>
          <w:rFonts w:ascii="Times New Roman" w:hAnsi="Times New Roman"/>
          <w:color w:val="000000" w:themeColor="text1"/>
          <w:sz w:val="28"/>
          <w:szCs w:val="28"/>
          <w:lang w:val="en-US"/>
        </w:rPr>
        <w:t xml:space="preserve"> thermal vibrations</w:t>
      </w:r>
      <w:r w:rsidR="000E51BA" w:rsidRPr="001302E5">
        <w:rPr>
          <w:rFonts w:ascii="Times New Roman" w:hAnsi="Times New Roman"/>
          <w:color w:val="000000" w:themeColor="text1"/>
          <w:sz w:val="28"/>
          <w:szCs w:val="28"/>
          <w:vertAlign w:val="superscript"/>
          <w:lang w:val="en-US"/>
        </w:rPr>
        <w:t>63</w:t>
      </w:r>
      <w:r w:rsidR="0089326A" w:rsidRPr="001302E5">
        <w:rPr>
          <w:rFonts w:ascii="Times New Roman" w:hAnsi="Times New Roman"/>
          <w:color w:val="000000" w:themeColor="text1"/>
          <w:sz w:val="28"/>
          <w:szCs w:val="28"/>
          <w:lang w:val="en-US"/>
        </w:rPr>
        <w:t xml:space="preserve"> and polarizability</w:t>
      </w:r>
      <w:r w:rsidR="000E51BA" w:rsidRPr="001302E5">
        <w:rPr>
          <w:rFonts w:ascii="Times New Roman" w:hAnsi="Times New Roman"/>
          <w:color w:val="000000" w:themeColor="text1"/>
          <w:sz w:val="28"/>
          <w:szCs w:val="28"/>
          <w:vertAlign w:val="superscript"/>
          <w:lang w:val="en-US"/>
        </w:rPr>
        <w:t>64</w:t>
      </w:r>
      <w:r w:rsidR="0089326A" w:rsidRPr="001302E5">
        <w:rPr>
          <w:rFonts w:ascii="Times New Roman" w:hAnsi="Times New Roman"/>
          <w:color w:val="000000" w:themeColor="text1"/>
          <w:sz w:val="28"/>
          <w:szCs w:val="28"/>
          <w:lang w:val="en-US"/>
        </w:rPr>
        <w:t xml:space="preserve"> have been identified as factors that influence mobility in molecular crystals, meaning that structural motif is not the only factor.</w:t>
      </w:r>
      <w:r w:rsidR="00477B9F" w:rsidRPr="001302E5">
        <w:rPr>
          <w:rFonts w:ascii="Times New Roman" w:hAnsi="Times New Roman"/>
          <w:color w:val="000000" w:themeColor="text1"/>
          <w:sz w:val="28"/>
          <w:szCs w:val="28"/>
          <w:lang w:val="en-US"/>
        </w:rPr>
        <w:t xml:space="preserve"> These additional factors could be addressed in the future with more detailed studies of particular polymorphs.</w:t>
      </w:r>
    </w:p>
    <w:p w14:paraId="5245B750" w14:textId="4508D50A" w:rsidR="0089326A" w:rsidRPr="001302E5" w:rsidRDefault="0089326A" w:rsidP="0089326A">
      <w:pPr>
        <w:spacing w:line="360" w:lineRule="auto"/>
        <w:ind w:firstLine="720"/>
        <w:jc w:val="both"/>
        <w:rPr>
          <w:rFonts w:ascii="Times New Roman" w:hAnsi="Times New Roman"/>
          <w:color w:val="000000" w:themeColor="text1"/>
          <w:sz w:val="28"/>
          <w:szCs w:val="28"/>
          <w:lang w:val="en-US"/>
        </w:rPr>
      </w:pPr>
    </w:p>
    <w:p w14:paraId="67A2441B" w14:textId="2AC2EEDD" w:rsidR="004D4376" w:rsidRPr="001302E5" w:rsidRDefault="004D4376">
      <w:pPr>
        <w:spacing w:line="360" w:lineRule="auto"/>
        <w:ind w:firstLine="720"/>
        <w:jc w:val="both"/>
        <w:rPr>
          <w:rFonts w:ascii="Times New Roman" w:hAnsi="Times New Roman"/>
          <w:color w:val="000000" w:themeColor="text1"/>
          <w:sz w:val="28"/>
          <w:szCs w:val="28"/>
        </w:rPr>
      </w:pPr>
    </w:p>
    <w:p w14:paraId="571BAA21" w14:textId="77777777" w:rsidR="004D4376" w:rsidRPr="001302E5" w:rsidRDefault="004D4376">
      <w:pPr>
        <w:spacing w:line="360" w:lineRule="auto"/>
        <w:ind w:firstLine="720"/>
        <w:jc w:val="both"/>
        <w:rPr>
          <w:rFonts w:ascii="Times New Roman" w:hAnsi="Times New Roman"/>
          <w:color w:val="000000" w:themeColor="text1"/>
          <w:sz w:val="28"/>
          <w:szCs w:val="28"/>
        </w:rPr>
      </w:pPr>
    </w:p>
    <w:p w14:paraId="5B5AAA86" w14:textId="77777777" w:rsidR="004D4376" w:rsidRPr="001302E5" w:rsidRDefault="004D6D89">
      <w:pPr>
        <w:jc w:val="center"/>
        <w:rPr>
          <w:color w:val="000000" w:themeColor="text1"/>
        </w:rPr>
      </w:pPr>
      <w:r w:rsidRPr="001302E5">
        <w:rPr>
          <w:noProof/>
          <w:color w:val="000000" w:themeColor="text1"/>
          <w:lang w:val="en-US"/>
        </w:rPr>
        <w:lastRenderedPageBreak/>
        <w:drawing>
          <wp:inline distT="0" distB="0" distL="0" distR="0" wp14:anchorId="231F787E" wp14:editId="095E2D8D">
            <wp:extent cx="2820035" cy="7551420"/>
            <wp:effectExtent l="0" t="0" r="0" b="0"/>
            <wp:docPr id="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pic:cNvPicPr>
                      <a:picLocks noChangeAspect="1" noChangeArrowheads="1"/>
                    </pic:cNvPicPr>
                  </pic:nvPicPr>
                  <pic:blipFill>
                    <a:blip r:embed="rId14"/>
                    <a:srcRect t="567" b="988"/>
                    <a:stretch>
                      <a:fillRect/>
                    </a:stretch>
                  </pic:blipFill>
                  <pic:spPr bwMode="auto">
                    <a:xfrm>
                      <a:off x="0" y="0"/>
                      <a:ext cx="2820035" cy="7551420"/>
                    </a:xfrm>
                    <a:prstGeom prst="rect">
                      <a:avLst/>
                    </a:prstGeom>
                    <a:noFill/>
                    <a:ln w="9525">
                      <a:noFill/>
                      <a:miter lim="800000"/>
                      <a:headEnd/>
                      <a:tailEnd/>
                    </a:ln>
                  </pic:spPr>
                </pic:pic>
              </a:graphicData>
            </a:graphic>
          </wp:inline>
        </w:drawing>
      </w:r>
    </w:p>
    <w:p w14:paraId="404CBE28" w14:textId="77777777" w:rsidR="004D4376" w:rsidRPr="001302E5" w:rsidRDefault="004D6D89">
      <w:pPr>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 xml:space="preserve">Figure 7: Angular dependent hole mobility for structure </w:t>
      </w:r>
      <w:r w:rsidRPr="001302E5">
        <w:rPr>
          <w:rFonts w:ascii="Times New Roman" w:hAnsi="Times New Roman"/>
          <w:b/>
          <w:i/>
          <w:color w:val="000000" w:themeColor="text1"/>
          <w:sz w:val="28"/>
          <w:szCs w:val="28"/>
        </w:rPr>
        <w:t>4</w:t>
      </w:r>
      <w:r w:rsidRPr="001302E5">
        <w:rPr>
          <w:rFonts w:ascii="Times New Roman" w:hAnsi="Times New Roman"/>
          <w:i/>
          <w:color w:val="000000" w:themeColor="text1"/>
          <w:sz w:val="28"/>
          <w:szCs w:val="28"/>
        </w:rPr>
        <w:t xml:space="preserve"> in the (a) ab-, (b) bc- and (c) ac- planes; (d) the adjacent heterochiral chain (substructure type </w:t>
      </w:r>
      <w:r w:rsidRPr="001302E5">
        <w:rPr>
          <w:rFonts w:ascii="Times New Roman" w:hAnsi="Times New Roman"/>
          <w:b/>
          <w:i/>
          <w:color w:val="000000" w:themeColor="text1"/>
          <w:sz w:val="28"/>
          <w:szCs w:val="28"/>
        </w:rPr>
        <w:t>IX</w:t>
      </w:r>
      <w:r w:rsidRPr="001302E5">
        <w:rPr>
          <w:rFonts w:ascii="Times New Roman" w:hAnsi="Times New Roman"/>
          <w:i/>
          <w:color w:val="000000" w:themeColor="text1"/>
          <w:sz w:val="28"/>
          <w:szCs w:val="28"/>
        </w:rPr>
        <w:t>) with hole mobility of 0.01 cm</w:t>
      </w:r>
      <w:r w:rsidRPr="001302E5">
        <w:rPr>
          <w:rFonts w:ascii="Times New Roman" w:hAnsi="Times New Roman"/>
          <w:i/>
          <w:color w:val="000000" w:themeColor="text1"/>
          <w:sz w:val="28"/>
          <w:szCs w:val="28"/>
          <w:vertAlign w:val="superscript"/>
        </w:rPr>
        <w:t>2</w:t>
      </w:r>
      <w:r w:rsidRPr="001302E5">
        <w:rPr>
          <w:rFonts w:ascii="Times New Roman" w:hAnsi="Times New Roman"/>
          <w:i/>
          <w:color w:val="000000" w:themeColor="text1"/>
          <w:sz w:val="28"/>
          <w:szCs w:val="28"/>
        </w:rPr>
        <w:t xml:space="preserve"> V</w:t>
      </w:r>
      <w:r w:rsidRPr="001302E5">
        <w:rPr>
          <w:rFonts w:ascii="Times New Roman" w:hAnsi="Times New Roman"/>
          <w:i/>
          <w:color w:val="000000" w:themeColor="text1"/>
          <w:sz w:val="28"/>
          <w:szCs w:val="28"/>
          <w:vertAlign w:val="superscript"/>
        </w:rPr>
        <w:t>-1</w:t>
      </w:r>
      <w:r w:rsidRPr="001302E5">
        <w:rPr>
          <w:rFonts w:ascii="Times New Roman" w:hAnsi="Times New Roman"/>
          <w:i/>
          <w:color w:val="000000" w:themeColor="text1"/>
          <w:sz w:val="28"/>
          <w:szCs w:val="28"/>
        </w:rPr>
        <w:t xml:space="preserve"> s</w:t>
      </w:r>
      <w:r w:rsidRPr="001302E5">
        <w:rPr>
          <w:rFonts w:ascii="Times New Roman" w:hAnsi="Times New Roman"/>
          <w:i/>
          <w:color w:val="000000" w:themeColor="text1"/>
          <w:sz w:val="28"/>
          <w:szCs w:val="28"/>
          <w:vertAlign w:val="superscript"/>
        </w:rPr>
        <w:t>-1</w:t>
      </w:r>
      <w:r w:rsidRPr="001302E5">
        <w:rPr>
          <w:rFonts w:ascii="Times New Roman" w:hAnsi="Times New Roman"/>
          <w:i/>
          <w:color w:val="000000" w:themeColor="text1"/>
          <w:sz w:val="28"/>
          <w:szCs w:val="28"/>
        </w:rPr>
        <w:t xml:space="preserve"> (e) the herringbone translational homochiral chain (substructure type </w:t>
      </w:r>
      <w:r w:rsidRPr="001302E5">
        <w:rPr>
          <w:rFonts w:ascii="Times New Roman" w:hAnsi="Times New Roman"/>
          <w:b/>
          <w:i/>
          <w:color w:val="000000" w:themeColor="text1"/>
          <w:sz w:val="28"/>
          <w:szCs w:val="28"/>
        </w:rPr>
        <w:t>X</w:t>
      </w:r>
      <w:r w:rsidRPr="001302E5">
        <w:rPr>
          <w:rFonts w:ascii="Times New Roman" w:hAnsi="Times New Roman"/>
          <w:i/>
          <w:color w:val="000000" w:themeColor="text1"/>
          <w:sz w:val="28"/>
          <w:szCs w:val="28"/>
        </w:rPr>
        <w:t>) with hole mobility of 2.0 cm</w:t>
      </w:r>
      <w:r w:rsidRPr="001302E5">
        <w:rPr>
          <w:rFonts w:ascii="Times New Roman" w:hAnsi="Times New Roman"/>
          <w:i/>
          <w:color w:val="000000" w:themeColor="text1"/>
          <w:sz w:val="28"/>
          <w:szCs w:val="28"/>
          <w:vertAlign w:val="superscript"/>
        </w:rPr>
        <w:t>2</w:t>
      </w:r>
      <w:r w:rsidRPr="001302E5">
        <w:rPr>
          <w:rFonts w:ascii="Times New Roman" w:hAnsi="Times New Roman"/>
          <w:i/>
          <w:color w:val="000000" w:themeColor="text1"/>
          <w:sz w:val="28"/>
          <w:szCs w:val="28"/>
        </w:rPr>
        <w:t xml:space="preserve"> V</w:t>
      </w:r>
      <w:r w:rsidRPr="001302E5">
        <w:rPr>
          <w:rFonts w:ascii="Times New Roman" w:hAnsi="Times New Roman"/>
          <w:i/>
          <w:color w:val="000000" w:themeColor="text1"/>
          <w:sz w:val="28"/>
          <w:szCs w:val="28"/>
          <w:vertAlign w:val="superscript"/>
        </w:rPr>
        <w:t>-1</w:t>
      </w:r>
      <w:r w:rsidRPr="001302E5">
        <w:rPr>
          <w:rFonts w:ascii="Times New Roman" w:hAnsi="Times New Roman"/>
          <w:i/>
          <w:color w:val="000000" w:themeColor="text1"/>
          <w:sz w:val="28"/>
          <w:szCs w:val="28"/>
        </w:rPr>
        <w:t xml:space="preserve"> s</w:t>
      </w:r>
      <w:r w:rsidRPr="001302E5">
        <w:rPr>
          <w:rFonts w:ascii="Times New Roman" w:hAnsi="Times New Roman"/>
          <w:i/>
          <w:color w:val="000000" w:themeColor="text1"/>
          <w:sz w:val="28"/>
          <w:szCs w:val="28"/>
          <w:vertAlign w:val="superscript"/>
        </w:rPr>
        <w:t>-1</w:t>
      </w:r>
      <w:r w:rsidRPr="001302E5">
        <w:rPr>
          <w:rFonts w:ascii="Times New Roman" w:hAnsi="Times New Roman"/>
          <w:i/>
          <w:color w:val="000000" w:themeColor="text1"/>
          <w:sz w:val="28"/>
          <w:szCs w:val="28"/>
        </w:rPr>
        <w:t xml:space="preserve">. The red arrow shows the highest hole mobility direction for structure </w:t>
      </w:r>
      <w:r w:rsidRPr="001302E5">
        <w:rPr>
          <w:rFonts w:ascii="Times New Roman" w:hAnsi="Times New Roman"/>
          <w:b/>
          <w:i/>
          <w:color w:val="000000" w:themeColor="text1"/>
          <w:sz w:val="28"/>
          <w:szCs w:val="28"/>
        </w:rPr>
        <w:t>4</w:t>
      </w:r>
      <w:r w:rsidRPr="001302E5">
        <w:rPr>
          <w:rFonts w:ascii="Times New Roman" w:hAnsi="Times New Roman"/>
          <w:i/>
          <w:color w:val="000000" w:themeColor="text1"/>
          <w:sz w:val="28"/>
          <w:szCs w:val="28"/>
        </w:rPr>
        <w:t>.</w:t>
      </w:r>
    </w:p>
    <w:p w14:paraId="5B27D873" w14:textId="624B15A6" w:rsidR="004D4376" w:rsidRPr="001302E5" w:rsidRDefault="004D6D89">
      <w:pPr>
        <w:spacing w:line="360" w:lineRule="auto"/>
        <w:ind w:firstLine="720"/>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lastRenderedPageBreak/>
        <w:t xml:space="preserve">The highest hole mobility structures have relatively low electron mobility, whereas the highest electron mobility is found in the racemic structure </w:t>
      </w:r>
      <w:r w:rsidRPr="001302E5">
        <w:rPr>
          <w:rFonts w:ascii="Times New Roman" w:hAnsi="Times New Roman"/>
          <w:b/>
          <w:color w:val="000000" w:themeColor="text1"/>
          <w:sz w:val="28"/>
          <w:szCs w:val="28"/>
        </w:rPr>
        <w:t>11</w:t>
      </w:r>
      <w:r w:rsidRPr="001302E5">
        <w:rPr>
          <w:rFonts w:ascii="Times New Roman" w:hAnsi="Times New Roman"/>
          <w:color w:val="000000" w:themeColor="text1"/>
          <w:sz w:val="28"/>
          <w:szCs w:val="28"/>
        </w:rPr>
        <w:t xml:space="preserve">. The angular dependent mobility in each of the three orthogonal planes of </w:t>
      </w:r>
      <w:r w:rsidRPr="001302E5">
        <w:rPr>
          <w:rFonts w:ascii="Times New Roman" w:hAnsi="Times New Roman"/>
          <w:b/>
          <w:color w:val="000000" w:themeColor="text1"/>
          <w:sz w:val="28"/>
          <w:szCs w:val="28"/>
        </w:rPr>
        <w:t xml:space="preserve">11 </w:t>
      </w:r>
      <w:r w:rsidRPr="001302E5">
        <w:rPr>
          <w:rFonts w:ascii="Times New Roman" w:hAnsi="Times New Roman"/>
          <w:color w:val="000000" w:themeColor="text1"/>
          <w:sz w:val="28"/>
          <w:szCs w:val="28"/>
        </w:rPr>
        <w:t>is shown in Fig. 8</w:t>
      </w:r>
      <w:r w:rsidR="00C11E3B" w:rsidRPr="001302E5">
        <w:rPr>
          <w:rFonts w:ascii="Times New Roman" w:hAnsi="Times New Roman"/>
          <w:color w:val="000000" w:themeColor="text1"/>
          <w:sz w:val="28"/>
          <w:szCs w:val="28"/>
        </w:rPr>
        <w:t xml:space="preserve"> and key data in Table 1</w:t>
      </w:r>
      <w:r w:rsidRPr="001302E5">
        <w:rPr>
          <w:rFonts w:ascii="Times New Roman" w:hAnsi="Times New Roman"/>
          <w:color w:val="000000" w:themeColor="text1"/>
          <w:sz w:val="28"/>
          <w:szCs w:val="28"/>
        </w:rPr>
        <w:t xml:space="preserve">. </w:t>
      </w:r>
      <w:r w:rsidRPr="001302E5">
        <w:rPr>
          <w:rFonts w:ascii="Times New Roman" w:hAnsi="Times New Roman"/>
          <w:color w:val="000000" w:themeColor="text1"/>
          <w:sz w:val="28"/>
          <w:szCs w:val="28"/>
          <w:lang w:val="en-US"/>
        </w:rPr>
        <w:t xml:space="preserve">Structure </w:t>
      </w:r>
      <w:r w:rsidRPr="001302E5">
        <w:rPr>
          <w:rFonts w:ascii="Times New Roman" w:hAnsi="Times New Roman"/>
          <w:b/>
          <w:color w:val="000000" w:themeColor="text1"/>
          <w:sz w:val="28"/>
          <w:szCs w:val="28"/>
          <w:lang w:val="en-US"/>
        </w:rPr>
        <w:t>11</w:t>
      </w:r>
      <w:r w:rsidRPr="001302E5">
        <w:rPr>
          <w:rFonts w:ascii="Times New Roman" w:hAnsi="Times New Roman"/>
          <w:color w:val="000000" w:themeColor="text1"/>
          <w:sz w:val="28"/>
          <w:szCs w:val="28"/>
          <w:lang w:val="en-US"/>
        </w:rPr>
        <w:t xml:space="preserve"> contains the adjacent translational homochiral chain substructure (</w:t>
      </w:r>
      <w:r w:rsidRPr="001302E5">
        <w:rPr>
          <w:rFonts w:ascii="Times New Roman" w:hAnsi="Times New Roman"/>
          <w:b/>
          <w:color w:val="000000" w:themeColor="text1"/>
          <w:sz w:val="28"/>
          <w:szCs w:val="28"/>
          <w:lang w:val="en-US"/>
        </w:rPr>
        <w:t>I</w:t>
      </w:r>
      <w:r w:rsidRPr="001302E5">
        <w:rPr>
          <w:rFonts w:ascii="Times New Roman" w:hAnsi="Times New Roman"/>
          <w:color w:val="000000" w:themeColor="text1"/>
          <w:sz w:val="28"/>
          <w:szCs w:val="28"/>
          <w:lang w:val="en-US"/>
        </w:rPr>
        <w:t xml:space="preserve">), and the direction of these chains corresponds to the highest electron mobility. However, the presence of this substructure alone does not necessarily lead to a high electron mobility, as it is also contained in many other structures, spanning a range of values. </w:t>
      </w:r>
      <w:r w:rsidR="00B30B20" w:rsidRPr="001302E5">
        <w:rPr>
          <w:rFonts w:ascii="Times New Roman" w:hAnsi="Times New Roman"/>
          <w:color w:val="000000" w:themeColor="text1"/>
          <w:sz w:val="28"/>
          <w:szCs w:val="28"/>
          <w:lang w:val="en-US"/>
        </w:rPr>
        <w:t xml:space="preserve">This is because the same substructure can exhibit different pair separations depending on the overall crystal structure. The homochiral  chain substructure is particularly sensitive to the surrounding environment compared to the herringbone substructure, with the latter having very similar pair separations for all cases in which it appears. </w:t>
      </w:r>
      <w:r w:rsidRPr="001302E5">
        <w:rPr>
          <w:rFonts w:ascii="Times New Roman" w:hAnsi="Times New Roman"/>
          <w:color w:val="000000" w:themeColor="text1"/>
          <w:sz w:val="28"/>
          <w:szCs w:val="28"/>
        </w:rPr>
        <w:t>Again, as with the high hole mobility structure, examination of the molecular orbitals fo</w:t>
      </w:r>
      <w:r w:rsidR="001442FB" w:rsidRPr="001302E5">
        <w:rPr>
          <w:rFonts w:ascii="Times New Roman" w:hAnsi="Times New Roman"/>
          <w:color w:val="000000" w:themeColor="text1"/>
          <w:sz w:val="28"/>
          <w:szCs w:val="28"/>
        </w:rPr>
        <w:t>r this substructure (see Fig. S8</w:t>
      </w:r>
      <w:r w:rsidRPr="001302E5">
        <w:rPr>
          <w:rFonts w:ascii="Times New Roman" w:hAnsi="Times New Roman"/>
          <w:color w:val="000000" w:themeColor="text1"/>
          <w:sz w:val="28"/>
          <w:szCs w:val="28"/>
        </w:rPr>
        <w:t>) does not show an intuitively obvious hopping pathway for high electron mobility.</w:t>
      </w:r>
    </w:p>
    <w:p w14:paraId="664FD344" w14:textId="77817A5C" w:rsidR="00870AED" w:rsidRPr="001302E5" w:rsidRDefault="004D6D89">
      <w:pPr>
        <w:spacing w:line="360" w:lineRule="auto"/>
        <w:ind w:firstLine="360"/>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b/>
        <w:t>The anisotropy of the charge carrier mobility was calculated as the normalised standard deviation of the angular dependent mobility by dividing the standard deviation of the values by the maximum value in that structure</w:t>
      </w:r>
      <w:r w:rsidR="007D5E12" w:rsidRPr="001302E5">
        <w:rPr>
          <w:rFonts w:ascii="Times New Roman" w:hAnsi="Times New Roman"/>
          <w:color w:val="000000" w:themeColor="text1"/>
          <w:sz w:val="28"/>
          <w:szCs w:val="28"/>
        </w:rPr>
        <w:t xml:space="preserve"> and additionally, the ratio between the maximum and minimum mobility was calculated (see Tables S4 and S5)</w:t>
      </w:r>
      <w:r w:rsidRPr="001302E5">
        <w:rPr>
          <w:rFonts w:ascii="Times New Roman" w:hAnsi="Times New Roman"/>
          <w:color w:val="000000" w:themeColor="text1"/>
          <w:sz w:val="28"/>
          <w:szCs w:val="28"/>
        </w:rPr>
        <w:t xml:space="preserve">. </w:t>
      </w:r>
      <w:r w:rsidR="007D5E12" w:rsidRPr="001302E5">
        <w:rPr>
          <w:rFonts w:ascii="Times New Roman" w:hAnsi="Times New Roman"/>
          <w:color w:val="000000" w:themeColor="text1"/>
          <w:sz w:val="28"/>
          <w:szCs w:val="28"/>
        </w:rPr>
        <w:t>With both values, there was no strong trend in hole or electron mobility with the anisotropy. In the remaining discussion, we use the normalised standa</w:t>
      </w:r>
      <w:r w:rsidR="009221CC" w:rsidRPr="001302E5">
        <w:rPr>
          <w:rFonts w:ascii="Times New Roman" w:hAnsi="Times New Roman"/>
          <w:color w:val="000000" w:themeColor="text1"/>
          <w:sz w:val="28"/>
          <w:szCs w:val="28"/>
        </w:rPr>
        <w:t>rd deviation of the mobility</w:t>
      </w:r>
      <w:r w:rsidR="007D5E12" w:rsidRPr="001302E5">
        <w:rPr>
          <w:rFonts w:ascii="Times New Roman" w:hAnsi="Times New Roman"/>
          <w:color w:val="000000" w:themeColor="text1"/>
          <w:sz w:val="28"/>
          <w:szCs w:val="28"/>
        </w:rPr>
        <w:t xml:space="preserve">. </w:t>
      </w:r>
      <w:r w:rsidRPr="001302E5">
        <w:rPr>
          <w:rFonts w:ascii="Times New Roman" w:hAnsi="Times New Roman"/>
          <w:color w:val="000000" w:themeColor="text1"/>
          <w:sz w:val="28"/>
          <w:szCs w:val="28"/>
        </w:rPr>
        <w:t xml:space="preserve">The anisotropy values for the </w:t>
      </w:r>
      <w:r w:rsidR="00231EE9" w:rsidRPr="001302E5">
        <w:rPr>
          <w:rFonts w:ascii="Times New Roman" w:hAnsi="Times New Roman"/>
          <w:color w:val="000000" w:themeColor="text1"/>
          <w:sz w:val="28"/>
          <w:szCs w:val="28"/>
        </w:rPr>
        <w:t>electron</w:t>
      </w:r>
      <w:r w:rsidRPr="001302E5">
        <w:rPr>
          <w:rFonts w:ascii="Times New Roman" w:hAnsi="Times New Roman"/>
          <w:color w:val="000000" w:themeColor="text1"/>
          <w:sz w:val="28"/>
          <w:szCs w:val="28"/>
        </w:rPr>
        <w:t xml:space="preserve"> mobility range from 0.</w:t>
      </w:r>
      <w:r w:rsidR="00231EE9" w:rsidRPr="001302E5">
        <w:rPr>
          <w:rFonts w:ascii="Times New Roman" w:hAnsi="Times New Roman"/>
          <w:color w:val="000000" w:themeColor="text1"/>
          <w:sz w:val="28"/>
          <w:szCs w:val="28"/>
        </w:rPr>
        <w:t>18</w:t>
      </w:r>
      <w:r w:rsidRPr="001302E5">
        <w:rPr>
          <w:rFonts w:ascii="Times New Roman" w:hAnsi="Times New Roman"/>
          <w:color w:val="000000" w:themeColor="text1"/>
          <w:sz w:val="28"/>
          <w:szCs w:val="28"/>
        </w:rPr>
        <w:t xml:space="preserve"> to 0.3</w:t>
      </w:r>
      <w:r w:rsidR="00231EE9" w:rsidRPr="001302E5">
        <w:rPr>
          <w:rFonts w:ascii="Times New Roman" w:hAnsi="Times New Roman"/>
          <w:color w:val="000000" w:themeColor="text1"/>
          <w:sz w:val="28"/>
          <w:szCs w:val="28"/>
        </w:rPr>
        <w:t>7</w:t>
      </w:r>
      <w:r w:rsidRPr="001302E5">
        <w:rPr>
          <w:rFonts w:ascii="Times New Roman" w:hAnsi="Times New Roman"/>
          <w:color w:val="000000" w:themeColor="text1"/>
          <w:sz w:val="28"/>
          <w:szCs w:val="28"/>
        </w:rPr>
        <w:t xml:space="preserve">. There is no strong trend in </w:t>
      </w:r>
      <w:r w:rsidR="00231EE9" w:rsidRPr="001302E5">
        <w:rPr>
          <w:rFonts w:ascii="Times New Roman" w:hAnsi="Times New Roman"/>
          <w:color w:val="000000" w:themeColor="text1"/>
          <w:sz w:val="28"/>
          <w:szCs w:val="28"/>
        </w:rPr>
        <w:t>electron</w:t>
      </w:r>
      <w:r w:rsidRPr="001302E5">
        <w:rPr>
          <w:rFonts w:ascii="Times New Roman" w:hAnsi="Times New Roman"/>
          <w:color w:val="000000" w:themeColor="text1"/>
          <w:sz w:val="28"/>
          <w:szCs w:val="28"/>
        </w:rPr>
        <w:t xml:space="preserve"> mobility with the anisotropy. More isotropic structures (with low calculated values for anisotropy) are desirable, as it means that slight changes in orientation or polymorphism give more robust performance in a device. The three structures with the highest </w:t>
      </w:r>
      <w:r w:rsidR="00231EE9" w:rsidRPr="001302E5">
        <w:rPr>
          <w:rFonts w:ascii="Times New Roman" w:hAnsi="Times New Roman"/>
          <w:color w:val="000000" w:themeColor="text1"/>
          <w:sz w:val="28"/>
          <w:szCs w:val="28"/>
        </w:rPr>
        <w:t>charge carrier</w:t>
      </w:r>
      <w:r w:rsidRPr="001302E5">
        <w:rPr>
          <w:rFonts w:ascii="Times New Roman" w:hAnsi="Times New Roman"/>
          <w:color w:val="000000" w:themeColor="text1"/>
          <w:sz w:val="28"/>
          <w:szCs w:val="28"/>
        </w:rPr>
        <w:t xml:space="preserve"> mobility (</w:t>
      </w:r>
      <w:r w:rsidRPr="001302E5">
        <w:rPr>
          <w:rFonts w:ascii="Times New Roman" w:hAnsi="Times New Roman"/>
          <w:b/>
          <w:color w:val="000000" w:themeColor="text1"/>
          <w:sz w:val="28"/>
          <w:szCs w:val="28"/>
        </w:rPr>
        <w:t>4</w:t>
      </w:r>
      <w:r w:rsidRPr="001302E5">
        <w:rPr>
          <w:rFonts w:ascii="Times New Roman" w:hAnsi="Times New Roman"/>
          <w:color w:val="000000" w:themeColor="text1"/>
          <w:sz w:val="28"/>
          <w:szCs w:val="28"/>
        </w:rPr>
        <w:t xml:space="preserve"> and </w:t>
      </w:r>
      <w:r w:rsidR="00231EE9" w:rsidRPr="001302E5">
        <w:rPr>
          <w:rFonts w:ascii="Times New Roman" w:hAnsi="Times New Roman"/>
          <w:b/>
          <w:color w:val="000000" w:themeColor="text1"/>
          <w:sz w:val="28"/>
          <w:szCs w:val="28"/>
        </w:rPr>
        <w:t>11</w:t>
      </w:r>
      <w:r w:rsidRPr="001302E5">
        <w:rPr>
          <w:rFonts w:ascii="Times New Roman" w:hAnsi="Times New Roman"/>
          <w:color w:val="000000" w:themeColor="text1"/>
          <w:sz w:val="28"/>
          <w:szCs w:val="28"/>
        </w:rPr>
        <w:t>) do have re</w:t>
      </w:r>
      <w:r w:rsidR="00A74BA3" w:rsidRPr="001302E5">
        <w:rPr>
          <w:rFonts w:ascii="Times New Roman" w:hAnsi="Times New Roman"/>
          <w:color w:val="000000" w:themeColor="text1"/>
          <w:sz w:val="28"/>
          <w:szCs w:val="28"/>
        </w:rPr>
        <w:t xml:space="preserve">latively high anisotropy (0.27 and 0.32, </w:t>
      </w:r>
      <w:r w:rsidRPr="001302E5">
        <w:rPr>
          <w:rFonts w:ascii="Times New Roman" w:hAnsi="Times New Roman"/>
          <w:color w:val="000000" w:themeColor="text1"/>
          <w:sz w:val="28"/>
          <w:szCs w:val="28"/>
        </w:rPr>
        <w:t xml:space="preserve">respectively), indicating that the high </w:t>
      </w:r>
      <w:r w:rsidR="00A74BA3" w:rsidRPr="001302E5">
        <w:rPr>
          <w:rFonts w:ascii="Times New Roman" w:hAnsi="Times New Roman"/>
          <w:color w:val="000000" w:themeColor="text1"/>
          <w:sz w:val="28"/>
          <w:szCs w:val="28"/>
        </w:rPr>
        <w:t>charge carrier</w:t>
      </w:r>
      <w:r w:rsidRPr="001302E5">
        <w:rPr>
          <w:rFonts w:ascii="Times New Roman" w:hAnsi="Times New Roman"/>
          <w:color w:val="000000" w:themeColor="text1"/>
          <w:sz w:val="28"/>
          <w:szCs w:val="28"/>
        </w:rPr>
        <w:t xml:space="preserve"> mobility is principally in one direction in these cases.</w:t>
      </w:r>
    </w:p>
    <w:p w14:paraId="13749B1B" w14:textId="77777777" w:rsidR="004D4376" w:rsidRPr="001302E5" w:rsidRDefault="004D6D89">
      <w:pPr>
        <w:spacing w:line="360" w:lineRule="auto"/>
        <w:jc w:val="center"/>
        <w:rPr>
          <w:color w:val="000000" w:themeColor="text1"/>
        </w:rPr>
      </w:pPr>
      <w:r w:rsidRPr="001302E5">
        <w:rPr>
          <w:noProof/>
          <w:color w:val="000000" w:themeColor="text1"/>
          <w:lang w:val="en-US"/>
        </w:rPr>
        <w:lastRenderedPageBreak/>
        <w:drawing>
          <wp:inline distT="0" distB="0" distL="0" distR="0" wp14:anchorId="7D064167" wp14:editId="7407FBAF">
            <wp:extent cx="2664460" cy="7889240"/>
            <wp:effectExtent l="0" t="0" r="0" b="0"/>
            <wp:docPr id="9"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pic:cNvPicPr>
                      <a:picLocks noChangeAspect="1" noChangeArrowheads="1"/>
                    </pic:cNvPicPr>
                  </pic:nvPicPr>
                  <pic:blipFill>
                    <a:blip r:embed="rId15"/>
                    <a:srcRect t="875" b="1210"/>
                    <a:stretch>
                      <a:fillRect/>
                    </a:stretch>
                  </pic:blipFill>
                  <pic:spPr bwMode="auto">
                    <a:xfrm>
                      <a:off x="0" y="0"/>
                      <a:ext cx="2664460" cy="7889240"/>
                    </a:xfrm>
                    <a:prstGeom prst="rect">
                      <a:avLst/>
                    </a:prstGeom>
                    <a:noFill/>
                    <a:ln w="9525">
                      <a:noFill/>
                      <a:miter lim="800000"/>
                      <a:headEnd/>
                      <a:tailEnd/>
                    </a:ln>
                  </pic:spPr>
                </pic:pic>
              </a:graphicData>
            </a:graphic>
          </wp:inline>
        </w:drawing>
      </w:r>
    </w:p>
    <w:p w14:paraId="7B6F0B6F" w14:textId="77777777" w:rsidR="004D4376" w:rsidRPr="001302E5" w:rsidRDefault="004D6D89">
      <w:pPr>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 xml:space="preserve">Figure 8: Angular dependent electron mobility for structure </w:t>
      </w:r>
      <w:r w:rsidRPr="001302E5">
        <w:rPr>
          <w:rFonts w:ascii="Times New Roman" w:hAnsi="Times New Roman"/>
          <w:b/>
          <w:i/>
          <w:color w:val="000000" w:themeColor="text1"/>
          <w:sz w:val="28"/>
          <w:szCs w:val="28"/>
        </w:rPr>
        <w:t>11</w:t>
      </w:r>
      <w:r w:rsidRPr="001302E5">
        <w:rPr>
          <w:rFonts w:ascii="Times New Roman" w:hAnsi="Times New Roman"/>
          <w:i/>
          <w:color w:val="000000" w:themeColor="text1"/>
          <w:sz w:val="28"/>
          <w:szCs w:val="28"/>
        </w:rPr>
        <w:t xml:space="preserve"> in the (a) ab-, (b) bc- and (c) ac- planes; (d) the adjacent translational homochiral chain (substructure type </w:t>
      </w:r>
      <w:r w:rsidRPr="001302E5">
        <w:rPr>
          <w:rFonts w:ascii="Times New Roman" w:hAnsi="Times New Roman"/>
          <w:b/>
          <w:i/>
          <w:color w:val="000000" w:themeColor="text1"/>
          <w:sz w:val="28"/>
          <w:szCs w:val="28"/>
        </w:rPr>
        <w:t>I</w:t>
      </w:r>
      <w:r w:rsidRPr="001302E5">
        <w:rPr>
          <w:rFonts w:ascii="Times New Roman" w:hAnsi="Times New Roman"/>
          <w:i/>
          <w:color w:val="000000" w:themeColor="text1"/>
          <w:sz w:val="28"/>
          <w:szCs w:val="28"/>
        </w:rPr>
        <w:t>) with electron mobility of 2.9 cm</w:t>
      </w:r>
      <w:r w:rsidRPr="001302E5">
        <w:rPr>
          <w:rFonts w:ascii="Times New Roman" w:hAnsi="Times New Roman"/>
          <w:i/>
          <w:color w:val="000000" w:themeColor="text1"/>
          <w:sz w:val="28"/>
          <w:szCs w:val="28"/>
          <w:vertAlign w:val="superscript"/>
        </w:rPr>
        <w:t>2</w:t>
      </w:r>
      <w:r w:rsidRPr="001302E5">
        <w:rPr>
          <w:rFonts w:ascii="Times New Roman" w:hAnsi="Times New Roman"/>
          <w:i/>
          <w:color w:val="000000" w:themeColor="text1"/>
          <w:sz w:val="28"/>
          <w:szCs w:val="28"/>
        </w:rPr>
        <w:t xml:space="preserve"> V</w:t>
      </w:r>
      <w:r w:rsidRPr="001302E5">
        <w:rPr>
          <w:rFonts w:ascii="Times New Roman" w:hAnsi="Times New Roman"/>
          <w:i/>
          <w:color w:val="000000" w:themeColor="text1"/>
          <w:sz w:val="28"/>
          <w:szCs w:val="28"/>
          <w:vertAlign w:val="superscript"/>
        </w:rPr>
        <w:t>-1</w:t>
      </w:r>
      <w:r w:rsidRPr="001302E5">
        <w:rPr>
          <w:rFonts w:ascii="Times New Roman" w:hAnsi="Times New Roman"/>
          <w:i/>
          <w:color w:val="000000" w:themeColor="text1"/>
          <w:sz w:val="28"/>
          <w:szCs w:val="28"/>
        </w:rPr>
        <w:t xml:space="preserve"> s</w:t>
      </w:r>
      <w:r w:rsidRPr="001302E5">
        <w:rPr>
          <w:rFonts w:ascii="Times New Roman" w:hAnsi="Times New Roman"/>
          <w:i/>
          <w:color w:val="000000" w:themeColor="text1"/>
          <w:sz w:val="28"/>
          <w:szCs w:val="28"/>
          <w:vertAlign w:val="superscript"/>
        </w:rPr>
        <w:t>-1</w:t>
      </w:r>
      <w:r w:rsidRPr="001302E5">
        <w:rPr>
          <w:rFonts w:ascii="Times New Roman" w:hAnsi="Times New Roman"/>
          <w:i/>
          <w:color w:val="000000" w:themeColor="text1"/>
          <w:sz w:val="28"/>
          <w:szCs w:val="28"/>
        </w:rPr>
        <w:t xml:space="preserve">. The red arrow shows the highest electron mobility direction for structure </w:t>
      </w:r>
      <w:r w:rsidRPr="001302E5">
        <w:rPr>
          <w:rFonts w:ascii="Times New Roman" w:hAnsi="Times New Roman"/>
          <w:b/>
          <w:i/>
          <w:color w:val="000000" w:themeColor="text1"/>
          <w:sz w:val="28"/>
          <w:szCs w:val="28"/>
        </w:rPr>
        <w:t>11</w:t>
      </w:r>
      <w:r w:rsidRPr="001302E5">
        <w:rPr>
          <w:rFonts w:ascii="Times New Roman" w:hAnsi="Times New Roman"/>
          <w:i/>
          <w:color w:val="000000" w:themeColor="text1"/>
          <w:sz w:val="28"/>
          <w:szCs w:val="28"/>
        </w:rPr>
        <w:t>.</w:t>
      </w:r>
    </w:p>
    <w:p w14:paraId="2F353D9A" w14:textId="77777777" w:rsidR="00231EE9" w:rsidRPr="001302E5" w:rsidRDefault="00231EE9">
      <w:pPr>
        <w:jc w:val="both"/>
        <w:rPr>
          <w:rFonts w:ascii="Times New Roman" w:hAnsi="Times New Roman"/>
          <w:i/>
          <w:color w:val="000000" w:themeColor="text1"/>
          <w:sz w:val="28"/>
          <w:szCs w:val="28"/>
        </w:rPr>
      </w:pPr>
    </w:p>
    <w:p w14:paraId="6E169D1A"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i/>
          <w:color w:val="000000" w:themeColor="text1"/>
          <w:sz w:val="28"/>
          <w:szCs w:val="28"/>
        </w:rPr>
        <w:tab/>
      </w:r>
      <w:r w:rsidRPr="001302E5">
        <w:rPr>
          <w:rFonts w:ascii="Times New Roman" w:hAnsi="Times New Roman"/>
          <w:color w:val="000000" w:themeColor="text1"/>
          <w:sz w:val="28"/>
          <w:szCs w:val="28"/>
        </w:rPr>
        <w:t>Finally, in Table 1 we compare the charge carrier mobilities for the lowest energy enantiopure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racemic (</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 and intergrowth structures (</w:t>
      </w:r>
      <w:r w:rsidRPr="001302E5">
        <w:rPr>
          <w:rFonts w:ascii="Times New Roman" w:hAnsi="Times New Roman"/>
          <w:b/>
          <w:color w:val="000000" w:themeColor="text1"/>
          <w:sz w:val="28"/>
          <w:szCs w:val="28"/>
        </w:rPr>
        <w:t>2</w:t>
      </w:r>
      <w:r w:rsidRPr="001302E5">
        <w:rPr>
          <w:rFonts w:ascii="Times New Roman" w:hAnsi="Times New Roman"/>
          <w:color w:val="000000" w:themeColor="text1"/>
          <w:sz w:val="28"/>
          <w:szCs w:val="28"/>
        </w:rPr>
        <w:t xml:space="preserve">), which have similar substructures in different arrangements (refer back to Fig. 2). All three structures have similar maximum electron mobilities, ranging from 1.9 – 2.2 </w:t>
      </w:r>
      <w:r w:rsidRPr="001302E5">
        <w:rPr>
          <w:rFonts w:ascii="Times New Roman" w:eastAsia="Times New Roman" w:hAnsi="Times New Roman"/>
          <w:bCs/>
          <w:color w:val="000000" w:themeColor="text1"/>
          <w:sz w:val="28"/>
          <w:szCs w:val="28"/>
        </w:rPr>
        <w:t>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Inspection of the origin of the high electron mobility pathway shows that, for all three of these structures, high electron mobilities are along the same substructure, the </w:t>
      </w:r>
      <w:r w:rsidRPr="001302E5">
        <w:rPr>
          <w:rFonts w:ascii="Times New Roman" w:hAnsi="Times New Roman"/>
          <w:color w:val="000000" w:themeColor="text1"/>
          <w:sz w:val="28"/>
          <w:szCs w:val="28"/>
        </w:rPr>
        <w:t xml:space="preserve">homochiral chain with translational symmetry (substructure </w:t>
      </w: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 xml:space="preserve">). This is the same substructure as found in the maximum electron mobility structure </w:t>
      </w:r>
      <w:r w:rsidRPr="001302E5">
        <w:rPr>
          <w:rFonts w:ascii="Times New Roman" w:hAnsi="Times New Roman"/>
          <w:b/>
          <w:color w:val="000000" w:themeColor="text1"/>
          <w:sz w:val="28"/>
          <w:szCs w:val="28"/>
        </w:rPr>
        <w:t xml:space="preserve">11 </w:t>
      </w:r>
      <w:r w:rsidRPr="001302E5">
        <w:rPr>
          <w:rFonts w:ascii="Times New Roman" w:hAnsi="Times New Roman"/>
          <w:color w:val="000000" w:themeColor="text1"/>
          <w:sz w:val="28"/>
          <w:szCs w:val="28"/>
        </w:rPr>
        <w:t xml:space="preserve">(2.9 </w:t>
      </w:r>
      <w:r w:rsidRPr="001302E5">
        <w:rPr>
          <w:rFonts w:ascii="Times New Roman" w:eastAsia="Times New Roman" w:hAnsi="Times New Roman"/>
          <w:bCs/>
          <w:color w:val="000000" w:themeColor="text1"/>
          <w:sz w:val="28"/>
          <w:szCs w:val="28"/>
        </w:rPr>
        <w:t>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w:t>
      </w:r>
      <w:r w:rsidRPr="001302E5">
        <w:rPr>
          <w:rFonts w:ascii="Times New Roman" w:hAnsi="Times New Roman"/>
          <w:color w:val="000000" w:themeColor="text1"/>
          <w:sz w:val="28"/>
          <w:szCs w:val="28"/>
        </w:rPr>
        <w:t xml:space="preserve">. Thus, substructure </w:t>
      </w:r>
      <w:r w:rsidRPr="001302E5">
        <w:rPr>
          <w:rFonts w:ascii="Times New Roman" w:hAnsi="Times New Roman"/>
          <w:b/>
          <w:color w:val="000000" w:themeColor="text1"/>
          <w:sz w:val="28"/>
          <w:szCs w:val="28"/>
        </w:rPr>
        <w:t xml:space="preserve">I </w:t>
      </w:r>
      <w:r w:rsidRPr="001302E5">
        <w:rPr>
          <w:rFonts w:ascii="Times New Roman" w:hAnsi="Times New Roman"/>
          <w:color w:val="000000" w:themeColor="text1"/>
          <w:sz w:val="28"/>
          <w:szCs w:val="28"/>
        </w:rPr>
        <w:t xml:space="preserve">often results in high electron mobility, notwithstanding the wider environment of other substructures influencing the exact magnitude of the electron mobility. The three structures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w:t>
      </w:r>
      <w:r w:rsidRPr="001302E5">
        <w:rPr>
          <w:rFonts w:ascii="Times New Roman" w:hAnsi="Times New Roman"/>
          <w:b/>
          <w:color w:val="000000" w:themeColor="text1"/>
          <w:sz w:val="28"/>
          <w:szCs w:val="28"/>
        </w:rPr>
        <w:t xml:space="preserve"> 2</w:t>
      </w:r>
      <w:r w:rsidRPr="001302E5">
        <w:rPr>
          <w:rFonts w:ascii="Times New Roman" w:hAnsi="Times New Roman"/>
          <w:color w:val="000000" w:themeColor="text1"/>
          <w:sz w:val="28"/>
          <w:szCs w:val="28"/>
        </w:rPr>
        <w:t xml:space="preserve"> and </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 xml:space="preserve"> have a lower magnitude of hole mobility, ranging from 0.7 – 0.9 </w:t>
      </w:r>
      <w:r w:rsidRPr="001302E5">
        <w:rPr>
          <w:rFonts w:ascii="Times New Roman" w:eastAsia="Times New Roman" w:hAnsi="Times New Roman"/>
          <w:bCs/>
          <w:color w:val="000000" w:themeColor="text1"/>
          <w:sz w:val="28"/>
          <w:szCs w:val="28"/>
        </w:rPr>
        <w:t>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with the high hole mobility pathway running along the </w:t>
      </w:r>
      <w:r w:rsidRPr="001302E5">
        <w:rPr>
          <w:rFonts w:ascii="Times New Roman" w:hAnsi="Times New Roman"/>
          <w:color w:val="000000" w:themeColor="text1"/>
          <w:sz w:val="28"/>
          <w:szCs w:val="28"/>
        </w:rPr>
        <w:t xml:space="preserve">homochiral chain with alternating back-to-back and interlocked pairs (substructure </w:t>
      </w:r>
      <w:r w:rsidRPr="001302E5">
        <w:rPr>
          <w:rFonts w:ascii="Times New Roman" w:hAnsi="Times New Roman"/>
          <w:b/>
          <w:color w:val="000000" w:themeColor="text1"/>
          <w:sz w:val="28"/>
          <w:szCs w:val="28"/>
        </w:rPr>
        <w:t>V</w:t>
      </w:r>
      <w:r w:rsidRPr="001302E5">
        <w:rPr>
          <w:rFonts w:ascii="Times New Roman" w:hAnsi="Times New Roman"/>
          <w:color w:val="000000" w:themeColor="text1"/>
          <w:sz w:val="28"/>
          <w:szCs w:val="28"/>
        </w:rPr>
        <w:t>) for the intergrowth structure, but cutting diagonally across the same chains for the racemic and enantiopure structures, the latter not corresponding to a particular substructure.</w:t>
      </w:r>
    </w:p>
    <w:p w14:paraId="7495F158" w14:textId="77777777" w:rsidR="004D4376" w:rsidRPr="001302E5" w:rsidRDefault="004D4376">
      <w:pPr>
        <w:spacing w:line="360" w:lineRule="auto"/>
        <w:rPr>
          <w:rFonts w:ascii="Times New Roman" w:hAnsi="Times New Roman"/>
          <w:color w:val="000000" w:themeColor="text1"/>
          <w:sz w:val="28"/>
          <w:szCs w:val="28"/>
        </w:rPr>
      </w:pPr>
    </w:p>
    <w:p w14:paraId="3758A366" w14:textId="4C1038E4" w:rsidR="004D4376" w:rsidRPr="001302E5" w:rsidRDefault="004D6D89">
      <w:pPr>
        <w:jc w:val="both"/>
        <w:rPr>
          <w:rFonts w:ascii="Times New Roman" w:hAnsi="Times New Roman"/>
          <w:i/>
          <w:color w:val="000000" w:themeColor="text1"/>
          <w:sz w:val="28"/>
          <w:szCs w:val="28"/>
        </w:rPr>
      </w:pPr>
      <w:r w:rsidRPr="001302E5">
        <w:rPr>
          <w:rFonts w:ascii="Times New Roman" w:hAnsi="Times New Roman"/>
          <w:i/>
          <w:color w:val="000000" w:themeColor="text1"/>
          <w:sz w:val="28"/>
          <w:szCs w:val="28"/>
        </w:rPr>
        <w:t>Table 1: A comparison of charge carrier mobilities in the lowest energy enantiopure, rac</w:t>
      </w:r>
      <w:r w:rsidR="00E101A3" w:rsidRPr="001302E5">
        <w:rPr>
          <w:rFonts w:ascii="Times New Roman" w:hAnsi="Times New Roman"/>
          <w:i/>
          <w:color w:val="000000" w:themeColor="text1"/>
          <w:sz w:val="28"/>
          <w:szCs w:val="28"/>
        </w:rPr>
        <w:t>emic and intergrowth structures, and in the highest hole mobility structure (</w:t>
      </w:r>
      <w:r w:rsidR="00E101A3" w:rsidRPr="001302E5">
        <w:rPr>
          <w:rFonts w:ascii="Times New Roman" w:hAnsi="Times New Roman"/>
          <w:b/>
          <w:i/>
          <w:color w:val="000000" w:themeColor="text1"/>
          <w:sz w:val="28"/>
          <w:szCs w:val="28"/>
        </w:rPr>
        <w:t>4</w:t>
      </w:r>
      <w:r w:rsidR="00E101A3" w:rsidRPr="001302E5">
        <w:rPr>
          <w:rFonts w:ascii="Times New Roman" w:hAnsi="Times New Roman"/>
          <w:i/>
          <w:color w:val="000000" w:themeColor="text1"/>
          <w:sz w:val="28"/>
          <w:szCs w:val="28"/>
        </w:rPr>
        <w:t>) and highest electron mobility structure (</w:t>
      </w:r>
      <w:r w:rsidR="00E101A3" w:rsidRPr="001302E5">
        <w:rPr>
          <w:rFonts w:ascii="Times New Roman" w:hAnsi="Times New Roman"/>
          <w:b/>
          <w:i/>
          <w:color w:val="000000" w:themeColor="text1"/>
          <w:sz w:val="28"/>
          <w:szCs w:val="28"/>
        </w:rPr>
        <w:t>11</w:t>
      </w:r>
      <w:r w:rsidR="00E101A3" w:rsidRPr="001302E5">
        <w:rPr>
          <w:rFonts w:ascii="Times New Roman" w:hAnsi="Times New Roman"/>
          <w:i/>
          <w:color w:val="000000" w:themeColor="text1"/>
          <w:sz w:val="28"/>
          <w:szCs w:val="28"/>
        </w:rPr>
        <w:t>).</w:t>
      </w:r>
    </w:p>
    <w:tbl>
      <w:tblPr>
        <w:tblW w:w="0" w:type="auto"/>
        <w:tblInd w:w="6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3" w:type="dxa"/>
        </w:tblCellMar>
        <w:tblLook w:val="04A0" w:firstRow="1" w:lastRow="0" w:firstColumn="1" w:lastColumn="0" w:noHBand="0" w:noVBand="1"/>
      </w:tblPr>
      <w:tblGrid>
        <w:gridCol w:w="2309"/>
        <w:gridCol w:w="1363"/>
        <w:gridCol w:w="1679"/>
        <w:gridCol w:w="1906"/>
        <w:gridCol w:w="1909"/>
      </w:tblGrid>
      <w:tr w:rsidR="00E101A3" w:rsidRPr="001302E5" w14:paraId="7A8E5CE2" w14:textId="77777777" w:rsidTr="00E101A3">
        <w:tc>
          <w:tcPr>
            <w:tcW w:w="241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E813F38" w14:textId="77777777" w:rsidR="00E101A3" w:rsidRPr="001302E5" w:rsidRDefault="00E101A3">
            <w:pPr>
              <w:spacing w:line="360" w:lineRule="auto"/>
              <w:rPr>
                <w:rFonts w:ascii="Times New Roman" w:hAnsi="Times New Roman"/>
                <w:color w:val="000000" w:themeColor="text1"/>
                <w:sz w:val="28"/>
                <w:szCs w:val="28"/>
              </w:rPr>
            </w:pPr>
            <w:r w:rsidRPr="001302E5">
              <w:rPr>
                <w:rFonts w:ascii="Times New Roman" w:hAnsi="Times New Roman"/>
                <w:color w:val="000000" w:themeColor="text1"/>
                <w:sz w:val="28"/>
                <w:szCs w:val="28"/>
              </w:rPr>
              <w:t>Structure</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5197DF46" w14:textId="6C8752BD" w:rsidR="00E101A3" w:rsidRPr="001302E5" w:rsidRDefault="00E101A3">
            <w:pPr>
              <w:spacing w:line="360" w:lineRule="auto"/>
              <w:jc w:val="center"/>
              <w:rPr>
                <w:rFonts w:ascii="Times New Roman" w:eastAsia="Times New Roman" w:hAnsi="Times New Roman"/>
                <w:bCs/>
                <w:color w:val="000000" w:themeColor="text1"/>
                <w:sz w:val="28"/>
                <w:szCs w:val="28"/>
              </w:rPr>
            </w:pPr>
            <w:r w:rsidRPr="001302E5">
              <w:rPr>
                <w:rFonts w:ascii="Times New Roman" w:eastAsia="Times New Roman" w:hAnsi="Times New Roman"/>
                <w:bCs/>
                <w:color w:val="000000" w:themeColor="text1"/>
                <w:sz w:val="28"/>
                <w:szCs w:val="28"/>
              </w:rPr>
              <w:t>DFT Relative energy (kJ mol</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570F1FE8" w14:textId="7AB4EEAD" w:rsidR="00E101A3" w:rsidRPr="001302E5" w:rsidRDefault="00DA169F">
            <w:pPr>
              <w:spacing w:line="360" w:lineRule="auto"/>
              <w:jc w:val="center"/>
              <w:rPr>
                <w:rFonts w:ascii="Times New Roman" w:eastAsia="Times New Roman" w:hAnsi="Times New Roman"/>
                <w:bCs/>
                <w:color w:val="000000" w:themeColor="text1"/>
                <w:sz w:val="28"/>
                <w:szCs w:val="28"/>
              </w:rPr>
            </w:pPr>
            <w:r w:rsidRPr="001302E5">
              <w:rPr>
                <w:rFonts w:ascii="Times New Roman" w:eastAsia="Times New Roman" w:hAnsi="Times New Roman"/>
                <w:bCs/>
                <w:color w:val="000000" w:themeColor="text1"/>
                <w:sz w:val="28"/>
                <w:szCs w:val="28"/>
              </w:rPr>
              <w:t>Contributing substructures</w:t>
            </w:r>
          </w:p>
        </w:tc>
        <w:tc>
          <w:tcPr>
            <w:tcW w:w="19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F6325E8" w14:textId="18A041F5" w:rsidR="00E101A3" w:rsidRPr="001302E5" w:rsidRDefault="00E101A3">
            <w:pPr>
              <w:spacing w:line="360" w:lineRule="auto"/>
              <w:jc w:val="center"/>
              <w:rPr>
                <w:rFonts w:ascii="Times New Roman" w:eastAsia="Times New Roman" w:hAnsi="Times New Roman"/>
                <w:bCs/>
                <w:color w:val="000000" w:themeColor="text1"/>
                <w:sz w:val="28"/>
                <w:szCs w:val="28"/>
              </w:rPr>
            </w:pPr>
            <w:r w:rsidRPr="001302E5">
              <w:rPr>
                <w:rFonts w:ascii="Times New Roman" w:eastAsia="Times New Roman" w:hAnsi="Times New Roman"/>
                <w:bCs/>
                <w:color w:val="000000" w:themeColor="text1"/>
                <w:sz w:val="28"/>
                <w:szCs w:val="28"/>
              </w:rPr>
              <w:t>Maximum hole mobility (cm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9B1F199" w14:textId="77777777" w:rsidR="00E101A3" w:rsidRPr="001302E5" w:rsidRDefault="00E101A3">
            <w:pPr>
              <w:spacing w:line="360" w:lineRule="auto"/>
              <w:jc w:val="center"/>
              <w:rPr>
                <w:rFonts w:ascii="Times New Roman" w:eastAsia="Times New Roman" w:hAnsi="Times New Roman"/>
                <w:bCs/>
                <w:color w:val="000000" w:themeColor="text1"/>
                <w:sz w:val="28"/>
                <w:szCs w:val="28"/>
              </w:rPr>
            </w:pPr>
            <w:r w:rsidRPr="001302E5">
              <w:rPr>
                <w:rFonts w:ascii="Times New Roman" w:eastAsia="Times New Roman" w:hAnsi="Times New Roman"/>
                <w:bCs/>
                <w:color w:val="000000" w:themeColor="text1"/>
                <w:sz w:val="28"/>
                <w:szCs w:val="28"/>
              </w:rPr>
              <w:t>Maximum electron mobility (cm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w:t>
            </w:r>
          </w:p>
        </w:tc>
      </w:tr>
      <w:tr w:rsidR="00E101A3" w:rsidRPr="001302E5" w14:paraId="31442975" w14:textId="77777777" w:rsidTr="00E101A3">
        <w:trPr>
          <w:trHeight w:val="464"/>
        </w:trPr>
        <w:tc>
          <w:tcPr>
            <w:tcW w:w="241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28E564B" w14:textId="77777777" w:rsidR="00E101A3" w:rsidRPr="001302E5" w:rsidRDefault="00E101A3">
            <w:pPr>
              <w:spacing w:line="360" w:lineRule="auto"/>
              <w:rPr>
                <w:rFonts w:ascii="Times New Roman" w:hAnsi="Times New Roman"/>
                <w:color w:val="000000" w:themeColor="text1"/>
                <w:sz w:val="28"/>
                <w:szCs w:val="28"/>
              </w:rPr>
            </w:pPr>
            <w:r w:rsidRPr="001302E5">
              <w:rPr>
                <w:rFonts w:ascii="Times New Roman" w:hAnsi="Times New Roman"/>
                <w:color w:val="000000" w:themeColor="text1"/>
                <w:sz w:val="28"/>
                <w:szCs w:val="28"/>
              </w:rPr>
              <w:t>Enantiopure (</w:t>
            </w:r>
            <w:r w:rsidRPr="001302E5">
              <w:rPr>
                <w:rFonts w:ascii="Times New Roman" w:hAnsi="Times New Roman"/>
                <w:b/>
                <w:color w:val="000000" w:themeColor="text1"/>
                <w:sz w:val="28"/>
                <w:szCs w:val="28"/>
              </w:rPr>
              <w:t>1</w:t>
            </w:r>
            <w:r w:rsidRPr="001302E5">
              <w:rPr>
                <w:rFonts w:ascii="Times New Roman" w:hAnsi="Times New Roman"/>
                <w:color w:val="000000" w:themeColor="text1"/>
                <w:sz w:val="28"/>
                <w:szCs w:val="28"/>
              </w:rPr>
              <w:t>, HEXHEL)</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7A14FDF8" w14:textId="47CB6E22" w:rsidR="00E101A3" w:rsidRPr="001302E5" w:rsidRDefault="00DA169F">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0.0</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329713CE" w14:textId="5DE0B3BB" w:rsidR="00E101A3" w:rsidRPr="001302E5" w:rsidRDefault="00FD1EAA" w:rsidP="00FD1EAA">
            <w:pPr>
              <w:spacing w:line="360" w:lineRule="auto"/>
              <w:jc w:val="center"/>
              <w:rPr>
                <w:rFonts w:ascii="Times New Roman" w:hAnsi="Times New Roman"/>
                <w:color w:val="000000" w:themeColor="text1"/>
                <w:sz w:val="28"/>
                <w:szCs w:val="28"/>
              </w:rPr>
            </w:pP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II</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IV</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V</w:t>
            </w:r>
          </w:p>
        </w:tc>
        <w:tc>
          <w:tcPr>
            <w:tcW w:w="19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9914F63" w14:textId="7A47E131" w:rsidR="00E101A3" w:rsidRPr="001302E5" w:rsidRDefault="00E101A3">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0.73</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69F887F" w14:textId="77777777" w:rsidR="00E101A3" w:rsidRPr="001302E5" w:rsidRDefault="00E101A3">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2.15</w:t>
            </w:r>
          </w:p>
        </w:tc>
      </w:tr>
      <w:tr w:rsidR="00E101A3" w:rsidRPr="001302E5" w14:paraId="426B2BA8" w14:textId="77777777" w:rsidTr="00E101A3">
        <w:tc>
          <w:tcPr>
            <w:tcW w:w="241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1EF7459F" w14:textId="77777777" w:rsidR="00E101A3" w:rsidRPr="001302E5" w:rsidRDefault="00E101A3">
            <w:pPr>
              <w:spacing w:line="360" w:lineRule="auto"/>
              <w:rPr>
                <w:rFonts w:ascii="Times New Roman" w:hAnsi="Times New Roman"/>
                <w:color w:val="000000" w:themeColor="text1"/>
                <w:sz w:val="28"/>
                <w:szCs w:val="28"/>
              </w:rPr>
            </w:pPr>
            <w:r w:rsidRPr="001302E5">
              <w:rPr>
                <w:rFonts w:ascii="Times New Roman" w:hAnsi="Times New Roman"/>
                <w:color w:val="000000" w:themeColor="text1"/>
                <w:sz w:val="28"/>
                <w:szCs w:val="28"/>
              </w:rPr>
              <w:t>Racemic (</w:t>
            </w:r>
            <w:r w:rsidRPr="001302E5">
              <w:rPr>
                <w:rFonts w:ascii="Times New Roman" w:hAnsi="Times New Roman"/>
                <w:b/>
                <w:color w:val="000000" w:themeColor="text1"/>
                <w:sz w:val="28"/>
                <w:szCs w:val="28"/>
              </w:rPr>
              <w:t>3</w:t>
            </w:r>
            <w:r w:rsidRPr="001302E5">
              <w:rPr>
                <w:rFonts w:ascii="Times New Roman" w:hAnsi="Times New Roman"/>
                <w:color w:val="000000" w:themeColor="text1"/>
                <w:sz w:val="28"/>
                <w:szCs w:val="28"/>
              </w:rPr>
              <w:t>)</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08F111E2" w14:textId="624CDB73" w:rsidR="00E101A3" w:rsidRPr="001302E5" w:rsidRDefault="00DA169F">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0.8</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65510947" w14:textId="5DCB0CE6" w:rsidR="00E101A3" w:rsidRPr="001302E5" w:rsidRDefault="00FD1EAA">
            <w:pPr>
              <w:spacing w:line="360" w:lineRule="auto"/>
              <w:jc w:val="center"/>
              <w:rPr>
                <w:rFonts w:ascii="Times New Roman" w:hAnsi="Times New Roman"/>
                <w:color w:val="000000" w:themeColor="text1"/>
                <w:sz w:val="28"/>
                <w:szCs w:val="28"/>
              </w:rPr>
            </w:pP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II</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IV</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V</w:t>
            </w:r>
          </w:p>
        </w:tc>
        <w:tc>
          <w:tcPr>
            <w:tcW w:w="19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0F36AF9E" w14:textId="68DF9B2D" w:rsidR="00E101A3" w:rsidRPr="001302E5" w:rsidRDefault="00E101A3">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0.92</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FFC057C" w14:textId="77777777" w:rsidR="00E101A3" w:rsidRPr="001302E5" w:rsidRDefault="00E101A3">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2.24</w:t>
            </w:r>
          </w:p>
        </w:tc>
      </w:tr>
      <w:tr w:rsidR="00E101A3" w:rsidRPr="001302E5" w14:paraId="38D4A68B" w14:textId="77777777" w:rsidTr="00DA169F">
        <w:trPr>
          <w:trHeight w:val="451"/>
        </w:trPr>
        <w:tc>
          <w:tcPr>
            <w:tcW w:w="241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24769C0F" w14:textId="77777777" w:rsidR="00E101A3" w:rsidRPr="001302E5" w:rsidRDefault="00E101A3">
            <w:pPr>
              <w:spacing w:line="360" w:lineRule="auto"/>
              <w:rPr>
                <w:rFonts w:ascii="Times New Roman" w:hAnsi="Times New Roman"/>
                <w:color w:val="000000" w:themeColor="text1"/>
                <w:sz w:val="28"/>
                <w:szCs w:val="28"/>
              </w:rPr>
            </w:pPr>
            <w:r w:rsidRPr="001302E5">
              <w:rPr>
                <w:rFonts w:ascii="Times New Roman" w:hAnsi="Times New Roman"/>
                <w:color w:val="000000" w:themeColor="text1"/>
                <w:sz w:val="28"/>
                <w:szCs w:val="28"/>
              </w:rPr>
              <w:t>Intergrowth (</w:t>
            </w:r>
            <w:r w:rsidRPr="001302E5">
              <w:rPr>
                <w:rFonts w:ascii="Times New Roman" w:hAnsi="Times New Roman"/>
                <w:b/>
                <w:color w:val="000000" w:themeColor="text1"/>
                <w:sz w:val="28"/>
                <w:szCs w:val="28"/>
              </w:rPr>
              <w:t>2</w:t>
            </w:r>
            <w:r w:rsidRPr="001302E5">
              <w:rPr>
                <w:rFonts w:ascii="Times New Roman" w:hAnsi="Times New Roman"/>
                <w:color w:val="000000" w:themeColor="text1"/>
                <w:sz w:val="28"/>
                <w:szCs w:val="28"/>
              </w:rPr>
              <w:t>)</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11FCAA3A" w14:textId="398BC775" w:rsidR="00E101A3" w:rsidRPr="001302E5" w:rsidRDefault="00DA169F">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0.6</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08FEB5D1" w14:textId="51BABB41" w:rsidR="00E101A3" w:rsidRPr="001302E5" w:rsidRDefault="00FD1EAA">
            <w:pPr>
              <w:spacing w:line="360" w:lineRule="auto"/>
              <w:jc w:val="center"/>
              <w:rPr>
                <w:rFonts w:ascii="Times New Roman" w:hAnsi="Times New Roman"/>
                <w:color w:val="000000" w:themeColor="text1"/>
                <w:sz w:val="28"/>
                <w:szCs w:val="28"/>
              </w:rPr>
            </w:pP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II</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IV</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V</w:t>
            </w:r>
          </w:p>
        </w:tc>
        <w:tc>
          <w:tcPr>
            <w:tcW w:w="19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754D9E9F" w14:textId="70DDD343" w:rsidR="00E101A3" w:rsidRPr="001302E5" w:rsidRDefault="00E101A3">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0.74</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DCB3C4A" w14:textId="77777777" w:rsidR="00E101A3" w:rsidRPr="001302E5" w:rsidRDefault="00E101A3">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1.89</w:t>
            </w:r>
          </w:p>
        </w:tc>
      </w:tr>
      <w:tr w:rsidR="00E101A3" w:rsidRPr="001302E5" w14:paraId="67F2A8E8" w14:textId="77777777" w:rsidTr="00E101A3">
        <w:tc>
          <w:tcPr>
            <w:tcW w:w="241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5A44ECD" w14:textId="44FD1208" w:rsidR="00E101A3" w:rsidRPr="001302E5" w:rsidRDefault="00E101A3">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lastRenderedPageBreak/>
              <w:t>4</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1D6BFCFE" w14:textId="426FB6EF" w:rsidR="00E101A3" w:rsidRPr="001302E5" w:rsidRDefault="00DA169F">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1.1</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2A4425C8" w14:textId="4EAE7C16" w:rsidR="00E101A3" w:rsidRPr="001302E5" w:rsidRDefault="00FD1EAA">
            <w:pPr>
              <w:spacing w:line="360" w:lineRule="auto"/>
              <w:jc w:val="center"/>
              <w:rPr>
                <w:rFonts w:ascii="Times New Roman" w:hAnsi="Times New Roman"/>
                <w:color w:val="000000" w:themeColor="text1"/>
                <w:sz w:val="28"/>
                <w:szCs w:val="28"/>
              </w:rPr>
            </w:pPr>
            <w:r w:rsidRPr="001302E5">
              <w:rPr>
                <w:rFonts w:ascii="Times New Roman" w:hAnsi="Times New Roman"/>
                <w:b/>
                <w:color w:val="000000" w:themeColor="text1"/>
                <w:sz w:val="28"/>
                <w:szCs w:val="28"/>
              </w:rPr>
              <w:t>IX</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X</w:t>
            </w:r>
          </w:p>
        </w:tc>
        <w:tc>
          <w:tcPr>
            <w:tcW w:w="19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6B6FECF4" w14:textId="0FF6D00E" w:rsidR="00E101A3" w:rsidRPr="001302E5" w:rsidRDefault="00DA56E6">
            <w:pPr>
              <w:spacing w:line="360" w:lineRule="auto"/>
              <w:jc w:val="center"/>
              <w:rPr>
                <w:rFonts w:ascii="Times New Roman" w:hAnsi="Times New Roman"/>
                <w:color w:val="000000" w:themeColor="text1"/>
                <w:sz w:val="28"/>
                <w:szCs w:val="28"/>
              </w:rPr>
            </w:pPr>
            <w:r w:rsidRPr="001302E5">
              <w:rPr>
                <w:rFonts w:ascii="Times New Roman" w:eastAsia="Times New Roman" w:hAnsi="Times New Roman"/>
                <w:color w:val="000000" w:themeColor="text1"/>
                <w:sz w:val="28"/>
                <w:szCs w:val="28"/>
              </w:rPr>
              <w:t>2.00</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3FE24EB7" w14:textId="5B7E2129" w:rsidR="00E101A3" w:rsidRPr="001302E5" w:rsidRDefault="00DA56E6">
            <w:pPr>
              <w:spacing w:line="360" w:lineRule="auto"/>
              <w:jc w:val="center"/>
              <w:rPr>
                <w:rFonts w:ascii="Times New Roman" w:hAnsi="Times New Roman"/>
                <w:color w:val="000000" w:themeColor="text1"/>
                <w:sz w:val="28"/>
                <w:szCs w:val="28"/>
              </w:rPr>
            </w:pPr>
            <w:r w:rsidRPr="001302E5">
              <w:rPr>
                <w:rFonts w:ascii="Times New Roman" w:eastAsia="Times New Roman" w:hAnsi="Times New Roman"/>
                <w:color w:val="000000" w:themeColor="text1"/>
                <w:sz w:val="28"/>
                <w:szCs w:val="28"/>
              </w:rPr>
              <w:t>0.80</w:t>
            </w:r>
          </w:p>
        </w:tc>
      </w:tr>
      <w:tr w:rsidR="00E101A3" w:rsidRPr="001302E5" w14:paraId="4C5DC937" w14:textId="77777777" w:rsidTr="00E101A3">
        <w:tc>
          <w:tcPr>
            <w:tcW w:w="241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71841A2" w14:textId="3BA98896" w:rsidR="00E101A3" w:rsidRPr="001302E5" w:rsidRDefault="00E101A3">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t>11</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5C8C687B" w14:textId="52C9CA16" w:rsidR="00E101A3" w:rsidRPr="001302E5" w:rsidRDefault="00DA169F">
            <w:pPr>
              <w:spacing w:line="360" w:lineRule="auto"/>
              <w:jc w:val="center"/>
              <w:rPr>
                <w:rFonts w:ascii="Times New Roman" w:hAnsi="Times New Roman"/>
                <w:color w:val="000000" w:themeColor="text1"/>
                <w:sz w:val="28"/>
                <w:szCs w:val="28"/>
              </w:rPr>
            </w:pPr>
            <w:r w:rsidRPr="001302E5">
              <w:rPr>
                <w:rFonts w:ascii="Times New Roman" w:hAnsi="Times New Roman"/>
                <w:color w:val="000000" w:themeColor="text1"/>
                <w:sz w:val="28"/>
                <w:szCs w:val="28"/>
              </w:rPr>
              <w:t>4.6</w:t>
            </w:r>
          </w:p>
        </w:tc>
        <w:tc>
          <w:tcPr>
            <w:tcW w:w="1395" w:type="dxa"/>
            <w:tcBorders>
              <w:top w:val="single" w:sz="4" w:space="0" w:color="00000A"/>
              <w:left w:val="single" w:sz="4" w:space="0" w:color="00000A"/>
              <w:bottom w:val="single" w:sz="4" w:space="0" w:color="00000A"/>
              <w:right w:val="single" w:sz="4" w:space="0" w:color="00000A"/>
            </w:tcBorders>
            <w:shd w:val="clear" w:color="auto" w:fill="FFFFFF"/>
          </w:tcPr>
          <w:p w14:paraId="6A622235" w14:textId="541C1546" w:rsidR="00E101A3" w:rsidRPr="001302E5" w:rsidRDefault="00FD1EAA">
            <w:pPr>
              <w:spacing w:line="360" w:lineRule="auto"/>
              <w:jc w:val="center"/>
              <w:rPr>
                <w:rFonts w:ascii="Times New Roman" w:hAnsi="Times New Roman"/>
                <w:color w:val="000000" w:themeColor="text1"/>
                <w:sz w:val="28"/>
                <w:szCs w:val="28"/>
              </w:rPr>
            </w:pP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 xml:space="preserve">, </w:t>
            </w:r>
            <w:r w:rsidRPr="001302E5">
              <w:rPr>
                <w:rFonts w:ascii="Times New Roman" w:hAnsi="Times New Roman"/>
                <w:b/>
                <w:color w:val="000000" w:themeColor="text1"/>
                <w:sz w:val="28"/>
                <w:szCs w:val="28"/>
              </w:rPr>
              <w:t>III</w:t>
            </w:r>
          </w:p>
        </w:tc>
        <w:tc>
          <w:tcPr>
            <w:tcW w:w="1981"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589ACD33" w14:textId="46290E8A" w:rsidR="00E101A3" w:rsidRPr="001302E5" w:rsidRDefault="00DA56E6">
            <w:pPr>
              <w:spacing w:line="360" w:lineRule="auto"/>
              <w:jc w:val="center"/>
              <w:rPr>
                <w:rFonts w:ascii="Times New Roman" w:hAnsi="Times New Roman"/>
                <w:color w:val="000000" w:themeColor="text1"/>
                <w:sz w:val="28"/>
                <w:szCs w:val="28"/>
              </w:rPr>
            </w:pPr>
            <w:r w:rsidRPr="001302E5">
              <w:rPr>
                <w:rFonts w:ascii="Times New Roman" w:eastAsia="Times New Roman" w:hAnsi="Times New Roman"/>
                <w:color w:val="000000" w:themeColor="text1"/>
                <w:sz w:val="28"/>
                <w:szCs w:val="28"/>
              </w:rPr>
              <w:t>0.41</w:t>
            </w:r>
          </w:p>
        </w:tc>
        <w:tc>
          <w:tcPr>
            <w:tcW w:w="1984" w:type="dxa"/>
            <w:tcBorders>
              <w:top w:val="single" w:sz="4" w:space="0" w:color="00000A"/>
              <w:left w:val="single" w:sz="4" w:space="0" w:color="00000A"/>
              <w:bottom w:val="single" w:sz="4" w:space="0" w:color="00000A"/>
              <w:right w:val="single" w:sz="4" w:space="0" w:color="00000A"/>
            </w:tcBorders>
            <w:shd w:val="clear" w:color="auto" w:fill="FFFFFF"/>
            <w:tcMar>
              <w:left w:w="93" w:type="dxa"/>
            </w:tcMar>
          </w:tcPr>
          <w:p w14:paraId="45BF0634" w14:textId="58F90893" w:rsidR="00E101A3" w:rsidRPr="001302E5" w:rsidRDefault="00DA56E6">
            <w:pPr>
              <w:spacing w:line="360" w:lineRule="auto"/>
              <w:jc w:val="center"/>
              <w:rPr>
                <w:rFonts w:ascii="Times New Roman" w:hAnsi="Times New Roman"/>
                <w:color w:val="000000" w:themeColor="text1"/>
                <w:sz w:val="28"/>
                <w:szCs w:val="28"/>
              </w:rPr>
            </w:pPr>
            <w:r w:rsidRPr="001302E5">
              <w:rPr>
                <w:rFonts w:ascii="Times New Roman" w:eastAsia="Times New Roman" w:hAnsi="Times New Roman"/>
                <w:color w:val="000000" w:themeColor="text1"/>
                <w:sz w:val="28"/>
                <w:szCs w:val="28"/>
              </w:rPr>
              <w:t>2.90</w:t>
            </w:r>
          </w:p>
        </w:tc>
      </w:tr>
    </w:tbl>
    <w:p w14:paraId="0E03B733" w14:textId="77777777" w:rsidR="004D4376" w:rsidRPr="001302E5" w:rsidRDefault="004D4376">
      <w:pPr>
        <w:spacing w:line="360" w:lineRule="auto"/>
        <w:rPr>
          <w:rFonts w:ascii="Times New Roman" w:hAnsi="Times New Roman"/>
          <w:color w:val="000000" w:themeColor="text1"/>
          <w:sz w:val="28"/>
          <w:szCs w:val="28"/>
          <w:shd w:val="clear" w:color="auto" w:fill="FFFF00"/>
        </w:rPr>
      </w:pPr>
    </w:p>
    <w:p w14:paraId="3F97CB83" w14:textId="77777777" w:rsidR="004D4376" w:rsidRPr="001302E5" w:rsidRDefault="004D4376">
      <w:pPr>
        <w:spacing w:line="360" w:lineRule="auto"/>
        <w:rPr>
          <w:rFonts w:ascii="Times New Roman" w:hAnsi="Times New Roman"/>
          <w:b/>
          <w:color w:val="000000" w:themeColor="text1"/>
          <w:sz w:val="28"/>
          <w:szCs w:val="28"/>
          <w:u w:val="single"/>
        </w:rPr>
      </w:pPr>
    </w:p>
    <w:p w14:paraId="3D672BF8" w14:textId="77777777" w:rsidR="004D4376" w:rsidRPr="001302E5" w:rsidRDefault="004D6D89">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t>Conclusions</w:t>
      </w:r>
    </w:p>
    <w:p w14:paraId="3A0E9898"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b/>
          <w:color w:val="000000" w:themeColor="text1"/>
          <w:sz w:val="28"/>
          <w:szCs w:val="28"/>
        </w:rPr>
        <w:tab/>
      </w:r>
      <w:r w:rsidRPr="001302E5">
        <w:rPr>
          <w:rFonts w:ascii="Times New Roman" w:hAnsi="Times New Roman"/>
          <w:color w:val="000000" w:themeColor="text1"/>
          <w:sz w:val="28"/>
          <w:szCs w:val="28"/>
        </w:rPr>
        <w:t xml:space="preserve">In summary, we have used computational simulations to explore the energy-structure-function relationships for the [6]helicene molecule, considering its potential use as a material in organic semiconductor devices. Making use of CSP methods and DFT-XDM computations, we predicted the energetic ordering of possible crystal packings of [6]helicene. This approach correctly predicts the lowest energy enantiopure structure that has been experimentally observed, as well as explaining why an intergrowth structure is preferentially formed over a racemate crystal structure. Energetically low-lying polymorphs of [6]helicene combine homochiral chains with translational symmetry (substructure </w:t>
      </w: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 xml:space="preserve">), as well as perpendicular chains with alternating pairs of interlocked and back-to-back homochiral helicenes (substructure </w:t>
      </w:r>
      <w:r w:rsidRPr="001302E5">
        <w:rPr>
          <w:rFonts w:ascii="Times New Roman" w:hAnsi="Times New Roman"/>
          <w:b/>
          <w:color w:val="000000" w:themeColor="text1"/>
          <w:sz w:val="28"/>
          <w:szCs w:val="28"/>
        </w:rPr>
        <w:t>V</w:t>
      </w:r>
      <w:r w:rsidRPr="001302E5">
        <w:rPr>
          <w:rFonts w:ascii="Times New Roman" w:hAnsi="Times New Roman"/>
          <w:color w:val="000000" w:themeColor="text1"/>
          <w:sz w:val="28"/>
          <w:szCs w:val="28"/>
        </w:rPr>
        <w:t xml:space="preserve">). The 3-dimensional arrangement of these chains, and the degree to which they maximise non-covalent interactions determines the observed forms. </w:t>
      </w:r>
    </w:p>
    <w:p w14:paraId="5D00CE57" w14:textId="517578C2" w:rsidR="004D4376" w:rsidRPr="001302E5" w:rsidRDefault="004D6D89">
      <w:pPr>
        <w:spacing w:line="360" w:lineRule="auto"/>
        <w:jc w:val="both"/>
        <w:rPr>
          <w:rFonts w:ascii="Times New Roman" w:eastAsia="Times New Roman" w:hAnsi="Times New Roman"/>
          <w:bCs/>
          <w:color w:val="000000" w:themeColor="text1"/>
          <w:sz w:val="28"/>
          <w:szCs w:val="28"/>
        </w:rPr>
      </w:pPr>
      <w:r w:rsidRPr="001302E5">
        <w:rPr>
          <w:rFonts w:ascii="Times New Roman" w:hAnsi="Times New Roman"/>
          <w:color w:val="000000" w:themeColor="text1"/>
          <w:sz w:val="28"/>
          <w:szCs w:val="28"/>
        </w:rPr>
        <w:tab/>
        <w:t xml:space="preserve">Through the use of charge carrier mobility calculations, we determined that energetically low-lying [6]helicene polymorphs have promising carrier mobility, with the highest calculated hole mobility of 2.0 </w:t>
      </w:r>
      <w:r w:rsidRPr="001302E5">
        <w:rPr>
          <w:rFonts w:ascii="Times New Roman" w:eastAsia="Times New Roman" w:hAnsi="Times New Roman"/>
          <w:bCs/>
          <w:color w:val="000000" w:themeColor="text1"/>
          <w:sz w:val="28"/>
          <w:szCs w:val="28"/>
        </w:rPr>
        <w:t>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hAnsi="Times New Roman"/>
          <w:color w:val="000000" w:themeColor="text1"/>
          <w:sz w:val="28"/>
          <w:szCs w:val="28"/>
        </w:rPr>
        <w:t xml:space="preserve"> and the highest electron mobility of 2.9 </w:t>
      </w:r>
      <w:r w:rsidRPr="001302E5">
        <w:rPr>
          <w:rFonts w:ascii="Times New Roman" w:eastAsia="Times New Roman" w:hAnsi="Times New Roman"/>
          <w:bCs/>
          <w:color w:val="000000" w:themeColor="text1"/>
          <w:sz w:val="28"/>
          <w:szCs w:val="28"/>
        </w:rPr>
        <w:t>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Whilst these highest calculated mobilities are not found in the lowest energy polymorphs, they are found in structures that are potentially observable</w:t>
      </w:r>
      <w:r w:rsidR="00B16A2A" w:rsidRPr="001302E5">
        <w:rPr>
          <w:rFonts w:ascii="Times New Roman" w:eastAsia="Times New Roman" w:hAnsi="Times New Roman"/>
          <w:bCs/>
          <w:color w:val="000000" w:themeColor="text1"/>
          <w:sz w:val="28"/>
          <w:szCs w:val="28"/>
        </w:rPr>
        <w:t xml:space="preserve"> on a thermodynamic basis</w:t>
      </w:r>
      <w:r w:rsidRPr="001302E5">
        <w:rPr>
          <w:rFonts w:ascii="Times New Roman" w:eastAsia="Times New Roman" w:hAnsi="Times New Roman"/>
          <w:bCs/>
          <w:color w:val="000000" w:themeColor="text1"/>
          <w:sz w:val="28"/>
          <w:szCs w:val="28"/>
        </w:rPr>
        <w:t>, based on relative energies of 1.1 and 4.6 kJ mol</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relative to the global minimum for the hole and electron carriers respectively. Comparably high electron mobility (exceeding </w:t>
      </w:r>
      <w:r w:rsidRPr="001302E5">
        <w:rPr>
          <w:rFonts w:ascii="Times New Roman" w:hAnsi="Times New Roman"/>
          <w:color w:val="000000" w:themeColor="text1"/>
          <w:sz w:val="28"/>
          <w:szCs w:val="28"/>
        </w:rPr>
        <w:t xml:space="preserve">1.0 </w:t>
      </w:r>
      <w:r w:rsidRPr="001302E5">
        <w:rPr>
          <w:rFonts w:ascii="Times New Roman" w:eastAsia="Times New Roman" w:hAnsi="Times New Roman"/>
          <w:bCs/>
          <w:color w:val="000000" w:themeColor="text1"/>
          <w:sz w:val="28"/>
          <w:szCs w:val="28"/>
        </w:rPr>
        <w:t>cm</w:t>
      </w:r>
      <w:r w:rsidRPr="001302E5">
        <w:rPr>
          <w:rFonts w:ascii="Times New Roman" w:eastAsia="Times New Roman" w:hAnsi="Times New Roman"/>
          <w:bCs/>
          <w:color w:val="000000" w:themeColor="text1"/>
          <w:sz w:val="28"/>
          <w:szCs w:val="28"/>
          <w:vertAlign w:val="superscript"/>
        </w:rPr>
        <w:t>2</w:t>
      </w:r>
      <w:r w:rsidRPr="001302E5">
        <w:rPr>
          <w:rFonts w:ascii="Times New Roman" w:eastAsia="Times New Roman" w:hAnsi="Times New Roman"/>
          <w:bCs/>
          <w:color w:val="000000" w:themeColor="text1"/>
          <w:sz w:val="28"/>
          <w:szCs w:val="28"/>
        </w:rPr>
        <w:t xml:space="preserve"> V</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xml:space="preserve"> s</w:t>
      </w:r>
      <w:r w:rsidRPr="001302E5">
        <w:rPr>
          <w:rFonts w:ascii="Times New Roman" w:eastAsia="Times New Roman" w:hAnsi="Times New Roman"/>
          <w:bCs/>
          <w:color w:val="000000" w:themeColor="text1"/>
          <w:sz w:val="28"/>
          <w:szCs w:val="28"/>
          <w:vertAlign w:val="superscript"/>
        </w:rPr>
        <w:t>-1</w:t>
      </w:r>
      <w:r w:rsidRPr="001302E5">
        <w:rPr>
          <w:rFonts w:ascii="Times New Roman" w:eastAsia="Times New Roman" w:hAnsi="Times New Roman"/>
          <w:bCs/>
          <w:color w:val="000000" w:themeColor="text1"/>
          <w:sz w:val="28"/>
          <w:szCs w:val="28"/>
        </w:rPr>
        <w:t>) was found to occur in almost two-thirds of the structures, suggesting the experimental investigation of electron mobility in [6]helicene is particularly promising.</w:t>
      </w:r>
    </w:p>
    <w:p w14:paraId="02F8D89E"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lastRenderedPageBreak/>
        <w:tab/>
        <w:t xml:space="preserve">We further explored how charge carrier mobility relates to the energy-structure landscape of [6]helicene. We explored the relationship between hole and electron mobility, with the relative energy, density and anisotropy of carrier mobility for the structure. There were no strong correlations for these properties, but we were able to identify certain substructures that are associated with high hole mobility and high electron mobility. The substructure that resulted in the highest hole mobility was found to be a homochiral chain with translational symmetry, arranged in a herringbone packing (substructure </w:t>
      </w:r>
      <w:r w:rsidRPr="001302E5">
        <w:rPr>
          <w:rFonts w:ascii="Times New Roman" w:hAnsi="Times New Roman"/>
          <w:b/>
          <w:color w:val="000000" w:themeColor="text1"/>
          <w:sz w:val="28"/>
          <w:szCs w:val="28"/>
        </w:rPr>
        <w:t>X</w:t>
      </w:r>
      <w:r w:rsidRPr="001302E5">
        <w:rPr>
          <w:rFonts w:ascii="Times New Roman" w:hAnsi="Times New Roman"/>
          <w:color w:val="000000" w:themeColor="text1"/>
          <w:sz w:val="28"/>
          <w:szCs w:val="28"/>
        </w:rPr>
        <w:t xml:space="preserve">). This substructure was relatively rare across the energetically low-lying [6]helicene polymorphs, being found in only 11% of the structures sampled. The substructure that resulted in the highest electron mobility was a chain of homochiral helicenes with translational symmetry (substructure </w:t>
      </w:r>
      <w:r w:rsidRPr="001302E5">
        <w:rPr>
          <w:rFonts w:ascii="Times New Roman" w:hAnsi="Times New Roman"/>
          <w:b/>
          <w:color w:val="000000" w:themeColor="text1"/>
          <w:sz w:val="28"/>
          <w:szCs w:val="28"/>
        </w:rPr>
        <w:t>I</w:t>
      </w:r>
      <w:r w:rsidRPr="001302E5">
        <w:rPr>
          <w:rFonts w:ascii="Times New Roman" w:hAnsi="Times New Roman"/>
          <w:color w:val="000000" w:themeColor="text1"/>
          <w:sz w:val="28"/>
          <w:szCs w:val="28"/>
        </w:rPr>
        <w:t xml:space="preserve">). It was the most frequently occurring substructure, being found in 63% of the polymorphs, including in the three lowest energy structures. </w:t>
      </w:r>
    </w:p>
    <w:p w14:paraId="1F9AE64A"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b/>
        <w:t xml:space="preserve">We highlight the potential for our computational approach to be used in the future to help screen for molecules with desirable solid-state structures and/or properties. For example, if a synthetic chemist wishes to develop a chiral molecule that has a preferential type of packing combined with high, anisotropic hole mobility, then our approach can help narrow the selection to the most promising candidates. Our insight into the relationship between packing and charge mobility for a single molecule has helped us to test or to go beyond intuitive assumptions about what types of molecular packing are desired for a given property. For example, for helicenes, chemical intuition might lead one to expect that helical columns would lead to high carrier mobility, however our calculations for [6]helicene suggested alternative, not intuitively obvious, substructures, to be the most promising charge carriers. Beyond these lessons for the design of materials for organic semiconductors, we note that there may be lost opportunities in the laboratory, based upon the fact that the </w:t>
      </w:r>
      <w:r w:rsidRPr="001302E5">
        <w:rPr>
          <w:rFonts w:ascii="Times New Roman" w:hAnsi="Times New Roman"/>
          <w:color w:val="000000" w:themeColor="text1"/>
          <w:sz w:val="28"/>
          <w:szCs w:val="28"/>
        </w:rPr>
        <w:lastRenderedPageBreak/>
        <w:t xml:space="preserve">characterisation of the performance of a single crystal structure may neglect enhanced properties for alternative polymorphs of the materials.  </w:t>
      </w:r>
    </w:p>
    <w:p w14:paraId="148163E7" w14:textId="77777777" w:rsidR="004D4376" w:rsidRPr="001302E5" w:rsidRDefault="004D4376">
      <w:pPr>
        <w:spacing w:line="360" w:lineRule="auto"/>
        <w:rPr>
          <w:rFonts w:ascii="Times New Roman" w:hAnsi="Times New Roman"/>
          <w:color w:val="000000" w:themeColor="text1"/>
          <w:sz w:val="28"/>
          <w:szCs w:val="28"/>
        </w:rPr>
      </w:pPr>
    </w:p>
    <w:p w14:paraId="00110492" w14:textId="77777777" w:rsidR="004D4376" w:rsidRPr="001302E5" w:rsidRDefault="004D4376">
      <w:pPr>
        <w:spacing w:line="360" w:lineRule="auto"/>
        <w:rPr>
          <w:rFonts w:ascii="Times New Roman" w:hAnsi="Times New Roman"/>
          <w:color w:val="000000" w:themeColor="text1"/>
          <w:sz w:val="28"/>
          <w:szCs w:val="28"/>
        </w:rPr>
      </w:pPr>
    </w:p>
    <w:p w14:paraId="27E9110F" w14:textId="77777777" w:rsidR="004D4376" w:rsidRPr="001302E5" w:rsidRDefault="004D6D89">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t>Supporting information</w:t>
      </w:r>
    </w:p>
    <w:p w14:paraId="334032E2"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Additional details regarding the methods, additional tables and figures, as well as structure files for both the low-lying predicted structures and commonly occurring substructures are supplied in the supporting information.</w:t>
      </w:r>
    </w:p>
    <w:p w14:paraId="40ECE5B0" w14:textId="77777777" w:rsidR="004D4376" w:rsidRPr="001302E5" w:rsidRDefault="004D4376">
      <w:pPr>
        <w:spacing w:line="360" w:lineRule="auto"/>
        <w:jc w:val="both"/>
        <w:rPr>
          <w:rFonts w:ascii="Times New Roman" w:hAnsi="Times New Roman"/>
          <w:color w:val="000000" w:themeColor="text1"/>
          <w:sz w:val="28"/>
          <w:szCs w:val="28"/>
        </w:rPr>
      </w:pPr>
    </w:p>
    <w:p w14:paraId="5B3465C1" w14:textId="77777777" w:rsidR="004D4376" w:rsidRPr="001302E5" w:rsidRDefault="004D6D89">
      <w:pPr>
        <w:spacing w:line="360" w:lineRule="auto"/>
        <w:jc w:val="both"/>
        <w:rPr>
          <w:rFonts w:ascii="Times New Roman" w:hAnsi="Times New Roman"/>
          <w:b/>
          <w:color w:val="000000" w:themeColor="text1"/>
          <w:sz w:val="28"/>
          <w:szCs w:val="28"/>
        </w:rPr>
      </w:pPr>
      <w:r w:rsidRPr="001302E5">
        <w:rPr>
          <w:rFonts w:ascii="Times New Roman" w:hAnsi="Times New Roman"/>
          <w:b/>
          <w:color w:val="000000" w:themeColor="text1"/>
          <w:sz w:val="28"/>
          <w:szCs w:val="28"/>
        </w:rPr>
        <w:t>Conflicts of interest</w:t>
      </w:r>
    </w:p>
    <w:p w14:paraId="04308EA2" w14:textId="77777777" w:rsidR="004D4376" w:rsidRPr="001302E5" w:rsidRDefault="004D6D89">
      <w:pPr>
        <w:spacing w:line="360" w:lineRule="auto"/>
        <w:jc w:val="both"/>
        <w:rPr>
          <w:rFonts w:ascii="Times New Roman" w:hAnsi="Times New Roman"/>
          <w:color w:val="000000" w:themeColor="text1"/>
          <w:sz w:val="28"/>
          <w:szCs w:val="28"/>
        </w:rPr>
      </w:pPr>
      <w:r w:rsidRPr="001302E5">
        <w:rPr>
          <w:rFonts w:ascii="Times New Roman" w:hAnsi="Times New Roman"/>
          <w:color w:val="000000" w:themeColor="text1"/>
          <w:sz w:val="28"/>
          <w:szCs w:val="28"/>
        </w:rPr>
        <w:t>There are no conflicts to declare.</w:t>
      </w:r>
    </w:p>
    <w:p w14:paraId="55DC9772" w14:textId="77777777" w:rsidR="004D4376" w:rsidRPr="001302E5" w:rsidRDefault="004D4376">
      <w:pPr>
        <w:spacing w:line="360" w:lineRule="auto"/>
        <w:jc w:val="both"/>
        <w:rPr>
          <w:rFonts w:ascii="Times New Roman" w:hAnsi="Times New Roman"/>
          <w:color w:val="000000" w:themeColor="text1"/>
          <w:sz w:val="28"/>
          <w:szCs w:val="28"/>
        </w:rPr>
      </w:pPr>
    </w:p>
    <w:p w14:paraId="0AAACBE8" w14:textId="77777777" w:rsidR="004D4376" w:rsidRPr="001302E5" w:rsidRDefault="004D6D89">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t>Acknowledgements</w:t>
      </w:r>
    </w:p>
    <w:p w14:paraId="555D2E70" w14:textId="77777777" w:rsidR="004D4376" w:rsidRPr="001302E5" w:rsidRDefault="004D6D89">
      <w:pPr>
        <w:spacing w:line="360" w:lineRule="auto"/>
        <w:ind w:firstLine="720"/>
        <w:jc w:val="both"/>
        <w:rPr>
          <w:rFonts w:ascii="Times New Roman" w:hAnsi="Times New Roman"/>
          <w:color w:val="000000" w:themeColor="text1"/>
          <w:sz w:val="28"/>
          <w:szCs w:val="28"/>
        </w:rPr>
      </w:pPr>
      <w:r w:rsidRPr="001302E5">
        <w:rPr>
          <w:rFonts w:ascii="Times New Roman" w:hAnsi="Times New Roman"/>
          <w:color w:val="000000" w:themeColor="text1"/>
          <w:sz w:val="28"/>
          <w:szCs w:val="28"/>
          <w:lang w:val="en-US"/>
        </w:rPr>
        <w:t xml:space="preserve">We acknowledge a Royal Society University Research Fellowship (KEJ), and the EPSRC (EP/M017257/1, </w:t>
      </w:r>
      <w:r w:rsidRPr="001302E5">
        <w:rPr>
          <w:rFonts w:ascii="Times New Roman" w:hAnsi="Times New Roman"/>
          <w:bCs/>
          <w:color w:val="000000" w:themeColor="text1"/>
          <w:sz w:val="28"/>
          <w:szCs w:val="28"/>
        </w:rPr>
        <w:t xml:space="preserve">EP/P005543/1, EP/P000525/1, EP/L014580/1, </w:t>
      </w:r>
      <w:r w:rsidRPr="001302E5">
        <w:rPr>
          <w:rFonts w:ascii="Times New Roman" w:hAnsi="Times New Roman"/>
          <w:bCs/>
          <w:color w:val="000000" w:themeColor="text1"/>
          <w:sz w:val="28"/>
          <w:szCs w:val="28"/>
          <w:lang w:val="en-US"/>
        </w:rPr>
        <w:t>EP/R00188X/1</w:t>
      </w:r>
      <w:r w:rsidRPr="001302E5">
        <w:rPr>
          <w:rFonts w:ascii="Times New Roman" w:hAnsi="Times New Roman"/>
          <w:color w:val="000000" w:themeColor="text1"/>
          <w:sz w:val="28"/>
          <w:szCs w:val="28"/>
          <w:lang w:val="en-US"/>
        </w:rPr>
        <w:t xml:space="preserve">) for funding and ARCHER time through the Materials Chemistry Consortium (EP/L000202). BR thanks the EPSRC CDT in Theory and Simulation of Materials (EP/L015579/1) for a PhD studentship. JN acknowledges funding from the European Research Council (ERC) under the European Union’s Horizon 2020 research and innovation programme (grant agreement No 742708). ERJ and LML thank the Natural Sciences and Engineering Research Council of Canada (NSERC) and the Walter C. Sumner Foundation for funding, and Compute Canada for the use of computational resources. </w:t>
      </w:r>
      <w:r w:rsidRPr="001302E5">
        <w:rPr>
          <w:rFonts w:ascii="Times New Roman" w:hAnsi="Times New Roman"/>
          <w:color w:val="000000" w:themeColor="text1"/>
          <w:sz w:val="28"/>
          <w:szCs w:val="28"/>
        </w:rPr>
        <w:t>The authors thank Dr Louise Price, UCL, for assistance with the DMACRYS software and Profs. Sally Price and Graeme Day for discussions about the CSP calculations.</w:t>
      </w:r>
    </w:p>
    <w:p w14:paraId="72CB7080" w14:textId="77777777" w:rsidR="004D4376" w:rsidRPr="001302E5" w:rsidRDefault="004D4376">
      <w:pPr>
        <w:spacing w:line="360" w:lineRule="auto"/>
        <w:rPr>
          <w:rFonts w:ascii="Times New Roman" w:hAnsi="Times New Roman"/>
          <w:b/>
          <w:color w:val="000000" w:themeColor="text1"/>
          <w:sz w:val="28"/>
          <w:szCs w:val="28"/>
          <w:u w:val="single"/>
        </w:rPr>
      </w:pPr>
    </w:p>
    <w:p w14:paraId="09DFB118" w14:textId="77777777" w:rsidR="00741660" w:rsidRPr="001302E5" w:rsidRDefault="00741660">
      <w:pPr>
        <w:spacing w:line="360" w:lineRule="auto"/>
        <w:rPr>
          <w:rFonts w:ascii="Times New Roman" w:hAnsi="Times New Roman"/>
          <w:b/>
          <w:color w:val="000000" w:themeColor="text1"/>
          <w:sz w:val="28"/>
          <w:szCs w:val="28"/>
          <w:u w:val="single"/>
        </w:rPr>
      </w:pPr>
    </w:p>
    <w:p w14:paraId="65999D9D" w14:textId="77777777" w:rsidR="00741660" w:rsidRPr="001302E5" w:rsidRDefault="00741660">
      <w:pPr>
        <w:spacing w:line="360" w:lineRule="auto"/>
        <w:rPr>
          <w:rFonts w:ascii="Times New Roman" w:hAnsi="Times New Roman"/>
          <w:b/>
          <w:color w:val="000000" w:themeColor="text1"/>
          <w:sz w:val="28"/>
          <w:szCs w:val="28"/>
          <w:u w:val="single"/>
        </w:rPr>
      </w:pPr>
    </w:p>
    <w:p w14:paraId="01A7DB56" w14:textId="77777777" w:rsidR="004D4376" w:rsidRPr="001302E5" w:rsidRDefault="004D6D89">
      <w:pPr>
        <w:spacing w:line="360" w:lineRule="auto"/>
        <w:rPr>
          <w:rFonts w:ascii="Times New Roman" w:hAnsi="Times New Roman"/>
          <w:b/>
          <w:color w:val="000000" w:themeColor="text1"/>
          <w:sz w:val="28"/>
          <w:szCs w:val="28"/>
        </w:rPr>
      </w:pPr>
      <w:r w:rsidRPr="001302E5">
        <w:rPr>
          <w:rFonts w:ascii="Times New Roman" w:hAnsi="Times New Roman"/>
          <w:b/>
          <w:color w:val="000000" w:themeColor="text1"/>
          <w:sz w:val="28"/>
          <w:szCs w:val="28"/>
        </w:rPr>
        <w:lastRenderedPageBreak/>
        <w:t>References</w:t>
      </w:r>
    </w:p>
    <w:p w14:paraId="1F961709" w14:textId="77777777" w:rsidR="004D4376" w:rsidRPr="001302E5" w:rsidRDefault="004D4376">
      <w:pPr>
        <w:widowControl w:val="0"/>
        <w:tabs>
          <w:tab w:val="left" w:pos="800"/>
        </w:tabs>
        <w:suppressAutoHyphens w:val="0"/>
        <w:ind w:left="800" w:hanging="800"/>
        <w:rPr>
          <w:color w:val="000000" w:themeColor="text1"/>
        </w:rPr>
      </w:pPr>
    </w:p>
    <w:p w14:paraId="5BFE6EDD"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w:t>
      </w:r>
      <w:r w:rsidRPr="001302E5">
        <w:rPr>
          <w:rFonts w:ascii="Times New Roman" w:hAnsi="Times New Roman"/>
          <w:color w:val="000000" w:themeColor="text1"/>
          <w:sz w:val="28"/>
          <w:szCs w:val="28"/>
          <w:lang w:val="en-US"/>
        </w:rPr>
        <w:tab/>
        <w:t xml:space="preserve">G. R. Desiraju, </w:t>
      </w:r>
      <w:r w:rsidRPr="001302E5">
        <w:rPr>
          <w:rFonts w:ascii="Times New Roman" w:hAnsi="Times New Roman"/>
          <w:i/>
          <w:iCs/>
          <w:color w:val="000000" w:themeColor="text1"/>
          <w:sz w:val="28"/>
          <w:szCs w:val="28"/>
          <w:lang w:val="en-US"/>
        </w:rPr>
        <w:t>Angew. Chem., Int. Ed.</w:t>
      </w:r>
      <w:r w:rsidRPr="001302E5">
        <w:rPr>
          <w:rFonts w:ascii="Times New Roman" w:hAnsi="Times New Roman"/>
          <w:color w:val="000000" w:themeColor="text1"/>
          <w:sz w:val="28"/>
          <w:szCs w:val="28"/>
          <w:lang w:val="en-US"/>
        </w:rPr>
        <w:t xml:space="preserve">, 1995, </w:t>
      </w:r>
      <w:r w:rsidRPr="001302E5">
        <w:rPr>
          <w:rFonts w:ascii="Times New Roman" w:hAnsi="Times New Roman"/>
          <w:b/>
          <w:bCs/>
          <w:color w:val="000000" w:themeColor="text1"/>
          <w:sz w:val="28"/>
          <w:szCs w:val="28"/>
          <w:lang w:val="en-US"/>
        </w:rPr>
        <w:t>34</w:t>
      </w:r>
      <w:r w:rsidRPr="001302E5">
        <w:rPr>
          <w:rFonts w:ascii="Times New Roman" w:hAnsi="Times New Roman"/>
          <w:color w:val="000000" w:themeColor="text1"/>
          <w:sz w:val="28"/>
          <w:szCs w:val="28"/>
          <w:lang w:val="en-US"/>
        </w:rPr>
        <w:t>, 2311–2327.</w:t>
      </w:r>
    </w:p>
    <w:p w14:paraId="4AEFFB46"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w:t>
      </w:r>
      <w:r w:rsidRPr="001302E5">
        <w:rPr>
          <w:rFonts w:ascii="Times New Roman" w:hAnsi="Times New Roman"/>
          <w:color w:val="000000" w:themeColor="text1"/>
          <w:sz w:val="28"/>
          <w:szCs w:val="28"/>
          <w:lang w:val="en-US"/>
        </w:rPr>
        <w:tab/>
        <w:t xml:space="preserve">S. Price, </w:t>
      </w:r>
      <w:r w:rsidRPr="001302E5">
        <w:rPr>
          <w:rFonts w:ascii="Times New Roman" w:hAnsi="Times New Roman"/>
          <w:i/>
          <w:iCs/>
          <w:color w:val="000000" w:themeColor="text1"/>
          <w:sz w:val="28"/>
          <w:szCs w:val="28"/>
          <w:lang w:val="en-US"/>
        </w:rPr>
        <w:t>Science</w:t>
      </w:r>
      <w:r w:rsidRPr="001302E5">
        <w:rPr>
          <w:rFonts w:ascii="Times New Roman" w:hAnsi="Times New Roman"/>
          <w:color w:val="000000" w:themeColor="text1"/>
          <w:sz w:val="28"/>
          <w:szCs w:val="28"/>
          <w:lang w:val="en-US"/>
        </w:rPr>
        <w:t xml:space="preserve">, 2014, </w:t>
      </w:r>
      <w:r w:rsidRPr="001302E5">
        <w:rPr>
          <w:rFonts w:ascii="Times New Roman" w:hAnsi="Times New Roman"/>
          <w:b/>
          <w:bCs/>
          <w:color w:val="000000" w:themeColor="text1"/>
          <w:sz w:val="28"/>
          <w:szCs w:val="28"/>
          <w:lang w:val="en-US"/>
        </w:rPr>
        <w:t>345</w:t>
      </w:r>
      <w:r w:rsidRPr="001302E5">
        <w:rPr>
          <w:rFonts w:ascii="Times New Roman" w:hAnsi="Times New Roman"/>
          <w:color w:val="000000" w:themeColor="text1"/>
          <w:sz w:val="28"/>
          <w:szCs w:val="28"/>
          <w:lang w:val="en-US"/>
        </w:rPr>
        <w:t>, 619–620.</w:t>
      </w:r>
    </w:p>
    <w:p w14:paraId="73878CA3"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w:t>
      </w:r>
      <w:r w:rsidRPr="001302E5">
        <w:rPr>
          <w:rFonts w:ascii="Times New Roman" w:hAnsi="Times New Roman"/>
          <w:color w:val="000000" w:themeColor="text1"/>
          <w:sz w:val="28"/>
          <w:szCs w:val="28"/>
          <w:lang w:val="en-US"/>
        </w:rPr>
        <w:tab/>
        <w:t xml:space="preserve">S. Price, </w:t>
      </w:r>
      <w:r w:rsidRPr="001302E5">
        <w:rPr>
          <w:rFonts w:ascii="Times New Roman" w:hAnsi="Times New Roman"/>
          <w:i/>
          <w:iCs/>
          <w:color w:val="000000" w:themeColor="text1"/>
          <w:sz w:val="28"/>
          <w:szCs w:val="28"/>
          <w:lang w:val="en-US"/>
        </w:rPr>
        <w:t>Chem. Soc. Rev.</w:t>
      </w:r>
      <w:r w:rsidRPr="001302E5">
        <w:rPr>
          <w:rFonts w:ascii="Times New Roman" w:hAnsi="Times New Roman"/>
          <w:color w:val="000000" w:themeColor="text1"/>
          <w:sz w:val="28"/>
          <w:szCs w:val="28"/>
          <w:lang w:val="en-US"/>
        </w:rPr>
        <w:t xml:space="preserve">, 2014, </w:t>
      </w:r>
      <w:r w:rsidRPr="001302E5">
        <w:rPr>
          <w:rFonts w:ascii="Times New Roman" w:hAnsi="Times New Roman"/>
          <w:b/>
          <w:bCs/>
          <w:color w:val="000000" w:themeColor="text1"/>
          <w:sz w:val="28"/>
          <w:szCs w:val="28"/>
          <w:lang w:val="en-US"/>
        </w:rPr>
        <w:t>43</w:t>
      </w:r>
      <w:r w:rsidRPr="001302E5">
        <w:rPr>
          <w:rFonts w:ascii="Times New Roman" w:hAnsi="Times New Roman"/>
          <w:color w:val="000000" w:themeColor="text1"/>
          <w:sz w:val="28"/>
          <w:szCs w:val="28"/>
          <w:lang w:val="en-US"/>
        </w:rPr>
        <w:t>, 2098–2111.</w:t>
      </w:r>
    </w:p>
    <w:p w14:paraId="322B2BBF" w14:textId="77777777" w:rsidR="004D4376" w:rsidRPr="001302E5" w:rsidRDefault="004D6D89">
      <w:pPr>
        <w:widowControl w:val="0"/>
        <w:tabs>
          <w:tab w:val="left" w:pos="480"/>
        </w:tabs>
        <w:suppressAutoHyphens w:val="0"/>
        <w:ind w:left="480" w:hanging="480"/>
        <w:rPr>
          <w:rFonts w:ascii="Times New Roman" w:hAnsi="Times New Roman"/>
          <w:iCs/>
          <w:color w:val="000000" w:themeColor="text1"/>
          <w:sz w:val="28"/>
          <w:szCs w:val="28"/>
          <w:lang w:val="en-US"/>
        </w:rPr>
      </w:pPr>
      <w:r w:rsidRPr="001302E5">
        <w:rPr>
          <w:rFonts w:ascii="Times New Roman" w:hAnsi="Times New Roman"/>
          <w:color w:val="000000" w:themeColor="text1"/>
          <w:sz w:val="28"/>
          <w:szCs w:val="28"/>
          <w:lang w:val="en-US"/>
        </w:rPr>
        <w:t>4</w:t>
      </w:r>
      <w:r w:rsidRPr="001302E5">
        <w:rPr>
          <w:rFonts w:ascii="Times New Roman" w:hAnsi="Times New Roman"/>
          <w:color w:val="000000" w:themeColor="text1"/>
          <w:sz w:val="28"/>
          <w:szCs w:val="28"/>
          <w:lang w:val="en-US"/>
        </w:rPr>
        <w:tab/>
        <w:t xml:space="preserve">A. M. Reilly, R. I. Cooper, C. S. Adjiman, S. Bhattacharya, A. D. Boese, J. G. Brandenburg, P. J. Bygrave, R. Bylsma, J. E. Campbell, R. Car, D. H. Case, R. Chadha, J. C. Cole, K. Cosburn, H. M. Cuppen, F. Curtis, G. M. Day, R. A. DiStasio Jr, A. Dzyabchenko, B. P. van Eijck, D. M. Elking, J. A. van den Ende, J. C. Facelli, M. B. Ferraro, L. Fusti-Molnar, C. A. Gatsiou, T. S. Gee, R. de Gelder, L. M. Ghiringhelli, H. Goto, S. Grimme, R. Guo, D. W. M. Hofmann, J. Hoja, R. K. Hylton, L. Iuzzolino, W. Jankiewicz, D. T. de Jong, J. Kendrick, N. J. J. de Klerk, H. Y. Ko, L. N. Kuleshova, X. Li, S. Lohani, F. J. J. Leusen, A. M. Lund, J. Lv, Y. Ma, N. Marom, A. E. Masunov, P. McCabe, D. P. McMahon, H. Meekes, M. P. Metz, A. J. Misquitta, S. Mohamed, B. Monserrat, R. J. Needs, M. A. Neumann, J. Nyman, S. Obata, H. Oberhofer, A. R. Oganov, A. M. Orendt, G. I. Pagola, C. C. Pantelides, C. J. Pickard, R. Podeszwa, L. S. Price, S. Price, A. Pulido, M. G. Read, K. Reuter, E. Schneider, C. Schober, G. P. Shields, P. Singh, I. J. Sugden, K. Szalewicz, C. R. Taylor, A. Tkatchenko, M. E. Tuckerman, F. Vacarro, M. Vasileiadis, A. Vazquez-Mayagoitia, L. Vogt, Y. Wang, R. E. Watson, G. A. de Wijs, J. Yang, Q. Zhu and C. R. Groom, </w:t>
      </w:r>
      <w:r w:rsidRPr="001302E5">
        <w:rPr>
          <w:rFonts w:ascii="Times New Roman" w:hAnsi="Times New Roman"/>
          <w:i/>
          <w:iCs/>
          <w:color w:val="000000" w:themeColor="text1"/>
          <w:sz w:val="28"/>
          <w:szCs w:val="28"/>
          <w:lang w:val="en-US"/>
        </w:rPr>
        <w:t xml:space="preserve">Acta Crystallogr. </w:t>
      </w:r>
      <w:r w:rsidRPr="001302E5">
        <w:rPr>
          <w:rFonts w:ascii="Times New Roman" w:hAnsi="Times New Roman"/>
          <w:iCs/>
          <w:color w:val="000000" w:themeColor="text1"/>
          <w:sz w:val="28"/>
          <w:szCs w:val="28"/>
          <w:lang w:val="en-US"/>
        </w:rPr>
        <w:t>2016</w:t>
      </w:r>
      <w:r w:rsidRPr="001302E5">
        <w:rPr>
          <w:rFonts w:ascii="Times New Roman" w:hAnsi="Times New Roman"/>
          <w:i/>
          <w:iCs/>
          <w:color w:val="000000" w:themeColor="text1"/>
          <w:sz w:val="28"/>
          <w:szCs w:val="28"/>
          <w:lang w:val="en-US"/>
        </w:rPr>
        <w:t xml:space="preserve">. </w:t>
      </w:r>
      <w:r w:rsidRPr="001302E5">
        <w:rPr>
          <w:rFonts w:ascii="Times New Roman" w:hAnsi="Times New Roman"/>
          <w:b/>
          <w:iCs/>
          <w:color w:val="000000" w:themeColor="text1"/>
          <w:sz w:val="28"/>
          <w:szCs w:val="28"/>
          <w:lang w:val="en-US"/>
        </w:rPr>
        <w:t>B72</w:t>
      </w:r>
      <w:r w:rsidRPr="001302E5">
        <w:rPr>
          <w:rFonts w:ascii="Times New Roman" w:hAnsi="Times New Roman"/>
          <w:iCs/>
          <w:color w:val="000000" w:themeColor="text1"/>
          <w:sz w:val="28"/>
          <w:szCs w:val="28"/>
          <w:lang w:val="en-US"/>
        </w:rPr>
        <w:t>, 439-459</w:t>
      </w:r>
    </w:p>
    <w:p w14:paraId="3D3A12D5"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w:t>
      </w:r>
      <w:r w:rsidRPr="001302E5">
        <w:rPr>
          <w:rFonts w:ascii="Times New Roman" w:hAnsi="Times New Roman"/>
          <w:color w:val="000000" w:themeColor="text1"/>
          <w:sz w:val="28"/>
          <w:szCs w:val="28"/>
          <w:lang w:val="en-US"/>
        </w:rPr>
        <w:tab/>
        <w:t xml:space="preserve">D. A. Bardwell, C. S. Adjiman, Y. A. Arnautova, E. Bartashevich, S. X. M. Boerrigter, D. E. Braun, A. J. Cruz-Cabeza, G. M. Day, R. G. Della Valle, G. R. Desiraju, B. P. van Eijck, J. C. Facelli, M. B. Ferraro, D. Grillo, M. Habgood, D. W. M. Hofmann, F. Hofmann, K. V. J. Jose, P. G. Karamertzanis, A. V. Kazantsev, J. Kendrick, L. N. Kuleshova, F. J. J. Leusen, A. V. Maleev, A. J. Misquitta, S. Mohamed, R. J. Needs, M. A. Neumann, D. Nikylov, A. M. Orendt, R. Pal, C. C. Pantelides, C. J. Pickard, L. S. Price, S. Price, H. A. Scheraga, J. van de Streek, T. S. Thakur, S. Tiwari, E. Venuti and I. K. Zhitkov, </w:t>
      </w:r>
      <w:r w:rsidRPr="001302E5">
        <w:rPr>
          <w:rFonts w:ascii="Times New Roman" w:hAnsi="Times New Roman"/>
          <w:i/>
          <w:iCs/>
          <w:color w:val="000000" w:themeColor="text1"/>
          <w:sz w:val="28"/>
          <w:szCs w:val="28"/>
          <w:lang w:val="en-US"/>
        </w:rPr>
        <w:t>Acta Crystallogr. B</w:t>
      </w:r>
      <w:r w:rsidRPr="001302E5">
        <w:rPr>
          <w:rFonts w:ascii="Times New Roman" w:hAnsi="Times New Roman"/>
          <w:color w:val="000000" w:themeColor="text1"/>
          <w:sz w:val="28"/>
          <w:szCs w:val="28"/>
          <w:lang w:val="en-US"/>
        </w:rPr>
        <w:t xml:space="preserve">, 2011, </w:t>
      </w:r>
      <w:r w:rsidRPr="001302E5">
        <w:rPr>
          <w:rFonts w:ascii="Times New Roman" w:hAnsi="Times New Roman"/>
          <w:b/>
          <w:bCs/>
          <w:color w:val="000000" w:themeColor="text1"/>
          <w:sz w:val="28"/>
          <w:szCs w:val="28"/>
          <w:lang w:val="en-US"/>
        </w:rPr>
        <w:t>67</w:t>
      </w:r>
      <w:r w:rsidRPr="001302E5">
        <w:rPr>
          <w:rFonts w:ascii="Times New Roman" w:hAnsi="Times New Roman"/>
          <w:color w:val="000000" w:themeColor="text1"/>
          <w:sz w:val="28"/>
          <w:szCs w:val="28"/>
          <w:lang w:val="en-US"/>
        </w:rPr>
        <w:t>, 535–551.</w:t>
      </w:r>
    </w:p>
    <w:p w14:paraId="77F1440D"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6</w:t>
      </w:r>
      <w:r w:rsidRPr="001302E5">
        <w:rPr>
          <w:rFonts w:ascii="Times New Roman" w:hAnsi="Times New Roman"/>
          <w:color w:val="000000" w:themeColor="text1"/>
          <w:sz w:val="28"/>
          <w:szCs w:val="28"/>
          <w:lang w:val="en-US"/>
        </w:rPr>
        <w:tab/>
        <w:t>G. M. Day, T. G. Cooper, A. J. Cruz-Cabeza, K. E. Hejczyk, H. L. Ammon, S. X. M. Boerrigter, J. S. Tan, R. G. Della Valle, E. Venuti, J. Jose, S. R. Gadre, G. R. Desiraju, T. S. Thakur, B. P. van Eijck, J. C. Facelli, V. E. Bazterra, M. B. Ferraro, D. W. M. Hofmann, M. A. Neumann, F. J. J. Leusen, J. Kendrick, S. Price, A. J. Misquitta, P. G. Karamertzanis, G. W. A. Welch, H. A. Scheraga, Y. A. Arnautova, M. U. Schmidt, J. van de Streek, A. K. Wolf and B. Schweizer,</w:t>
      </w:r>
      <w:r w:rsidRPr="001302E5">
        <w:rPr>
          <w:rFonts w:ascii="Times New Roman" w:hAnsi="Times New Roman"/>
          <w:i/>
          <w:iCs/>
          <w:color w:val="000000" w:themeColor="text1"/>
          <w:sz w:val="28"/>
          <w:szCs w:val="28"/>
          <w:lang w:val="en-US"/>
        </w:rPr>
        <w:t xml:space="preserve"> Acta Crystallogr. B</w:t>
      </w:r>
      <w:r w:rsidRPr="001302E5">
        <w:rPr>
          <w:rFonts w:ascii="Times New Roman" w:hAnsi="Times New Roman"/>
          <w:iCs/>
          <w:color w:val="000000" w:themeColor="text1"/>
          <w:sz w:val="28"/>
          <w:szCs w:val="28"/>
          <w:lang w:val="en-US"/>
        </w:rPr>
        <w:t>,</w:t>
      </w:r>
      <w:r w:rsidRPr="001302E5">
        <w:rPr>
          <w:rFonts w:ascii="Times New Roman" w:hAnsi="Times New Roman"/>
          <w:color w:val="000000" w:themeColor="text1"/>
          <w:sz w:val="28"/>
          <w:szCs w:val="28"/>
          <w:lang w:val="en-US"/>
        </w:rPr>
        <w:t xml:space="preserve"> 2009, </w:t>
      </w:r>
      <w:r w:rsidRPr="001302E5">
        <w:rPr>
          <w:rFonts w:ascii="Times New Roman" w:hAnsi="Times New Roman"/>
          <w:b/>
          <w:bCs/>
          <w:color w:val="000000" w:themeColor="text1"/>
          <w:sz w:val="28"/>
          <w:szCs w:val="28"/>
          <w:lang w:val="en-US"/>
        </w:rPr>
        <w:t>65</w:t>
      </w:r>
      <w:r w:rsidRPr="001302E5">
        <w:rPr>
          <w:rFonts w:ascii="Times New Roman" w:hAnsi="Times New Roman"/>
          <w:color w:val="000000" w:themeColor="text1"/>
          <w:sz w:val="28"/>
          <w:szCs w:val="28"/>
          <w:lang w:val="en-US"/>
        </w:rPr>
        <w:t>, 107–125.</w:t>
      </w:r>
    </w:p>
    <w:p w14:paraId="7DCC9C48"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7</w:t>
      </w:r>
      <w:r w:rsidRPr="001302E5">
        <w:rPr>
          <w:rFonts w:ascii="Times New Roman" w:hAnsi="Times New Roman"/>
          <w:color w:val="000000" w:themeColor="text1"/>
          <w:sz w:val="28"/>
          <w:szCs w:val="28"/>
          <w:lang w:val="en-US"/>
        </w:rPr>
        <w:tab/>
        <w:t xml:space="preserve">R. I. Goldstein, R. Guo, C. Hughes, D. P. Maurer, T. R. Newhouse, T. J. </w:t>
      </w:r>
      <w:r w:rsidRPr="001302E5">
        <w:rPr>
          <w:rFonts w:ascii="Times New Roman" w:hAnsi="Times New Roman"/>
          <w:color w:val="000000" w:themeColor="text1"/>
          <w:sz w:val="28"/>
          <w:szCs w:val="28"/>
          <w:lang w:val="en-US"/>
        </w:rPr>
        <w:lastRenderedPageBreak/>
        <w:t xml:space="preserve">Sisto, R. R. Conry, S. Price and D. M. Thamattoor, </w:t>
      </w:r>
      <w:r w:rsidRPr="001302E5">
        <w:rPr>
          <w:rFonts w:ascii="Times New Roman" w:hAnsi="Times New Roman"/>
          <w:i/>
          <w:iCs/>
          <w:color w:val="000000" w:themeColor="text1"/>
          <w:sz w:val="28"/>
          <w:szCs w:val="28"/>
          <w:lang w:val="en-US"/>
        </w:rPr>
        <w:t>CrystEngComm</w:t>
      </w:r>
      <w:r w:rsidRPr="001302E5">
        <w:rPr>
          <w:rFonts w:ascii="Times New Roman" w:hAnsi="Times New Roman"/>
          <w:color w:val="000000" w:themeColor="text1"/>
          <w:sz w:val="28"/>
          <w:szCs w:val="28"/>
          <w:lang w:val="en-US"/>
        </w:rPr>
        <w:t xml:space="preserve">, 2015, </w:t>
      </w:r>
      <w:r w:rsidRPr="001302E5">
        <w:rPr>
          <w:rFonts w:ascii="Times New Roman" w:hAnsi="Times New Roman"/>
          <w:b/>
          <w:bCs/>
          <w:color w:val="000000" w:themeColor="text1"/>
          <w:sz w:val="28"/>
          <w:szCs w:val="28"/>
          <w:lang w:val="en-US"/>
        </w:rPr>
        <w:t>17</w:t>
      </w:r>
      <w:r w:rsidRPr="001302E5">
        <w:rPr>
          <w:rFonts w:ascii="Times New Roman" w:hAnsi="Times New Roman"/>
          <w:color w:val="000000" w:themeColor="text1"/>
          <w:sz w:val="28"/>
          <w:szCs w:val="28"/>
          <w:lang w:val="en-US"/>
        </w:rPr>
        <w:t>, 4877–4882.</w:t>
      </w:r>
    </w:p>
    <w:p w14:paraId="2D947636" w14:textId="1E6B329F"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8</w:t>
      </w:r>
      <w:r w:rsidRPr="001302E5">
        <w:rPr>
          <w:rFonts w:ascii="Times New Roman" w:hAnsi="Times New Roman"/>
          <w:color w:val="000000" w:themeColor="text1"/>
          <w:sz w:val="28"/>
          <w:szCs w:val="28"/>
          <w:lang w:val="en-US"/>
        </w:rPr>
        <w:tab/>
        <w:t xml:space="preserve">J. T. A. Jones, T. Hasell, X. Wu, J. Bacsa, K. E. Jelfs, M. Schmidtmann, S. Y. Chong, D. J. Adams, A. Trewin, F. Schiffman, F. Cora, B. Slater, A. Steiner, G. M. Day and A. </w:t>
      </w:r>
      <w:r w:rsidR="00E634C1" w:rsidRPr="001302E5">
        <w:rPr>
          <w:rFonts w:ascii="Times New Roman" w:hAnsi="Times New Roman"/>
          <w:color w:val="000000" w:themeColor="text1"/>
          <w:sz w:val="28"/>
          <w:szCs w:val="28"/>
          <w:lang w:val="en-US"/>
        </w:rPr>
        <w:t xml:space="preserve">I. </w:t>
      </w:r>
      <w:r w:rsidRPr="001302E5">
        <w:rPr>
          <w:rFonts w:ascii="Times New Roman" w:hAnsi="Times New Roman"/>
          <w:color w:val="000000" w:themeColor="text1"/>
          <w:sz w:val="28"/>
          <w:szCs w:val="28"/>
          <w:lang w:val="en-US"/>
        </w:rPr>
        <w:t xml:space="preserve">Cooper, </w:t>
      </w:r>
      <w:r w:rsidRPr="001302E5">
        <w:rPr>
          <w:rFonts w:ascii="Times New Roman" w:hAnsi="Times New Roman"/>
          <w:i/>
          <w:iCs/>
          <w:color w:val="000000" w:themeColor="text1"/>
          <w:sz w:val="28"/>
          <w:szCs w:val="28"/>
          <w:lang w:val="en-US"/>
        </w:rPr>
        <w:t>Nature</w:t>
      </w:r>
      <w:r w:rsidRPr="001302E5">
        <w:rPr>
          <w:rFonts w:ascii="Times New Roman" w:hAnsi="Times New Roman"/>
          <w:color w:val="000000" w:themeColor="text1"/>
          <w:sz w:val="28"/>
          <w:szCs w:val="28"/>
          <w:lang w:val="en-US"/>
        </w:rPr>
        <w:t xml:space="preserve">, 2011, </w:t>
      </w:r>
      <w:r w:rsidRPr="001302E5">
        <w:rPr>
          <w:rFonts w:ascii="Times New Roman" w:hAnsi="Times New Roman"/>
          <w:b/>
          <w:bCs/>
          <w:color w:val="000000" w:themeColor="text1"/>
          <w:sz w:val="28"/>
          <w:szCs w:val="28"/>
          <w:lang w:val="en-US"/>
        </w:rPr>
        <w:t>474</w:t>
      </w:r>
      <w:r w:rsidRPr="001302E5">
        <w:rPr>
          <w:rFonts w:ascii="Times New Roman" w:hAnsi="Times New Roman"/>
          <w:color w:val="000000" w:themeColor="text1"/>
          <w:sz w:val="28"/>
          <w:szCs w:val="28"/>
          <w:lang w:val="en-US"/>
        </w:rPr>
        <w:t>, 367–371.</w:t>
      </w:r>
    </w:p>
    <w:p w14:paraId="3387B96E"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9</w:t>
      </w:r>
      <w:r w:rsidRPr="001302E5">
        <w:rPr>
          <w:rFonts w:ascii="Times New Roman" w:hAnsi="Times New Roman"/>
          <w:color w:val="000000" w:themeColor="text1"/>
          <w:sz w:val="28"/>
          <w:szCs w:val="28"/>
          <w:lang w:val="en-US"/>
        </w:rPr>
        <w:tab/>
        <w:t xml:space="preserve">A. Pulido, L. Chen, T. Kaczorowski, D. Holden and M. A. Little, </w:t>
      </w:r>
      <w:r w:rsidRPr="001302E5">
        <w:rPr>
          <w:rFonts w:ascii="Times New Roman" w:hAnsi="Times New Roman"/>
          <w:i/>
          <w:iCs/>
          <w:color w:val="000000" w:themeColor="text1"/>
          <w:sz w:val="28"/>
          <w:szCs w:val="28"/>
          <w:lang w:val="en-US"/>
        </w:rPr>
        <w:t>Nature</w:t>
      </w:r>
      <w:r w:rsidRPr="001302E5">
        <w:rPr>
          <w:rFonts w:ascii="Times New Roman" w:hAnsi="Times New Roman"/>
          <w:color w:val="000000" w:themeColor="text1"/>
          <w:sz w:val="28"/>
          <w:szCs w:val="28"/>
          <w:lang w:val="en-US"/>
        </w:rPr>
        <w:t xml:space="preserve">, 2017, </w:t>
      </w:r>
      <w:r w:rsidRPr="001302E5">
        <w:rPr>
          <w:rFonts w:ascii="Times New Roman" w:hAnsi="Times New Roman"/>
          <w:b/>
          <w:bCs/>
          <w:color w:val="000000" w:themeColor="text1"/>
          <w:sz w:val="28"/>
          <w:szCs w:val="28"/>
          <w:lang w:val="en-US"/>
        </w:rPr>
        <w:t>543</w:t>
      </w:r>
      <w:r w:rsidRPr="001302E5">
        <w:rPr>
          <w:rFonts w:ascii="Times New Roman" w:hAnsi="Times New Roman"/>
          <w:color w:val="000000" w:themeColor="text1"/>
          <w:sz w:val="28"/>
          <w:szCs w:val="28"/>
          <w:lang w:val="en-US"/>
        </w:rPr>
        <w:t>, 657–664.</w:t>
      </w:r>
    </w:p>
    <w:p w14:paraId="78E17332"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10</w:t>
      </w:r>
      <w:r w:rsidRPr="001302E5">
        <w:rPr>
          <w:rFonts w:ascii="Times New Roman" w:hAnsi="Times New Roman"/>
          <w:color w:val="000000" w:themeColor="text1"/>
          <w:sz w:val="28"/>
          <w:szCs w:val="28"/>
          <w:lang w:val="en-US"/>
        </w:rPr>
        <w:tab/>
        <w:t xml:space="preserve">J. E. Campbell, J. Yang and G. M. Day, </w:t>
      </w:r>
      <w:r w:rsidRPr="001302E5">
        <w:rPr>
          <w:rFonts w:ascii="Times New Roman" w:hAnsi="Times New Roman"/>
          <w:i/>
          <w:iCs/>
          <w:color w:val="000000" w:themeColor="text1"/>
          <w:sz w:val="28"/>
          <w:szCs w:val="28"/>
          <w:lang w:val="en-US"/>
        </w:rPr>
        <w:t>J. Mater. Chem. C</w:t>
      </w:r>
      <w:r w:rsidRPr="001302E5">
        <w:rPr>
          <w:rFonts w:ascii="Times New Roman" w:hAnsi="Times New Roman"/>
          <w:color w:val="000000" w:themeColor="text1"/>
          <w:sz w:val="28"/>
          <w:szCs w:val="28"/>
          <w:lang w:val="en-US"/>
        </w:rPr>
        <w:t xml:space="preserve">, 2017, </w:t>
      </w:r>
      <w:r w:rsidRPr="001302E5">
        <w:rPr>
          <w:rFonts w:ascii="Times New Roman" w:hAnsi="Times New Roman"/>
          <w:b/>
          <w:color w:val="000000" w:themeColor="text1"/>
          <w:sz w:val="28"/>
          <w:szCs w:val="28"/>
          <w:lang w:val="en-US"/>
        </w:rPr>
        <w:t>5</w:t>
      </w:r>
      <w:r w:rsidRPr="001302E5">
        <w:rPr>
          <w:rFonts w:ascii="Times New Roman" w:hAnsi="Times New Roman"/>
          <w:color w:val="000000" w:themeColor="text1"/>
          <w:sz w:val="28"/>
          <w:szCs w:val="28"/>
          <w:lang w:val="en-US"/>
        </w:rPr>
        <w:t>, 7574-7584.</w:t>
      </w:r>
    </w:p>
    <w:p w14:paraId="7C0D34E1"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11</w:t>
      </w:r>
      <w:r w:rsidRPr="001302E5">
        <w:rPr>
          <w:rFonts w:ascii="Times New Roman" w:hAnsi="Times New Roman"/>
          <w:color w:val="000000" w:themeColor="text1"/>
          <w:sz w:val="28"/>
          <w:szCs w:val="28"/>
          <w:lang w:val="en-US"/>
        </w:rPr>
        <w:tab/>
        <w:t xml:space="preserve">Y. Shen and C.-F. Chen, </w:t>
      </w:r>
      <w:r w:rsidRPr="001302E5">
        <w:rPr>
          <w:rFonts w:ascii="Times New Roman" w:hAnsi="Times New Roman"/>
          <w:i/>
          <w:iCs/>
          <w:color w:val="000000" w:themeColor="text1"/>
          <w:sz w:val="28"/>
          <w:szCs w:val="28"/>
          <w:lang w:val="en-US"/>
        </w:rPr>
        <w:t>Chem. Rev.</w:t>
      </w:r>
      <w:r w:rsidRPr="001302E5">
        <w:rPr>
          <w:rFonts w:ascii="Times New Roman" w:hAnsi="Times New Roman"/>
          <w:color w:val="000000" w:themeColor="text1"/>
          <w:sz w:val="28"/>
          <w:szCs w:val="28"/>
          <w:lang w:val="en-US"/>
        </w:rPr>
        <w:t xml:space="preserve">, 2012, </w:t>
      </w:r>
      <w:r w:rsidRPr="001302E5">
        <w:rPr>
          <w:rFonts w:ascii="Times New Roman" w:hAnsi="Times New Roman"/>
          <w:b/>
          <w:bCs/>
          <w:color w:val="000000" w:themeColor="text1"/>
          <w:sz w:val="28"/>
          <w:szCs w:val="28"/>
          <w:lang w:val="en-US"/>
        </w:rPr>
        <w:t>112</w:t>
      </w:r>
      <w:r w:rsidRPr="001302E5">
        <w:rPr>
          <w:rFonts w:ascii="Times New Roman" w:hAnsi="Times New Roman"/>
          <w:color w:val="000000" w:themeColor="text1"/>
          <w:sz w:val="28"/>
          <w:szCs w:val="28"/>
          <w:lang w:val="en-US"/>
        </w:rPr>
        <w:t>, 1463–1535.</w:t>
      </w:r>
    </w:p>
    <w:p w14:paraId="21B29559"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12</w:t>
      </w:r>
      <w:r w:rsidRPr="001302E5">
        <w:rPr>
          <w:rFonts w:ascii="Times New Roman" w:hAnsi="Times New Roman"/>
          <w:color w:val="000000" w:themeColor="text1"/>
          <w:sz w:val="28"/>
          <w:szCs w:val="28"/>
          <w:lang w:val="en-US"/>
        </w:rPr>
        <w:tab/>
        <w:t xml:space="preserve">M. Gingras, </w:t>
      </w:r>
      <w:r w:rsidRPr="001302E5">
        <w:rPr>
          <w:rFonts w:ascii="Times New Roman" w:hAnsi="Times New Roman"/>
          <w:i/>
          <w:iCs/>
          <w:color w:val="000000" w:themeColor="text1"/>
          <w:sz w:val="28"/>
          <w:szCs w:val="28"/>
          <w:lang w:val="en-US"/>
        </w:rPr>
        <w:t>Chem. Soc. Rev.</w:t>
      </w:r>
      <w:r w:rsidRPr="001302E5">
        <w:rPr>
          <w:rFonts w:ascii="Times New Roman" w:hAnsi="Times New Roman"/>
          <w:color w:val="000000" w:themeColor="text1"/>
          <w:sz w:val="28"/>
          <w:szCs w:val="28"/>
          <w:lang w:val="en-US"/>
        </w:rPr>
        <w:t xml:space="preserve">, 2013, </w:t>
      </w:r>
      <w:r w:rsidRPr="001302E5">
        <w:rPr>
          <w:rFonts w:ascii="Times New Roman" w:hAnsi="Times New Roman"/>
          <w:b/>
          <w:bCs/>
          <w:color w:val="000000" w:themeColor="text1"/>
          <w:sz w:val="28"/>
          <w:szCs w:val="28"/>
          <w:lang w:val="en-US"/>
        </w:rPr>
        <w:t>42</w:t>
      </w:r>
      <w:r w:rsidRPr="001302E5">
        <w:rPr>
          <w:rFonts w:ascii="Times New Roman" w:hAnsi="Times New Roman"/>
          <w:color w:val="000000" w:themeColor="text1"/>
          <w:sz w:val="28"/>
          <w:szCs w:val="28"/>
          <w:lang w:val="en-US"/>
        </w:rPr>
        <w:t>, 968–1006.</w:t>
      </w:r>
    </w:p>
    <w:p w14:paraId="5B1849AD"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13</w:t>
      </w:r>
      <w:r w:rsidRPr="001302E5">
        <w:rPr>
          <w:rFonts w:ascii="Times New Roman" w:hAnsi="Times New Roman"/>
          <w:color w:val="000000" w:themeColor="text1"/>
          <w:sz w:val="28"/>
          <w:szCs w:val="28"/>
          <w:lang w:val="en-US"/>
        </w:rPr>
        <w:tab/>
        <w:t xml:space="preserve">M. Gingras, G. Félix and R. Peresutti, </w:t>
      </w:r>
      <w:r w:rsidRPr="001302E5">
        <w:rPr>
          <w:rFonts w:ascii="Times New Roman" w:hAnsi="Times New Roman"/>
          <w:i/>
          <w:iCs/>
          <w:color w:val="000000" w:themeColor="text1"/>
          <w:sz w:val="28"/>
          <w:szCs w:val="28"/>
          <w:lang w:val="en-US"/>
        </w:rPr>
        <w:t>Chem. Soc. Rev.</w:t>
      </w:r>
      <w:r w:rsidRPr="001302E5">
        <w:rPr>
          <w:rFonts w:ascii="Times New Roman" w:hAnsi="Times New Roman"/>
          <w:color w:val="000000" w:themeColor="text1"/>
          <w:sz w:val="28"/>
          <w:szCs w:val="28"/>
          <w:lang w:val="en-US"/>
        </w:rPr>
        <w:t xml:space="preserve">, 2013, </w:t>
      </w:r>
      <w:r w:rsidRPr="001302E5">
        <w:rPr>
          <w:rFonts w:ascii="Times New Roman" w:hAnsi="Times New Roman"/>
          <w:b/>
          <w:bCs/>
          <w:color w:val="000000" w:themeColor="text1"/>
          <w:sz w:val="28"/>
          <w:szCs w:val="28"/>
          <w:lang w:val="en-US"/>
        </w:rPr>
        <w:t>42</w:t>
      </w:r>
      <w:r w:rsidRPr="001302E5">
        <w:rPr>
          <w:rFonts w:ascii="Times New Roman" w:hAnsi="Times New Roman"/>
          <w:color w:val="000000" w:themeColor="text1"/>
          <w:sz w:val="28"/>
          <w:szCs w:val="28"/>
          <w:lang w:val="en-US"/>
        </w:rPr>
        <w:t>, 1007–1050.</w:t>
      </w:r>
    </w:p>
    <w:p w14:paraId="4DCF6397"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14</w:t>
      </w:r>
      <w:r w:rsidRPr="001302E5">
        <w:rPr>
          <w:rFonts w:ascii="Times New Roman" w:hAnsi="Times New Roman"/>
          <w:color w:val="000000" w:themeColor="text1"/>
          <w:sz w:val="28"/>
          <w:szCs w:val="28"/>
          <w:lang w:val="en-US"/>
        </w:rPr>
        <w:tab/>
        <w:t xml:space="preserve">M. Gingras, </w:t>
      </w:r>
      <w:r w:rsidRPr="001302E5">
        <w:rPr>
          <w:rFonts w:ascii="Times New Roman" w:hAnsi="Times New Roman"/>
          <w:i/>
          <w:iCs/>
          <w:color w:val="000000" w:themeColor="text1"/>
          <w:sz w:val="28"/>
          <w:szCs w:val="28"/>
          <w:lang w:val="en-US"/>
        </w:rPr>
        <w:t>Chem. Soc. Rev.</w:t>
      </w:r>
      <w:r w:rsidRPr="001302E5">
        <w:rPr>
          <w:rFonts w:ascii="Times New Roman" w:hAnsi="Times New Roman"/>
          <w:color w:val="000000" w:themeColor="text1"/>
          <w:sz w:val="28"/>
          <w:szCs w:val="28"/>
          <w:lang w:val="en-US"/>
        </w:rPr>
        <w:t xml:space="preserve">, 2013, </w:t>
      </w:r>
      <w:r w:rsidRPr="001302E5">
        <w:rPr>
          <w:rFonts w:ascii="Times New Roman" w:hAnsi="Times New Roman"/>
          <w:b/>
          <w:bCs/>
          <w:color w:val="000000" w:themeColor="text1"/>
          <w:sz w:val="28"/>
          <w:szCs w:val="28"/>
          <w:lang w:val="en-US"/>
        </w:rPr>
        <w:t>42</w:t>
      </w:r>
      <w:r w:rsidRPr="001302E5">
        <w:rPr>
          <w:rFonts w:ascii="Times New Roman" w:hAnsi="Times New Roman"/>
          <w:color w:val="000000" w:themeColor="text1"/>
          <w:sz w:val="28"/>
          <w:szCs w:val="28"/>
          <w:lang w:val="en-US"/>
        </w:rPr>
        <w:t>, 1051–1095.</w:t>
      </w:r>
    </w:p>
    <w:p w14:paraId="282C675B"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15</w:t>
      </w:r>
      <w:r w:rsidRPr="001302E5">
        <w:rPr>
          <w:rFonts w:ascii="Times New Roman" w:hAnsi="Times New Roman"/>
          <w:color w:val="000000" w:themeColor="text1"/>
          <w:sz w:val="28"/>
          <w:szCs w:val="28"/>
          <w:lang w:val="en-US"/>
        </w:rPr>
        <w:tab/>
        <w:t xml:space="preserve">C. Nuckolls, T. J. Katz and L. Castellanos, </w:t>
      </w:r>
      <w:r w:rsidRPr="001302E5">
        <w:rPr>
          <w:rFonts w:ascii="Times New Roman" w:hAnsi="Times New Roman"/>
          <w:i/>
          <w:iCs/>
          <w:color w:val="000000" w:themeColor="text1"/>
          <w:sz w:val="28"/>
          <w:szCs w:val="28"/>
          <w:lang w:val="en-US"/>
        </w:rPr>
        <w:t>J. Am. Chem. Soc.</w:t>
      </w:r>
      <w:r w:rsidRPr="001302E5">
        <w:rPr>
          <w:rFonts w:ascii="Times New Roman" w:hAnsi="Times New Roman"/>
          <w:color w:val="000000" w:themeColor="text1"/>
          <w:sz w:val="28"/>
          <w:szCs w:val="28"/>
          <w:lang w:val="en-US"/>
        </w:rPr>
        <w:t xml:space="preserve">, 1996, </w:t>
      </w:r>
      <w:r w:rsidRPr="001302E5">
        <w:rPr>
          <w:rFonts w:ascii="Times New Roman" w:hAnsi="Times New Roman"/>
          <w:b/>
          <w:color w:val="000000" w:themeColor="text1"/>
          <w:sz w:val="28"/>
          <w:szCs w:val="28"/>
          <w:lang w:val="en-US"/>
        </w:rPr>
        <w:t>121</w:t>
      </w:r>
      <w:r w:rsidRPr="001302E5">
        <w:rPr>
          <w:rFonts w:ascii="Times New Roman" w:hAnsi="Times New Roman"/>
          <w:color w:val="000000" w:themeColor="text1"/>
          <w:sz w:val="28"/>
          <w:szCs w:val="28"/>
          <w:lang w:val="en-US"/>
        </w:rPr>
        <w:t>, 79-88.</w:t>
      </w:r>
    </w:p>
    <w:p w14:paraId="4A85DD2F"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16</w:t>
      </w:r>
      <w:r w:rsidRPr="001302E5">
        <w:rPr>
          <w:rFonts w:ascii="Times New Roman" w:hAnsi="Times New Roman"/>
          <w:color w:val="000000" w:themeColor="text1"/>
          <w:sz w:val="28"/>
          <w:szCs w:val="28"/>
          <w:lang w:val="en-US"/>
        </w:rPr>
        <w:tab/>
        <w:t xml:space="preserve">A. J. Lovinger, C. Nuckolls and T. J. Katz, </w:t>
      </w:r>
      <w:r w:rsidRPr="001302E5">
        <w:rPr>
          <w:rFonts w:ascii="Times New Roman" w:hAnsi="Times New Roman"/>
          <w:i/>
          <w:iCs/>
          <w:color w:val="000000" w:themeColor="text1"/>
          <w:sz w:val="28"/>
          <w:szCs w:val="28"/>
          <w:lang w:val="en-US"/>
        </w:rPr>
        <w:t>J. Am. Chem. Soc.</w:t>
      </w:r>
      <w:r w:rsidRPr="001302E5">
        <w:rPr>
          <w:rFonts w:ascii="Times New Roman" w:hAnsi="Times New Roman"/>
          <w:color w:val="000000" w:themeColor="text1"/>
          <w:sz w:val="28"/>
          <w:szCs w:val="28"/>
          <w:lang w:val="en-US"/>
        </w:rPr>
        <w:t xml:space="preserve">, 1998, </w:t>
      </w:r>
      <w:r w:rsidRPr="001302E5">
        <w:rPr>
          <w:rFonts w:ascii="Times New Roman" w:hAnsi="Times New Roman"/>
          <w:b/>
          <w:bCs/>
          <w:color w:val="000000" w:themeColor="text1"/>
          <w:sz w:val="28"/>
          <w:szCs w:val="28"/>
          <w:lang w:val="en-US"/>
        </w:rPr>
        <w:t>120</w:t>
      </w:r>
      <w:r w:rsidRPr="001302E5">
        <w:rPr>
          <w:rFonts w:ascii="Times New Roman" w:hAnsi="Times New Roman"/>
          <w:color w:val="000000" w:themeColor="text1"/>
          <w:sz w:val="28"/>
          <w:szCs w:val="28"/>
          <w:lang w:val="en-US"/>
        </w:rPr>
        <w:t>, 264-268.</w:t>
      </w:r>
    </w:p>
    <w:p w14:paraId="0C8326B9"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17</w:t>
      </w:r>
      <w:r w:rsidRPr="001302E5">
        <w:rPr>
          <w:rFonts w:ascii="Times New Roman" w:hAnsi="Times New Roman"/>
          <w:color w:val="000000" w:themeColor="text1"/>
          <w:sz w:val="28"/>
          <w:szCs w:val="28"/>
          <w:lang w:val="en-US"/>
        </w:rPr>
        <w:tab/>
        <w:t xml:space="preserve">T. Verbiest, S. Van Elshocht, M. Kauranen, L. Hellemans, J. Snauwaert, C. Nuckolls, T. J. Katz and A. Persoons, </w:t>
      </w:r>
      <w:r w:rsidRPr="001302E5">
        <w:rPr>
          <w:rFonts w:ascii="Times New Roman" w:hAnsi="Times New Roman"/>
          <w:i/>
          <w:iCs/>
          <w:color w:val="000000" w:themeColor="text1"/>
          <w:sz w:val="28"/>
          <w:szCs w:val="28"/>
          <w:lang w:val="en-US"/>
        </w:rPr>
        <w:t>Science</w:t>
      </w:r>
      <w:r w:rsidRPr="001302E5">
        <w:rPr>
          <w:rFonts w:ascii="Times New Roman" w:hAnsi="Times New Roman"/>
          <w:color w:val="000000" w:themeColor="text1"/>
          <w:sz w:val="28"/>
          <w:szCs w:val="28"/>
          <w:lang w:val="en-US"/>
        </w:rPr>
        <w:t xml:space="preserve">, 1998, </w:t>
      </w:r>
      <w:r w:rsidRPr="001302E5">
        <w:rPr>
          <w:rFonts w:ascii="Times New Roman" w:hAnsi="Times New Roman"/>
          <w:b/>
          <w:bCs/>
          <w:color w:val="000000" w:themeColor="text1"/>
          <w:sz w:val="28"/>
          <w:szCs w:val="28"/>
          <w:lang w:val="en-US"/>
        </w:rPr>
        <w:t>282</w:t>
      </w:r>
      <w:r w:rsidRPr="001302E5">
        <w:rPr>
          <w:rFonts w:ascii="Times New Roman" w:hAnsi="Times New Roman"/>
          <w:color w:val="000000" w:themeColor="text1"/>
          <w:sz w:val="28"/>
          <w:szCs w:val="28"/>
          <w:lang w:val="en-US"/>
        </w:rPr>
        <w:t>, 913–915.</w:t>
      </w:r>
    </w:p>
    <w:p w14:paraId="1E714819"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18</w:t>
      </w:r>
      <w:r w:rsidRPr="001302E5">
        <w:rPr>
          <w:rFonts w:ascii="Times New Roman" w:hAnsi="Times New Roman"/>
          <w:color w:val="000000" w:themeColor="text1"/>
          <w:sz w:val="28"/>
          <w:szCs w:val="28"/>
          <w:lang w:val="en-US"/>
        </w:rPr>
        <w:tab/>
        <w:t xml:space="preserve">L. Vyklický, S. Holger Eichhorn, T. J. Katz, </w:t>
      </w:r>
      <w:r w:rsidRPr="001302E5">
        <w:rPr>
          <w:rFonts w:ascii="Times New Roman" w:hAnsi="Times New Roman"/>
          <w:i/>
          <w:iCs/>
          <w:color w:val="000000" w:themeColor="text1"/>
          <w:sz w:val="28"/>
          <w:szCs w:val="28"/>
          <w:lang w:val="en-US"/>
        </w:rPr>
        <w:t>Chem. Mater.</w:t>
      </w:r>
      <w:r w:rsidRPr="001302E5">
        <w:rPr>
          <w:rFonts w:ascii="Times New Roman" w:hAnsi="Times New Roman"/>
          <w:color w:val="000000" w:themeColor="text1"/>
          <w:sz w:val="28"/>
          <w:szCs w:val="28"/>
          <w:lang w:val="en-US"/>
        </w:rPr>
        <w:t xml:space="preserve">, 2003, </w:t>
      </w:r>
      <w:r w:rsidRPr="001302E5">
        <w:rPr>
          <w:rFonts w:ascii="Times New Roman" w:hAnsi="Times New Roman"/>
          <w:b/>
          <w:bCs/>
          <w:color w:val="000000" w:themeColor="text1"/>
          <w:sz w:val="28"/>
          <w:szCs w:val="28"/>
          <w:lang w:val="en-US"/>
        </w:rPr>
        <w:t>15</w:t>
      </w:r>
      <w:r w:rsidRPr="001302E5">
        <w:rPr>
          <w:rFonts w:ascii="Times New Roman" w:hAnsi="Times New Roman"/>
          <w:color w:val="000000" w:themeColor="text1"/>
          <w:sz w:val="28"/>
          <w:szCs w:val="28"/>
          <w:lang w:val="en-US"/>
        </w:rPr>
        <w:t>, 3594–3601.</w:t>
      </w:r>
    </w:p>
    <w:p w14:paraId="7AE7A618"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19</w:t>
      </w:r>
      <w:r w:rsidRPr="001302E5">
        <w:rPr>
          <w:rFonts w:ascii="Times New Roman" w:hAnsi="Times New Roman"/>
          <w:color w:val="000000" w:themeColor="text1"/>
          <w:sz w:val="28"/>
          <w:szCs w:val="28"/>
          <w:lang w:val="en-US"/>
        </w:rPr>
        <w:tab/>
        <w:t xml:space="preserve">K.-H. Ernst, </w:t>
      </w:r>
      <w:r w:rsidRPr="001302E5">
        <w:rPr>
          <w:rFonts w:ascii="Times New Roman" w:hAnsi="Times New Roman"/>
          <w:i/>
          <w:iCs/>
          <w:color w:val="000000" w:themeColor="text1"/>
          <w:sz w:val="28"/>
          <w:szCs w:val="28"/>
          <w:lang w:val="en-US"/>
        </w:rPr>
        <w:t>Acc. Chem. Res.</w:t>
      </w:r>
      <w:r w:rsidRPr="001302E5">
        <w:rPr>
          <w:rFonts w:ascii="Times New Roman" w:hAnsi="Times New Roman"/>
          <w:color w:val="000000" w:themeColor="text1"/>
          <w:sz w:val="28"/>
          <w:szCs w:val="28"/>
          <w:lang w:val="en-US"/>
        </w:rPr>
        <w:t xml:space="preserve">, 2016, </w:t>
      </w:r>
      <w:r w:rsidRPr="001302E5">
        <w:rPr>
          <w:rFonts w:ascii="Times New Roman" w:hAnsi="Times New Roman"/>
          <w:b/>
          <w:bCs/>
          <w:color w:val="000000" w:themeColor="text1"/>
          <w:sz w:val="28"/>
          <w:szCs w:val="28"/>
          <w:lang w:val="en-US"/>
        </w:rPr>
        <w:t>49</w:t>
      </w:r>
      <w:r w:rsidRPr="001302E5">
        <w:rPr>
          <w:rFonts w:ascii="Times New Roman" w:hAnsi="Times New Roman"/>
          <w:color w:val="000000" w:themeColor="text1"/>
          <w:sz w:val="28"/>
          <w:szCs w:val="28"/>
          <w:lang w:val="en-US"/>
        </w:rPr>
        <w:t>, 1182–1190.</w:t>
      </w:r>
    </w:p>
    <w:p w14:paraId="23DBDDB5"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20</w:t>
      </w:r>
      <w:r w:rsidRPr="001302E5">
        <w:rPr>
          <w:rFonts w:ascii="Times New Roman" w:hAnsi="Times New Roman"/>
          <w:color w:val="000000" w:themeColor="text1"/>
          <w:sz w:val="28"/>
          <w:szCs w:val="28"/>
          <w:lang w:val="en-US"/>
        </w:rPr>
        <w:tab/>
        <w:t xml:space="preserve">A. Mairena, L. Zoppi, J. Seibel, A. F. Tröster, K. Grenader, M. Parschau, A. Terfort and K.-H. Ernst, </w:t>
      </w:r>
      <w:r w:rsidRPr="001302E5">
        <w:rPr>
          <w:rFonts w:ascii="Times New Roman" w:hAnsi="Times New Roman"/>
          <w:i/>
          <w:iCs/>
          <w:color w:val="000000" w:themeColor="text1"/>
          <w:sz w:val="28"/>
          <w:szCs w:val="28"/>
          <w:lang w:val="en-US"/>
        </w:rPr>
        <w:t>ACS Nano</w:t>
      </w:r>
      <w:r w:rsidRPr="001302E5">
        <w:rPr>
          <w:rFonts w:ascii="Times New Roman" w:hAnsi="Times New Roman"/>
          <w:color w:val="000000" w:themeColor="text1"/>
          <w:sz w:val="28"/>
          <w:szCs w:val="28"/>
          <w:lang w:val="en-US"/>
        </w:rPr>
        <w:t xml:space="preserve">, 2017, </w:t>
      </w:r>
      <w:r w:rsidRPr="001302E5">
        <w:rPr>
          <w:rFonts w:ascii="Times New Roman" w:hAnsi="Times New Roman"/>
          <w:b/>
          <w:bCs/>
          <w:color w:val="000000" w:themeColor="text1"/>
          <w:sz w:val="28"/>
          <w:szCs w:val="28"/>
          <w:lang w:val="en-US"/>
        </w:rPr>
        <w:t>11</w:t>
      </w:r>
      <w:r w:rsidRPr="001302E5">
        <w:rPr>
          <w:rFonts w:ascii="Times New Roman" w:hAnsi="Times New Roman"/>
          <w:color w:val="000000" w:themeColor="text1"/>
          <w:sz w:val="28"/>
          <w:szCs w:val="28"/>
          <w:lang w:val="en-US"/>
        </w:rPr>
        <w:t>, 865–871.</w:t>
      </w:r>
    </w:p>
    <w:p w14:paraId="44D52D50" w14:textId="6EE10ADB"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21</w:t>
      </w:r>
      <w:r w:rsidR="000F0DC6" w:rsidRPr="001302E5">
        <w:rPr>
          <w:rFonts w:ascii="Times New Roman" w:hAnsi="Times New Roman"/>
          <w:color w:val="000000" w:themeColor="text1"/>
          <w:sz w:val="28"/>
          <w:szCs w:val="28"/>
          <w:lang w:val="en-US"/>
        </w:rPr>
        <w:tab/>
        <w:t xml:space="preserve">J. R. Brandt, X. Wang, Y. Yang, </w:t>
      </w:r>
      <w:r w:rsidRPr="001302E5">
        <w:rPr>
          <w:rFonts w:ascii="Times New Roman" w:hAnsi="Times New Roman"/>
          <w:color w:val="000000" w:themeColor="text1"/>
          <w:sz w:val="28"/>
          <w:szCs w:val="28"/>
          <w:lang w:val="en-US"/>
        </w:rPr>
        <w:t>A. J. Campbell</w:t>
      </w:r>
      <w:r w:rsidR="000F0DC6" w:rsidRPr="001302E5">
        <w:rPr>
          <w:rFonts w:ascii="Times New Roman" w:hAnsi="Times New Roman"/>
          <w:color w:val="000000" w:themeColor="text1"/>
          <w:sz w:val="28"/>
          <w:szCs w:val="28"/>
          <w:lang w:val="en-US"/>
        </w:rPr>
        <w:t xml:space="preserve"> and M. J. Fuchter</w:t>
      </w:r>
      <w:r w:rsidRPr="001302E5">
        <w:rPr>
          <w:rFonts w:ascii="Times New Roman" w:hAnsi="Times New Roman"/>
          <w:color w:val="000000" w:themeColor="text1"/>
          <w:sz w:val="28"/>
          <w:szCs w:val="28"/>
          <w:lang w:val="en-US"/>
        </w:rPr>
        <w:t xml:space="preserve">, </w:t>
      </w:r>
      <w:r w:rsidRPr="001302E5">
        <w:rPr>
          <w:rFonts w:ascii="Times New Roman" w:hAnsi="Times New Roman"/>
          <w:i/>
          <w:iCs/>
          <w:color w:val="000000" w:themeColor="text1"/>
          <w:sz w:val="28"/>
          <w:szCs w:val="28"/>
          <w:lang w:val="en-US"/>
        </w:rPr>
        <w:t>J. Am. Chem. Soc.</w:t>
      </w:r>
      <w:r w:rsidRPr="001302E5">
        <w:rPr>
          <w:rFonts w:ascii="Times New Roman" w:hAnsi="Times New Roman"/>
          <w:color w:val="000000" w:themeColor="text1"/>
          <w:sz w:val="28"/>
          <w:szCs w:val="28"/>
          <w:lang w:val="en-US"/>
        </w:rPr>
        <w:t xml:space="preserve">, 2016, </w:t>
      </w:r>
      <w:r w:rsidRPr="001302E5">
        <w:rPr>
          <w:rFonts w:ascii="Times New Roman" w:hAnsi="Times New Roman"/>
          <w:b/>
          <w:color w:val="000000" w:themeColor="text1"/>
          <w:sz w:val="28"/>
          <w:szCs w:val="28"/>
          <w:lang w:val="en-US"/>
        </w:rPr>
        <w:t>138</w:t>
      </w:r>
      <w:r w:rsidRPr="001302E5">
        <w:rPr>
          <w:rFonts w:ascii="Times New Roman" w:hAnsi="Times New Roman"/>
          <w:color w:val="000000" w:themeColor="text1"/>
          <w:sz w:val="28"/>
          <w:szCs w:val="28"/>
          <w:lang w:val="en-US"/>
        </w:rPr>
        <w:t>, 9743-9746.</w:t>
      </w:r>
    </w:p>
    <w:p w14:paraId="4138379F"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22</w:t>
      </w:r>
      <w:r w:rsidRPr="001302E5">
        <w:rPr>
          <w:rFonts w:ascii="Times New Roman" w:hAnsi="Times New Roman"/>
          <w:color w:val="000000" w:themeColor="text1"/>
          <w:sz w:val="28"/>
          <w:szCs w:val="28"/>
          <w:lang w:val="en-US"/>
        </w:rPr>
        <w:tab/>
        <w:t xml:space="preserve">Y. Yang, R. C. da Costa, D.-M. Smilgies, A. J. Campbell and M. J. Fuchter, </w:t>
      </w:r>
      <w:r w:rsidRPr="001302E5">
        <w:rPr>
          <w:rFonts w:ascii="Times New Roman" w:hAnsi="Times New Roman"/>
          <w:i/>
          <w:iCs/>
          <w:color w:val="000000" w:themeColor="text1"/>
          <w:sz w:val="28"/>
          <w:szCs w:val="28"/>
          <w:lang w:val="en-US"/>
        </w:rPr>
        <w:t>Adv. Mater. Weinheim</w:t>
      </w:r>
      <w:r w:rsidRPr="001302E5">
        <w:rPr>
          <w:rFonts w:ascii="Times New Roman" w:hAnsi="Times New Roman"/>
          <w:color w:val="000000" w:themeColor="text1"/>
          <w:sz w:val="28"/>
          <w:szCs w:val="28"/>
          <w:lang w:val="en-US"/>
        </w:rPr>
        <w:t xml:space="preserve">, 2013, </w:t>
      </w:r>
      <w:r w:rsidRPr="001302E5">
        <w:rPr>
          <w:rFonts w:ascii="Times New Roman" w:hAnsi="Times New Roman"/>
          <w:b/>
          <w:bCs/>
          <w:color w:val="000000" w:themeColor="text1"/>
          <w:sz w:val="28"/>
          <w:szCs w:val="28"/>
          <w:lang w:val="en-US"/>
        </w:rPr>
        <w:t>25</w:t>
      </w:r>
      <w:r w:rsidRPr="001302E5">
        <w:rPr>
          <w:rFonts w:ascii="Times New Roman" w:hAnsi="Times New Roman"/>
          <w:color w:val="000000" w:themeColor="text1"/>
          <w:sz w:val="28"/>
          <w:szCs w:val="28"/>
          <w:lang w:val="en-US"/>
        </w:rPr>
        <w:t>, 2624–2628.</w:t>
      </w:r>
    </w:p>
    <w:p w14:paraId="24BA9545" w14:textId="225730AC"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23</w:t>
      </w:r>
      <w:r w:rsidRPr="001302E5">
        <w:rPr>
          <w:rFonts w:ascii="Times New Roman" w:hAnsi="Times New Roman"/>
          <w:color w:val="000000" w:themeColor="text1"/>
          <w:sz w:val="28"/>
          <w:szCs w:val="28"/>
          <w:lang w:val="en-US"/>
        </w:rPr>
        <w:tab/>
        <w:t xml:space="preserve">V. Kiran, S. P. Mathew, S. R. Cohen, I. Hernández Delgado, J. Lacour and R. Naaman, </w:t>
      </w:r>
      <w:r w:rsidR="000F0DC6" w:rsidRPr="001302E5">
        <w:rPr>
          <w:rFonts w:ascii="Times New Roman" w:hAnsi="Times New Roman"/>
          <w:i/>
          <w:iCs/>
          <w:color w:val="000000" w:themeColor="text1"/>
          <w:sz w:val="28"/>
          <w:szCs w:val="28"/>
          <w:lang w:val="en-US"/>
        </w:rPr>
        <w:t>Adv. Mater. Weinheim</w:t>
      </w:r>
      <w:r w:rsidRPr="001302E5">
        <w:rPr>
          <w:rFonts w:ascii="Times New Roman" w:hAnsi="Times New Roman"/>
          <w:color w:val="000000" w:themeColor="text1"/>
          <w:sz w:val="28"/>
          <w:szCs w:val="28"/>
          <w:lang w:val="en-US"/>
        </w:rPr>
        <w:t xml:space="preserve">, 2016, </w:t>
      </w:r>
      <w:r w:rsidRPr="001302E5">
        <w:rPr>
          <w:rFonts w:ascii="Times New Roman" w:hAnsi="Times New Roman"/>
          <w:b/>
          <w:bCs/>
          <w:color w:val="000000" w:themeColor="text1"/>
          <w:sz w:val="28"/>
          <w:szCs w:val="28"/>
          <w:lang w:val="en-US"/>
        </w:rPr>
        <w:t>28</w:t>
      </w:r>
      <w:r w:rsidRPr="001302E5">
        <w:rPr>
          <w:rFonts w:ascii="Times New Roman" w:hAnsi="Times New Roman"/>
          <w:color w:val="000000" w:themeColor="text1"/>
          <w:sz w:val="28"/>
          <w:szCs w:val="28"/>
          <w:lang w:val="en-US"/>
        </w:rPr>
        <w:t>, 1957–1962.</w:t>
      </w:r>
    </w:p>
    <w:p w14:paraId="24FD4EFC"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24</w:t>
      </w:r>
      <w:r w:rsidRPr="001302E5">
        <w:rPr>
          <w:rFonts w:ascii="Times New Roman" w:hAnsi="Times New Roman"/>
          <w:color w:val="000000" w:themeColor="text1"/>
          <w:sz w:val="28"/>
          <w:szCs w:val="28"/>
          <w:lang w:val="en-US"/>
        </w:rPr>
        <w:tab/>
        <w:t xml:space="preserve">T. Hatakeyama, S. Hashimoto, T. Oba and M. Nakamura, </w:t>
      </w:r>
      <w:r w:rsidRPr="001302E5">
        <w:rPr>
          <w:rFonts w:ascii="Times New Roman" w:hAnsi="Times New Roman"/>
          <w:i/>
          <w:iCs/>
          <w:color w:val="000000" w:themeColor="text1"/>
          <w:sz w:val="28"/>
          <w:szCs w:val="28"/>
          <w:lang w:val="en-US"/>
        </w:rPr>
        <w:t>J. Am. Chem. Soc.</w:t>
      </w:r>
      <w:r w:rsidRPr="001302E5">
        <w:rPr>
          <w:rFonts w:ascii="Times New Roman" w:hAnsi="Times New Roman"/>
          <w:color w:val="000000" w:themeColor="text1"/>
          <w:sz w:val="28"/>
          <w:szCs w:val="28"/>
          <w:lang w:val="en-US"/>
        </w:rPr>
        <w:t xml:space="preserve">, 2012, </w:t>
      </w:r>
      <w:r w:rsidRPr="001302E5">
        <w:rPr>
          <w:rFonts w:ascii="Times New Roman" w:hAnsi="Times New Roman"/>
          <w:b/>
          <w:color w:val="000000" w:themeColor="text1"/>
          <w:sz w:val="28"/>
          <w:szCs w:val="28"/>
          <w:lang w:val="en-US"/>
        </w:rPr>
        <w:t>134</w:t>
      </w:r>
      <w:r w:rsidRPr="001302E5">
        <w:rPr>
          <w:rFonts w:ascii="Times New Roman" w:hAnsi="Times New Roman"/>
          <w:color w:val="000000" w:themeColor="text1"/>
          <w:sz w:val="28"/>
          <w:szCs w:val="28"/>
          <w:lang w:val="en-US"/>
        </w:rPr>
        <w:t>, 19600-19603.</w:t>
      </w:r>
    </w:p>
    <w:p w14:paraId="24CBE800"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25</w:t>
      </w:r>
      <w:r w:rsidRPr="001302E5">
        <w:rPr>
          <w:rFonts w:ascii="Times New Roman" w:hAnsi="Times New Roman"/>
          <w:color w:val="000000" w:themeColor="text1"/>
          <w:sz w:val="28"/>
          <w:szCs w:val="28"/>
          <w:lang w:val="en-US"/>
        </w:rPr>
        <w:tab/>
        <w:t xml:space="preserve">Y. Yang, R. C. da Costa, M. J. Fuchter and A. J. Campbell, </w:t>
      </w:r>
      <w:r w:rsidRPr="001302E5">
        <w:rPr>
          <w:rFonts w:ascii="Times New Roman" w:hAnsi="Times New Roman"/>
          <w:i/>
          <w:color w:val="000000" w:themeColor="text1"/>
          <w:sz w:val="28"/>
          <w:szCs w:val="28"/>
          <w:lang w:val="en-US"/>
        </w:rPr>
        <w:t>Nat. Photonics</w:t>
      </w:r>
      <w:r w:rsidRPr="001302E5">
        <w:rPr>
          <w:rFonts w:ascii="Times New Roman" w:hAnsi="Times New Roman"/>
          <w:color w:val="000000" w:themeColor="text1"/>
          <w:sz w:val="28"/>
          <w:szCs w:val="28"/>
          <w:lang w:val="en-US"/>
        </w:rPr>
        <w:t xml:space="preserve">, 2013, </w:t>
      </w:r>
      <w:r w:rsidRPr="001302E5">
        <w:rPr>
          <w:rFonts w:ascii="Times New Roman" w:hAnsi="Times New Roman"/>
          <w:b/>
          <w:bCs/>
          <w:color w:val="000000" w:themeColor="text1"/>
          <w:sz w:val="28"/>
          <w:szCs w:val="28"/>
          <w:lang w:val="en-US"/>
        </w:rPr>
        <w:t>7</w:t>
      </w:r>
      <w:r w:rsidRPr="001302E5">
        <w:rPr>
          <w:rFonts w:ascii="Times New Roman" w:hAnsi="Times New Roman"/>
          <w:color w:val="000000" w:themeColor="text1"/>
          <w:sz w:val="28"/>
          <w:szCs w:val="28"/>
          <w:lang w:val="en-US"/>
        </w:rPr>
        <w:t>, 634–638.</w:t>
      </w:r>
    </w:p>
    <w:p w14:paraId="3D90024B"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26</w:t>
      </w:r>
      <w:r w:rsidRPr="001302E5">
        <w:rPr>
          <w:rFonts w:ascii="Times New Roman" w:hAnsi="Times New Roman"/>
          <w:color w:val="000000" w:themeColor="text1"/>
          <w:sz w:val="28"/>
          <w:szCs w:val="28"/>
          <w:lang w:val="en-US"/>
        </w:rPr>
        <w:tab/>
        <w:t xml:space="preserve">J. Crassous, P. Josse, L. Favereau, C. Shen, S. Dabos-Seignon, P. Blanchard and C. Cabanetos, </w:t>
      </w:r>
      <w:r w:rsidRPr="001302E5">
        <w:rPr>
          <w:rFonts w:ascii="Times New Roman" w:hAnsi="Times New Roman"/>
          <w:i/>
          <w:iCs/>
          <w:color w:val="000000" w:themeColor="text1"/>
          <w:sz w:val="28"/>
          <w:szCs w:val="28"/>
          <w:lang w:val="en-US"/>
        </w:rPr>
        <w:t>Chem.-Eur. J.</w:t>
      </w:r>
      <w:r w:rsidRPr="001302E5">
        <w:rPr>
          <w:rFonts w:ascii="Times New Roman" w:hAnsi="Times New Roman"/>
          <w:color w:val="000000" w:themeColor="text1"/>
          <w:sz w:val="28"/>
          <w:szCs w:val="28"/>
          <w:lang w:val="en-US"/>
        </w:rPr>
        <w:t xml:space="preserve">, 2017, </w:t>
      </w:r>
      <w:r w:rsidRPr="001302E5">
        <w:rPr>
          <w:rFonts w:ascii="Times New Roman" w:hAnsi="Times New Roman"/>
          <w:b/>
          <w:color w:val="000000" w:themeColor="text1"/>
          <w:sz w:val="28"/>
          <w:szCs w:val="28"/>
          <w:lang w:val="en-US"/>
        </w:rPr>
        <w:t>23</w:t>
      </w:r>
      <w:r w:rsidRPr="001302E5">
        <w:rPr>
          <w:rFonts w:ascii="Times New Roman" w:hAnsi="Times New Roman"/>
          <w:color w:val="000000" w:themeColor="text1"/>
          <w:sz w:val="28"/>
          <w:szCs w:val="28"/>
          <w:lang w:val="en-US"/>
        </w:rPr>
        <w:t>, 6277-6281.</w:t>
      </w:r>
    </w:p>
    <w:p w14:paraId="58B4DD39"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27</w:t>
      </w:r>
      <w:r w:rsidRPr="001302E5">
        <w:rPr>
          <w:rFonts w:ascii="Times New Roman" w:hAnsi="Times New Roman"/>
          <w:color w:val="000000" w:themeColor="text1"/>
          <w:sz w:val="28"/>
          <w:szCs w:val="28"/>
          <w:lang w:val="en-US"/>
        </w:rPr>
        <w:tab/>
        <w:t xml:space="preserve">Y. Yang, B. Rice, X. Shi, J. R. Brandt, R. Correa da Costa, G. J. Hedley, D.-M. Smilgies, J. M. Frost, I. D. W. Samuel, A. Otero de la Roza, E. R. Johnson, K. E. Jelfs, J. Nelson, A. J. Campbell and M. J. Fuchter, </w:t>
      </w:r>
      <w:r w:rsidRPr="001302E5">
        <w:rPr>
          <w:rFonts w:ascii="Times New Roman" w:hAnsi="Times New Roman"/>
          <w:i/>
          <w:iCs/>
          <w:color w:val="000000" w:themeColor="text1"/>
          <w:sz w:val="28"/>
          <w:szCs w:val="28"/>
          <w:lang w:val="en-US"/>
        </w:rPr>
        <w:t>ACS Nano</w:t>
      </w:r>
      <w:r w:rsidRPr="001302E5">
        <w:rPr>
          <w:rFonts w:ascii="Times New Roman" w:hAnsi="Times New Roman"/>
          <w:color w:val="000000" w:themeColor="text1"/>
          <w:sz w:val="28"/>
          <w:szCs w:val="28"/>
          <w:lang w:val="en-US"/>
        </w:rPr>
        <w:t xml:space="preserve">, 2017, </w:t>
      </w:r>
      <w:r w:rsidRPr="001302E5">
        <w:rPr>
          <w:rFonts w:ascii="Times New Roman" w:hAnsi="Times New Roman"/>
          <w:b/>
          <w:bCs/>
          <w:color w:val="000000" w:themeColor="text1"/>
          <w:sz w:val="28"/>
          <w:szCs w:val="28"/>
          <w:lang w:val="en-US"/>
        </w:rPr>
        <w:t>11</w:t>
      </w:r>
      <w:r w:rsidRPr="001302E5">
        <w:rPr>
          <w:rFonts w:ascii="Times New Roman" w:hAnsi="Times New Roman"/>
          <w:color w:val="000000" w:themeColor="text1"/>
          <w:sz w:val="28"/>
          <w:szCs w:val="28"/>
          <w:lang w:val="en-US"/>
        </w:rPr>
        <w:t>, 8329–8338.</w:t>
      </w:r>
    </w:p>
    <w:p w14:paraId="2D97B5B7"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28</w:t>
      </w:r>
      <w:r w:rsidRPr="001302E5">
        <w:rPr>
          <w:rFonts w:ascii="Times New Roman" w:hAnsi="Times New Roman"/>
          <w:color w:val="000000" w:themeColor="text1"/>
          <w:sz w:val="28"/>
          <w:szCs w:val="28"/>
          <w:lang w:val="en-US"/>
        </w:rPr>
        <w:tab/>
        <w:t xml:space="preserve">M. S. Newman and D. Lednicer, </w:t>
      </w:r>
      <w:r w:rsidRPr="001302E5">
        <w:rPr>
          <w:rFonts w:ascii="Times New Roman" w:hAnsi="Times New Roman"/>
          <w:i/>
          <w:iCs/>
          <w:color w:val="000000" w:themeColor="text1"/>
          <w:sz w:val="28"/>
          <w:szCs w:val="28"/>
          <w:lang w:val="en-US"/>
        </w:rPr>
        <w:t>J. Am. Chem. Soc.,</w:t>
      </w:r>
      <w:r w:rsidRPr="001302E5">
        <w:rPr>
          <w:rFonts w:ascii="Times New Roman" w:hAnsi="Times New Roman"/>
          <w:color w:val="000000" w:themeColor="text1"/>
          <w:sz w:val="28"/>
          <w:szCs w:val="28"/>
          <w:lang w:val="en-US"/>
        </w:rPr>
        <w:t xml:space="preserve"> 1956, </w:t>
      </w:r>
      <w:r w:rsidRPr="001302E5">
        <w:rPr>
          <w:rFonts w:ascii="Times New Roman" w:hAnsi="Times New Roman"/>
          <w:b/>
          <w:color w:val="000000" w:themeColor="text1"/>
          <w:sz w:val="28"/>
          <w:szCs w:val="28"/>
          <w:lang w:val="en-US"/>
        </w:rPr>
        <w:t>78</w:t>
      </w:r>
      <w:r w:rsidRPr="001302E5">
        <w:rPr>
          <w:rFonts w:ascii="Times New Roman" w:hAnsi="Times New Roman"/>
          <w:color w:val="000000" w:themeColor="text1"/>
          <w:sz w:val="28"/>
          <w:szCs w:val="28"/>
          <w:lang w:val="en-US"/>
        </w:rPr>
        <w:t>, 4765-4700.</w:t>
      </w:r>
    </w:p>
    <w:p w14:paraId="3022F770"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29</w:t>
      </w:r>
      <w:r w:rsidRPr="001302E5">
        <w:rPr>
          <w:rFonts w:ascii="Times New Roman" w:hAnsi="Times New Roman"/>
          <w:color w:val="000000" w:themeColor="text1"/>
          <w:sz w:val="28"/>
          <w:szCs w:val="28"/>
          <w:lang w:val="en-US"/>
        </w:rPr>
        <w:tab/>
        <w:t xml:space="preserve">G. Le Bas, A. Navaza, Y. Mauguen and C. de Rango, </w:t>
      </w:r>
      <w:r w:rsidRPr="001302E5">
        <w:rPr>
          <w:rFonts w:ascii="Times New Roman" w:hAnsi="Times New Roman"/>
          <w:i/>
          <w:iCs/>
          <w:color w:val="000000" w:themeColor="text1"/>
          <w:sz w:val="28"/>
          <w:szCs w:val="28"/>
          <w:lang w:val="en-US"/>
        </w:rPr>
        <w:t xml:space="preserve">Cryst. Struct. </w:t>
      </w:r>
      <w:r w:rsidRPr="001302E5">
        <w:rPr>
          <w:rFonts w:ascii="Times New Roman" w:hAnsi="Times New Roman"/>
          <w:i/>
          <w:iCs/>
          <w:color w:val="000000" w:themeColor="text1"/>
          <w:sz w:val="28"/>
          <w:szCs w:val="28"/>
          <w:lang w:val="en-US"/>
        </w:rPr>
        <w:lastRenderedPageBreak/>
        <w:t>Commun.</w:t>
      </w:r>
      <w:r w:rsidRPr="001302E5">
        <w:rPr>
          <w:rFonts w:ascii="Times New Roman" w:hAnsi="Times New Roman"/>
          <w:color w:val="000000" w:themeColor="text1"/>
          <w:sz w:val="28"/>
          <w:szCs w:val="28"/>
          <w:lang w:val="en-US"/>
        </w:rPr>
        <w:t xml:space="preserve">, 1976, </w:t>
      </w:r>
      <w:r w:rsidRPr="001302E5">
        <w:rPr>
          <w:rFonts w:ascii="Times New Roman" w:hAnsi="Times New Roman"/>
          <w:b/>
          <w:bCs/>
          <w:color w:val="000000" w:themeColor="text1"/>
          <w:sz w:val="28"/>
          <w:szCs w:val="28"/>
          <w:lang w:val="en-US"/>
        </w:rPr>
        <w:t>5</w:t>
      </w:r>
      <w:r w:rsidRPr="001302E5">
        <w:rPr>
          <w:rFonts w:ascii="Times New Roman" w:hAnsi="Times New Roman"/>
          <w:color w:val="000000" w:themeColor="text1"/>
          <w:sz w:val="28"/>
          <w:szCs w:val="28"/>
          <w:lang w:val="en-US"/>
        </w:rPr>
        <w:t>, 357.</w:t>
      </w:r>
    </w:p>
    <w:p w14:paraId="487B41E1"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30</w:t>
      </w:r>
      <w:r w:rsidRPr="001302E5">
        <w:rPr>
          <w:rFonts w:ascii="Times New Roman" w:hAnsi="Times New Roman"/>
          <w:color w:val="000000" w:themeColor="text1"/>
          <w:sz w:val="28"/>
          <w:szCs w:val="28"/>
          <w:lang w:val="en-US"/>
        </w:rPr>
        <w:tab/>
        <w:t xml:space="preserve">S. Ramdas, J. M. Thomas, M. E. Jordan and C. J. Eckhardt, </w:t>
      </w:r>
      <w:r w:rsidRPr="001302E5">
        <w:rPr>
          <w:rFonts w:ascii="Times New Roman" w:hAnsi="Times New Roman"/>
          <w:i/>
          <w:iCs/>
          <w:color w:val="000000" w:themeColor="text1"/>
          <w:sz w:val="28"/>
          <w:szCs w:val="28"/>
          <w:lang w:val="en-US"/>
        </w:rPr>
        <w:t>J. Phys. Chem.</w:t>
      </w:r>
      <w:r w:rsidRPr="001302E5">
        <w:rPr>
          <w:rFonts w:ascii="Times New Roman" w:hAnsi="Times New Roman"/>
          <w:color w:val="000000" w:themeColor="text1"/>
          <w:sz w:val="28"/>
          <w:szCs w:val="28"/>
          <w:lang w:val="en-US"/>
        </w:rPr>
        <w:t xml:space="preserve">, 1981, </w:t>
      </w:r>
      <w:r w:rsidRPr="001302E5">
        <w:rPr>
          <w:rFonts w:ascii="Times New Roman" w:hAnsi="Times New Roman"/>
          <w:b/>
          <w:bCs/>
          <w:color w:val="000000" w:themeColor="text1"/>
          <w:sz w:val="28"/>
          <w:szCs w:val="28"/>
          <w:lang w:val="en-US"/>
        </w:rPr>
        <w:t>85</w:t>
      </w:r>
      <w:r w:rsidRPr="001302E5">
        <w:rPr>
          <w:rFonts w:ascii="Times New Roman" w:hAnsi="Times New Roman"/>
          <w:color w:val="000000" w:themeColor="text1"/>
          <w:sz w:val="28"/>
          <w:szCs w:val="28"/>
          <w:lang w:val="en-US"/>
        </w:rPr>
        <w:t>, 2421–2425.</w:t>
      </w:r>
    </w:p>
    <w:p w14:paraId="3B9B2570"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31</w:t>
      </w:r>
      <w:r w:rsidRPr="001302E5">
        <w:rPr>
          <w:rFonts w:ascii="Times New Roman" w:hAnsi="Times New Roman"/>
          <w:color w:val="000000" w:themeColor="text1"/>
          <w:sz w:val="28"/>
          <w:szCs w:val="28"/>
          <w:lang w:val="en-US"/>
        </w:rPr>
        <w:tab/>
        <w:t xml:space="preserve">A. Otero-de-la-Roza, J. E. Hein and E. R. Johnson, </w:t>
      </w:r>
      <w:r w:rsidRPr="001302E5">
        <w:rPr>
          <w:rFonts w:ascii="Times New Roman" w:hAnsi="Times New Roman"/>
          <w:i/>
          <w:iCs/>
          <w:color w:val="000000" w:themeColor="text1"/>
          <w:sz w:val="28"/>
          <w:szCs w:val="28"/>
          <w:lang w:val="en-US"/>
        </w:rPr>
        <w:t>Cryst. Growth Des.</w:t>
      </w:r>
      <w:r w:rsidRPr="001302E5">
        <w:rPr>
          <w:rFonts w:ascii="Times New Roman" w:hAnsi="Times New Roman"/>
          <w:color w:val="000000" w:themeColor="text1"/>
          <w:sz w:val="28"/>
          <w:szCs w:val="28"/>
          <w:lang w:val="en-US"/>
        </w:rPr>
        <w:t xml:space="preserve">, 2016, </w:t>
      </w:r>
      <w:r w:rsidRPr="001302E5">
        <w:rPr>
          <w:rFonts w:ascii="Times New Roman" w:hAnsi="Times New Roman"/>
          <w:b/>
          <w:bCs/>
          <w:color w:val="000000" w:themeColor="text1"/>
          <w:sz w:val="28"/>
          <w:szCs w:val="28"/>
          <w:lang w:val="en-US"/>
        </w:rPr>
        <w:t>16</w:t>
      </w:r>
      <w:r w:rsidRPr="001302E5">
        <w:rPr>
          <w:rFonts w:ascii="Times New Roman" w:hAnsi="Times New Roman"/>
          <w:color w:val="000000" w:themeColor="text1"/>
          <w:sz w:val="28"/>
          <w:szCs w:val="28"/>
          <w:lang w:val="en-US"/>
        </w:rPr>
        <w:t>, 6055–6059.</w:t>
      </w:r>
    </w:p>
    <w:p w14:paraId="49F80537"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32</w:t>
      </w:r>
      <w:r w:rsidRPr="001302E5">
        <w:rPr>
          <w:rFonts w:ascii="Times New Roman" w:hAnsi="Times New Roman"/>
          <w:color w:val="000000" w:themeColor="text1"/>
          <w:sz w:val="28"/>
          <w:szCs w:val="28"/>
          <w:lang w:val="en-US"/>
        </w:rPr>
        <w:tab/>
        <w:t xml:space="preserve">A. D. Becke and E. R. Johnson, </w:t>
      </w:r>
      <w:r w:rsidRPr="001302E5">
        <w:rPr>
          <w:rFonts w:ascii="Times New Roman" w:hAnsi="Times New Roman"/>
          <w:i/>
          <w:iCs/>
          <w:color w:val="000000" w:themeColor="text1"/>
          <w:sz w:val="28"/>
          <w:szCs w:val="28"/>
          <w:lang w:val="en-US"/>
        </w:rPr>
        <w:t>J. Chem. Phys.</w:t>
      </w:r>
      <w:r w:rsidRPr="001302E5">
        <w:rPr>
          <w:rFonts w:ascii="Times New Roman" w:hAnsi="Times New Roman"/>
          <w:color w:val="000000" w:themeColor="text1"/>
          <w:sz w:val="28"/>
          <w:szCs w:val="28"/>
          <w:lang w:val="en-US"/>
        </w:rPr>
        <w:t xml:space="preserve">, 2007, </w:t>
      </w:r>
      <w:r w:rsidRPr="001302E5">
        <w:rPr>
          <w:rFonts w:ascii="Times New Roman" w:hAnsi="Times New Roman"/>
          <w:b/>
          <w:bCs/>
          <w:color w:val="000000" w:themeColor="text1"/>
          <w:sz w:val="28"/>
          <w:szCs w:val="28"/>
          <w:lang w:val="en-US"/>
        </w:rPr>
        <w:t>127</w:t>
      </w:r>
      <w:r w:rsidRPr="001302E5">
        <w:rPr>
          <w:rFonts w:ascii="Times New Roman" w:hAnsi="Times New Roman"/>
          <w:color w:val="000000" w:themeColor="text1"/>
          <w:sz w:val="28"/>
          <w:szCs w:val="28"/>
          <w:lang w:val="en-US"/>
        </w:rPr>
        <w:t>, 154108.</w:t>
      </w:r>
    </w:p>
    <w:p w14:paraId="4AECEC6A"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33</w:t>
      </w:r>
      <w:r w:rsidRPr="001302E5">
        <w:rPr>
          <w:rFonts w:ascii="Times New Roman" w:hAnsi="Times New Roman"/>
          <w:color w:val="000000" w:themeColor="text1"/>
          <w:sz w:val="28"/>
          <w:szCs w:val="28"/>
          <w:lang w:val="en-US"/>
        </w:rPr>
        <w:tab/>
        <w:t xml:space="preserve">E. R. Johnson, in </w:t>
      </w:r>
      <w:r w:rsidRPr="001302E5">
        <w:rPr>
          <w:rFonts w:ascii="Times New Roman" w:hAnsi="Times New Roman"/>
          <w:i/>
          <w:iCs/>
          <w:color w:val="000000" w:themeColor="text1"/>
          <w:sz w:val="28"/>
          <w:szCs w:val="28"/>
          <w:lang w:val="en-US"/>
        </w:rPr>
        <w:t>Non-covalent Interactions in Quantum Chemistry and Physics</w:t>
      </w:r>
      <w:r w:rsidRPr="001302E5">
        <w:rPr>
          <w:rFonts w:ascii="Times New Roman" w:hAnsi="Times New Roman"/>
          <w:color w:val="000000" w:themeColor="text1"/>
          <w:sz w:val="28"/>
          <w:szCs w:val="28"/>
          <w:lang w:val="en-US"/>
        </w:rPr>
        <w:t>, eds. A. Otero-de-la-Roza and G. A. DiLabio, Elsevier, 2017, pp. 215–248.</w:t>
      </w:r>
    </w:p>
    <w:p w14:paraId="7E368BC0"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34</w:t>
      </w:r>
      <w:r w:rsidRPr="001302E5">
        <w:rPr>
          <w:rFonts w:ascii="Times New Roman" w:hAnsi="Times New Roman"/>
          <w:color w:val="000000" w:themeColor="text1"/>
          <w:sz w:val="28"/>
          <w:szCs w:val="28"/>
          <w:lang w:val="en-US"/>
        </w:rPr>
        <w:tab/>
        <w:t xml:space="preserve">A. D. Becke, </w:t>
      </w:r>
      <w:r w:rsidRPr="001302E5">
        <w:rPr>
          <w:rFonts w:ascii="Times New Roman" w:hAnsi="Times New Roman"/>
          <w:i/>
          <w:iCs/>
          <w:color w:val="000000" w:themeColor="text1"/>
          <w:sz w:val="28"/>
          <w:szCs w:val="28"/>
          <w:lang w:val="en-US"/>
        </w:rPr>
        <w:t>J. Chem. Phys.</w:t>
      </w:r>
      <w:r w:rsidRPr="001302E5">
        <w:rPr>
          <w:rFonts w:ascii="Times New Roman" w:hAnsi="Times New Roman"/>
          <w:color w:val="000000" w:themeColor="text1"/>
          <w:sz w:val="28"/>
          <w:szCs w:val="28"/>
          <w:lang w:val="en-US"/>
        </w:rPr>
        <w:t xml:space="preserve">, 1986, </w:t>
      </w:r>
      <w:r w:rsidRPr="001302E5">
        <w:rPr>
          <w:rFonts w:ascii="Times New Roman" w:hAnsi="Times New Roman"/>
          <w:b/>
          <w:bCs/>
          <w:color w:val="000000" w:themeColor="text1"/>
          <w:sz w:val="28"/>
          <w:szCs w:val="28"/>
          <w:lang w:val="en-US"/>
        </w:rPr>
        <w:t>85</w:t>
      </w:r>
      <w:r w:rsidRPr="001302E5">
        <w:rPr>
          <w:rFonts w:ascii="Times New Roman" w:hAnsi="Times New Roman"/>
          <w:color w:val="000000" w:themeColor="text1"/>
          <w:sz w:val="28"/>
          <w:szCs w:val="28"/>
          <w:lang w:val="en-US"/>
        </w:rPr>
        <w:t>, 7184.</w:t>
      </w:r>
    </w:p>
    <w:p w14:paraId="0D9C3E83"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35</w:t>
      </w:r>
      <w:r w:rsidRPr="001302E5">
        <w:rPr>
          <w:rFonts w:ascii="Times New Roman" w:hAnsi="Times New Roman"/>
          <w:color w:val="000000" w:themeColor="text1"/>
          <w:sz w:val="28"/>
          <w:szCs w:val="28"/>
          <w:lang w:val="en-US"/>
        </w:rPr>
        <w:tab/>
        <w:t xml:space="preserve">A. Otero-de-la-Roza and E. R. Johnson, </w:t>
      </w:r>
      <w:r w:rsidRPr="001302E5">
        <w:rPr>
          <w:rFonts w:ascii="Times New Roman" w:hAnsi="Times New Roman"/>
          <w:i/>
          <w:iCs/>
          <w:color w:val="000000" w:themeColor="text1"/>
          <w:sz w:val="28"/>
          <w:szCs w:val="28"/>
          <w:lang w:val="en-US"/>
        </w:rPr>
        <w:t>J. Chem. Phys.</w:t>
      </w:r>
      <w:r w:rsidRPr="001302E5">
        <w:rPr>
          <w:rFonts w:ascii="Times New Roman" w:hAnsi="Times New Roman"/>
          <w:color w:val="000000" w:themeColor="text1"/>
          <w:sz w:val="28"/>
          <w:szCs w:val="28"/>
          <w:lang w:val="en-US"/>
        </w:rPr>
        <w:t xml:space="preserve">, 2012, </w:t>
      </w:r>
      <w:r w:rsidRPr="001302E5">
        <w:rPr>
          <w:rFonts w:ascii="Times New Roman" w:hAnsi="Times New Roman"/>
          <w:b/>
          <w:bCs/>
          <w:color w:val="000000" w:themeColor="text1"/>
          <w:sz w:val="28"/>
          <w:szCs w:val="28"/>
          <w:lang w:val="en-US"/>
        </w:rPr>
        <w:t>137</w:t>
      </w:r>
      <w:r w:rsidRPr="001302E5">
        <w:rPr>
          <w:rFonts w:ascii="Times New Roman" w:hAnsi="Times New Roman"/>
          <w:color w:val="000000" w:themeColor="text1"/>
          <w:sz w:val="28"/>
          <w:szCs w:val="28"/>
          <w:lang w:val="en-US"/>
        </w:rPr>
        <w:t>, 054103–11.</w:t>
      </w:r>
    </w:p>
    <w:p w14:paraId="3E16E183"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36</w:t>
      </w:r>
      <w:r w:rsidRPr="001302E5">
        <w:rPr>
          <w:rFonts w:ascii="Times New Roman" w:hAnsi="Times New Roman"/>
          <w:color w:val="000000" w:themeColor="text1"/>
          <w:sz w:val="28"/>
          <w:szCs w:val="28"/>
          <w:lang w:val="en-US"/>
        </w:rPr>
        <w:tab/>
        <w:t xml:space="preserve">A. Otero de la Roza, B. H. Cao, I. K. Price, J. E. Hein and E. R. Johnson, </w:t>
      </w:r>
      <w:r w:rsidRPr="001302E5">
        <w:rPr>
          <w:rFonts w:ascii="Times New Roman" w:hAnsi="Times New Roman"/>
          <w:i/>
          <w:iCs/>
          <w:color w:val="000000" w:themeColor="text1"/>
          <w:sz w:val="28"/>
          <w:szCs w:val="28"/>
          <w:lang w:val="en-US"/>
        </w:rPr>
        <w:t>Angew. Chem., Int. Ed.</w:t>
      </w:r>
      <w:r w:rsidRPr="001302E5">
        <w:rPr>
          <w:rFonts w:ascii="Times New Roman" w:hAnsi="Times New Roman"/>
          <w:color w:val="000000" w:themeColor="text1"/>
          <w:sz w:val="28"/>
          <w:szCs w:val="28"/>
          <w:lang w:val="en-US"/>
        </w:rPr>
        <w:t xml:space="preserve">, 2014, </w:t>
      </w:r>
      <w:r w:rsidRPr="001302E5">
        <w:rPr>
          <w:rFonts w:ascii="Times New Roman" w:hAnsi="Times New Roman"/>
          <w:b/>
          <w:bCs/>
          <w:color w:val="000000" w:themeColor="text1"/>
          <w:sz w:val="28"/>
          <w:szCs w:val="28"/>
          <w:lang w:val="en-US"/>
        </w:rPr>
        <w:t>53</w:t>
      </w:r>
      <w:r w:rsidRPr="001302E5">
        <w:rPr>
          <w:rFonts w:ascii="Times New Roman" w:hAnsi="Times New Roman"/>
          <w:color w:val="000000" w:themeColor="text1"/>
          <w:sz w:val="28"/>
          <w:szCs w:val="28"/>
          <w:lang w:val="en-US"/>
        </w:rPr>
        <w:t>, 7879–7882.</w:t>
      </w:r>
    </w:p>
    <w:p w14:paraId="0ED621BB"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37</w:t>
      </w:r>
      <w:r w:rsidRPr="001302E5">
        <w:rPr>
          <w:rFonts w:ascii="Times New Roman" w:hAnsi="Times New Roman"/>
          <w:color w:val="000000" w:themeColor="text1"/>
          <w:sz w:val="28"/>
          <w:szCs w:val="28"/>
          <w:lang w:val="en-US"/>
        </w:rPr>
        <w:tab/>
        <w:t xml:space="preserve">S. R. Whittleton, A. Otero-de-la-Roza and E. R. Johnson, </w:t>
      </w:r>
      <w:r w:rsidRPr="001302E5">
        <w:rPr>
          <w:rFonts w:ascii="Times New Roman" w:hAnsi="Times New Roman"/>
          <w:i/>
          <w:iCs/>
          <w:color w:val="000000" w:themeColor="text1"/>
          <w:sz w:val="28"/>
          <w:szCs w:val="28"/>
          <w:lang w:val="en-US"/>
        </w:rPr>
        <w:t>J. Chem. Theory Comput.</w:t>
      </w:r>
      <w:r w:rsidRPr="001302E5">
        <w:rPr>
          <w:rFonts w:ascii="Times New Roman" w:hAnsi="Times New Roman"/>
          <w:color w:val="000000" w:themeColor="text1"/>
          <w:sz w:val="28"/>
          <w:szCs w:val="28"/>
          <w:lang w:val="en-US"/>
        </w:rPr>
        <w:t xml:space="preserve">, 2017, </w:t>
      </w:r>
      <w:r w:rsidRPr="001302E5">
        <w:rPr>
          <w:rFonts w:ascii="Times New Roman" w:hAnsi="Times New Roman"/>
          <w:b/>
          <w:bCs/>
          <w:color w:val="000000" w:themeColor="text1"/>
          <w:sz w:val="28"/>
          <w:szCs w:val="28"/>
          <w:lang w:val="en-US"/>
        </w:rPr>
        <w:t>13</w:t>
      </w:r>
      <w:r w:rsidRPr="001302E5">
        <w:rPr>
          <w:rFonts w:ascii="Times New Roman" w:hAnsi="Times New Roman"/>
          <w:color w:val="000000" w:themeColor="text1"/>
          <w:sz w:val="28"/>
          <w:szCs w:val="28"/>
          <w:lang w:val="en-US"/>
        </w:rPr>
        <w:t>, 441–450.</w:t>
      </w:r>
    </w:p>
    <w:p w14:paraId="47D8ACD2"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38</w:t>
      </w:r>
      <w:r w:rsidRPr="001302E5">
        <w:rPr>
          <w:rFonts w:ascii="Times New Roman" w:hAnsi="Times New Roman"/>
          <w:color w:val="000000" w:themeColor="text1"/>
          <w:sz w:val="28"/>
          <w:szCs w:val="28"/>
          <w:lang w:val="en-US"/>
        </w:rPr>
        <w:tab/>
        <w:t>M. J. Frisch, G. W. Trucks, H. B. Schlegel, G. E. Scuseria, M. A. Robb, J. R. Cheeseman, G. Scalmani, V. Barone, B. Mennucci, G. A. Petersson, H. Nakatsuji, M. Caricato, X. Li, H. P. Hratchian, A. F. Izmaylov, J. Bloino, G. Zheng, J. L. Sonnenberg, M. Hada, M. Ehara, K. Toyota, R. Fukuda, J. Hasegawa, M. Ishida, T. Nakajima, Y. Honda, O. Kitao, H. Nakai, T. Vreven, J. A. Montgomery Jr, J. E. Peralta, F. O. Ogliaro, M. J. Bearpark, J. Heyd, E. N. Brothers, K. N. Kudin, V. N. Staroverov, R. Kobayashi, J. Normand, K. Raghavachari, A. P. Rendell, J. C. Burant, S. S. Iyengar, J. Tomasi, M. Cossi, N. Rega, N. J. Millam, M. Klene, J. E. Knox, J. B. Cross, V. Bakken, C. Adamo, J. Jaramillo, R. Gomperts, R. E. Stratmann, O. Yazyev, A. J. Austin, R. Cammi, C. Pomelli, J. W. Ochterski, R. L. Martin, K. Morokuma, V. G. Zakrzewski, G. A. Voth, P. Salvador, J. J. Dannenberg, S. Dapprich, A. D. Daniels, Ã. D. N. Farkas, J. B. Foresman, J. V. Ortiz, J. Cioslowski and D. J. Fox, Gaussian09 (Revision D.01), Gaussian Inc., Wallingford, CT, USA, 2009.</w:t>
      </w:r>
    </w:p>
    <w:p w14:paraId="5E6ABC5E" w14:textId="7B7B7C8D"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39</w:t>
      </w:r>
      <w:r w:rsidRPr="001302E5">
        <w:rPr>
          <w:rFonts w:ascii="Times New Roman" w:hAnsi="Times New Roman"/>
          <w:color w:val="000000" w:themeColor="text1"/>
          <w:sz w:val="28"/>
          <w:szCs w:val="28"/>
          <w:lang w:val="en-US"/>
        </w:rPr>
        <w:tab/>
        <w:t xml:space="preserve">P. </w:t>
      </w:r>
      <w:r w:rsidR="00345903" w:rsidRPr="001302E5">
        <w:rPr>
          <w:rFonts w:ascii="Times New Roman" w:hAnsi="Times New Roman"/>
          <w:color w:val="000000" w:themeColor="text1"/>
          <w:sz w:val="28"/>
          <w:szCs w:val="28"/>
          <w:lang w:val="en-US"/>
        </w:rPr>
        <w:t xml:space="preserve">G. </w:t>
      </w:r>
      <w:r w:rsidRPr="001302E5">
        <w:rPr>
          <w:rFonts w:ascii="Times New Roman" w:hAnsi="Times New Roman"/>
          <w:color w:val="000000" w:themeColor="text1"/>
          <w:sz w:val="28"/>
          <w:szCs w:val="28"/>
          <w:lang w:val="en-US"/>
        </w:rPr>
        <w:t xml:space="preserve">Karamertzanis and C. </w:t>
      </w:r>
      <w:r w:rsidR="00345903" w:rsidRPr="001302E5">
        <w:rPr>
          <w:rFonts w:ascii="Times New Roman" w:hAnsi="Times New Roman"/>
          <w:color w:val="000000" w:themeColor="text1"/>
          <w:sz w:val="28"/>
          <w:szCs w:val="28"/>
          <w:lang w:val="en-US"/>
        </w:rPr>
        <w:t xml:space="preserve">C. </w:t>
      </w:r>
      <w:r w:rsidRPr="001302E5">
        <w:rPr>
          <w:rFonts w:ascii="Times New Roman" w:hAnsi="Times New Roman"/>
          <w:color w:val="000000" w:themeColor="text1"/>
          <w:sz w:val="28"/>
          <w:szCs w:val="28"/>
          <w:lang w:val="en-US"/>
        </w:rPr>
        <w:t xml:space="preserve">Pantelides, </w:t>
      </w:r>
      <w:r w:rsidRPr="001302E5">
        <w:rPr>
          <w:rFonts w:ascii="Times New Roman" w:hAnsi="Times New Roman"/>
          <w:i/>
          <w:color w:val="000000" w:themeColor="text1"/>
          <w:sz w:val="28"/>
          <w:szCs w:val="28"/>
          <w:lang w:val="en-US"/>
        </w:rPr>
        <w:t>J. Comput. Chem.</w:t>
      </w:r>
      <w:r w:rsidRPr="001302E5">
        <w:rPr>
          <w:rFonts w:ascii="Times New Roman" w:hAnsi="Times New Roman"/>
          <w:color w:val="000000" w:themeColor="text1"/>
          <w:sz w:val="28"/>
          <w:szCs w:val="28"/>
          <w:lang w:val="en-US"/>
        </w:rPr>
        <w:t xml:space="preserve">, 2005, </w:t>
      </w:r>
      <w:r w:rsidRPr="001302E5">
        <w:rPr>
          <w:rFonts w:ascii="Times New Roman" w:hAnsi="Times New Roman"/>
          <w:b/>
          <w:bCs/>
          <w:color w:val="000000" w:themeColor="text1"/>
          <w:sz w:val="28"/>
          <w:szCs w:val="28"/>
          <w:lang w:val="en-US"/>
        </w:rPr>
        <w:t>26</w:t>
      </w:r>
      <w:r w:rsidRPr="001302E5">
        <w:rPr>
          <w:rFonts w:ascii="Times New Roman" w:hAnsi="Times New Roman"/>
          <w:color w:val="000000" w:themeColor="text1"/>
          <w:sz w:val="28"/>
          <w:szCs w:val="28"/>
          <w:lang w:val="en-US"/>
        </w:rPr>
        <w:t>, 304–324.</w:t>
      </w:r>
    </w:p>
    <w:p w14:paraId="3FC95850"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40</w:t>
      </w:r>
      <w:r w:rsidRPr="001302E5">
        <w:rPr>
          <w:rFonts w:ascii="Times New Roman" w:hAnsi="Times New Roman"/>
          <w:color w:val="000000" w:themeColor="text1"/>
          <w:sz w:val="28"/>
          <w:szCs w:val="28"/>
          <w:lang w:val="en-US"/>
        </w:rPr>
        <w:tab/>
        <w:t xml:space="preserve">P. G. Karamertzanis and C. C. Pantelides, </w:t>
      </w:r>
      <w:r w:rsidRPr="001302E5">
        <w:rPr>
          <w:rFonts w:ascii="Times New Roman" w:hAnsi="Times New Roman"/>
          <w:i/>
          <w:iCs/>
          <w:color w:val="000000" w:themeColor="text1"/>
          <w:sz w:val="28"/>
          <w:szCs w:val="28"/>
          <w:lang w:val="en-US"/>
        </w:rPr>
        <w:t>Mol. Phys.</w:t>
      </w:r>
      <w:r w:rsidRPr="001302E5">
        <w:rPr>
          <w:rFonts w:ascii="Times New Roman" w:hAnsi="Times New Roman"/>
          <w:color w:val="000000" w:themeColor="text1"/>
          <w:sz w:val="28"/>
          <w:szCs w:val="28"/>
          <w:lang w:val="en-US"/>
        </w:rPr>
        <w:t xml:space="preserve">, 2007, </w:t>
      </w:r>
      <w:r w:rsidRPr="001302E5">
        <w:rPr>
          <w:rFonts w:ascii="Times New Roman" w:hAnsi="Times New Roman"/>
          <w:b/>
          <w:bCs/>
          <w:color w:val="000000" w:themeColor="text1"/>
          <w:sz w:val="28"/>
          <w:szCs w:val="28"/>
          <w:lang w:val="en-US"/>
        </w:rPr>
        <w:t>105</w:t>
      </w:r>
      <w:r w:rsidRPr="001302E5">
        <w:rPr>
          <w:rFonts w:ascii="Times New Roman" w:hAnsi="Times New Roman"/>
          <w:color w:val="000000" w:themeColor="text1"/>
          <w:sz w:val="28"/>
          <w:szCs w:val="28"/>
          <w:lang w:val="en-US"/>
        </w:rPr>
        <w:t>, 273–291.</w:t>
      </w:r>
    </w:p>
    <w:p w14:paraId="2A4DB9B3"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41</w:t>
      </w:r>
      <w:r w:rsidRPr="001302E5">
        <w:rPr>
          <w:rFonts w:ascii="Times New Roman" w:hAnsi="Times New Roman"/>
          <w:color w:val="000000" w:themeColor="text1"/>
          <w:sz w:val="28"/>
          <w:szCs w:val="28"/>
          <w:lang w:val="en-US"/>
        </w:rPr>
        <w:tab/>
        <w:t xml:space="preserve">A. J. Stone, </w:t>
      </w:r>
      <w:r w:rsidRPr="001302E5">
        <w:rPr>
          <w:rFonts w:ascii="Times New Roman" w:hAnsi="Times New Roman"/>
          <w:i/>
          <w:iCs/>
          <w:color w:val="000000" w:themeColor="text1"/>
          <w:sz w:val="28"/>
          <w:szCs w:val="28"/>
          <w:lang w:val="en-US"/>
        </w:rPr>
        <w:t>J. Chem. Theory. Comput.</w:t>
      </w:r>
      <w:r w:rsidRPr="001302E5">
        <w:rPr>
          <w:rFonts w:ascii="Times New Roman" w:hAnsi="Times New Roman"/>
          <w:color w:val="000000" w:themeColor="text1"/>
          <w:sz w:val="28"/>
          <w:szCs w:val="28"/>
          <w:lang w:val="en-US"/>
        </w:rPr>
        <w:t xml:space="preserve">, 2005, </w:t>
      </w:r>
      <w:r w:rsidRPr="001302E5">
        <w:rPr>
          <w:rFonts w:ascii="Times New Roman" w:hAnsi="Times New Roman"/>
          <w:b/>
          <w:color w:val="000000" w:themeColor="text1"/>
          <w:sz w:val="28"/>
          <w:szCs w:val="28"/>
          <w:lang w:val="en-US"/>
        </w:rPr>
        <w:t>1</w:t>
      </w:r>
      <w:r w:rsidRPr="001302E5">
        <w:rPr>
          <w:rFonts w:ascii="Times New Roman" w:hAnsi="Times New Roman"/>
          <w:color w:val="000000" w:themeColor="text1"/>
          <w:sz w:val="28"/>
          <w:szCs w:val="28"/>
          <w:lang w:val="en-US"/>
        </w:rPr>
        <w:t>, 1128-1132.</w:t>
      </w:r>
    </w:p>
    <w:p w14:paraId="02D9CA31"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42</w:t>
      </w:r>
      <w:r w:rsidRPr="001302E5">
        <w:rPr>
          <w:rFonts w:ascii="Times New Roman" w:hAnsi="Times New Roman"/>
          <w:color w:val="000000" w:themeColor="text1"/>
          <w:sz w:val="28"/>
          <w:szCs w:val="28"/>
          <w:lang w:val="en-US"/>
        </w:rPr>
        <w:tab/>
        <w:t>A. J. Stone, GDMA (Version 2.2.02), 2005.</w:t>
      </w:r>
    </w:p>
    <w:p w14:paraId="782E7C2F" w14:textId="2C34A8A4"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43</w:t>
      </w:r>
      <w:r w:rsidRPr="001302E5">
        <w:rPr>
          <w:rFonts w:ascii="Times New Roman" w:hAnsi="Times New Roman"/>
          <w:color w:val="000000" w:themeColor="text1"/>
          <w:sz w:val="28"/>
          <w:szCs w:val="28"/>
          <w:lang w:val="en-US"/>
        </w:rPr>
        <w:tab/>
        <w:t xml:space="preserve">D. </w:t>
      </w:r>
      <w:r w:rsidR="00D16482" w:rsidRPr="001302E5">
        <w:rPr>
          <w:rFonts w:ascii="Times New Roman" w:hAnsi="Times New Roman"/>
          <w:color w:val="000000" w:themeColor="text1"/>
          <w:sz w:val="28"/>
          <w:szCs w:val="28"/>
          <w:lang w:val="en-US"/>
        </w:rPr>
        <w:t xml:space="preserve">E. </w:t>
      </w:r>
      <w:r w:rsidRPr="001302E5">
        <w:rPr>
          <w:rFonts w:ascii="Times New Roman" w:hAnsi="Times New Roman"/>
          <w:color w:val="000000" w:themeColor="text1"/>
          <w:sz w:val="28"/>
          <w:szCs w:val="28"/>
          <w:lang w:val="en-US"/>
        </w:rPr>
        <w:t xml:space="preserve">Williams, </w:t>
      </w:r>
      <w:r w:rsidRPr="001302E5">
        <w:rPr>
          <w:rFonts w:ascii="Times New Roman" w:hAnsi="Times New Roman"/>
          <w:i/>
          <w:color w:val="000000" w:themeColor="text1"/>
          <w:sz w:val="28"/>
          <w:szCs w:val="28"/>
          <w:lang w:val="en-US"/>
        </w:rPr>
        <w:t>J. Comput. Chem.</w:t>
      </w:r>
      <w:r w:rsidRPr="001302E5">
        <w:rPr>
          <w:rFonts w:ascii="Times New Roman" w:hAnsi="Times New Roman"/>
          <w:color w:val="000000" w:themeColor="text1"/>
          <w:sz w:val="28"/>
          <w:szCs w:val="28"/>
          <w:lang w:val="en-US"/>
        </w:rPr>
        <w:t xml:space="preserve">, 2001, </w:t>
      </w:r>
      <w:r w:rsidRPr="001302E5">
        <w:rPr>
          <w:rFonts w:ascii="Times New Roman" w:hAnsi="Times New Roman"/>
          <w:b/>
          <w:bCs/>
          <w:color w:val="000000" w:themeColor="text1"/>
          <w:sz w:val="28"/>
          <w:szCs w:val="28"/>
          <w:lang w:val="en-US"/>
        </w:rPr>
        <w:t>22</w:t>
      </w:r>
      <w:r w:rsidRPr="001302E5">
        <w:rPr>
          <w:rFonts w:ascii="Times New Roman" w:hAnsi="Times New Roman"/>
          <w:color w:val="000000" w:themeColor="text1"/>
          <w:sz w:val="28"/>
          <w:szCs w:val="28"/>
          <w:lang w:val="en-US"/>
        </w:rPr>
        <w:t>, 1154–1166.</w:t>
      </w:r>
    </w:p>
    <w:p w14:paraId="2A5F14BC" w14:textId="207E61A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44</w:t>
      </w:r>
      <w:r w:rsidRPr="001302E5">
        <w:rPr>
          <w:rFonts w:ascii="Times New Roman" w:hAnsi="Times New Roman"/>
          <w:color w:val="000000" w:themeColor="text1"/>
          <w:sz w:val="28"/>
          <w:szCs w:val="28"/>
          <w:lang w:val="en-US"/>
        </w:rPr>
        <w:tab/>
        <w:t xml:space="preserve">S. Price, M. Leslie, G. </w:t>
      </w:r>
      <w:r w:rsidR="008F2161" w:rsidRPr="001302E5">
        <w:rPr>
          <w:rFonts w:ascii="Times New Roman" w:hAnsi="Times New Roman"/>
          <w:color w:val="000000" w:themeColor="text1"/>
          <w:sz w:val="28"/>
          <w:szCs w:val="28"/>
          <w:lang w:val="en-US"/>
        </w:rPr>
        <w:t>W. A. Welch,</w:t>
      </w:r>
      <w:r w:rsidRPr="001302E5">
        <w:rPr>
          <w:rFonts w:ascii="Times New Roman" w:hAnsi="Times New Roman"/>
          <w:color w:val="000000" w:themeColor="text1"/>
          <w:sz w:val="28"/>
          <w:szCs w:val="28"/>
          <w:lang w:val="en-US"/>
        </w:rPr>
        <w:t xml:space="preserve"> M. Habgood, </w:t>
      </w:r>
      <w:r w:rsidR="008F2161" w:rsidRPr="001302E5">
        <w:rPr>
          <w:rFonts w:ascii="Times New Roman" w:hAnsi="Times New Roman"/>
          <w:color w:val="000000" w:themeColor="text1"/>
          <w:sz w:val="28"/>
          <w:szCs w:val="28"/>
          <w:lang w:val="en-US"/>
        </w:rPr>
        <w:t xml:space="preserve">L. S. Price, P. G. Karamertzanis and G. M. Day, </w:t>
      </w:r>
      <w:r w:rsidRPr="001302E5">
        <w:rPr>
          <w:rFonts w:ascii="Times New Roman" w:hAnsi="Times New Roman"/>
          <w:i/>
          <w:iCs/>
          <w:color w:val="000000" w:themeColor="text1"/>
          <w:sz w:val="28"/>
          <w:szCs w:val="28"/>
          <w:lang w:val="en-US"/>
        </w:rPr>
        <w:t xml:space="preserve">Phys. Chem. Chem. Phys., </w:t>
      </w:r>
      <w:r w:rsidRPr="001302E5">
        <w:rPr>
          <w:rFonts w:ascii="Times New Roman" w:hAnsi="Times New Roman"/>
          <w:color w:val="000000" w:themeColor="text1"/>
          <w:sz w:val="28"/>
          <w:szCs w:val="28"/>
          <w:lang w:val="en-US"/>
        </w:rPr>
        <w:t xml:space="preserve">2010, </w:t>
      </w:r>
      <w:r w:rsidRPr="001302E5">
        <w:rPr>
          <w:rFonts w:ascii="Times New Roman" w:hAnsi="Times New Roman"/>
          <w:b/>
          <w:color w:val="000000" w:themeColor="text1"/>
          <w:sz w:val="28"/>
          <w:szCs w:val="28"/>
          <w:lang w:val="en-US"/>
        </w:rPr>
        <w:t>12</w:t>
      </w:r>
      <w:r w:rsidRPr="001302E5">
        <w:rPr>
          <w:rFonts w:ascii="Times New Roman" w:hAnsi="Times New Roman"/>
          <w:color w:val="000000" w:themeColor="text1"/>
          <w:sz w:val="28"/>
          <w:szCs w:val="28"/>
          <w:lang w:val="en-US"/>
        </w:rPr>
        <w:t>, 8478-8490.</w:t>
      </w:r>
    </w:p>
    <w:p w14:paraId="1CAB2BDE"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45</w:t>
      </w:r>
      <w:r w:rsidRPr="001302E5">
        <w:rPr>
          <w:rFonts w:ascii="Times New Roman" w:hAnsi="Times New Roman"/>
          <w:color w:val="000000" w:themeColor="text1"/>
          <w:sz w:val="28"/>
          <w:szCs w:val="28"/>
          <w:lang w:val="en-US"/>
        </w:rPr>
        <w:tab/>
        <w:t xml:space="preserve">J. P. Perdew, K. Burke and M. Ernzerhof, </w:t>
      </w:r>
      <w:r w:rsidRPr="001302E5">
        <w:rPr>
          <w:rFonts w:ascii="Times New Roman" w:hAnsi="Times New Roman"/>
          <w:i/>
          <w:iCs/>
          <w:color w:val="000000" w:themeColor="text1"/>
          <w:sz w:val="28"/>
          <w:szCs w:val="28"/>
          <w:lang w:val="en-US"/>
        </w:rPr>
        <w:t>Phys. Rev. Lett.</w:t>
      </w:r>
      <w:r w:rsidRPr="001302E5">
        <w:rPr>
          <w:rFonts w:ascii="Times New Roman" w:hAnsi="Times New Roman"/>
          <w:color w:val="000000" w:themeColor="text1"/>
          <w:sz w:val="28"/>
          <w:szCs w:val="28"/>
          <w:lang w:val="en-US"/>
        </w:rPr>
        <w:t xml:space="preserve">, 1996, </w:t>
      </w:r>
      <w:r w:rsidRPr="001302E5">
        <w:rPr>
          <w:rFonts w:ascii="Times New Roman" w:hAnsi="Times New Roman"/>
          <w:b/>
          <w:bCs/>
          <w:color w:val="000000" w:themeColor="text1"/>
          <w:sz w:val="28"/>
          <w:szCs w:val="28"/>
          <w:lang w:val="en-US"/>
        </w:rPr>
        <w:t>77</w:t>
      </w:r>
      <w:r w:rsidRPr="001302E5">
        <w:rPr>
          <w:rFonts w:ascii="Times New Roman" w:hAnsi="Times New Roman"/>
          <w:color w:val="000000" w:themeColor="text1"/>
          <w:sz w:val="28"/>
          <w:szCs w:val="28"/>
          <w:lang w:val="en-US"/>
        </w:rPr>
        <w:t>, 3865–3868.</w:t>
      </w:r>
    </w:p>
    <w:p w14:paraId="6DBEA6A2"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46</w:t>
      </w:r>
      <w:r w:rsidRPr="001302E5">
        <w:rPr>
          <w:rFonts w:ascii="Times New Roman" w:hAnsi="Times New Roman"/>
          <w:color w:val="000000" w:themeColor="text1"/>
          <w:sz w:val="28"/>
          <w:szCs w:val="28"/>
          <w:lang w:val="en-US"/>
        </w:rPr>
        <w:tab/>
        <w:t xml:space="preserve">P. Blöchl, </w:t>
      </w:r>
      <w:r w:rsidRPr="001302E5">
        <w:rPr>
          <w:rFonts w:ascii="Times New Roman" w:hAnsi="Times New Roman"/>
          <w:i/>
          <w:iCs/>
          <w:color w:val="000000" w:themeColor="text1"/>
          <w:sz w:val="28"/>
          <w:szCs w:val="28"/>
          <w:lang w:val="en-US"/>
        </w:rPr>
        <w:t>Phys. Rev., B Condens. Matter</w:t>
      </w:r>
      <w:r w:rsidRPr="001302E5">
        <w:rPr>
          <w:rFonts w:ascii="Times New Roman" w:hAnsi="Times New Roman"/>
          <w:color w:val="000000" w:themeColor="text1"/>
          <w:sz w:val="28"/>
          <w:szCs w:val="28"/>
          <w:lang w:val="en-US"/>
        </w:rPr>
        <w:t xml:space="preserve">, 1994, </w:t>
      </w:r>
      <w:r w:rsidRPr="001302E5">
        <w:rPr>
          <w:rFonts w:ascii="Times New Roman" w:hAnsi="Times New Roman"/>
          <w:b/>
          <w:bCs/>
          <w:color w:val="000000" w:themeColor="text1"/>
          <w:sz w:val="28"/>
          <w:szCs w:val="28"/>
          <w:lang w:val="en-US"/>
        </w:rPr>
        <w:t>50</w:t>
      </w:r>
      <w:r w:rsidRPr="001302E5">
        <w:rPr>
          <w:rFonts w:ascii="Times New Roman" w:hAnsi="Times New Roman"/>
          <w:color w:val="000000" w:themeColor="text1"/>
          <w:sz w:val="28"/>
          <w:szCs w:val="28"/>
          <w:lang w:val="en-US"/>
        </w:rPr>
        <w:t>, 17953–17979.</w:t>
      </w:r>
    </w:p>
    <w:p w14:paraId="460B7D87"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lastRenderedPageBreak/>
        <w:t>47</w:t>
      </w:r>
      <w:r w:rsidRPr="001302E5">
        <w:rPr>
          <w:rFonts w:ascii="Times New Roman" w:hAnsi="Times New Roman"/>
          <w:color w:val="000000" w:themeColor="text1"/>
          <w:sz w:val="28"/>
          <w:szCs w:val="28"/>
          <w:lang w:val="en-US"/>
        </w:rPr>
        <w:tab/>
        <w:t xml:space="preserve">P. Giannozzi, O. Andreussi, T. Brumme, O. Bunau, M. Buongiorno Nardelli, M. Calandra, R. Car, C. Cavazzoni, D. Ceresoli, M. Cococcioni, N. Colonna, I. Carnimeo, A. Dal Corso, S. de Gironcoli, P. Delugas, R. A. DiStasio Jr, A. Ferretti, A. Floris, G. Fratesi, G. Fugallo, R. Gebauer, U. Gerstmann, F. Giustino, T. Gorni, J. Jia, M. Kawamura, H. Y. Ko, A. Kokalj, E. Küçükbenli, M. Lazzeri, M. Marsili, N. Marzari, F. Mauri, N. L. Nguyen, H.-V. Nguyen, A. Otero-de-la-Roza, L. Paulatto, S. Poncé, D. Rocca, R. Sabatini, B. Santra, M. Schlipf, A. P. Seitsonen, A. Smogunov, I. Timrov, T. Thonhauser, P. Umari, N. Vast, X. Wu and S. Baroni, </w:t>
      </w:r>
      <w:r w:rsidRPr="001302E5">
        <w:rPr>
          <w:rFonts w:ascii="Times New Roman" w:hAnsi="Times New Roman"/>
          <w:i/>
          <w:iCs/>
          <w:color w:val="000000" w:themeColor="text1"/>
          <w:sz w:val="28"/>
          <w:szCs w:val="28"/>
          <w:lang w:val="en-US"/>
        </w:rPr>
        <w:t>J. Phys.: Condens. Matter</w:t>
      </w:r>
      <w:r w:rsidRPr="001302E5">
        <w:rPr>
          <w:rFonts w:ascii="Times New Roman" w:hAnsi="Times New Roman"/>
          <w:color w:val="000000" w:themeColor="text1"/>
          <w:sz w:val="28"/>
          <w:szCs w:val="28"/>
          <w:lang w:val="en-US"/>
        </w:rPr>
        <w:t xml:space="preserve">, 2017, </w:t>
      </w:r>
      <w:r w:rsidRPr="001302E5">
        <w:rPr>
          <w:rFonts w:ascii="Times New Roman" w:hAnsi="Times New Roman"/>
          <w:b/>
          <w:bCs/>
          <w:color w:val="000000" w:themeColor="text1"/>
          <w:sz w:val="28"/>
          <w:szCs w:val="28"/>
          <w:lang w:val="en-US"/>
        </w:rPr>
        <w:t>29</w:t>
      </w:r>
      <w:r w:rsidRPr="001302E5">
        <w:rPr>
          <w:rFonts w:ascii="Times New Roman" w:hAnsi="Times New Roman"/>
          <w:color w:val="000000" w:themeColor="text1"/>
          <w:sz w:val="28"/>
          <w:szCs w:val="28"/>
          <w:lang w:val="en-US"/>
        </w:rPr>
        <w:t>, 465901–31.</w:t>
      </w:r>
    </w:p>
    <w:p w14:paraId="41DB7471" w14:textId="77777777" w:rsidR="004D4376" w:rsidRPr="001302E5" w:rsidRDefault="004D6D89">
      <w:pPr>
        <w:widowControl w:val="0"/>
        <w:tabs>
          <w:tab w:val="left" w:pos="480"/>
        </w:tabs>
        <w:suppressAutoHyphens w:val="0"/>
        <w:ind w:left="480" w:hanging="480"/>
        <w:rPr>
          <w:rFonts w:ascii="Times New Roman" w:hAnsi="Times New Roman"/>
          <w:iCs/>
          <w:color w:val="000000" w:themeColor="text1"/>
          <w:sz w:val="28"/>
          <w:szCs w:val="28"/>
          <w:lang w:val="en-US"/>
        </w:rPr>
      </w:pPr>
      <w:r w:rsidRPr="001302E5">
        <w:rPr>
          <w:rFonts w:ascii="Times New Roman" w:hAnsi="Times New Roman"/>
          <w:color w:val="000000" w:themeColor="text1"/>
          <w:sz w:val="28"/>
          <w:szCs w:val="28"/>
          <w:lang w:val="en-US"/>
        </w:rPr>
        <w:t>48</w:t>
      </w:r>
      <w:r w:rsidRPr="001302E5">
        <w:rPr>
          <w:rFonts w:ascii="Times New Roman" w:hAnsi="Times New Roman"/>
          <w:color w:val="000000" w:themeColor="text1"/>
          <w:sz w:val="28"/>
          <w:szCs w:val="28"/>
          <w:lang w:val="en-US"/>
        </w:rPr>
        <w:tab/>
        <w:t xml:space="preserve">J. A. Chisholm and S. Motherwell, </w:t>
      </w:r>
      <w:r w:rsidRPr="001302E5">
        <w:rPr>
          <w:rFonts w:ascii="Times New Roman" w:hAnsi="Times New Roman"/>
          <w:i/>
          <w:iCs/>
          <w:color w:val="000000" w:themeColor="text1"/>
          <w:sz w:val="28"/>
          <w:szCs w:val="28"/>
          <w:lang w:val="en-US"/>
        </w:rPr>
        <w:t>J. Appl. Cryst.</w:t>
      </w:r>
      <w:r w:rsidRPr="001302E5">
        <w:rPr>
          <w:rFonts w:ascii="Times New Roman" w:hAnsi="Times New Roman"/>
          <w:iCs/>
          <w:color w:val="000000" w:themeColor="text1"/>
          <w:sz w:val="28"/>
          <w:szCs w:val="28"/>
          <w:lang w:val="en-US"/>
        </w:rPr>
        <w:t xml:space="preserve">, 2005, </w:t>
      </w:r>
      <w:r w:rsidRPr="001302E5">
        <w:rPr>
          <w:rFonts w:ascii="Times New Roman" w:hAnsi="Times New Roman"/>
          <w:b/>
          <w:iCs/>
          <w:color w:val="000000" w:themeColor="text1"/>
          <w:sz w:val="28"/>
          <w:szCs w:val="28"/>
          <w:lang w:val="en-US"/>
        </w:rPr>
        <w:t>38</w:t>
      </w:r>
      <w:r w:rsidRPr="001302E5">
        <w:rPr>
          <w:rFonts w:ascii="Times New Roman" w:hAnsi="Times New Roman"/>
          <w:iCs/>
          <w:color w:val="000000" w:themeColor="text1"/>
          <w:sz w:val="28"/>
          <w:szCs w:val="28"/>
          <w:lang w:val="en-US"/>
        </w:rPr>
        <w:t>,</w:t>
      </w:r>
      <w:r w:rsidRPr="001302E5">
        <w:rPr>
          <w:rFonts w:ascii="Times New Roman" w:hAnsi="Times New Roman"/>
          <w:i/>
          <w:iCs/>
          <w:color w:val="000000" w:themeColor="text1"/>
          <w:sz w:val="28"/>
          <w:szCs w:val="28"/>
          <w:lang w:val="en-US"/>
        </w:rPr>
        <w:t xml:space="preserve"> </w:t>
      </w:r>
      <w:r w:rsidRPr="001302E5">
        <w:rPr>
          <w:rFonts w:ascii="Times New Roman" w:hAnsi="Times New Roman"/>
          <w:iCs/>
          <w:color w:val="000000" w:themeColor="text1"/>
          <w:sz w:val="28"/>
          <w:szCs w:val="28"/>
          <w:lang w:val="en-US"/>
        </w:rPr>
        <w:t>228-231.</w:t>
      </w:r>
    </w:p>
    <w:p w14:paraId="1B0EE912" w14:textId="77777777" w:rsidR="004D4376" w:rsidRPr="001302E5" w:rsidRDefault="004D6D89">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49</w:t>
      </w:r>
      <w:r w:rsidRPr="001302E5">
        <w:rPr>
          <w:rFonts w:ascii="Times New Roman" w:hAnsi="Times New Roman"/>
          <w:color w:val="000000" w:themeColor="text1"/>
          <w:sz w:val="28"/>
          <w:szCs w:val="28"/>
          <w:lang w:val="en-US"/>
        </w:rPr>
        <w:tab/>
        <w:t xml:space="preserve">C. F. Macrae, I. J. Bruno, J. A. Chisholm, P. R. Edgington, P. McCabe, E. Pidcock, L. Rodriguez-Monge, R. Taylor, J. V. de Streek and P. A. Wood, </w:t>
      </w:r>
      <w:r w:rsidRPr="001302E5">
        <w:rPr>
          <w:rFonts w:ascii="Times New Roman" w:hAnsi="Times New Roman"/>
          <w:i/>
          <w:iCs/>
          <w:color w:val="000000" w:themeColor="text1"/>
          <w:sz w:val="28"/>
          <w:szCs w:val="28"/>
          <w:lang w:val="en-US"/>
        </w:rPr>
        <w:t>J. Appl. Cryst.</w:t>
      </w:r>
      <w:r w:rsidRPr="001302E5">
        <w:rPr>
          <w:rFonts w:ascii="Times New Roman" w:hAnsi="Times New Roman"/>
          <w:iCs/>
          <w:color w:val="000000" w:themeColor="text1"/>
          <w:sz w:val="28"/>
          <w:szCs w:val="28"/>
          <w:lang w:val="en-US"/>
        </w:rPr>
        <w:t>,</w:t>
      </w:r>
      <w:r w:rsidRPr="001302E5">
        <w:rPr>
          <w:rFonts w:ascii="Times New Roman" w:hAnsi="Times New Roman"/>
          <w:i/>
          <w:iCs/>
          <w:color w:val="000000" w:themeColor="text1"/>
          <w:sz w:val="28"/>
          <w:szCs w:val="28"/>
          <w:lang w:val="en-US"/>
        </w:rPr>
        <w:t xml:space="preserve"> </w:t>
      </w:r>
      <w:r w:rsidRPr="001302E5">
        <w:rPr>
          <w:rFonts w:ascii="Times New Roman" w:hAnsi="Times New Roman"/>
          <w:iCs/>
          <w:color w:val="000000" w:themeColor="text1"/>
          <w:sz w:val="28"/>
          <w:szCs w:val="28"/>
          <w:lang w:val="en-US"/>
        </w:rPr>
        <w:t xml:space="preserve">2008, </w:t>
      </w:r>
      <w:r w:rsidRPr="001302E5">
        <w:rPr>
          <w:rFonts w:ascii="Times New Roman" w:hAnsi="Times New Roman"/>
          <w:b/>
          <w:iCs/>
          <w:color w:val="000000" w:themeColor="text1"/>
          <w:sz w:val="28"/>
          <w:szCs w:val="28"/>
          <w:lang w:val="en-US"/>
        </w:rPr>
        <w:t>41</w:t>
      </w:r>
      <w:r w:rsidRPr="001302E5">
        <w:rPr>
          <w:rFonts w:ascii="Times New Roman" w:hAnsi="Times New Roman"/>
          <w:iCs/>
          <w:color w:val="000000" w:themeColor="text1"/>
          <w:sz w:val="28"/>
          <w:szCs w:val="28"/>
          <w:lang w:val="en-US"/>
        </w:rPr>
        <w:t>, 466-470</w:t>
      </w:r>
      <w:r w:rsidRPr="001302E5">
        <w:rPr>
          <w:rFonts w:ascii="Times New Roman" w:hAnsi="Times New Roman"/>
          <w:color w:val="000000" w:themeColor="text1"/>
          <w:sz w:val="28"/>
          <w:szCs w:val="28"/>
          <w:lang w:val="en-US"/>
        </w:rPr>
        <w:t>.</w:t>
      </w:r>
    </w:p>
    <w:p w14:paraId="3F3DA49F" w14:textId="0FEAD5FD" w:rsidR="00CA753F" w:rsidRPr="001302E5" w:rsidRDefault="00CA753F">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50</w:t>
      </w:r>
      <w:r w:rsidRPr="001302E5">
        <w:rPr>
          <w:rFonts w:ascii="Times New Roman" w:hAnsi="Times New Roman"/>
          <w:color w:val="000000" w:themeColor="text1"/>
          <w:sz w:val="28"/>
          <w:szCs w:val="28"/>
          <w:lang w:val="en-US"/>
        </w:rPr>
        <w:tab/>
        <w:t xml:space="preserve">J. Tirado-Rives and W. L. Jorgensen, </w:t>
      </w:r>
      <w:r w:rsidRPr="001302E5">
        <w:rPr>
          <w:rFonts w:ascii="Times New Roman" w:hAnsi="Times New Roman"/>
          <w:i/>
          <w:color w:val="000000" w:themeColor="text1"/>
          <w:sz w:val="28"/>
          <w:szCs w:val="28"/>
          <w:lang w:val="en-US"/>
        </w:rPr>
        <w:t>J. Comp. Theory Comput.</w:t>
      </w:r>
      <w:r w:rsidRPr="001302E5">
        <w:rPr>
          <w:rFonts w:ascii="Times New Roman" w:hAnsi="Times New Roman"/>
          <w:color w:val="000000" w:themeColor="text1"/>
          <w:sz w:val="28"/>
          <w:szCs w:val="28"/>
          <w:lang w:val="en-US"/>
        </w:rPr>
        <w:t xml:space="preserve">, 2008, </w:t>
      </w:r>
      <w:r w:rsidRPr="001302E5">
        <w:rPr>
          <w:rFonts w:ascii="Times New Roman" w:hAnsi="Times New Roman"/>
          <w:b/>
          <w:color w:val="000000" w:themeColor="text1"/>
          <w:sz w:val="28"/>
          <w:szCs w:val="28"/>
          <w:lang w:val="en-US"/>
        </w:rPr>
        <w:t xml:space="preserve">4 </w:t>
      </w:r>
      <w:r w:rsidRPr="001302E5">
        <w:rPr>
          <w:rFonts w:ascii="Times New Roman" w:hAnsi="Times New Roman"/>
          <w:color w:val="000000" w:themeColor="text1"/>
          <w:sz w:val="28"/>
          <w:szCs w:val="28"/>
          <w:lang w:val="en-US"/>
        </w:rPr>
        <w:t>(2), 297-306.</w:t>
      </w:r>
    </w:p>
    <w:p w14:paraId="26101F19" w14:textId="2AC183C8"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51</w:t>
      </w:r>
      <w:r w:rsidR="004D6D89" w:rsidRPr="001302E5">
        <w:rPr>
          <w:rFonts w:ascii="Times New Roman" w:hAnsi="Times New Roman"/>
          <w:color w:val="000000" w:themeColor="text1"/>
          <w:sz w:val="28"/>
          <w:szCs w:val="28"/>
          <w:lang w:val="en-US"/>
        </w:rPr>
        <w:tab/>
        <w:t xml:space="preserve">J. Kirkpatrick, </w:t>
      </w:r>
      <w:r w:rsidR="004D6D89" w:rsidRPr="001302E5">
        <w:rPr>
          <w:rFonts w:ascii="Times New Roman" w:hAnsi="Times New Roman"/>
          <w:i/>
          <w:iCs/>
          <w:color w:val="000000" w:themeColor="text1"/>
          <w:sz w:val="28"/>
          <w:szCs w:val="28"/>
          <w:lang w:val="en-US"/>
        </w:rPr>
        <w:t>Int. J. Quantum Chem.</w:t>
      </w:r>
      <w:r w:rsidR="004D6D89" w:rsidRPr="001302E5">
        <w:rPr>
          <w:rFonts w:ascii="Times New Roman" w:hAnsi="Times New Roman"/>
          <w:color w:val="000000" w:themeColor="text1"/>
          <w:sz w:val="28"/>
          <w:szCs w:val="28"/>
          <w:lang w:val="en-US"/>
        </w:rPr>
        <w:t xml:space="preserve">, 2007, </w:t>
      </w:r>
      <w:r w:rsidR="004D6D89" w:rsidRPr="001302E5">
        <w:rPr>
          <w:rFonts w:ascii="Times New Roman" w:hAnsi="Times New Roman"/>
          <w:b/>
          <w:bCs/>
          <w:color w:val="000000" w:themeColor="text1"/>
          <w:sz w:val="28"/>
          <w:szCs w:val="28"/>
          <w:lang w:val="en-US"/>
        </w:rPr>
        <w:t>108</w:t>
      </w:r>
      <w:r w:rsidR="004D6D89" w:rsidRPr="001302E5">
        <w:rPr>
          <w:rFonts w:ascii="Times New Roman" w:hAnsi="Times New Roman"/>
          <w:color w:val="000000" w:themeColor="text1"/>
          <w:sz w:val="28"/>
          <w:szCs w:val="28"/>
          <w:lang w:val="en-US"/>
        </w:rPr>
        <w:t>, 51–56.</w:t>
      </w:r>
    </w:p>
    <w:p w14:paraId="5385C777" w14:textId="7F33B951"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52</w:t>
      </w:r>
      <w:r w:rsidR="004D6D89" w:rsidRPr="001302E5">
        <w:rPr>
          <w:rFonts w:ascii="Times New Roman" w:hAnsi="Times New Roman"/>
          <w:color w:val="000000" w:themeColor="text1"/>
          <w:sz w:val="28"/>
          <w:szCs w:val="28"/>
          <w:lang w:val="en-US"/>
        </w:rPr>
        <w:tab/>
        <w:t xml:space="preserve">R. A. Marcus, </w:t>
      </w:r>
      <w:r w:rsidR="004D6D89" w:rsidRPr="001302E5">
        <w:rPr>
          <w:rFonts w:ascii="Times New Roman" w:hAnsi="Times New Roman"/>
          <w:i/>
          <w:iCs/>
          <w:color w:val="000000" w:themeColor="text1"/>
          <w:sz w:val="28"/>
          <w:szCs w:val="28"/>
          <w:lang w:val="en-US"/>
        </w:rPr>
        <w:t>J. Chem. Phys.</w:t>
      </w:r>
      <w:r w:rsidR="004D6D89" w:rsidRPr="001302E5">
        <w:rPr>
          <w:rFonts w:ascii="Times New Roman" w:hAnsi="Times New Roman"/>
          <w:color w:val="000000" w:themeColor="text1"/>
          <w:sz w:val="28"/>
          <w:szCs w:val="28"/>
          <w:lang w:val="en-US"/>
        </w:rPr>
        <w:t xml:space="preserve">, 1956, </w:t>
      </w:r>
      <w:r w:rsidR="004D6D89" w:rsidRPr="001302E5">
        <w:rPr>
          <w:rFonts w:ascii="Times New Roman" w:hAnsi="Times New Roman"/>
          <w:b/>
          <w:bCs/>
          <w:color w:val="000000" w:themeColor="text1"/>
          <w:sz w:val="28"/>
          <w:szCs w:val="28"/>
          <w:lang w:val="en-US"/>
        </w:rPr>
        <w:t>24</w:t>
      </w:r>
      <w:r w:rsidR="004D6D89" w:rsidRPr="001302E5">
        <w:rPr>
          <w:rFonts w:ascii="Times New Roman" w:hAnsi="Times New Roman"/>
          <w:color w:val="000000" w:themeColor="text1"/>
          <w:sz w:val="28"/>
          <w:szCs w:val="28"/>
          <w:lang w:val="en-US"/>
        </w:rPr>
        <w:t>, 966–978.</w:t>
      </w:r>
    </w:p>
    <w:p w14:paraId="4E4201B6" w14:textId="44B84983"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53</w:t>
      </w:r>
      <w:r w:rsidR="004D6D89" w:rsidRPr="001302E5">
        <w:rPr>
          <w:rFonts w:ascii="Times New Roman" w:hAnsi="Times New Roman"/>
          <w:color w:val="000000" w:themeColor="text1"/>
          <w:sz w:val="28"/>
          <w:szCs w:val="28"/>
          <w:lang w:val="en-US"/>
        </w:rPr>
        <w:tab/>
        <w:t xml:space="preserve">J. Nyman and G. M. Day, </w:t>
      </w:r>
      <w:r w:rsidR="004D6D89" w:rsidRPr="001302E5">
        <w:rPr>
          <w:rFonts w:ascii="Times New Roman" w:hAnsi="Times New Roman"/>
          <w:i/>
          <w:iCs/>
          <w:color w:val="000000" w:themeColor="text1"/>
          <w:sz w:val="28"/>
          <w:szCs w:val="28"/>
          <w:lang w:val="en-US"/>
        </w:rPr>
        <w:t>CrystEngComm</w:t>
      </w:r>
      <w:r w:rsidR="004D6D89" w:rsidRPr="001302E5">
        <w:rPr>
          <w:rFonts w:ascii="Times New Roman" w:hAnsi="Times New Roman"/>
          <w:color w:val="000000" w:themeColor="text1"/>
          <w:sz w:val="28"/>
          <w:szCs w:val="28"/>
          <w:lang w:val="en-US"/>
        </w:rPr>
        <w:t xml:space="preserve">, 2015, </w:t>
      </w:r>
      <w:r w:rsidR="004D6D89" w:rsidRPr="001302E5">
        <w:rPr>
          <w:rFonts w:ascii="Times New Roman" w:hAnsi="Times New Roman"/>
          <w:b/>
          <w:bCs/>
          <w:color w:val="000000" w:themeColor="text1"/>
          <w:sz w:val="28"/>
          <w:szCs w:val="28"/>
          <w:lang w:val="en-US"/>
        </w:rPr>
        <w:t>17</w:t>
      </w:r>
      <w:r w:rsidR="004D6D89" w:rsidRPr="001302E5">
        <w:rPr>
          <w:rFonts w:ascii="Times New Roman" w:hAnsi="Times New Roman"/>
          <w:color w:val="000000" w:themeColor="text1"/>
          <w:sz w:val="28"/>
          <w:szCs w:val="28"/>
          <w:lang w:val="en-US"/>
        </w:rPr>
        <w:t>, 5154–5165.</w:t>
      </w:r>
    </w:p>
    <w:p w14:paraId="55488905" w14:textId="445D2FA1"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54</w:t>
      </w:r>
      <w:r w:rsidR="004D6D89" w:rsidRPr="001302E5">
        <w:rPr>
          <w:rFonts w:ascii="Times New Roman" w:hAnsi="Times New Roman"/>
          <w:color w:val="000000" w:themeColor="text1"/>
          <w:sz w:val="28"/>
          <w:szCs w:val="28"/>
          <w:lang w:val="en-US"/>
        </w:rPr>
        <w:tab/>
        <w:t xml:space="preserve">C. de Rango, G. Tsoucaris, J. P. Declercq, G. Germain and J. P. Putzeys, </w:t>
      </w:r>
      <w:r w:rsidR="004D6D89" w:rsidRPr="001302E5">
        <w:rPr>
          <w:rFonts w:ascii="Times New Roman" w:hAnsi="Times New Roman"/>
          <w:i/>
          <w:iCs/>
          <w:color w:val="000000" w:themeColor="text1"/>
          <w:sz w:val="28"/>
          <w:szCs w:val="28"/>
          <w:lang w:val="en-US"/>
        </w:rPr>
        <w:t>Cryst. Struct. Commun.</w:t>
      </w:r>
      <w:r w:rsidR="004D6D89" w:rsidRPr="001302E5">
        <w:rPr>
          <w:rFonts w:ascii="Times New Roman" w:hAnsi="Times New Roman"/>
          <w:color w:val="000000" w:themeColor="text1"/>
          <w:sz w:val="28"/>
          <w:szCs w:val="28"/>
          <w:lang w:val="en-US"/>
        </w:rPr>
        <w:t xml:space="preserve">, 1976, </w:t>
      </w:r>
      <w:r w:rsidR="004D6D89" w:rsidRPr="001302E5">
        <w:rPr>
          <w:rFonts w:ascii="Times New Roman" w:hAnsi="Times New Roman"/>
          <w:b/>
          <w:bCs/>
          <w:color w:val="000000" w:themeColor="text1"/>
          <w:sz w:val="28"/>
          <w:szCs w:val="28"/>
          <w:lang w:val="en-US"/>
        </w:rPr>
        <w:t>2</w:t>
      </w:r>
      <w:r w:rsidR="004D6D89" w:rsidRPr="001302E5">
        <w:rPr>
          <w:rFonts w:ascii="Times New Roman" w:hAnsi="Times New Roman"/>
          <w:color w:val="000000" w:themeColor="text1"/>
          <w:sz w:val="28"/>
          <w:szCs w:val="28"/>
          <w:lang w:val="en-US"/>
        </w:rPr>
        <w:t>, 189.</w:t>
      </w:r>
    </w:p>
    <w:p w14:paraId="5ABD5FDA" w14:textId="7EE89C87"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55</w:t>
      </w:r>
      <w:r w:rsidR="004D6D89" w:rsidRPr="001302E5">
        <w:rPr>
          <w:rFonts w:ascii="Times New Roman" w:hAnsi="Times New Roman"/>
          <w:color w:val="000000" w:themeColor="text1"/>
          <w:sz w:val="28"/>
          <w:szCs w:val="28"/>
          <w:lang w:val="en-US"/>
        </w:rPr>
        <w:tab/>
        <w:t xml:space="preserve">Y. N. Heit and G. J. O. Beran, </w:t>
      </w:r>
      <w:r w:rsidR="004D6D89" w:rsidRPr="001302E5">
        <w:rPr>
          <w:rFonts w:ascii="Times New Roman" w:hAnsi="Times New Roman"/>
          <w:i/>
          <w:iCs/>
          <w:color w:val="000000" w:themeColor="text1"/>
          <w:sz w:val="28"/>
          <w:szCs w:val="28"/>
          <w:lang w:val="en-US"/>
        </w:rPr>
        <w:t xml:space="preserve">Acta Crystallgr. </w:t>
      </w:r>
      <w:r w:rsidR="004D6D89" w:rsidRPr="001302E5">
        <w:rPr>
          <w:rFonts w:ascii="Times New Roman" w:hAnsi="Times New Roman"/>
          <w:iCs/>
          <w:color w:val="000000" w:themeColor="text1"/>
          <w:sz w:val="28"/>
          <w:szCs w:val="28"/>
          <w:lang w:val="en-US"/>
        </w:rPr>
        <w:t xml:space="preserve">2016, </w:t>
      </w:r>
      <w:r w:rsidR="004D6D89" w:rsidRPr="001302E5">
        <w:rPr>
          <w:rFonts w:ascii="Times New Roman" w:hAnsi="Times New Roman"/>
          <w:b/>
          <w:iCs/>
          <w:color w:val="000000" w:themeColor="text1"/>
          <w:sz w:val="28"/>
          <w:szCs w:val="28"/>
          <w:lang w:val="en-US"/>
        </w:rPr>
        <w:t>B72</w:t>
      </w:r>
      <w:r w:rsidR="004D6D89" w:rsidRPr="001302E5">
        <w:rPr>
          <w:rFonts w:ascii="Times New Roman" w:hAnsi="Times New Roman"/>
          <w:iCs/>
          <w:color w:val="000000" w:themeColor="text1"/>
          <w:sz w:val="28"/>
          <w:szCs w:val="28"/>
          <w:lang w:val="en-US"/>
        </w:rPr>
        <w:t>, 514-529</w:t>
      </w:r>
      <w:r w:rsidR="004D6D89" w:rsidRPr="001302E5">
        <w:rPr>
          <w:rFonts w:ascii="Times New Roman" w:hAnsi="Times New Roman"/>
          <w:color w:val="000000" w:themeColor="text1"/>
          <w:sz w:val="28"/>
          <w:szCs w:val="28"/>
          <w:lang w:val="en-US"/>
        </w:rPr>
        <w:t>.</w:t>
      </w:r>
    </w:p>
    <w:p w14:paraId="2E1322A3" w14:textId="296B659E"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56</w:t>
      </w:r>
      <w:r w:rsidR="004D6D89" w:rsidRPr="001302E5">
        <w:rPr>
          <w:rFonts w:ascii="Times New Roman" w:hAnsi="Times New Roman"/>
          <w:color w:val="000000" w:themeColor="text1"/>
          <w:sz w:val="28"/>
          <w:szCs w:val="28"/>
          <w:lang w:val="en-US"/>
        </w:rPr>
        <w:tab/>
        <w:t xml:space="preserve">E. D’Oria, P. G. Karamertzanis, and S. </w:t>
      </w:r>
      <w:r w:rsidR="00EC34EA" w:rsidRPr="001302E5">
        <w:rPr>
          <w:rFonts w:ascii="Times New Roman" w:hAnsi="Times New Roman"/>
          <w:color w:val="000000" w:themeColor="text1"/>
          <w:sz w:val="28"/>
          <w:szCs w:val="28"/>
          <w:lang w:val="en-US"/>
        </w:rPr>
        <w:t xml:space="preserve">L. </w:t>
      </w:r>
      <w:r w:rsidR="004D6D89" w:rsidRPr="001302E5">
        <w:rPr>
          <w:rFonts w:ascii="Times New Roman" w:hAnsi="Times New Roman"/>
          <w:color w:val="000000" w:themeColor="text1"/>
          <w:sz w:val="28"/>
          <w:szCs w:val="28"/>
          <w:lang w:val="en-US"/>
        </w:rPr>
        <w:t xml:space="preserve">Price, </w:t>
      </w:r>
      <w:r w:rsidR="004D6D89" w:rsidRPr="001302E5">
        <w:rPr>
          <w:rFonts w:ascii="Times New Roman" w:hAnsi="Times New Roman"/>
          <w:i/>
          <w:iCs/>
          <w:color w:val="000000" w:themeColor="text1"/>
          <w:sz w:val="28"/>
          <w:szCs w:val="28"/>
          <w:lang w:val="en-US"/>
        </w:rPr>
        <w:t>Cryst. Growth. Des</w:t>
      </w:r>
      <w:r w:rsidR="004D6D89" w:rsidRPr="001302E5">
        <w:rPr>
          <w:rFonts w:ascii="Times New Roman" w:hAnsi="Times New Roman"/>
          <w:color w:val="000000" w:themeColor="text1"/>
          <w:sz w:val="28"/>
          <w:szCs w:val="28"/>
          <w:lang w:val="en-US"/>
        </w:rPr>
        <w:t xml:space="preserve">, 2010, </w:t>
      </w:r>
      <w:r w:rsidR="004D6D89" w:rsidRPr="001302E5">
        <w:rPr>
          <w:rFonts w:ascii="Times New Roman" w:hAnsi="Times New Roman"/>
          <w:b/>
          <w:bCs/>
          <w:color w:val="000000" w:themeColor="text1"/>
          <w:sz w:val="28"/>
          <w:szCs w:val="28"/>
          <w:lang w:val="en-US"/>
        </w:rPr>
        <w:t>10</w:t>
      </w:r>
      <w:r w:rsidR="004D6D89" w:rsidRPr="001302E5">
        <w:rPr>
          <w:rFonts w:ascii="Times New Roman" w:hAnsi="Times New Roman"/>
          <w:color w:val="000000" w:themeColor="text1"/>
          <w:sz w:val="28"/>
          <w:szCs w:val="28"/>
          <w:lang w:val="en-US"/>
        </w:rPr>
        <w:t>, 1749–1756.</w:t>
      </w:r>
    </w:p>
    <w:p w14:paraId="2F248508" w14:textId="0A76CE4C"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57</w:t>
      </w:r>
      <w:r w:rsidR="004D6D89" w:rsidRPr="001302E5">
        <w:rPr>
          <w:rFonts w:ascii="Times New Roman" w:hAnsi="Times New Roman"/>
          <w:color w:val="000000" w:themeColor="text1"/>
          <w:sz w:val="28"/>
          <w:szCs w:val="28"/>
          <w:lang w:val="en-US"/>
        </w:rPr>
        <w:tab/>
        <w:t xml:space="preserve">J. Kendrick, M. D. Gourlay, M. A. Neumann and F. J. J. Leusen, </w:t>
      </w:r>
      <w:r w:rsidR="004D6D89" w:rsidRPr="001302E5">
        <w:rPr>
          <w:rFonts w:ascii="Times New Roman" w:hAnsi="Times New Roman"/>
          <w:i/>
          <w:iCs/>
          <w:color w:val="000000" w:themeColor="text1"/>
          <w:sz w:val="28"/>
          <w:szCs w:val="28"/>
          <w:lang w:val="en-US"/>
        </w:rPr>
        <w:t>CrystEngComm</w:t>
      </w:r>
      <w:r w:rsidR="004D6D89" w:rsidRPr="001302E5">
        <w:rPr>
          <w:rFonts w:ascii="Times New Roman" w:hAnsi="Times New Roman"/>
          <w:color w:val="000000" w:themeColor="text1"/>
          <w:sz w:val="28"/>
          <w:szCs w:val="28"/>
          <w:lang w:val="en-US"/>
        </w:rPr>
        <w:t xml:space="preserve">, 2009, </w:t>
      </w:r>
      <w:r w:rsidR="004D6D89" w:rsidRPr="001302E5">
        <w:rPr>
          <w:rFonts w:ascii="Times New Roman" w:hAnsi="Times New Roman"/>
          <w:b/>
          <w:bCs/>
          <w:color w:val="000000" w:themeColor="text1"/>
          <w:sz w:val="28"/>
          <w:szCs w:val="28"/>
          <w:lang w:val="en-US"/>
        </w:rPr>
        <w:t>11</w:t>
      </w:r>
      <w:r w:rsidR="004D6D89" w:rsidRPr="001302E5">
        <w:rPr>
          <w:rFonts w:ascii="Times New Roman" w:hAnsi="Times New Roman"/>
          <w:color w:val="000000" w:themeColor="text1"/>
          <w:sz w:val="28"/>
          <w:szCs w:val="28"/>
          <w:lang w:val="en-US"/>
        </w:rPr>
        <w:t>, 2391.</w:t>
      </w:r>
    </w:p>
    <w:p w14:paraId="27105821" w14:textId="255059E6"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58</w:t>
      </w:r>
      <w:r w:rsidR="004D6D89" w:rsidRPr="001302E5">
        <w:rPr>
          <w:rFonts w:ascii="Times New Roman" w:hAnsi="Times New Roman"/>
          <w:color w:val="000000" w:themeColor="text1"/>
          <w:sz w:val="28"/>
          <w:szCs w:val="28"/>
          <w:lang w:val="en-US"/>
        </w:rPr>
        <w:tab/>
        <w:t xml:space="preserve">J. J. McKinnon, M. A. Spackman, A. S. Mitchell, </w:t>
      </w:r>
      <w:r w:rsidR="004D6D89" w:rsidRPr="001302E5">
        <w:rPr>
          <w:rFonts w:ascii="Times New Roman" w:hAnsi="Times New Roman"/>
          <w:i/>
          <w:iCs/>
          <w:color w:val="000000" w:themeColor="text1"/>
          <w:sz w:val="28"/>
          <w:szCs w:val="28"/>
          <w:lang w:val="en-US"/>
        </w:rPr>
        <w:t>Acta Crystallogr. B</w:t>
      </w:r>
      <w:r w:rsidR="004D6D89" w:rsidRPr="001302E5">
        <w:rPr>
          <w:rFonts w:ascii="Times New Roman" w:hAnsi="Times New Roman"/>
          <w:color w:val="000000" w:themeColor="text1"/>
          <w:sz w:val="28"/>
          <w:szCs w:val="28"/>
          <w:lang w:val="en-US"/>
        </w:rPr>
        <w:t xml:space="preserve">, 2004, </w:t>
      </w:r>
      <w:r w:rsidR="004D6D89" w:rsidRPr="001302E5">
        <w:rPr>
          <w:rFonts w:ascii="Times New Roman" w:hAnsi="Times New Roman"/>
          <w:b/>
          <w:bCs/>
          <w:color w:val="000000" w:themeColor="text1"/>
          <w:sz w:val="28"/>
          <w:szCs w:val="28"/>
          <w:lang w:val="en-US"/>
        </w:rPr>
        <w:t>60</w:t>
      </w:r>
      <w:r w:rsidR="004D6D89" w:rsidRPr="001302E5">
        <w:rPr>
          <w:rFonts w:ascii="Times New Roman" w:hAnsi="Times New Roman"/>
          <w:color w:val="000000" w:themeColor="text1"/>
          <w:sz w:val="28"/>
          <w:szCs w:val="28"/>
          <w:lang w:val="en-US"/>
        </w:rPr>
        <w:t>, 627–668.</w:t>
      </w:r>
    </w:p>
    <w:p w14:paraId="3911A3C2" w14:textId="043D37F7"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59</w:t>
      </w:r>
      <w:r w:rsidR="004D6D89" w:rsidRPr="001302E5">
        <w:rPr>
          <w:rFonts w:ascii="Times New Roman" w:hAnsi="Times New Roman"/>
          <w:color w:val="000000" w:themeColor="text1"/>
          <w:sz w:val="28"/>
          <w:szCs w:val="28"/>
          <w:lang w:val="en-US"/>
        </w:rPr>
        <w:tab/>
        <w:t xml:space="preserve">J. Wade, F. Steiner, D. Niedzialek, D. T. James, Y. Jung, D.-J. Yun, D. D. C. Bradley, J. Nelson and J.-S. Kim, </w:t>
      </w:r>
      <w:r w:rsidR="004D6D89" w:rsidRPr="001302E5">
        <w:rPr>
          <w:rFonts w:ascii="Times New Roman" w:hAnsi="Times New Roman"/>
          <w:i/>
          <w:iCs/>
          <w:color w:val="000000" w:themeColor="text1"/>
          <w:sz w:val="28"/>
          <w:szCs w:val="28"/>
          <w:lang w:val="en-US"/>
        </w:rPr>
        <w:t>J. Mater. Chem. C</w:t>
      </w:r>
      <w:r w:rsidR="004D6D89" w:rsidRPr="001302E5">
        <w:rPr>
          <w:rFonts w:ascii="Times New Roman" w:hAnsi="Times New Roman"/>
          <w:color w:val="000000" w:themeColor="text1"/>
          <w:sz w:val="28"/>
          <w:szCs w:val="28"/>
          <w:lang w:val="en-US"/>
        </w:rPr>
        <w:t xml:space="preserve">, 2014, </w:t>
      </w:r>
      <w:r w:rsidR="004D6D89" w:rsidRPr="001302E5">
        <w:rPr>
          <w:rFonts w:ascii="Times New Roman" w:hAnsi="Times New Roman"/>
          <w:b/>
          <w:bCs/>
          <w:color w:val="000000" w:themeColor="text1"/>
          <w:sz w:val="28"/>
          <w:szCs w:val="28"/>
          <w:lang w:val="en-US"/>
        </w:rPr>
        <w:t>2</w:t>
      </w:r>
      <w:r w:rsidR="004D6D89" w:rsidRPr="001302E5">
        <w:rPr>
          <w:rFonts w:ascii="Times New Roman" w:hAnsi="Times New Roman"/>
          <w:color w:val="000000" w:themeColor="text1"/>
          <w:sz w:val="28"/>
          <w:szCs w:val="28"/>
          <w:lang w:val="en-US"/>
        </w:rPr>
        <w:t>, 10110–10115.</w:t>
      </w:r>
    </w:p>
    <w:p w14:paraId="74C42509" w14:textId="6B8F11B5" w:rsidR="004D4376" w:rsidRPr="001302E5" w:rsidRDefault="00177968">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60</w:t>
      </w:r>
      <w:r w:rsidR="004D6D89" w:rsidRPr="001302E5">
        <w:rPr>
          <w:rFonts w:ascii="Times New Roman" w:hAnsi="Times New Roman"/>
          <w:color w:val="000000" w:themeColor="text1"/>
          <w:sz w:val="28"/>
          <w:szCs w:val="28"/>
          <w:lang w:val="en-US"/>
        </w:rPr>
        <w:tab/>
        <w:t xml:space="preserve">F. Steiner, S. Foster, A. Losquin, J. Labram, T. D. Anthopoulos, J. M. Frost and J. Nelson, </w:t>
      </w:r>
      <w:r w:rsidR="004D6D89" w:rsidRPr="001302E5">
        <w:rPr>
          <w:rFonts w:ascii="Times New Roman" w:hAnsi="Times New Roman"/>
          <w:i/>
          <w:iCs/>
          <w:color w:val="000000" w:themeColor="text1"/>
          <w:sz w:val="28"/>
          <w:szCs w:val="28"/>
          <w:lang w:val="en-US"/>
        </w:rPr>
        <w:t>Mater. Horizons</w:t>
      </w:r>
      <w:r w:rsidR="004D6D89" w:rsidRPr="001302E5">
        <w:rPr>
          <w:rFonts w:ascii="Times New Roman" w:hAnsi="Times New Roman"/>
          <w:color w:val="000000" w:themeColor="text1"/>
          <w:sz w:val="28"/>
          <w:szCs w:val="28"/>
          <w:lang w:val="en-US"/>
        </w:rPr>
        <w:t xml:space="preserve">, 2014, </w:t>
      </w:r>
      <w:r w:rsidR="004D6D89" w:rsidRPr="001302E5">
        <w:rPr>
          <w:rFonts w:ascii="Times New Roman" w:hAnsi="Times New Roman"/>
          <w:b/>
          <w:bCs/>
          <w:color w:val="000000" w:themeColor="text1"/>
          <w:sz w:val="28"/>
          <w:szCs w:val="28"/>
          <w:lang w:val="en-US"/>
        </w:rPr>
        <w:t>2</w:t>
      </w:r>
      <w:r w:rsidR="004D6D89" w:rsidRPr="001302E5">
        <w:rPr>
          <w:rFonts w:ascii="Times New Roman" w:hAnsi="Times New Roman"/>
          <w:color w:val="000000" w:themeColor="text1"/>
          <w:sz w:val="28"/>
          <w:szCs w:val="28"/>
          <w:lang w:val="en-US"/>
        </w:rPr>
        <w:t>, 113–119.</w:t>
      </w:r>
    </w:p>
    <w:p w14:paraId="0F934D59" w14:textId="0E6FF0B5" w:rsidR="00914AD5" w:rsidRPr="001302E5" w:rsidRDefault="00914AD5" w:rsidP="00914AD5">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61 </w:t>
      </w:r>
      <w:r w:rsidRPr="001302E5">
        <w:rPr>
          <w:rFonts w:ascii="Times New Roman" w:hAnsi="Times New Roman"/>
          <w:color w:val="000000" w:themeColor="text1"/>
          <w:sz w:val="28"/>
          <w:szCs w:val="28"/>
          <w:lang w:val="en-US"/>
        </w:rPr>
        <w:tab/>
      </w:r>
      <w:r w:rsidR="00553A55" w:rsidRPr="001302E5">
        <w:rPr>
          <w:rFonts w:ascii="Times New Roman" w:hAnsi="Times New Roman"/>
          <w:color w:val="000000" w:themeColor="text1"/>
          <w:sz w:val="28"/>
          <w:szCs w:val="28"/>
          <w:lang w:val="en-US"/>
        </w:rPr>
        <w:t xml:space="preserve">H. Dong, X. Fu, J. Liu, Z. Wang, W. Hu, </w:t>
      </w:r>
      <w:r w:rsidRPr="001302E5">
        <w:rPr>
          <w:rFonts w:ascii="Times New Roman" w:hAnsi="Times New Roman"/>
          <w:i/>
          <w:iCs/>
          <w:color w:val="000000" w:themeColor="text1"/>
          <w:sz w:val="28"/>
          <w:szCs w:val="28"/>
          <w:lang w:val="en-US"/>
        </w:rPr>
        <w:t>Adv. Mater.</w:t>
      </w:r>
      <w:r w:rsidR="00F90F4A" w:rsidRPr="001302E5">
        <w:rPr>
          <w:rFonts w:ascii="Times New Roman" w:hAnsi="Times New Roman"/>
          <w:i/>
          <w:iCs/>
          <w:color w:val="000000" w:themeColor="text1"/>
          <w:sz w:val="28"/>
          <w:szCs w:val="28"/>
          <w:lang w:val="en-US"/>
        </w:rPr>
        <w:t>,</w:t>
      </w:r>
      <w:r w:rsidRPr="001302E5">
        <w:rPr>
          <w:rFonts w:ascii="Times New Roman" w:hAnsi="Times New Roman"/>
          <w:color w:val="000000" w:themeColor="text1"/>
          <w:sz w:val="28"/>
          <w:szCs w:val="28"/>
          <w:lang w:val="en-US"/>
        </w:rPr>
        <w:t xml:space="preserve"> 2013, </w:t>
      </w:r>
      <w:r w:rsidRPr="001302E5">
        <w:rPr>
          <w:rFonts w:ascii="Times New Roman" w:hAnsi="Times New Roman"/>
          <w:b/>
          <w:bCs/>
          <w:color w:val="000000" w:themeColor="text1"/>
          <w:sz w:val="28"/>
          <w:szCs w:val="28"/>
          <w:lang w:val="en-US"/>
        </w:rPr>
        <w:t>25</w:t>
      </w:r>
      <w:r w:rsidRPr="001302E5">
        <w:rPr>
          <w:rFonts w:ascii="Times New Roman" w:hAnsi="Times New Roman"/>
          <w:color w:val="000000" w:themeColor="text1"/>
          <w:sz w:val="28"/>
          <w:szCs w:val="28"/>
          <w:lang w:val="en-US"/>
        </w:rPr>
        <w:t xml:space="preserve">, 6158–6183. </w:t>
      </w:r>
    </w:p>
    <w:p w14:paraId="210B086E" w14:textId="11B6E48C" w:rsidR="00914AD5" w:rsidRPr="001302E5" w:rsidRDefault="00914AD5" w:rsidP="00914AD5">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 xml:space="preserve">62 </w:t>
      </w:r>
      <w:r w:rsidRPr="001302E5">
        <w:rPr>
          <w:rFonts w:ascii="Times New Roman" w:hAnsi="Times New Roman"/>
          <w:color w:val="000000" w:themeColor="text1"/>
          <w:sz w:val="28"/>
          <w:szCs w:val="28"/>
          <w:lang w:val="en-US"/>
        </w:rPr>
        <w:tab/>
      </w:r>
      <w:r w:rsidR="00E26CBB" w:rsidRPr="001302E5">
        <w:rPr>
          <w:rFonts w:ascii="Times New Roman" w:hAnsi="Times New Roman"/>
          <w:color w:val="000000" w:themeColor="text1"/>
          <w:sz w:val="28"/>
          <w:szCs w:val="28"/>
          <w:lang w:val="en-US"/>
        </w:rPr>
        <w:t>S. Fratini, S. Ciuchi, D. Mayou, G. Trambly de Laissardière</w:t>
      </w:r>
      <w:r w:rsidR="00E25B05" w:rsidRPr="001302E5">
        <w:rPr>
          <w:rFonts w:ascii="Times New Roman" w:hAnsi="Times New Roman"/>
          <w:color w:val="000000" w:themeColor="text1"/>
          <w:sz w:val="28"/>
          <w:szCs w:val="28"/>
          <w:lang w:val="en-US"/>
        </w:rPr>
        <w:t xml:space="preserve"> and A. Troisi, </w:t>
      </w:r>
      <w:r w:rsidRPr="001302E5">
        <w:rPr>
          <w:rFonts w:ascii="Times New Roman" w:hAnsi="Times New Roman"/>
          <w:i/>
          <w:iCs/>
          <w:color w:val="000000" w:themeColor="text1"/>
          <w:sz w:val="28"/>
          <w:szCs w:val="28"/>
          <w:lang w:val="en-US"/>
        </w:rPr>
        <w:t>Nature Materials</w:t>
      </w:r>
      <w:r w:rsidRPr="001302E5">
        <w:rPr>
          <w:rFonts w:ascii="Times New Roman" w:hAnsi="Times New Roman"/>
          <w:color w:val="000000" w:themeColor="text1"/>
          <w:sz w:val="28"/>
          <w:szCs w:val="28"/>
          <w:lang w:val="en-US"/>
        </w:rPr>
        <w:t xml:space="preserve">, 2017, </w:t>
      </w:r>
      <w:r w:rsidRPr="001302E5">
        <w:rPr>
          <w:rFonts w:ascii="Times New Roman" w:hAnsi="Times New Roman"/>
          <w:b/>
          <w:bCs/>
          <w:color w:val="000000" w:themeColor="text1"/>
          <w:sz w:val="28"/>
          <w:szCs w:val="28"/>
          <w:lang w:val="en-US"/>
        </w:rPr>
        <w:t>16</w:t>
      </w:r>
      <w:r w:rsidRPr="001302E5">
        <w:rPr>
          <w:rFonts w:ascii="Times New Roman" w:hAnsi="Times New Roman"/>
          <w:color w:val="000000" w:themeColor="text1"/>
          <w:sz w:val="28"/>
          <w:szCs w:val="28"/>
          <w:lang w:val="en-US"/>
        </w:rPr>
        <w:t xml:space="preserve">, 998-1003. </w:t>
      </w:r>
    </w:p>
    <w:p w14:paraId="3F4F272C" w14:textId="7C523DF4" w:rsidR="00914AD5" w:rsidRPr="001302E5" w:rsidRDefault="00914AD5" w:rsidP="00914AD5">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 xml:space="preserve">63 </w:t>
      </w:r>
      <w:r w:rsidRPr="001302E5">
        <w:rPr>
          <w:rFonts w:ascii="Times New Roman" w:hAnsi="Times New Roman"/>
          <w:color w:val="000000" w:themeColor="text1"/>
          <w:sz w:val="28"/>
          <w:szCs w:val="28"/>
          <w:lang w:val="en-US"/>
        </w:rPr>
        <w:tab/>
      </w:r>
      <w:r w:rsidR="007C208F" w:rsidRPr="001302E5">
        <w:rPr>
          <w:rFonts w:ascii="Times New Roman" w:hAnsi="Times New Roman"/>
          <w:color w:val="000000" w:themeColor="text1"/>
          <w:sz w:val="28"/>
          <w:szCs w:val="28"/>
          <w:lang w:val="en-US"/>
        </w:rPr>
        <w:t>S. Illig, A. S. Eggeman, A. Troisi, L. Jiang, C. Warwick, M. Nikolka, G.</w:t>
      </w:r>
      <w:r w:rsidR="009035F6" w:rsidRPr="001302E5">
        <w:rPr>
          <w:rFonts w:ascii="Times New Roman" w:hAnsi="Times New Roman"/>
          <w:color w:val="000000" w:themeColor="text1"/>
          <w:sz w:val="28"/>
          <w:szCs w:val="28"/>
          <w:lang w:val="en-US"/>
        </w:rPr>
        <w:t xml:space="preserve"> Schweicher</w:t>
      </w:r>
      <w:r w:rsidR="00A67A0D" w:rsidRPr="001302E5">
        <w:rPr>
          <w:rFonts w:ascii="Times New Roman" w:hAnsi="Times New Roman"/>
          <w:color w:val="000000" w:themeColor="text1"/>
          <w:sz w:val="28"/>
          <w:szCs w:val="28"/>
          <w:lang w:val="en-US"/>
        </w:rPr>
        <w:t>, S. G. Yeates</w:t>
      </w:r>
      <w:r w:rsidR="00BA54D2" w:rsidRPr="001302E5">
        <w:rPr>
          <w:rFonts w:ascii="Times New Roman" w:hAnsi="Times New Roman"/>
          <w:color w:val="000000" w:themeColor="text1"/>
          <w:sz w:val="28"/>
          <w:szCs w:val="28"/>
          <w:lang w:val="en-US"/>
        </w:rPr>
        <w:t xml:space="preserve">, Y. Henri Geerts, J. E. Anthony and H. Sirringhaus </w:t>
      </w:r>
      <w:r w:rsidRPr="001302E5">
        <w:rPr>
          <w:rFonts w:ascii="Times New Roman" w:hAnsi="Times New Roman"/>
          <w:i/>
          <w:iCs/>
          <w:color w:val="000000" w:themeColor="text1"/>
          <w:sz w:val="28"/>
          <w:szCs w:val="28"/>
          <w:lang w:val="en-US"/>
        </w:rPr>
        <w:t xml:space="preserve">Nature </w:t>
      </w:r>
      <w:r w:rsidR="00650555" w:rsidRPr="001302E5">
        <w:rPr>
          <w:rFonts w:ascii="Times New Roman" w:hAnsi="Times New Roman"/>
          <w:i/>
          <w:iCs/>
          <w:color w:val="000000" w:themeColor="text1"/>
          <w:sz w:val="28"/>
          <w:szCs w:val="28"/>
          <w:lang w:val="en-US"/>
        </w:rPr>
        <w:t>Commun.</w:t>
      </w:r>
      <w:r w:rsidR="00650555" w:rsidRPr="001302E5">
        <w:rPr>
          <w:rFonts w:ascii="Times New Roman" w:hAnsi="Times New Roman"/>
          <w:color w:val="000000" w:themeColor="text1"/>
          <w:sz w:val="28"/>
          <w:szCs w:val="28"/>
          <w:lang w:val="en-US"/>
        </w:rPr>
        <w:t>, 2016</w:t>
      </w:r>
      <w:r w:rsidRPr="001302E5">
        <w:rPr>
          <w:rFonts w:ascii="Times New Roman" w:hAnsi="Times New Roman"/>
          <w:color w:val="000000" w:themeColor="text1"/>
          <w:sz w:val="28"/>
          <w:szCs w:val="28"/>
          <w:lang w:val="en-US"/>
        </w:rPr>
        <w:t xml:space="preserve">, </w:t>
      </w:r>
      <w:r w:rsidR="00650555" w:rsidRPr="001302E5">
        <w:rPr>
          <w:rFonts w:ascii="Times New Roman" w:hAnsi="Times New Roman"/>
          <w:b/>
          <w:bCs/>
          <w:color w:val="000000" w:themeColor="text1"/>
          <w:sz w:val="28"/>
          <w:szCs w:val="28"/>
          <w:lang w:val="en-US"/>
        </w:rPr>
        <w:t>7</w:t>
      </w:r>
      <w:r w:rsidRPr="001302E5">
        <w:rPr>
          <w:rFonts w:ascii="Times New Roman" w:hAnsi="Times New Roman"/>
          <w:color w:val="000000" w:themeColor="text1"/>
          <w:sz w:val="28"/>
          <w:szCs w:val="28"/>
          <w:lang w:val="en-US"/>
        </w:rPr>
        <w:t xml:space="preserve">, </w:t>
      </w:r>
      <w:r w:rsidR="00650555" w:rsidRPr="001302E5">
        <w:rPr>
          <w:rFonts w:ascii="Times New Roman" w:hAnsi="Times New Roman"/>
          <w:color w:val="000000" w:themeColor="text1"/>
          <w:sz w:val="28"/>
          <w:szCs w:val="28"/>
          <w:lang w:val="en-US"/>
        </w:rPr>
        <w:t>1-10.</w:t>
      </w:r>
      <w:r w:rsidRPr="001302E5">
        <w:rPr>
          <w:rFonts w:ascii="Times New Roman" w:hAnsi="Times New Roman"/>
          <w:color w:val="000000" w:themeColor="text1"/>
          <w:sz w:val="28"/>
          <w:szCs w:val="28"/>
          <w:lang w:val="en-US"/>
        </w:rPr>
        <w:t xml:space="preserve"> </w:t>
      </w:r>
    </w:p>
    <w:p w14:paraId="23CDC920" w14:textId="51407D34" w:rsidR="004D4376" w:rsidRPr="001302E5" w:rsidRDefault="00914AD5">
      <w:pPr>
        <w:widowControl w:val="0"/>
        <w:tabs>
          <w:tab w:val="left" w:pos="480"/>
        </w:tabs>
        <w:suppressAutoHyphens w:val="0"/>
        <w:ind w:left="480" w:hanging="480"/>
        <w:rPr>
          <w:rFonts w:ascii="Times New Roman" w:hAnsi="Times New Roman"/>
          <w:color w:val="000000" w:themeColor="text1"/>
          <w:sz w:val="28"/>
          <w:szCs w:val="28"/>
          <w:lang w:val="en-US"/>
        </w:rPr>
      </w:pPr>
      <w:r w:rsidRPr="001302E5">
        <w:rPr>
          <w:rFonts w:ascii="Times New Roman" w:hAnsi="Times New Roman"/>
          <w:color w:val="000000" w:themeColor="text1"/>
          <w:sz w:val="28"/>
          <w:szCs w:val="28"/>
          <w:lang w:val="en-US"/>
        </w:rPr>
        <w:t xml:space="preserve">64 </w:t>
      </w:r>
      <w:r w:rsidRPr="001302E5">
        <w:rPr>
          <w:rFonts w:ascii="Times New Roman" w:hAnsi="Times New Roman"/>
          <w:color w:val="000000" w:themeColor="text1"/>
          <w:sz w:val="28"/>
          <w:szCs w:val="28"/>
          <w:lang w:val="en-US"/>
        </w:rPr>
        <w:tab/>
      </w:r>
      <w:r w:rsidR="00560F2F" w:rsidRPr="001302E5">
        <w:rPr>
          <w:rFonts w:ascii="Times New Roman" w:hAnsi="Times New Roman"/>
          <w:color w:val="000000" w:themeColor="text1"/>
          <w:sz w:val="28"/>
          <w:szCs w:val="28"/>
          <w:lang w:val="en-US"/>
        </w:rPr>
        <w:t xml:space="preserve">N. A. Minder, S. Ono, Z. Chen, A. Facchetti and A. F. Morpugo, </w:t>
      </w:r>
      <w:r w:rsidRPr="001302E5">
        <w:rPr>
          <w:rFonts w:ascii="Times New Roman" w:hAnsi="Times New Roman"/>
          <w:i/>
          <w:iCs/>
          <w:color w:val="000000" w:themeColor="text1"/>
          <w:sz w:val="28"/>
          <w:szCs w:val="28"/>
          <w:lang w:val="en-US"/>
        </w:rPr>
        <w:t>Adv. Mater.</w:t>
      </w:r>
      <w:r w:rsidRPr="001302E5">
        <w:rPr>
          <w:rFonts w:ascii="Times New Roman" w:hAnsi="Times New Roman"/>
          <w:color w:val="000000" w:themeColor="text1"/>
          <w:sz w:val="28"/>
          <w:szCs w:val="28"/>
          <w:lang w:val="en-US"/>
        </w:rPr>
        <w:t xml:space="preserve"> 2012, </w:t>
      </w:r>
      <w:r w:rsidRPr="001302E5">
        <w:rPr>
          <w:rFonts w:ascii="Times New Roman" w:hAnsi="Times New Roman"/>
          <w:b/>
          <w:bCs/>
          <w:color w:val="000000" w:themeColor="text1"/>
          <w:sz w:val="28"/>
          <w:szCs w:val="28"/>
          <w:lang w:val="en-US"/>
        </w:rPr>
        <w:t>24</w:t>
      </w:r>
      <w:r w:rsidRPr="001302E5">
        <w:rPr>
          <w:rFonts w:ascii="Times New Roman" w:hAnsi="Times New Roman"/>
          <w:color w:val="000000" w:themeColor="text1"/>
          <w:sz w:val="28"/>
          <w:szCs w:val="28"/>
          <w:lang w:val="en-US"/>
        </w:rPr>
        <w:t>, 503–508.</w:t>
      </w:r>
    </w:p>
    <w:sectPr w:rsidR="004D4376" w:rsidRPr="001302E5">
      <w:pgSz w:w="11906" w:h="16838"/>
      <w:pgMar w:top="1440" w:right="1440" w:bottom="1440" w:left="1440" w:header="0" w:footer="0" w:gutter="0"/>
      <w:cols w:space="720"/>
      <w:formProt w:val="0"/>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roid Sans Fallback">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OpenSymbol">
    <w:altName w:val="Arial Unicode MS"/>
    <w:charset w:val="02"/>
    <w:family w:val="auto"/>
    <w:pitch w:val="default"/>
  </w:font>
  <w:font w:name="Liberation Sans">
    <w:altName w:val="Arial"/>
    <w:charset w:val="01"/>
    <w:family w:val="swiss"/>
    <w:pitch w:val="variable"/>
  </w:font>
  <w:font w:name="FreeSans">
    <w:altName w:val="Times New Roman"/>
    <w:panose1 w:val="00000000000000000000"/>
    <w:charset w:val="00"/>
    <w:family w:val="roman"/>
    <w:notTrueType/>
    <w:pitch w:val="default"/>
  </w:font>
  <w:font w:name="MS Mincho">
    <w:panose1 w:val="02020609040205080304"/>
    <w:charset w:val="80"/>
    <w:family w:val="roman"/>
    <w:pitch w:val="fixed"/>
    <w:sig w:usb0="E00002FF" w:usb1="6AC7FDFB" w:usb2="08000012" w:usb3="00000000" w:csb0="000200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swiss"/>
    <w:pitch w:val="variable"/>
    <w:sig w:usb0="E50002FF" w:usb1="500079DB" w:usb2="00000010" w:usb3="00000000" w:csb0="00000001" w:csb1="00000000"/>
  </w:font>
  <w:font w:name="ＭＳ ゴシック">
    <w:charset w:val="80"/>
    <w:family w:val="swiss"/>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ＭＳ 明朝">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82531F"/>
    <w:multiLevelType w:val="multilevel"/>
    <w:tmpl w:val="1492AC78"/>
    <w:lvl w:ilvl="0">
      <w:start w:val="1"/>
      <w:numFmt w:val="bullet"/>
      <w:lvlText w:val=""/>
      <w:lvlJc w:val="left"/>
      <w:pPr>
        <w:ind w:left="792" w:hanging="360"/>
      </w:pPr>
      <w:rPr>
        <w:rFonts w:ascii="Symbol" w:hAnsi="Symbol" w:cs="Symbol" w:hint="default"/>
      </w:rPr>
    </w:lvl>
    <w:lvl w:ilvl="1">
      <w:start w:val="1"/>
      <w:numFmt w:val="bullet"/>
      <w:lvlText w:val="o"/>
      <w:lvlJc w:val="left"/>
      <w:pPr>
        <w:ind w:left="1512" w:hanging="360"/>
      </w:pPr>
      <w:rPr>
        <w:rFonts w:ascii="Courier New" w:hAnsi="Courier New" w:cs="Courier New" w:hint="default"/>
      </w:rPr>
    </w:lvl>
    <w:lvl w:ilvl="2">
      <w:start w:val="1"/>
      <w:numFmt w:val="bullet"/>
      <w:lvlText w:val=""/>
      <w:lvlJc w:val="left"/>
      <w:pPr>
        <w:ind w:left="2232" w:hanging="360"/>
      </w:pPr>
      <w:rPr>
        <w:rFonts w:ascii="Wingdings" w:hAnsi="Wingdings" w:cs="Wingdings" w:hint="default"/>
      </w:rPr>
    </w:lvl>
    <w:lvl w:ilvl="3">
      <w:start w:val="1"/>
      <w:numFmt w:val="bullet"/>
      <w:lvlText w:val=""/>
      <w:lvlJc w:val="left"/>
      <w:pPr>
        <w:ind w:left="2952" w:hanging="360"/>
      </w:pPr>
      <w:rPr>
        <w:rFonts w:ascii="Symbol" w:hAnsi="Symbol" w:cs="Symbol" w:hint="default"/>
      </w:rPr>
    </w:lvl>
    <w:lvl w:ilvl="4">
      <w:start w:val="1"/>
      <w:numFmt w:val="bullet"/>
      <w:lvlText w:val="o"/>
      <w:lvlJc w:val="left"/>
      <w:pPr>
        <w:ind w:left="3672" w:hanging="360"/>
      </w:pPr>
      <w:rPr>
        <w:rFonts w:ascii="Courier New" w:hAnsi="Courier New" w:cs="Courier New" w:hint="default"/>
      </w:rPr>
    </w:lvl>
    <w:lvl w:ilvl="5">
      <w:start w:val="1"/>
      <w:numFmt w:val="bullet"/>
      <w:lvlText w:val=""/>
      <w:lvlJc w:val="left"/>
      <w:pPr>
        <w:ind w:left="4392" w:hanging="360"/>
      </w:pPr>
      <w:rPr>
        <w:rFonts w:ascii="Wingdings" w:hAnsi="Wingdings" w:cs="Wingdings" w:hint="default"/>
      </w:rPr>
    </w:lvl>
    <w:lvl w:ilvl="6">
      <w:start w:val="1"/>
      <w:numFmt w:val="bullet"/>
      <w:lvlText w:val=""/>
      <w:lvlJc w:val="left"/>
      <w:pPr>
        <w:ind w:left="5112" w:hanging="360"/>
      </w:pPr>
      <w:rPr>
        <w:rFonts w:ascii="Symbol" w:hAnsi="Symbol" w:cs="Symbol" w:hint="default"/>
      </w:rPr>
    </w:lvl>
    <w:lvl w:ilvl="7">
      <w:start w:val="1"/>
      <w:numFmt w:val="bullet"/>
      <w:lvlText w:val="o"/>
      <w:lvlJc w:val="left"/>
      <w:pPr>
        <w:ind w:left="5832" w:hanging="360"/>
      </w:pPr>
      <w:rPr>
        <w:rFonts w:ascii="Courier New" w:hAnsi="Courier New" w:cs="Courier New" w:hint="default"/>
      </w:rPr>
    </w:lvl>
    <w:lvl w:ilvl="8">
      <w:start w:val="1"/>
      <w:numFmt w:val="bullet"/>
      <w:lvlText w:val=""/>
      <w:lvlJc w:val="left"/>
      <w:pPr>
        <w:ind w:left="6552" w:hanging="360"/>
      </w:pPr>
      <w:rPr>
        <w:rFonts w:ascii="Wingdings" w:hAnsi="Wingdings" w:cs="Wingdings" w:hint="default"/>
      </w:rPr>
    </w:lvl>
  </w:abstractNum>
  <w:abstractNum w:abstractNumId="1">
    <w:nsid w:val="719775EA"/>
    <w:multiLevelType w:val="multilevel"/>
    <w:tmpl w:val="A0FEC46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4D4376"/>
    <w:rsid w:val="00004668"/>
    <w:rsid w:val="00015C52"/>
    <w:rsid w:val="000A0BCA"/>
    <w:rsid w:val="000B06D0"/>
    <w:rsid w:val="000B29CF"/>
    <w:rsid w:val="000E51BA"/>
    <w:rsid w:val="000F0DC6"/>
    <w:rsid w:val="001302E5"/>
    <w:rsid w:val="00141513"/>
    <w:rsid w:val="001442FB"/>
    <w:rsid w:val="00177968"/>
    <w:rsid w:val="00194B18"/>
    <w:rsid w:val="001A4BEF"/>
    <w:rsid w:val="001A77A9"/>
    <w:rsid w:val="001D727D"/>
    <w:rsid w:val="00231EE9"/>
    <w:rsid w:val="00242DCE"/>
    <w:rsid w:val="00286463"/>
    <w:rsid w:val="002A2708"/>
    <w:rsid w:val="002A3F96"/>
    <w:rsid w:val="00313DF1"/>
    <w:rsid w:val="00317E04"/>
    <w:rsid w:val="003241BD"/>
    <w:rsid w:val="00345903"/>
    <w:rsid w:val="00361C2B"/>
    <w:rsid w:val="00371188"/>
    <w:rsid w:val="00393A49"/>
    <w:rsid w:val="003B6C57"/>
    <w:rsid w:val="00446142"/>
    <w:rsid w:val="00473661"/>
    <w:rsid w:val="00477B9F"/>
    <w:rsid w:val="004D4376"/>
    <w:rsid w:val="004D6D89"/>
    <w:rsid w:val="004D7018"/>
    <w:rsid w:val="004F4FD6"/>
    <w:rsid w:val="00520C1D"/>
    <w:rsid w:val="00530B7B"/>
    <w:rsid w:val="0055147A"/>
    <w:rsid w:val="00553A55"/>
    <w:rsid w:val="00560F2F"/>
    <w:rsid w:val="0058755E"/>
    <w:rsid w:val="005B2B88"/>
    <w:rsid w:val="00616A64"/>
    <w:rsid w:val="00650555"/>
    <w:rsid w:val="0066161C"/>
    <w:rsid w:val="0069672D"/>
    <w:rsid w:val="006A6189"/>
    <w:rsid w:val="006C37BD"/>
    <w:rsid w:val="00741660"/>
    <w:rsid w:val="00764959"/>
    <w:rsid w:val="007C208F"/>
    <w:rsid w:val="007D5E12"/>
    <w:rsid w:val="007F4D93"/>
    <w:rsid w:val="00870AED"/>
    <w:rsid w:val="008840D3"/>
    <w:rsid w:val="0089326A"/>
    <w:rsid w:val="008959F7"/>
    <w:rsid w:val="008F2161"/>
    <w:rsid w:val="009035F6"/>
    <w:rsid w:val="00914AD5"/>
    <w:rsid w:val="009221CC"/>
    <w:rsid w:val="00923201"/>
    <w:rsid w:val="00951A4A"/>
    <w:rsid w:val="009C0EE1"/>
    <w:rsid w:val="009C23A7"/>
    <w:rsid w:val="009D3C9C"/>
    <w:rsid w:val="009E0D3F"/>
    <w:rsid w:val="009E16D1"/>
    <w:rsid w:val="009E4915"/>
    <w:rsid w:val="00A1347B"/>
    <w:rsid w:val="00A67A0D"/>
    <w:rsid w:val="00A74BA3"/>
    <w:rsid w:val="00AE267A"/>
    <w:rsid w:val="00AE7C4A"/>
    <w:rsid w:val="00B04F27"/>
    <w:rsid w:val="00B16A2A"/>
    <w:rsid w:val="00B30B20"/>
    <w:rsid w:val="00BA54D2"/>
    <w:rsid w:val="00BA5D16"/>
    <w:rsid w:val="00C11E3B"/>
    <w:rsid w:val="00C1614C"/>
    <w:rsid w:val="00C311EB"/>
    <w:rsid w:val="00C70601"/>
    <w:rsid w:val="00CA0D52"/>
    <w:rsid w:val="00CA753F"/>
    <w:rsid w:val="00CB3AE5"/>
    <w:rsid w:val="00CB56DF"/>
    <w:rsid w:val="00CC7AA8"/>
    <w:rsid w:val="00CD1DFD"/>
    <w:rsid w:val="00CD4C2F"/>
    <w:rsid w:val="00D16482"/>
    <w:rsid w:val="00D96F8F"/>
    <w:rsid w:val="00DA169F"/>
    <w:rsid w:val="00DA56E6"/>
    <w:rsid w:val="00DD2F88"/>
    <w:rsid w:val="00E101A3"/>
    <w:rsid w:val="00E20A7A"/>
    <w:rsid w:val="00E25B05"/>
    <w:rsid w:val="00E26CBB"/>
    <w:rsid w:val="00E421AC"/>
    <w:rsid w:val="00E52879"/>
    <w:rsid w:val="00E52EE8"/>
    <w:rsid w:val="00E60DD9"/>
    <w:rsid w:val="00E634C1"/>
    <w:rsid w:val="00E951DE"/>
    <w:rsid w:val="00EA1654"/>
    <w:rsid w:val="00EA46AB"/>
    <w:rsid w:val="00EA6DFA"/>
    <w:rsid w:val="00EB3064"/>
    <w:rsid w:val="00EC34EA"/>
    <w:rsid w:val="00EC4E22"/>
    <w:rsid w:val="00F377E3"/>
    <w:rsid w:val="00F722C9"/>
    <w:rsid w:val="00F84975"/>
    <w:rsid w:val="00F90F4A"/>
    <w:rsid w:val="00FB637A"/>
    <w:rsid w:val="00FC1AD4"/>
    <w:rsid w:val="00FC2228"/>
    <w:rsid w:val="00FD1EAA"/>
    <w:rsid w:val="00FD3E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D6182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roid Sans Fallback" w:hAnsi="Calibri" w:cs="Times New Roman"/>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00ACB"/>
    <w:pPr>
      <w:suppressAutoHyphens/>
    </w:pPr>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37B5"/>
    <w:rPr>
      <w:color w:val="808080"/>
    </w:rPr>
  </w:style>
  <w:style w:type="character" w:styleId="CommentReference">
    <w:name w:val="annotation reference"/>
    <w:basedOn w:val="DefaultParagraphFont"/>
    <w:uiPriority w:val="99"/>
    <w:semiHidden/>
    <w:unhideWhenUsed/>
    <w:rsid w:val="009E4A82"/>
    <w:rPr>
      <w:sz w:val="18"/>
      <w:szCs w:val="18"/>
    </w:rPr>
  </w:style>
  <w:style w:type="character" w:customStyle="1" w:styleId="CommentTextChar">
    <w:name w:val="Comment Text Char"/>
    <w:basedOn w:val="DefaultParagraphFont"/>
    <w:link w:val="CommentText"/>
    <w:uiPriority w:val="99"/>
    <w:rsid w:val="009E4A82"/>
  </w:style>
  <w:style w:type="character" w:customStyle="1" w:styleId="CommentSubjectChar">
    <w:name w:val="Comment Subject Char"/>
    <w:basedOn w:val="CommentTextChar"/>
    <w:link w:val="CommentSubject"/>
    <w:uiPriority w:val="99"/>
    <w:semiHidden/>
    <w:rsid w:val="009E4A82"/>
    <w:rPr>
      <w:b/>
      <w:bCs/>
      <w:sz w:val="20"/>
      <w:szCs w:val="20"/>
    </w:rPr>
  </w:style>
  <w:style w:type="character" w:customStyle="1" w:styleId="BalloonTextChar">
    <w:name w:val="Balloon Text Char"/>
    <w:basedOn w:val="DefaultParagraphFont"/>
    <w:link w:val="BalloonText"/>
    <w:uiPriority w:val="99"/>
    <w:semiHidden/>
    <w:rsid w:val="009E4A82"/>
    <w:rPr>
      <w:rFonts w:ascii="Helvetica" w:hAnsi="Helvetica"/>
      <w:sz w:val="18"/>
      <w:szCs w:val="18"/>
    </w:rPr>
  </w:style>
  <w:style w:type="character" w:customStyle="1" w:styleId="InternetLink">
    <w:name w:val="Internet Link"/>
    <w:basedOn w:val="DefaultParagraphFont"/>
    <w:uiPriority w:val="99"/>
    <w:semiHidden/>
    <w:unhideWhenUsed/>
    <w:rsid w:val="00990584"/>
    <w:rPr>
      <w:color w:val="0000FF"/>
      <w:u w:val="single"/>
      <w:lang w:val="uz-Cyrl-UZ" w:eastAsia="uz-Cyrl-UZ" w:bidi="uz-Cyrl-UZ"/>
    </w:rPr>
  </w:style>
  <w:style w:type="character" w:styleId="FollowedHyperlink">
    <w:name w:val="FollowedHyperlink"/>
    <w:basedOn w:val="DefaultParagraphFont"/>
    <w:uiPriority w:val="99"/>
    <w:semiHidden/>
    <w:unhideWhenUsed/>
    <w:rsid w:val="00474023"/>
    <w:rPr>
      <w:color w:val="954F72"/>
      <w:u w:val="single"/>
    </w:rPr>
  </w:style>
  <w:style w:type="character" w:customStyle="1" w:styleId="ListLabel1">
    <w:name w:val="ListLabel 1"/>
    <w:rPr>
      <w:rFonts w:cs="Courier New"/>
    </w:rPr>
  </w:style>
  <w:style w:type="character" w:customStyle="1" w:styleId="ListLabel2">
    <w:name w:val="ListLabel 2"/>
    <w:rPr>
      <w:rFonts w:cs="Times New Roman"/>
    </w:rPr>
  </w:style>
  <w:style w:type="character" w:customStyle="1" w:styleId="ListLabel3">
    <w:name w:val="ListLabel 3"/>
    <w:rPr>
      <w:rFonts w:cs="Wingdings"/>
    </w:rPr>
  </w:style>
  <w:style w:type="character" w:customStyle="1" w:styleId="ListLabel4">
    <w:name w:val="ListLabel 4"/>
    <w:rPr>
      <w:rFonts w:cs="Courier New"/>
    </w:rPr>
  </w:style>
  <w:style w:type="character" w:customStyle="1" w:styleId="ListLabel5">
    <w:name w:val="ListLabel 5"/>
    <w:rPr>
      <w:rFonts w:cs="Symbol"/>
    </w:rPr>
  </w:style>
  <w:style w:type="character" w:customStyle="1" w:styleId="ListLabel6">
    <w:name w:val="ListLabel 6"/>
    <w:rPr>
      <w:rFonts w:cs="Symbol"/>
    </w:rPr>
  </w:style>
  <w:style w:type="character" w:customStyle="1" w:styleId="ListLabel7">
    <w:name w:val="ListLabel 7"/>
    <w:rPr>
      <w:rFonts w:cs="Courier New"/>
    </w:rPr>
  </w:style>
  <w:style w:type="character" w:customStyle="1" w:styleId="ListLabel8">
    <w:name w:val="ListLabel 8"/>
    <w:rPr>
      <w:rFonts w:cs="Wingdings"/>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character" w:customStyle="1" w:styleId="apple-converted-space">
    <w:name w:val="apple-converted-space"/>
    <w:basedOn w:val="DefaultParagraphFont"/>
    <w:rsid w:val="00990584"/>
  </w:style>
  <w:style w:type="character" w:customStyle="1" w:styleId="ListLabel9">
    <w:name w:val="ListLabel 9"/>
    <w:rPr>
      <w:rFonts w:cs="Symbol"/>
    </w:rPr>
  </w:style>
  <w:style w:type="character" w:customStyle="1" w:styleId="ListLabel10">
    <w:name w:val="ListLabel 10"/>
    <w:rPr>
      <w:rFonts w:cs="Courier New"/>
    </w:rPr>
  </w:style>
  <w:style w:type="character" w:customStyle="1" w:styleId="ListLabel11">
    <w:name w:val="ListLabel 11"/>
    <w:rPr>
      <w:rFonts w:cs="Wingdings"/>
    </w:rPr>
  </w:style>
  <w:style w:type="character" w:customStyle="1" w:styleId="ListLabel12">
    <w:name w:val="ListLabel 12"/>
    <w:rPr>
      <w:rFonts w:cs="OpenSymbol"/>
    </w:rPr>
  </w:style>
  <w:style w:type="character" w:customStyle="1" w:styleId="ListLabel13">
    <w:name w:val="ListLabel 13"/>
    <w:rPr>
      <w:rFonts w:cs="Symbol"/>
    </w:rPr>
  </w:style>
  <w:style w:type="character" w:customStyle="1" w:styleId="ListLabel14">
    <w:name w:val="ListLabel 14"/>
    <w:rPr>
      <w:rFonts w:cs="Courier New"/>
    </w:rPr>
  </w:style>
  <w:style w:type="character" w:customStyle="1" w:styleId="ListLabel15">
    <w:name w:val="ListLabel 15"/>
    <w:rPr>
      <w:rFonts w:cs="Wingdings"/>
    </w:rPr>
  </w:style>
  <w:style w:type="character" w:customStyle="1" w:styleId="ListLabel16">
    <w:name w:val="ListLabel 16"/>
    <w:rPr>
      <w:rFonts w:cs="Symbol"/>
    </w:rPr>
  </w:style>
  <w:style w:type="character" w:customStyle="1" w:styleId="ListLabel17">
    <w:name w:val="ListLabel 17"/>
    <w:rPr>
      <w:rFonts w:cs="Courier New"/>
    </w:rPr>
  </w:style>
  <w:style w:type="character" w:customStyle="1" w:styleId="ListLabel18">
    <w:name w:val="ListLabel 18"/>
    <w:rPr>
      <w:rFonts w:cs="Wingdings"/>
    </w:rPr>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rPr>
  </w:style>
  <w:style w:type="paragraph" w:customStyle="1" w:styleId="Index">
    <w:name w:val="Index"/>
    <w:basedOn w:val="Normal"/>
    <w:pPr>
      <w:suppressLineNumbers/>
    </w:pPr>
    <w:rPr>
      <w:rFonts w:cs="FreeSans"/>
    </w:rPr>
  </w:style>
  <w:style w:type="paragraph" w:styleId="ListParagraph">
    <w:name w:val="List Paragraph"/>
    <w:basedOn w:val="Normal"/>
    <w:uiPriority w:val="34"/>
    <w:qFormat/>
    <w:rsid w:val="008C2307"/>
    <w:pPr>
      <w:ind w:left="720"/>
      <w:contextualSpacing/>
    </w:pPr>
  </w:style>
  <w:style w:type="paragraph" w:customStyle="1" w:styleId="AuthorsFull">
    <w:name w:val="Authors Full"/>
    <w:basedOn w:val="Normal"/>
    <w:rsid w:val="00EA4B5F"/>
    <w:rPr>
      <w:rFonts w:ascii="Times New Roman" w:eastAsia="MS Mincho" w:hAnsi="Times New Roman"/>
      <w:i/>
      <w:lang w:val="en-US" w:eastAsia="ja-JP"/>
    </w:rPr>
  </w:style>
  <w:style w:type="paragraph" w:styleId="CommentText">
    <w:name w:val="annotation text"/>
    <w:basedOn w:val="Normal"/>
    <w:link w:val="CommentTextChar"/>
    <w:uiPriority w:val="99"/>
    <w:unhideWhenUsed/>
    <w:rsid w:val="009E4A82"/>
  </w:style>
  <w:style w:type="paragraph" w:styleId="CommentSubject">
    <w:name w:val="annotation subject"/>
    <w:basedOn w:val="CommentText"/>
    <w:link w:val="CommentSubjectChar"/>
    <w:uiPriority w:val="99"/>
    <w:semiHidden/>
    <w:unhideWhenUsed/>
    <w:rsid w:val="009E4A82"/>
    <w:rPr>
      <w:b/>
      <w:bCs/>
      <w:sz w:val="20"/>
      <w:szCs w:val="20"/>
    </w:rPr>
  </w:style>
  <w:style w:type="paragraph" w:styleId="BalloonText">
    <w:name w:val="Balloon Text"/>
    <w:basedOn w:val="Normal"/>
    <w:link w:val="BalloonTextChar"/>
    <w:uiPriority w:val="99"/>
    <w:semiHidden/>
    <w:unhideWhenUsed/>
    <w:rsid w:val="009E4A82"/>
    <w:rPr>
      <w:rFonts w:ascii="Helvetica" w:hAnsi="Helvetica"/>
      <w:sz w:val="18"/>
      <w:szCs w:val="18"/>
    </w:rPr>
  </w:style>
  <w:style w:type="paragraph" w:styleId="NormalWeb">
    <w:name w:val="Normal (Web)"/>
    <w:basedOn w:val="Normal"/>
    <w:uiPriority w:val="99"/>
    <w:unhideWhenUsed/>
    <w:rsid w:val="00544DA7"/>
    <w:pPr>
      <w:spacing w:after="280"/>
    </w:pPr>
    <w:rPr>
      <w:rFonts w:ascii="Times" w:eastAsia="Arial" w:hAnsi="Times"/>
      <w:sz w:val="20"/>
      <w:szCs w:val="20"/>
    </w:rPr>
  </w:style>
  <w:style w:type="table" w:styleId="TableGrid">
    <w:name w:val="Table Grid"/>
    <w:basedOn w:val="TableNormal"/>
    <w:uiPriority w:val="39"/>
    <w:rsid w:val="001775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E951DE"/>
    <w:pPr>
      <w:suppressAutoHyphens w:val="0"/>
    </w:pPr>
    <w:rPr>
      <w:rFonts w:ascii="Helvetica Neue" w:hAnsi="Helvetica Neue"/>
      <w:color w:val="0069D9"/>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3217">
      <w:bodyDiv w:val="1"/>
      <w:marLeft w:val="0"/>
      <w:marRight w:val="0"/>
      <w:marTop w:val="0"/>
      <w:marBottom w:val="0"/>
      <w:divBdr>
        <w:top w:val="none" w:sz="0" w:space="0" w:color="auto"/>
        <w:left w:val="none" w:sz="0" w:space="0" w:color="auto"/>
        <w:bottom w:val="none" w:sz="0" w:space="0" w:color="auto"/>
        <w:right w:val="none" w:sz="0" w:space="0" w:color="auto"/>
      </w:divBdr>
    </w:div>
    <w:div w:id="52848434">
      <w:bodyDiv w:val="1"/>
      <w:marLeft w:val="0"/>
      <w:marRight w:val="0"/>
      <w:marTop w:val="0"/>
      <w:marBottom w:val="0"/>
      <w:divBdr>
        <w:top w:val="none" w:sz="0" w:space="0" w:color="auto"/>
        <w:left w:val="none" w:sz="0" w:space="0" w:color="auto"/>
        <w:bottom w:val="none" w:sz="0" w:space="0" w:color="auto"/>
        <w:right w:val="none" w:sz="0" w:space="0" w:color="auto"/>
      </w:divBdr>
    </w:div>
    <w:div w:id="231697818">
      <w:bodyDiv w:val="1"/>
      <w:marLeft w:val="0"/>
      <w:marRight w:val="0"/>
      <w:marTop w:val="0"/>
      <w:marBottom w:val="0"/>
      <w:divBdr>
        <w:top w:val="none" w:sz="0" w:space="0" w:color="auto"/>
        <w:left w:val="none" w:sz="0" w:space="0" w:color="auto"/>
        <w:bottom w:val="none" w:sz="0" w:space="0" w:color="auto"/>
        <w:right w:val="none" w:sz="0" w:space="0" w:color="auto"/>
      </w:divBdr>
    </w:div>
    <w:div w:id="415908423">
      <w:bodyDiv w:val="1"/>
      <w:marLeft w:val="0"/>
      <w:marRight w:val="0"/>
      <w:marTop w:val="0"/>
      <w:marBottom w:val="0"/>
      <w:divBdr>
        <w:top w:val="none" w:sz="0" w:space="0" w:color="auto"/>
        <w:left w:val="none" w:sz="0" w:space="0" w:color="auto"/>
        <w:bottom w:val="none" w:sz="0" w:space="0" w:color="auto"/>
        <w:right w:val="none" w:sz="0" w:space="0" w:color="auto"/>
      </w:divBdr>
    </w:div>
    <w:div w:id="523440822">
      <w:bodyDiv w:val="1"/>
      <w:marLeft w:val="0"/>
      <w:marRight w:val="0"/>
      <w:marTop w:val="0"/>
      <w:marBottom w:val="0"/>
      <w:divBdr>
        <w:top w:val="none" w:sz="0" w:space="0" w:color="auto"/>
        <w:left w:val="none" w:sz="0" w:space="0" w:color="auto"/>
        <w:bottom w:val="none" w:sz="0" w:space="0" w:color="auto"/>
        <w:right w:val="none" w:sz="0" w:space="0" w:color="auto"/>
      </w:divBdr>
    </w:div>
    <w:div w:id="1029457091">
      <w:bodyDiv w:val="1"/>
      <w:marLeft w:val="0"/>
      <w:marRight w:val="0"/>
      <w:marTop w:val="0"/>
      <w:marBottom w:val="0"/>
      <w:divBdr>
        <w:top w:val="none" w:sz="0" w:space="0" w:color="auto"/>
        <w:left w:val="none" w:sz="0" w:space="0" w:color="auto"/>
        <w:bottom w:val="none" w:sz="0" w:space="0" w:color="auto"/>
        <w:right w:val="none" w:sz="0" w:space="0" w:color="auto"/>
      </w:divBdr>
    </w:div>
    <w:div w:id="1910533992">
      <w:bodyDiv w:val="1"/>
      <w:marLeft w:val="0"/>
      <w:marRight w:val="0"/>
      <w:marTop w:val="0"/>
      <w:marBottom w:val="0"/>
      <w:divBdr>
        <w:top w:val="none" w:sz="0" w:space="0" w:color="auto"/>
        <w:left w:val="none" w:sz="0" w:space="0" w:color="auto"/>
        <w:bottom w:val="none" w:sz="0" w:space="0" w:color="auto"/>
        <w:right w:val="none" w:sz="0" w:space="0" w:color="auto"/>
      </w:divBdr>
    </w:div>
    <w:div w:id="212985595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C195B-DE19-494F-A7B9-78ED760E6A11}">
  <ds:schemaRefs>
    <ds:schemaRef ds:uri="http://schemas.openxmlformats.org/officeDocument/2006/bibliography"/>
  </ds:schemaRefs>
</ds:datastoreItem>
</file>

<file path=customXml/itemProps2.xml><?xml version="1.0" encoding="utf-8"?>
<ds:datastoreItem xmlns:ds="http://schemas.openxmlformats.org/officeDocument/2006/customXml" ds:itemID="{2E649051-5463-E44F-A24E-53832AB36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33</Pages>
  <Words>8219</Words>
  <Characters>46852</Characters>
  <Application>Microsoft Macintosh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Jelfs</dc:creator>
  <cp:lastModifiedBy>Kim Jelfs</cp:lastModifiedBy>
  <cp:revision>225</cp:revision>
  <cp:lastPrinted>2017-11-07T16:26:00Z</cp:lastPrinted>
  <dcterms:created xsi:type="dcterms:W3CDTF">2017-11-25T09:29:00Z</dcterms:created>
  <dcterms:modified xsi:type="dcterms:W3CDTF">2017-12-22T18:58:00Z</dcterms:modified>
  <dc:language>en-GB</dc:language>
</cp:coreProperties>
</file>