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2B5C4" w14:textId="77777777" w:rsidR="00177023" w:rsidRDefault="00271C27">
      <w:pPr>
        <w:spacing w:after="160"/>
      </w:pPr>
      <w:r>
        <w:rPr>
          <w:b/>
          <w:bCs/>
          <w:sz w:val="28"/>
          <w:szCs w:val="28"/>
        </w:rPr>
        <w:t>Does earlier initiation of growth hormone therapy improve outcomes in children with Silver-Russell syndrome?</w:t>
      </w:r>
    </w:p>
    <w:p w14:paraId="2E8C03CF" w14:textId="16BA7AA7" w:rsidR="00D5112B" w:rsidRPr="00D5112B" w:rsidRDefault="00D5112B" w:rsidP="00D5112B">
      <w:pPr>
        <w:pStyle w:val="NormalWeb"/>
        <w:rPr>
          <w:rFonts w:ascii="-webkit-standard" w:hAnsi="-webkit-standard"/>
          <w:color w:val="215E99" w:themeColor="text2" w:themeTint="BF"/>
          <w:vertAlign w:val="superscript"/>
        </w:rPr>
      </w:pPr>
      <w:r w:rsidRPr="00D5112B">
        <w:rPr>
          <w:rFonts w:ascii="-webkit-standard" w:hAnsi="-webkit-standard"/>
          <w:color w:val="215E99" w:themeColor="text2" w:themeTint="BF"/>
        </w:rPr>
        <w:t>Vulpe, Eleonora</w:t>
      </w:r>
      <w:r w:rsidRPr="00D5112B">
        <w:rPr>
          <w:rFonts w:ascii="-webkit-standard" w:hAnsi="-webkit-standard"/>
          <w:color w:val="215E99" w:themeColor="text2" w:themeTint="BF"/>
          <w:vertAlign w:val="superscript"/>
        </w:rPr>
        <w:t>2</w:t>
      </w:r>
      <w:r w:rsidRPr="00D5112B">
        <w:rPr>
          <w:rFonts w:ascii="-webkit-standard" w:hAnsi="-webkit-standard"/>
          <w:color w:val="215E99" w:themeColor="text2" w:themeTint="BF"/>
        </w:rPr>
        <w:t>; Gale, Christopher</w:t>
      </w:r>
      <w:r w:rsidRPr="00D5112B">
        <w:rPr>
          <w:rFonts w:ascii="-webkit-standard" w:hAnsi="-webkit-standard"/>
          <w:color w:val="215E99" w:themeColor="text2" w:themeTint="BF"/>
          <w:vertAlign w:val="superscript"/>
        </w:rPr>
        <w:t>1</w:t>
      </w:r>
      <w:r w:rsidR="008D2DBE">
        <w:rPr>
          <w:rFonts w:ascii="-webkit-standard" w:hAnsi="-webkit-standard"/>
          <w:color w:val="215E99" w:themeColor="text2" w:themeTint="BF"/>
          <w:vertAlign w:val="superscript"/>
        </w:rPr>
        <w:t>,2</w:t>
      </w:r>
      <w:r w:rsidRPr="00D5112B">
        <w:rPr>
          <w:rFonts w:ascii="-webkit-standard" w:hAnsi="-webkit-standard"/>
          <w:color w:val="215E99" w:themeColor="text2" w:themeTint="BF"/>
        </w:rPr>
        <w:t>; Battersby, Cheryl W S</w:t>
      </w:r>
      <w:r w:rsidRPr="00D5112B">
        <w:rPr>
          <w:rStyle w:val="apple-converted-space"/>
          <w:rFonts w:ascii="-webkit-standard" w:hAnsi="-webkit-standard"/>
          <w:color w:val="215E99" w:themeColor="text2" w:themeTint="BF"/>
          <w:vertAlign w:val="superscript"/>
        </w:rPr>
        <w:t>1</w:t>
      </w:r>
      <w:r w:rsidR="008D2DBE">
        <w:rPr>
          <w:rStyle w:val="apple-converted-space"/>
          <w:rFonts w:ascii="-webkit-standard" w:hAnsi="-webkit-standard"/>
          <w:color w:val="215E99" w:themeColor="text2" w:themeTint="BF"/>
          <w:vertAlign w:val="superscript"/>
        </w:rPr>
        <w:t>,2</w:t>
      </w:r>
    </w:p>
    <w:p w14:paraId="4C7ADBE3" w14:textId="77777777" w:rsidR="00D5112B" w:rsidRPr="00D5112B" w:rsidRDefault="00D5112B" w:rsidP="00D5112B">
      <w:pPr>
        <w:pStyle w:val="NormalWeb"/>
        <w:rPr>
          <w:rFonts w:ascii="-webkit-standard" w:hAnsi="-webkit-standard"/>
          <w:color w:val="215E99" w:themeColor="text2" w:themeTint="BF"/>
          <w:sz w:val="16"/>
          <w:szCs w:val="18"/>
        </w:rPr>
      </w:pPr>
      <w:r w:rsidRPr="00D5112B">
        <w:rPr>
          <w:rFonts w:ascii="-webkit-standard" w:hAnsi="-webkit-standard"/>
          <w:color w:val="215E99" w:themeColor="text2" w:themeTint="BF"/>
          <w:sz w:val="16"/>
          <w:szCs w:val="18"/>
        </w:rPr>
        <w:t>1. Neonatal Medicine, School of Public Health, Faculty of Medicine, Imperial College London, London, UK</w:t>
      </w:r>
      <w:r w:rsidRPr="00D5112B">
        <w:rPr>
          <w:rStyle w:val="apple-converted-space"/>
          <w:rFonts w:ascii="-webkit-standard" w:hAnsi="-webkit-standard"/>
          <w:color w:val="215E99" w:themeColor="text2" w:themeTint="BF"/>
          <w:sz w:val="16"/>
          <w:szCs w:val="18"/>
        </w:rPr>
        <w:t> </w:t>
      </w:r>
    </w:p>
    <w:p w14:paraId="489455E8" w14:textId="4FCC44C2" w:rsidR="00D5112B" w:rsidRPr="00D5112B" w:rsidRDefault="00D5112B" w:rsidP="00D5112B">
      <w:pPr>
        <w:pStyle w:val="NormalWeb"/>
        <w:rPr>
          <w:rFonts w:ascii="-webkit-standard" w:hAnsi="-webkit-standard"/>
          <w:color w:val="215E99" w:themeColor="text2" w:themeTint="BF"/>
          <w:sz w:val="16"/>
          <w:szCs w:val="18"/>
        </w:rPr>
      </w:pPr>
      <w:r w:rsidRPr="00D5112B">
        <w:rPr>
          <w:rFonts w:ascii="-webkit-standard" w:hAnsi="-webkit-standard"/>
          <w:color w:val="215E99" w:themeColor="text2" w:themeTint="BF"/>
          <w:sz w:val="16"/>
          <w:szCs w:val="18"/>
        </w:rPr>
        <w:t>2. Centre for Paediatrics and Child Health, Imperial College London, London, UK</w:t>
      </w:r>
    </w:p>
    <w:p w14:paraId="7EBD426C" w14:textId="37599341" w:rsidR="00177023" w:rsidRDefault="00546C0A">
      <w:pPr>
        <w:pStyle w:val="Heading1"/>
      </w:pPr>
      <w:r>
        <w:t>Clinical Scenario</w:t>
      </w:r>
    </w:p>
    <w:p w14:paraId="43DC413F" w14:textId="6CC74D5C" w:rsidR="00177023" w:rsidRDefault="00271C27" w:rsidP="00546C0A">
      <w:pPr>
        <w:spacing w:after="120"/>
      </w:pPr>
      <w:r>
        <w:t xml:space="preserve">A 2-year-old girl with genetically confirmed Silver-Russell syndrome (SRS) is referred to the paediatric endocrinology clinic with persistent growth failure. Born small for gestational age, she remains well below the 0.4th centile despite nutritional optimisation. Her parents ask whether starting growth hormone (GH) therapy now rather than waiting </w:t>
      </w:r>
      <w:r w:rsidR="00595EE0">
        <w:t>will make</w:t>
      </w:r>
      <w:r>
        <w:t xml:space="preserve"> a meaningful difference to her long-term outcomes. The international SRS consensus</w:t>
      </w:r>
      <w:r w:rsidR="00532912">
        <w:rPr>
          <w:vertAlign w:val="superscript"/>
        </w:rPr>
        <w:t>1</w:t>
      </w:r>
      <w:r>
        <w:t xml:space="preserve"> recommends GH from age 2–3 years, yet NICE licenses it from age four under the small for gestational age (SGA) indication</w:t>
      </w:r>
      <w:r w:rsidR="00532912">
        <w:rPr>
          <w:vertAlign w:val="superscript"/>
        </w:rPr>
        <w:t>2</w:t>
      </w:r>
      <w:r>
        <w:t xml:space="preserve">. </w:t>
      </w:r>
      <w:r w:rsidR="00546C0A">
        <w:t>You wish to review the evidence on timing for GH treatment.</w:t>
      </w:r>
    </w:p>
    <w:p w14:paraId="725A9949" w14:textId="77777777" w:rsidR="00546C0A" w:rsidRDefault="00546C0A" w:rsidP="00546C0A">
      <w:pPr>
        <w:spacing w:after="120"/>
      </w:pPr>
    </w:p>
    <w:p w14:paraId="5B31B713" w14:textId="312E2403" w:rsidR="00546C0A" w:rsidRDefault="00271C27" w:rsidP="00546C0A">
      <w:pPr>
        <w:pStyle w:val="Heading1"/>
      </w:pPr>
      <w:r>
        <w:t>Structured Clinical Question</w:t>
      </w:r>
    </w:p>
    <w:p w14:paraId="1D834BA5" w14:textId="5E064266" w:rsidR="00546C0A" w:rsidRDefault="00546C0A">
      <w:pPr>
        <w:spacing w:after="120"/>
      </w:pPr>
      <w:r w:rsidRPr="00546C0A">
        <w:t>In children with Silver-Russell syndrome [patients], does initiation of recombinant GH therapy before four years of age [intervention] result in greater improvements in height and cardiometabolic outcomes [outcome] compared with initiation at four years or later [comparison]?</w:t>
      </w:r>
    </w:p>
    <w:p w14:paraId="7B6CBC3E" w14:textId="77777777" w:rsidR="00177023" w:rsidRDefault="00177023">
      <w:pPr>
        <w:spacing w:after="80"/>
      </w:pPr>
    </w:p>
    <w:p w14:paraId="157EA03F" w14:textId="77777777" w:rsidR="00177023" w:rsidRDefault="00271C27">
      <w:pPr>
        <w:pStyle w:val="Heading1"/>
      </w:pPr>
      <w:r>
        <w:t>Search Strategy</w:t>
      </w:r>
    </w:p>
    <w:p w14:paraId="773A7EC4" w14:textId="1AB5FFF6" w:rsidR="00177023" w:rsidRDefault="00271C27" w:rsidP="0027262D">
      <w:pPr>
        <w:spacing w:after="120"/>
      </w:pPr>
      <w:r>
        <w:t xml:space="preserve">MEDLINE and PubMed were searched using ("Silver-Russell Syndrome" OR "Russell-Silver Syndrome" OR "SRS") AND ("growth hormone" OR "GH therapy"), limited to English-language human studies with full-text availability, 1990–2026. </w:t>
      </w:r>
      <w:r w:rsidR="00546C0A">
        <w:t>141</w:t>
      </w:r>
      <w:r>
        <w:t xml:space="preserve"> results were retrieved; after removing duplicates and screening for quantitative GH outcomes in SRS-specific populations, nine primary studies were selected. </w:t>
      </w:r>
      <w:r w:rsidR="0027262D">
        <w:t>S</w:t>
      </w:r>
      <w:r w:rsidR="00546C0A" w:rsidRPr="00546C0A">
        <w:t>tudies were included if they reported quantitative outcomes for an identifiable SRS cohort. Studies in which SRS participants could not be analysed separately were excluded</w:t>
      </w:r>
      <w:r>
        <w:t xml:space="preserve">. The </w:t>
      </w:r>
      <w:r w:rsidR="0027262D" w:rsidRPr="0027262D">
        <w:t>Oxford Centre for Evidence-Based Medicine</w:t>
      </w:r>
      <w:r w:rsidR="0027262D">
        <w:t xml:space="preserve"> </w:t>
      </w:r>
      <w:r>
        <w:t xml:space="preserve">grading system was applied. </w:t>
      </w:r>
    </w:p>
    <w:p w14:paraId="71D5D32F" w14:textId="77777777" w:rsidR="0027262D" w:rsidRDefault="0027262D" w:rsidP="0027262D">
      <w:pPr>
        <w:spacing w:after="120"/>
      </w:pPr>
    </w:p>
    <w:p w14:paraId="1A1E1AC5" w14:textId="77777777" w:rsidR="00177023" w:rsidRDefault="00271C27">
      <w:pPr>
        <w:pStyle w:val="Heading1"/>
      </w:pPr>
      <w:r>
        <w:t>Summary of Evidence</w:t>
      </w:r>
    </w:p>
    <w:p w14:paraId="0FF5AAE5" w14:textId="77777777" w:rsidR="00177023" w:rsidRDefault="00271C27">
      <w:pPr>
        <w:spacing w:after="120"/>
      </w:pPr>
      <w:r>
        <w:t>All nine included studies are summarised in Table 1, ordered chronologically.</w:t>
      </w:r>
    </w:p>
    <w:p w14:paraId="5EA9D6ED" w14:textId="77777777" w:rsidR="00177023" w:rsidRDefault="00177023">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2"/>
        <w:gridCol w:w="1641"/>
        <w:gridCol w:w="1402"/>
        <w:gridCol w:w="1253"/>
        <w:gridCol w:w="1925"/>
        <w:gridCol w:w="1937"/>
      </w:tblGrid>
      <w:tr w:rsidR="00177023" w14:paraId="507A3CF5" w14:textId="77777777">
        <w:tc>
          <w:tcPr>
            <w:tcW w:w="1000" w:type="dxa"/>
            <w:tcBorders>
              <w:top w:val="single" w:sz="1" w:space="0" w:color="999999"/>
              <w:left w:val="single" w:sz="1" w:space="0" w:color="999999"/>
              <w:bottom w:val="single" w:sz="1" w:space="0" w:color="999999"/>
              <w:right w:val="single" w:sz="1" w:space="0" w:color="999999"/>
            </w:tcBorders>
            <w:shd w:val="clear" w:color="auto" w:fill="D5E8F0"/>
            <w:tcMar>
              <w:top w:w="80" w:type="dxa"/>
              <w:left w:w="120" w:type="dxa"/>
              <w:bottom w:w="80" w:type="dxa"/>
              <w:right w:w="120" w:type="dxa"/>
            </w:tcMar>
          </w:tcPr>
          <w:p w14:paraId="34A723BB" w14:textId="77777777" w:rsidR="00177023" w:rsidRDefault="00271C27">
            <w:r>
              <w:rPr>
                <w:b/>
                <w:bCs/>
                <w:sz w:val="19"/>
                <w:szCs w:val="19"/>
              </w:rPr>
              <w:t>Citation</w:t>
            </w:r>
          </w:p>
        </w:tc>
        <w:tc>
          <w:tcPr>
            <w:tcW w:w="1700" w:type="dxa"/>
            <w:tcBorders>
              <w:top w:val="single" w:sz="1" w:space="0" w:color="999999"/>
              <w:left w:val="single" w:sz="1" w:space="0" w:color="999999"/>
              <w:bottom w:val="single" w:sz="1" w:space="0" w:color="999999"/>
              <w:right w:val="single" w:sz="1" w:space="0" w:color="999999"/>
            </w:tcBorders>
            <w:shd w:val="clear" w:color="auto" w:fill="D5E8F0"/>
            <w:tcMar>
              <w:top w:w="80" w:type="dxa"/>
              <w:left w:w="120" w:type="dxa"/>
              <w:bottom w:w="80" w:type="dxa"/>
              <w:right w:w="120" w:type="dxa"/>
            </w:tcMar>
          </w:tcPr>
          <w:p w14:paraId="0B128A6A" w14:textId="77777777" w:rsidR="00177023" w:rsidRDefault="00271C27">
            <w:pPr>
              <w:spacing w:after="40"/>
            </w:pPr>
            <w:r>
              <w:rPr>
                <w:b/>
                <w:bCs/>
                <w:sz w:val="19"/>
                <w:szCs w:val="19"/>
              </w:rPr>
              <w:t>Study group</w:t>
            </w:r>
          </w:p>
          <w:p w14:paraId="6154B0F0" w14:textId="77777777" w:rsidR="00177023" w:rsidRDefault="00271C27">
            <w:r>
              <w:rPr>
                <w:b/>
                <w:bCs/>
                <w:sz w:val="19"/>
                <w:szCs w:val="19"/>
              </w:rPr>
              <w:t>(Population and comparisons)</w:t>
            </w:r>
          </w:p>
        </w:tc>
        <w:tc>
          <w:tcPr>
            <w:tcW w:w="1200" w:type="dxa"/>
            <w:tcBorders>
              <w:top w:val="single" w:sz="1" w:space="0" w:color="999999"/>
              <w:left w:val="single" w:sz="1" w:space="0" w:color="999999"/>
              <w:bottom w:val="single" w:sz="1" w:space="0" w:color="999999"/>
              <w:right w:val="single" w:sz="1" w:space="0" w:color="999999"/>
            </w:tcBorders>
            <w:shd w:val="clear" w:color="auto" w:fill="D5E8F0"/>
            <w:tcMar>
              <w:top w:w="80" w:type="dxa"/>
              <w:left w:w="120" w:type="dxa"/>
              <w:bottom w:w="80" w:type="dxa"/>
              <w:right w:w="120" w:type="dxa"/>
            </w:tcMar>
          </w:tcPr>
          <w:p w14:paraId="0914DC61" w14:textId="77777777" w:rsidR="00177023" w:rsidRDefault="00271C27">
            <w:pPr>
              <w:spacing w:after="40"/>
            </w:pPr>
            <w:r>
              <w:rPr>
                <w:b/>
                <w:bCs/>
                <w:sz w:val="19"/>
                <w:szCs w:val="19"/>
              </w:rPr>
              <w:t>Study type</w:t>
            </w:r>
          </w:p>
          <w:p w14:paraId="00572C04" w14:textId="77777777" w:rsidR="00177023" w:rsidRDefault="00271C27">
            <w:pPr>
              <w:spacing w:after="40"/>
            </w:pPr>
            <w:r>
              <w:rPr>
                <w:b/>
                <w:bCs/>
                <w:sz w:val="19"/>
                <w:szCs w:val="19"/>
              </w:rPr>
              <w:t>(level of evidence,</w:t>
            </w:r>
          </w:p>
          <w:p w14:paraId="2B404077" w14:textId="77777777" w:rsidR="00177023" w:rsidRDefault="00271C27">
            <w:r>
              <w:rPr>
                <w:b/>
                <w:bCs/>
                <w:sz w:val="19"/>
                <w:szCs w:val="19"/>
              </w:rPr>
              <w:t>Oxford CEBM)</w:t>
            </w:r>
          </w:p>
        </w:tc>
        <w:tc>
          <w:tcPr>
            <w:tcW w:w="1300" w:type="dxa"/>
            <w:tcBorders>
              <w:top w:val="single" w:sz="1" w:space="0" w:color="999999"/>
              <w:left w:val="single" w:sz="1" w:space="0" w:color="999999"/>
              <w:bottom w:val="single" w:sz="1" w:space="0" w:color="999999"/>
              <w:right w:val="single" w:sz="1" w:space="0" w:color="999999"/>
            </w:tcBorders>
            <w:shd w:val="clear" w:color="auto" w:fill="D5E8F0"/>
            <w:tcMar>
              <w:top w:w="80" w:type="dxa"/>
              <w:left w:w="120" w:type="dxa"/>
              <w:bottom w:w="80" w:type="dxa"/>
              <w:right w:w="120" w:type="dxa"/>
            </w:tcMar>
          </w:tcPr>
          <w:p w14:paraId="5AF5D2BF" w14:textId="77777777" w:rsidR="00177023" w:rsidRDefault="00271C27">
            <w:pPr>
              <w:spacing w:after="40"/>
            </w:pPr>
            <w:r>
              <w:rPr>
                <w:b/>
                <w:bCs/>
                <w:sz w:val="19"/>
                <w:szCs w:val="19"/>
              </w:rPr>
              <w:t>Outcome</w:t>
            </w:r>
          </w:p>
          <w:p w14:paraId="23A2D67C" w14:textId="77777777" w:rsidR="00177023" w:rsidRDefault="00271C27">
            <w:r>
              <w:rPr>
                <w:b/>
                <w:bCs/>
                <w:sz w:val="19"/>
                <w:szCs w:val="19"/>
              </w:rPr>
              <w:t>(one line per outcome)</w:t>
            </w:r>
          </w:p>
        </w:tc>
        <w:tc>
          <w:tcPr>
            <w:tcW w:w="2160" w:type="dxa"/>
            <w:tcBorders>
              <w:top w:val="single" w:sz="1" w:space="0" w:color="999999"/>
              <w:left w:val="single" w:sz="1" w:space="0" w:color="999999"/>
              <w:bottom w:val="single" w:sz="1" w:space="0" w:color="999999"/>
              <w:right w:val="single" w:sz="1" w:space="0" w:color="999999"/>
            </w:tcBorders>
            <w:shd w:val="clear" w:color="auto" w:fill="D5E8F0"/>
            <w:tcMar>
              <w:top w:w="80" w:type="dxa"/>
              <w:left w:w="120" w:type="dxa"/>
              <w:bottom w:w="80" w:type="dxa"/>
              <w:right w:w="120" w:type="dxa"/>
            </w:tcMar>
          </w:tcPr>
          <w:p w14:paraId="390B1882" w14:textId="77777777" w:rsidR="00177023" w:rsidRDefault="00271C27">
            <w:r>
              <w:rPr>
                <w:b/>
                <w:bCs/>
                <w:sz w:val="19"/>
                <w:szCs w:val="19"/>
              </w:rPr>
              <w:t>Key Result</w:t>
            </w:r>
          </w:p>
        </w:tc>
        <w:tc>
          <w:tcPr>
            <w:tcW w:w="2000" w:type="dxa"/>
            <w:tcBorders>
              <w:top w:val="single" w:sz="1" w:space="0" w:color="999999"/>
              <w:left w:val="single" w:sz="1" w:space="0" w:color="999999"/>
              <w:bottom w:val="single" w:sz="1" w:space="0" w:color="999999"/>
              <w:right w:val="single" w:sz="1" w:space="0" w:color="999999"/>
            </w:tcBorders>
            <w:shd w:val="clear" w:color="auto" w:fill="D5E8F0"/>
            <w:tcMar>
              <w:top w:w="80" w:type="dxa"/>
              <w:left w:w="120" w:type="dxa"/>
              <w:bottom w:w="80" w:type="dxa"/>
              <w:right w:w="120" w:type="dxa"/>
            </w:tcMar>
          </w:tcPr>
          <w:p w14:paraId="79B7F54F" w14:textId="77777777" w:rsidR="00177023" w:rsidRDefault="00271C27">
            <w:pPr>
              <w:spacing w:after="40"/>
            </w:pPr>
            <w:r>
              <w:rPr>
                <w:b/>
                <w:bCs/>
                <w:sz w:val="19"/>
                <w:szCs w:val="19"/>
              </w:rPr>
              <w:t>Comments</w:t>
            </w:r>
          </w:p>
          <w:p w14:paraId="214ADFD9" w14:textId="77777777" w:rsidR="00177023" w:rsidRDefault="00271C27">
            <w:r>
              <w:rPr>
                <w:b/>
                <w:bCs/>
                <w:sz w:val="19"/>
                <w:szCs w:val="19"/>
              </w:rPr>
              <w:t>(one line per study)</w:t>
            </w:r>
          </w:p>
        </w:tc>
      </w:tr>
      <w:tr w:rsidR="00177023" w14:paraId="74BE1F90"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7C815486" w14:textId="77777777" w:rsidR="00177023" w:rsidRDefault="00271C27">
            <w:proofErr w:type="spellStart"/>
            <w:r>
              <w:rPr>
                <w:sz w:val="19"/>
                <w:szCs w:val="19"/>
              </w:rPr>
              <w:t>Rakover</w:t>
            </w:r>
            <w:proofErr w:type="spellEnd"/>
            <w:r>
              <w:rPr>
                <w:sz w:val="19"/>
                <w:szCs w:val="19"/>
              </w:rPr>
              <w:t xml:space="preserve"> et al., 1996</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8948A80" w14:textId="77777777" w:rsidR="00177023" w:rsidRDefault="00271C27">
            <w:r>
              <w:rPr>
                <w:sz w:val="19"/>
                <w:szCs w:val="19"/>
              </w:rPr>
              <w:t>n=33 clinically diagnosed SRS; OZGROW registry; up to 5 yrs follow-up; no untreated comparator</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59200AE" w14:textId="77777777" w:rsidR="00177023" w:rsidRDefault="00271C27">
            <w:r>
              <w:rPr>
                <w:sz w:val="19"/>
                <w:szCs w:val="19"/>
              </w:rPr>
              <w:t>Retrospective cohort (3b)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D30E530" w14:textId="77777777" w:rsidR="00177023" w:rsidRDefault="00271C27">
            <w:r>
              <w:rPr>
                <w:sz w:val="19"/>
                <w:szCs w:val="19"/>
              </w:rPr>
              <w:t>Height SDS gain at 3, 4 and 5 years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7D50AFA" w14:textId="77777777" w:rsidR="00177023" w:rsidRDefault="00271C27">
            <w:r>
              <w:rPr>
                <w:sz w:val="19"/>
                <w:szCs w:val="19"/>
              </w:rPr>
              <w:t>+1.0, +1.5 and +1.8 SDS at 3, 4 and 5 years (p&lt;0.001); younger age at GH start independent predictor of response</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312D690" w14:textId="3AF92DF9" w:rsidR="00177023" w:rsidRDefault="00271C27">
            <w:r>
              <w:rPr>
                <w:sz w:val="19"/>
                <w:szCs w:val="19"/>
              </w:rPr>
              <w:t>Pre-molecular</w:t>
            </w:r>
            <w:r w:rsidR="00900E59">
              <w:rPr>
                <w:sz w:val="19"/>
                <w:szCs w:val="19"/>
              </w:rPr>
              <w:t xml:space="preserve"> diagnosis</w:t>
            </w:r>
            <w:r>
              <w:rPr>
                <w:sz w:val="19"/>
                <w:szCs w:val="19"/>
              </w:rPr>
              <w:t xml:space="preserve"> era; no adult height data</w:t>
            </w:r>
            <w:r w:rsidR="00900E59">
              <w:rPr>
                <w:sz w:val="19"/>
                <w:szCs w:val="19"/>
              </w:rPr>
              <w:t xml:space="preserve">; limited adjustment for confounding variables </w:t>
            </w:r>
          </w:p>
        </w:tc>
      </w:tr>
      <w:tr w:rsidR="00177023" w14:paraId="3E2CE056"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CCDBB91" w14:textId="77777777" w:rsidR="00177023" w:rsidRDefault="00271C27">
            <w:r>
              <w:rPr>
                <w:sz w:val="19"/>
                <w:szCs w:val="19"/>
              </w:rPr>
              <w:t>Ranke &amp; Lindberg, 2010</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BA18504" w14:textId="77777777" w:rsidR="00177023" w:rsidRDefault="00271C27">
            <w:r>
              <w:rPr>
                <w:sz w:val="19"/>
                <w:szCs w:val="19"/>
              </w:rPr>
              <w:t xml:space="preserve">n=55 SRS within n=161 SGA children </w:t>
            </w:r>
            <w:r>
              <w:rPr>
                <w:sz w:val="19"/>
                <w:szCs w:val="19"/>
              </w:rPr>
              <w:lastRenderedPageBreak/>
              <w:t>treated to near-final height; KIGS registry; no untreated comparator</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E78AE0A" w14:textId="77777777" w:rsidR="00177023" w:rsidRDefault="00271C27">
            <w:r>
              <w:rPr>
                <w:sz w:val="19"/>
                <w:szCs w:val="19"/>
              </w:rPr>
              <w:lastRenderedPageBreak/>
              <w:t>Retrospective cohort (3b)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6B98954" w14:textId="77777777" w:rsidR="00177023" w:rsidRDefault="00271C27">
            <w:r>
              <w:rPr>
                <w:sz w:val="19"/>
                <w:szCs w:val="19"/>
              </w:rPr>
              <w:t>Predictors of adult height SDS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6D6313D" w14:textId="77777777" w:rsidR="00177023" w:rsidRDefault="00271C27">
            <w:r>
              <w:rPr>
                <w:sz w:val="19"/>
                <w:szCs w:val="19"/>
              </w:rPr>
              <w:t xml:space="preserve">Median adult height −2.2 SDS overall after median 7.7 yrs </w:t>
            </w:r>
            <w:r>
              <w:rPr>
                <w:sz w:val="19"/>
                <w:szCs w:val="19"/>
              </w:rPr>
              <w:lastRenderedPageBreak/>
              <w:t>GH; SRS −2.9 vs non-SRS SGA −2.1 SDS (p&lt;0.01) despite similar total height gain (~1.4 SDS both groups); height at GH start, first-year response and treatment duration strongest positive predictors in multivariable model</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22B9CD7" w14:textId="77777777" w:rsidR="00177023" w:rsidRDefault="00271C27">
            <w:r>
              <w:rPr>
                <w:sz w:val="19"/>
                <w:szCs w:val="19"/>
              </w:rPr>
              <w:lastRenderedPageBreak/>
              <w:t xml:space="preserve">Clinical diagnosis only; no direct early-vs-late </w:t>
            </w:r>
            <w:r>
              <w:rPr>
                <w:sz w:val="19"/>
                <w:szCs w:val="19"/>
              </w:rPr>
              <w:lastRenderedPageBreak/>
              <w:t>analysis; industry-funded (Pfizer)</w:t>
            </w:r>
          </w:p>
        </w:tc>
      </w:tr>
      <w:tr w:rsidR="00177023" w14:paraId="12547BF7"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5AA72339" w14:textId="77777777" w:rsidR="00177023" w:rsidRDefault="00271C27">
            <w:r>
              <w:rPr>
                <w:sz w:val="19"/>
                <w:szCs w:val="19"/>
              </w:rPr>
              <w:lastRenderedPageBreak/>
              <w:t>Binder et al., 2013</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58FF35B2" w14:textId="77777777" w:rsidR="00177023" w:rsidRDefault="00271C27">
            <w:r>
              <w:rPr>
                <w:sz w:val="19"/>
                <w:szCs w:val="19"/>
              </w:rPr>
              <w:t>n=37 GH-treated molecularly confirmed SRS vs n=13 untreated historical controls; single-centre</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51BBCE65" w14:textId="77777777" w:rsidR="00177023" w:rsidRDefault="00271C27">
            <w:r>
              <w:rPr>
                <w:sz w:val="19"/>
                <w:szCs w:val="19"/>
              </w:rPr>
              <w:t>Retrospective cohort (3b)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CE9E5A3" w14:textId="77777777" w:rsidR="00177023" w:rsidRDefault="00271C27">
            <w:r>
              <w:rPr>
                <w:sz w:val="19"/>
                <w:szCs w:val="19"/>
              </w:rPr>
              <w:t>Adult height SDS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41B7C1A" w14:textId="77777777" w:rsidR="00177023" w:rsidRDefault="00271C27">
            <w:r>
              <w:rPr>
                <w:sz w:val="19"/>
                <w:szCs w:val="19"/>
              </w:rPr>
              <w:t>Treated −2.12 vs untreated −3.13 SDS (p=0.006); treated males 11.1 cm taller; treatment duration dominant modifiable predictor</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D74BBC6" w14:textId="77777777" w:rsidR="00177023" w:rsidRDefault="00271C27">
            <w:r>
              <w:rPr>
                <w:sz w:val="19"/>
                <w:szCs w:val="19"/>
              </w:rPr>
              <w:t>Untreated group small (n=13) and non-randomised; no direct early-vs-late analysis within treated group</w:t>
            </w:r>
          </w:p>
        </w:tc>
      </w:tr>
      <w:tr w:rsidR="00177023" w14:paraId="00477C31"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E246ED3" w14:textId="77777777" w:rsidR="00177023" w:rsidRDefault="00271C27">
            <w:proofErr w:type="spellStart"/>
            <w:r>
              <w:rPr>
                <w:sz w:val="19"/>
                <w:szCs w:val="19"/>
              </w:rPr>
              <w:t>Smeets</w:t>
            </w:r>
            <w:proofErr w:type="spellEnd"/>
            <w:r>
              <w:rPr>
                <w:sz w:val="19"/>
                <w:szCs w:val="19"/>
              </w:rPr>
              <w:t xml:space="preserve">, </w:t>
            </w:r>
            <w:proofErr w:type="spellStart"/>
            <w:r>
              <w:rPr>
                <w:sz w:val="19"/>
                <w:szCs w:val="19"/>
              </w:rPr>
              <w:t>Zandwijken</w:t>
            </w:r>
            <w:proofErr w:type="spellEnd"/>
            <w:r>
              <w:rPr>
                <w:sz w:val="19"/>
                <w:szCs w:val="19"/>
              </w:rPr>
              <w:t xml:space="preserve"> et al., 2016</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6BC620D" w14:textId="77777777" w:rsidR="00177023" w:rsidRDefault="00271C27">
            <w:r>
              <w:rPr>
                <w:sz w:val="19"/>
                <w:szCs w:val="19"/>
              </w:rPr>
              <w:t>n=62 SRS vs n=227 non-SRS short SGA; all GH-treated; multicentre; adult height data available for 26 SRS</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40A7EE9" w14:textId="77777777" w:rsidR="00177023" w:rsidRDefault="00271C27">
            <w:r>
              <w:rPr>
                <w:sz w:val="19"/>
                <w:szCs w:val="19"/>
              </w:rPr>
              <w:t>Prospective cohort (2b)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1B3A9F5" w14:textId="77777777" w:rsidR="00177023" w:rsidRDefault="00271C27">
            <w:r>
              <w:rPr>
                <w:sz w:val="19"/>
                <w:szCs w:val="19"/>
              </w:rPr>
              <w:t>Age at puberty onset; final height SDS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48BD266" w14:textId="77777777" w:rsidR="00177023" w:rsidRDefault="00271C27">
            <w:r>
              <w:rPr>
                <w:sz w:val="19"/>
                <w:szCs w:val="19"/>
              </w:rPr>
              <w:t>Earlier puberty in SRS (10.8 vs 11.7 yrs; p&lt;0.001); final height −2.17 vs −1.65 SDS (p=0.002) despite equivalent total height gain</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3138E50" w14:textId="77777777" w:rsidR="00177023" w:rsidRDefault="00271C27">
            <w:r>
              <w:rPr>
                <w:sz w:val="19"/>
                <w:szCs w:val="19"/>
              </w:rPr>
              <w:t>Adult height data available for 26/62 SRS patients; timing implication indirect; no subgroup analysis by age at GH start</w:t>
            </w:r>
          </w:p>
        </w:tc>
      </w:tr>
      <w:tr w:rsidR="00177023" w14:paraId="2606B884"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51741135" w14:textId="77777777" w:rsidR="00177023" w:rsidRDefault="00271C27">
            <w:r>
              <w:rPr>
                <w:sz w:val="19"/>
                <w:szCs w:val="19"/>
              </w:rPr>
              <w:t>Smeets, Renes et al., 2017</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CC4FAF0" w14:textId="77777777" w:rsidR="00177023" w:rsidRDefault="00271C27">
            <w:r>
              <w:rPr>
                <w:sz w:val="19"/>
                <w:szCs w:val="19"/>
              </w:rPr>
              <w:t>n=29 SRS vs n=171 non-SRS SGA; all GH-treated; multicentre metabolic follow-up to 2 yrs post-cessation</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5BDBCBDC" w14:textId="77777777" w:rsidR="00177023" w:rsidRDefault="00271C27">
            <w:r>
              <w:rPr>
                <w:sz w:val="19"/>
                <w:szCs w:val="19"/>
              </w:rPr>
              <w:t>Prospective cohort (2b)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1A28AEBC" w14:textId="77777777" w:rsidR="00177023" w:rsidRDefault="00271C27">
            <w:r>
              <w:rPr>
                <w:sz w:val="19"/>
                <w:szCs w:val="19"/>
              </w:rPr>
              <w:t>T2DM; metabolic syndrome; insulin sensitivity; BMI SDS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5C426C9" w14:textId="77777777" w:rsidR="00177023" w:rsidRDefault="00271C27">
            <w:r>
              <w:rPr>
                <w:sz w:val="19"/>
                <w:szCs w:val="19"/>
              </w:rPr>
              <w:t>No T2DM or metabolic syndrome at mean age 18 yrs; insulin sensitivity improved post-cessation; no metabolic difference between SRS and non-SRS groups</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7110A13E" w14:textId="77777777" w:rsidR="00177023" w:rsidRDefault="00271C27">
            <w:r>
              <w:rPr>
                <w:sz w:val="19"/>
                <w:szCs w:val="19"/>
              </w:rPr>
              <w:t>Small SRS group (n=29); follow-up limited to ~18 yrs; does not address whether earlier initiation confers additional metabolic benefit</w:t>
            </w:r>
          </w:p>
        </w:tc>
      </w:tr>
      <w:tr w:rsidR="00177023" w14:paraId="77EC7D23"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59F9D41" w14:textId="77777777" w:rsidR="00177023" w:rsidRDefault="00271C27">
            <w:proofErr w:type="spellStart"/>
            <w:r>
              <w:rPr>
                <w:sz w:val="19"/>
                <w:szCs w:val="19"/>
              </w:rPr>
              <w:t>Lokulo-Sodipe</w:t>
            </w:r>
            <w:proofErr w:type="spellEnd"/>
            <w:r>
              <w:rPr>
                <w:sz w:val="19"/>
                <w:szCs w:val="19"/>
              </w:rPr>
              <w:t xml:space="preserve"> et al., 2022</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1760A64D" w14:textId="77777777" w:rsidR="00177023" w:rsidRDefault="00271C27">
            <w:r>
              <w:rPr>
                <w:sz w:val="19"/>
                <w:szCs w:val="19"/>
              </w:rPr>
              <w:t>n=55 GH-treated vs n=16 untreated molecularly confirmed SRS; tri-national (UK, France, Germany)</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71D889B9" w14:textId="77777777" w:rsidR="00177023" w:rsidRDefault="00271C27">
            <w:r>
              <w:rPr>
                <w:sz w:val="19"/>
                <w:szCs w:val="19"/>
              </w:rPr>
              <w:t>Retrospective cohort (3b)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1B286F6D" w14:textId="77777777" w:rsidR="00177023" w:rsidRDefault="00271C27">
            <w:r>
              <w:rPr>
                <w:sz w:val="19"/>
                <w:szCs w:val="19"/>
              </w:rPr>
              <w:t>Total height SDS gain; adult BMI SDS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79476DC1" w14:textId="77777777" w:rsidR="00177023" w:rsidRDefault="00271C27">
            <w:r>
              <w:rPr>
                <w:sz w:val="19"/>
                <w:szCs w:val="19"/>
              </w:rPr>
              <w:t>GH-treated: median total height gain 1.53 vs 0.53 SDS untreated (p=0.007). Earlier GH start (&lt;4 yrs) associated with greater height gain (3.13 vs 1.42 SDS; p=0.03). Treated adult BMI SDS −1.10 vs +1.66 untreated (p=0.002); 1/55 treated vs 4/16 untreated had BMI SDS ≥+2 (p=0.008)</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44A780E" w14:textId="77777777" w:rsidR="00177023" w:rsidRDefault="00271C27">
            <w:r>
              <w:rPr>
                <w:sz w:val="19"/>
                <w:szCs w:val="19"/>
              </w:rPr>
              <w:t>Retrospective; untreated group significantly older; variable protocols across three countries</w:t>
            </w:r>
          </w:p>
        </w:tc>
      </w:tr>
      <w:tr w:rsidR="00177023" w14:paraId="383EF1CF"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6898F91" w14:textId="77777777" w:rsidR="00177023" w:rsidRDefault="00271C27">
            <w:proofErr w:type="spellStart"/>
            <w:r>
              <w:rPr>
                <w:sz w:val="19"/>
                <w:szCs w:val="19"/>
              </w:rPr>
              <w:t>Świąder-Leśniak</w:t>
            </w:r>
            <w:proofErr w:type="spellEnd"/>
            <w:r>
              <w:rPr>
                <w:sz w:val="19"/>
                <w:szCs w:val="19"/>
              </w:rPr>
              <w:t xml:space="preserve"> et al., 2023</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6557E3A" w14:textId="77777777" w:rsidR="00177023" w:rsidRDefault="00271C27">
            <w:r>
              <w:rPr>
                <w:sz w:val="19"/>
                <w:szCs w:val="19"/>
              </w:rPr>
              <w:t>n=31 molecularly confirmed SRS vs n=16 SGA controls; single-</w:t>
            </w:r>
            <w:r>
              <w:rPr>
                <w:sz w:val="19"/>
                <w:szCs w:val="19"/>
              </w:rPr>
              <w:lastRenderedPageBreak/>
              <w:t>centre; 3-yr follow-up</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8D834AA" w14:textId="77777777" w:rsidR="00177023" w:rsidRDefault="00271C27">
            <w:r>
              <w:rPr>
                <w:sz w:val="19"/>
                <w:szCs w:val="19"/>
              </w:rPr>
              <w:lastRenderedPageBreak/>
              <w:t>Prospective cohort (2b)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59691D12" w14:textId="77777777" w:rsidR="00177023" w:rsidRDefault="00271C27">
            <w:r>
              <w:rPr>
                <w:sz w:val="19"/>
                <w:szCs w:val="19"/>
              </w:rPr>
              <w:t>Height SDS; first-year height velocity; fat mass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08D2809" w14:textId="77777777" w:rsidR="00177023" w:rsidRDefault="00271C27">
            <w:r>
              <w:rPr>
                <w:sz w:val="19"/>
                <w:szCs w:val="19"/>
              </w:rPr>
              <w:t xml:space="preserve">Height SDS −3.3 to −1.8 over 3 yrs; first-year height velocity higher in SRS than SGA (8.8 </w:t>
            </w:r>
            <w:r>
              <w:rPr>
                <w:sz w:val="19"/>
                <w:szCs w:val="19"/>
              </w:rPr>
              <w:lastRenderedPageBreak/>
              <w:t>vs 8.0 cm/yr; p=0.041)</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245BBB6" w14:textId="77777777" w:rsidR="00177023" w:rsidRDefault="00271C27">
            <w:r>
              <w:rPr>
                <w:sz w:val="19"/>
                <w:szCs w:val="19"/>
              </w:rPr>
              <w:lastRenderedPageBreak/>
              <w:t xml:space="preserve">Small sample; mean age at GH start 6.6 yrs (older than consensus </w:t>
            </w:r>
            <w:r>
              <w:rPr>
                <w:sz w:val="19"/>
                <w:szCs w:val="19"/>
              </w:rPr>
              <w:lastRenderedPageBreak/>
              <w:t>recommendation); no adult height data</w:t>
            </w:r>
          </w:p>
        </w:tc>
      </w:tr>
      <w:tr w:rsidR="00177023" w14:paraId="1ABFB816"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1CF70FB" w14:textId="77777777" w:rsidR="00177023" w:rsidRDefault="00271C27">
            <w:r>
              <w:rPr>
                <w:sz w:val="19"/>
                <w:szCs w:val="19"/>
              </w:rPr>
              <w:lastRenderedPageBreak/>
              <w:t>Özgen et al., 2025</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E2E44C4" w14:textId="77777777" w:rsidR="00177023" w:rsidRDefault="00271C27">
            <w:r>
              <w:rPr>
                <w:sz w:val="19"/>
                <w:szCs w:val="19"/>
              </w:rPr>
              <w:t>n=69 SRS (29 genetically confirmed, 40 clinical NH-CSS); 15 centres; n=49 GH-treated; adult height data available for 10 patients</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0110F83" w14:textId="77777777" w:rsidR="00177023" w:rsidRDefault="00271C27">
            <w:r>
              <w:rPr>
                <w:sz w:val="19"/>
                <w:szCs w:val="19"/>
              </w:rPr>
              <w:t>Retrospective cohort (3b)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98CD541" w14:textId="77777777" w:rsidR="00177023" w:rsidRDefault="00271C27">
            <w:r>
              <w:rPr>
                <w:sz w:val="19"/>
                <w:szCs w:val="19"/>
              </w:rPr>
              <w:t>First-year height SDS response; predictors of final height SDS</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1ADDEF17" w14:textId="77777777" w:rsidR="00177023" w:rsidRDefault="00271C27">
            <w:r>
              <w:rPr>
                <w:sz w:val="19"/>
                <w:szCs w:val="19"/>
              </w:rPr>
              <w:t>Treatment duration strongest predictor of final height; genetically confirmed patients had better first-year response than clinically diagnosed (Δ height SDS 0.97 vs 0.35; p=0.011)</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F2A099D" w14:textId="77777777" w:rsidR="00177023" w:rsidRDefault="00271C27">
            <w:r>
              <w:rPr>
                <w:sz w:val="19"/>
                <w:szCs w:val="19"/>
              </w:rPr>
              <w:t>Retrospective; substantial missing data; adult height data available for only 10 patients</w:t>
            </w:r>
          </w:p>
        </w:tc>
      </w:tr>
      <w:tr w:rsidR="00177023" w14:paraId="1C46E0E1" w14:textId="77777777">
        <w:tc>
          <w:tcPr>
            <w:tcW w:w="1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4805D49F" w14:textId="77777777" w:rsidR="00177023" w:rsidRDefault="00271C27">
            <w:proofErr w:type="spellStart"/>
            <w:r>
              <w:rPr>
                <w:sz w:val="19"/>
                <w:szCs w:val="19"/>
              </w:rPr>
              <w:t>Giabicani</w:t>
            </w:r>
            <w:proofErr w:type="spellEnd"/>
            <w:r>
              <w:rPr>
                <w:sz w:val="19"/>
                <w:szCs w:val="19"/>
              </w:rPr>
              <w:t xml:space="preserve"> et al., 2026</w:t>
            </w:r>
          </w:p>
        </w:tc>
        <w:tc>
          <w:tcPr>
            <w:tcW w:w="17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22BAAD2F" w14:textId="77777777" w:rsidR="00177023" w:rsidRDefault="00271C27">
            <w:r>
              <w:rPr>
                <w:sz w:val="19"/>
                <w:szCs w:val="19"/>
              </w:rPr>
              <w:t>n=77 prepubertal molecularly confirmed SRS; mean age at GH start 3.7 yrs; single-centre; 2-yr follow-up</w:t>
            </w:r>
          </w:p>
        </w:tc>
        <w:tc>
          <w:tcPr>
            <w:tcW w:w="12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6E929A3F" w14:textId="77777777" w:rsidR="00177023" w:rsidRDefault="00271C27">
            <w:r>
              <w:rPr>
                <w:sz w:val="19"/>
                <w:szCs w:val="19"/>
              </w:rPr>
              <w:t>Retrospective cohort (3b)</w:t>
            </w:r>
          </w:p>
        </w:tc>
        <w:tc>
          <w:tcPr>
            <w:tcW w:w="13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934493E" w14:textId="77777777" w:rsidR="00177023" w:rsidRDefault="00271C27">
            <w:r>
              <w:rPr>
                <w:sz w:val="19"/>
                <w:szCs w:val="19"/>
              </w:rPr>
              <w:t>Height SDS gain at 2 yrs; weight-for-height</w:t>
            </w:r>
          </w:p>
        </w:tc>
        <w:tc>
          <w:tcPr>
            <w:tcW w:w="216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35EA87CC" w14:textId="77777777" w:rsidR="00177023" w:rsidRDefault="00271C27">
            <w:r>
              <w:rPr>
                <w:sz w:val="19"/>
                <w:szCs w:val="19"/>
              </w:rPr>
              <w:t xml:space="preserve">Start &lt;4 yrs: +1.5 vs +1.1 SDS at 2 yrs (p=0.012); weight-for-height improved from 81% to 86% (p&lt;0.001); proportion with </w:t>
            </w:r>
            <w:proofErr w:type="spellStart"/>
            <w:r>
              <w:rPr>
                <w:sz w:val="19"/>
                <w:szCs w:val="19"/>
              </w:rPr>
              <w:t>WfH</w:t>
            </w:r>
            <w:proofErr w:type="spellEnd"/>
            <w:r>
              <w:rPr>
                <w:sz w:val="19"/>
                <w:szCs w:val="19"/>
              </w:rPr>
              <w:t xml:space="preserve"> &lt;75% fell from 22.1% to 7.8%</w:t>
            </w:r>
          </w:p>
        </w:tc>
        <w:tc>
          <w:tcPr>
            <w:tcW w:w="2000" w:type="dxa"/>
            <w:tcBorders>
              <w:top w:val="single" w:sz="1" w:space="0" w:color="999999"/>
              <w:left w:val="single" w:sz="1" w:space="0" w:color="999999"/>
              <w:bottom w:val="single" w:sz="1" w:space="0" w:color="999999"/>
              <w:right w:val="single" w:sz="1" w:space="0" w:color="999999"/>
            </w:tcBorders>
            <w:tcMar>
              <w:top w:w="80" w:type="dxa"/>
              <w:left w:w="120" w:type="dxa"/>
              <w:bottom w:w="80" w:type="dxa"/>
              <w:right w:w="120" w:type="dxa"/>
            </w:tcMar>
          </w:tcPr>
          <w:p w14:paraId="01686066" w14:textId="77777777" w:rsidR="00177023" w:rsidRDefault="00271C27">
            <w:r>
              <w:rPr>
                <w:sz w:val="19"/>
                <w:szCs w:val="19"/>
              </w:rPr>
              <w:t>Largest molecularly confirmed prepubertal cohort directly addressing age at initiation; 2-yr follow-up only; no adult height data</w:t>
            </w:r>
          </w:p>
        </w:tc>
      </w:tr>
    </w:tbl>
    <w:p w14:paraId="662DD794" w14:textId="77777777" w:rsidR="00177023" w:rsidRDefault="00271C27">
      <w:pPr>
        <w:spacing w:after="60"/>
      </w:pPr>
      <w:r>
        <w:rPr>
          <w:i/>
          <w:iCs/>
          <w:sz w:val="18"/>
          <w:szCs w:val="18"/>
        </w:rPr>
        <w:t>Table 1. LOM, loss of methylation; SDS, standard deviation score; SGA, small for gestational age; T2DM, type 2 diabetes mellitus.</w:t>
      </w:r>
    </w:p>
    <w:p w14:paraId="07B424D2" w14:textId="77777777" w:rsidR="00177023" w:rsidRDefault="00177023">
      <w:pPr>
        <w:spacing w:after="80"/>
      </w:pPr>
    </w:p>
    <w:p w14:paraId="24F53234" w14:textId="77777777" w:rsidR="00177023" w:rsidRDefault="00271C27">
      <w:pPr>
        <w:pStyle w:val="Heading1"/>
      </w:pPr>
      <w:r>
        <w:t>Commentary</w:t>
      </w:r>
    </w:p>
    <w:p w14:paraId="502B1F73" w14:textId="6FAA443F" w:rsidR="00E23848" w:rsidRDefault="00E23848" w:rsidP="00E23848">
      <w:pPr>
        <w:spacing w:after="120"/>
      </w:pPr>
      <w:r>
        <w:t>Nine observational studies spanning three decades converge on a consistent finding: earlier GH initiation in SRS is associated with greater height gain</w:t>
      </w:r>
      <w:r w:rsidR="00532912">
        <w:rPr>
          <w:vertAlign w:val="superscript"/>
        </w:rPr>
        <w:t>3</w:t>
      </w:r>
      <w:r w:rsidR="00076A7C">
        <w:rPr>
          <w:vertAlign w:val="superscript"/>
        </w:rPr>
        <w:t>-1</w:t>
      </w:r>
      <w:r w:rsidR="00532912">
        <w:rPr>
          <w:vertAlign w:val="superscript"/>
        </w:rPr>
        <w:t>1</w:t>
      </w:r>
      <w:r>
        <w:t>.</w:t>
      </w:r>
      <w:r w:rsidR="0027262D">
        <w:t xml:space="preserve"> This is consistent with the international consensus, which recommends initiation at age 2–3 years</w:t>
      </w:r>
      <w:r w:rsidR="00076A7C">
        <w:rPr>
          <w:vertAlign w:val="superscript"/>
        </w:rPr>
        <w:t>1</w:t>
      </w:r>
      <w:r w:rsidR="0027262D">
        <w:t>.</w:t>
      </w:r>
      <w:r>
        <w:t xml:space="preserve"> No RCTs exist, and all evidence is Level 2b or below</w:t>
      </w:r>
      <w:r w:rsidR="0027262D">
        <w:t>. Randomised controlled trials are unlikely to be conducted given the established licensed indication</w:t>
      </w:r>
      <w:r>
        <w:t>.</w:t>
      </w:r>
    </w:p>
    <w:p w14:paraId="21625EEA" w14:textId="7705C69D" w:rsidR="00E23848" w:rsidRDefault="00E23848" w:rsidP="00E23848">
      <w:pPr>
        <w:spacing w:after="120"/>
      </w:pPr>
      <w:r>
        <w:t xml:space="preserve">The most direct evidence comes from </w:t>
      </w:r>
      <w:proofErr w:type="spellStart"/>
      <w:r>
        <w:t>Lokulo-Sodipe</w:t>
      </w:r>
      <w:proofErr w:type="spellEnd"/>
      <w:r>
        <w:t xml:space="preserve"> et al.</w:t>
      </w:r>
      <w:r w:rsidR="00532912">
        <w:rPr>
          <w:vertAlign w:val="superscript"/>
        </w:rPr>
        <w:t>8</w:t>
      </w:r>
      <w:r>
        <w:t xml:space="preserve">, who showed in a molecularly confirmed cohort that GH start before four years was associated with a total height gain of 3.13 vs 1.42 SDS (p=0.03). </w:t>
      </w:r>
      <w:proofErr w:type="spellStart"/>
      <w:r>
        <w:t>Giabicani</w:t>
      </w:r>
      <w:proofErr w:type="spellEnd"/>
      <w:r>
        <w:t xml:space="preserve"> et al.</w:t>
      </w:r>
      <w:r>
        <w:rPr>
          <w:vertAlign w:val="superscript"/>
        </w:rPr>
        <w:t>1</w:t>
      </w:r>
      <w:r w:rsidR="00532912">
        <w:rPr>
          <w:vertAlign w:val="superscript"/>
        </w:rPr>
        <w:t>1</w:t>
      </w:r>
      <w:r>
        <w:t>, the largest prepubertal molecularly confirmed cohort to directly address the age-at-initiation question, reinforced this, showing 1.45 vs 1.10 SDS gain at two years (p=0.012). By excluding pubertal children, this study removed a major confounder present in earlier series.</w:t>
      </w:r>
    </w:p>
    <w:p w14:paraId="55DFEC35" w14:textId="53A2BC56" w:rsidR="00E23848" w:rsidRDefault="00E23848" w:rsidP="00E23848">
      <w:pPr>
        <w:spacing w:after="120"/>
      </w:pPr>
      <w:r>
        <w:t xml:space="preserve">The mechanistic rationale is strengthened by </w:t>
      </w:r>
      <w:proofErr w:type="spellStart"/>
      <w:r>
        <w:t>Smeets</w:t>
      </w:r>
      <w:proofErr w:type="spellEnd"/>
      <w:r>
        <w:t xml:space="preserve">, </w:t>
      </w:r>
      <w:proofErr w:type="spellStart"/>
      <w:r>
        <w:t>Zandwijken</w:t>
      </w:r>
      <w:proofErr w:type="spellEnd"/>
      <w:r>
        <w:t xml:space="preserve"> et al.</w:t>
      </w:r>
      <w:r w:rsidR="00532912">
        <w:rPr>
          <w:vertAlign w:val="superscript"/>
        </w:rPr>
        <w:t>6</w:t>
      </w:r>
      <w:r>
        <w:rPr>
          <w:vertAlign w:val="superscript"/>
        </w:rPr>
        <w:t xml:space="preserve"> </w:t>
      </w:r>
      <w:r>
        <w:t>who demonstrated that puberty in SRS occurs approximately one year earlier than in non-SRS SGA peers, curtailing the pre-pubertal window during which GH produces the greatest linear growth response.</w:t>
      </w:r>
      <w:r w:rsidR="00916CC4">
        <w:t xml:space="preserve"> </w:t>
      </w:r>
      <w:r w:rsidR="00916CC4" w:rsidRPr="00916CC4">
        <w:t xml:space="preserve">Puberty can be rapid, and there is a lack of catch-up growth in this cohort compared to other children born SGA. </w:t>
      </w:r>
      <w:r>
        <w:t xml:space="preserve"> Across multiple studies, treatment duration, which is inherently extended by earlier initiation, is the most consistently replicated independent predictor of final height.</w:t>
      </w:r>
    </w:p>
    <w:p w14:paraId="0A7585BF" w14:textId="77777777" w:rsidR="00E23848" w:rsidRDefault="00E23848" w:rsidP="00E23848">
      <w:pPr>
        <w:spacing w:after="120"/>
      </w:pPr>
      <w:r>
        <w:t>A recurring concern is confounding by indication: the most severely restricted children may be referred earliest. Crucially, however, early initiators still achieved superior outcomes despite a more disadvantaged baseline, which arguably strengthens rather than weakens the case for early treatment. A related limitation is that earlier initiation inherently lengthens the treatment period, so the apparent benefit of starting young may partly reflect greater cumulative GH exposure rather than age at initiation per se; no study has fully disentangled timing from treatment duration.</w:t>
      </w:r>
    </w:p>
    <w:p w14:paraId="5998B7B8" w14:textId="4551EE1A" w:rsidR="00E23848" w:rsidRDefault="00E23848" w:rsidP="00E23848">
      <w:pPr>
        <w:spacing w:after="120"/>
      </w:pPr>
      <w:r>
        <w:t>Metabolic outcomes appear reassuring to early adulthood, with no cases of type 2 diabetes or metabolic syndrome at mean age 18 years and a lower adult BMI SDS in treated than in untreated patients. Longer-term cardiometabolic surveillance beyond age 20 years, into the third and fourth decades, remains an important evidence gap.</w:t>
      </w:r>
      <w:r w:rsidR="00916CC4" w:rsidRPr="00916CC4">
        <w:t xml:space="preserve"> Clinically it is also important to monitor cardiometabolic health in SRS individuals as they have been shown to have a predisposition to metabolic complications</w:t>
      </w:r>
      <w:r w:rsidR="00916CC4">
        <w:rPr>
          <w:vertAlign w:val="superscript"/>
        </w:rPr>
        <w:t>1</w:t>
      </w:r>
      <w:r w:rsidR="00076A7C">
        <w:rPr>
          <w:vertAlign w:val="superscript"/>
        </w:rPr>
        <w:t>2</w:t>
      </w:r>
      <w:r w:rsidR="00916CC4">
        <w:t>.</w:t>
      </w:r>
    </w:p>
    <w:p w14:paraId="7CB8A7E1" w14:textId="2520233C" w:rsidR="00916CC4" w:rsidRPr="00916CC4" w:rsidRDefault="00916CC4" w:rsidP="00E23848">
      <w:pPr>
        <w:spacing w:after="120"/>
      </w:pPr>
      <w:r w:rsidRPr="00916CC4">
        <w:lastRenderedPageBreak/>
        <w:t>While this critical review focuses on height potential, it is important to note that there are other potential benefits of early treatment with GH in SRS children, such as improving recurrent/severe hypoglycaemia, muscle mass and tone</w:t>
      </w:r>
      <w:r w:rsidR="00076A7C">
        <w:rPr>
          <w:vertAlign w:val="superscript"/>
        </w:rPr>
        <w:t>1</w:t>
      </w:r>
      <w:r w:rsidRPr="00916CC4">
        <w:t>.</w:t>
      </w:r>
      <w:r w:rsidR="002369E4">
        <w:t xml:space="preserve"> </w:t>
      </w:r>
      <w:r w:rsidRPr="00916CC4">
        <w:t xml:space="preserve">Nonetheless, further research is needed to characterise these benefits in the SRS population specifically. Given that these studies all used daily GH, a further research question would be whether weekly GH is effective and safe, especially given this population’s risk of hypoglycaemia.  </w:t>
      </w:r>
    </w:p>
    <w:p w14:paraId="44A6A167" w14:textId="4CAA4A7A" w:rsidR="00177023" w:rsidRDefault="00E23848" w:rsidP="00E23848">
      <w:pPr>
        <w:spacing w:after="120"/>
      </w:pPr>
      <w:r>
        <w:t>Diagnostic heterogeneity warrants emphasis. The NH-CSS has a specificity of only 36%</w:t>
      </w:r>
      <w:r w:rsidR="00E84CBB">
        <w:rPr>
          <w:vertAlign w:val="superscript"/>
        </w:rPr>
        <w:t>1</w:t>
      </w:r>
      <w:r>
        <w:t xml:space="preserve">; </w:t>
      </w:r>
      <w:proofErr w:type="spellStart"/>
      <w:r>
        <w:t>Özgen</w:t>
      </w:r>
      <w:proofErr w:type="spellEnd"/>
      <w:r>
        <w:t xml:space="preserve"> et al.</w:t>
      </w:r>
      <w:r w:rsidR="00271C27">
        <w:rPr>
          <w:vertAlign w:val="superscript"/>
        </w:rPr>
        <w:t>10</w:t>
      </w:r>
      <w:r>
        <w:t xml:space="preserve"> demonstrated substantially better first-year GH responses in genetically confirmed vs clinically diagnosed patients. Early initiation in a child without molecular confirmation carries greater diagnostic </w:t>
      </w:r>
      <w:r w:rsidR="00916CC4">
        <w:t xml:space="preserve">uncertainty </w:t>
      </w:r>
      <w:bookmarkStart w:id="0" w:name="_Hlk239162792"/>
      <w:r w:rsidR="00916CC4">
        <w:t>and</w:t>
      </w:r>
      <w:r>
        <w:t xml:space="preserve"> commencing treatment without confirmation risks treating children who do not have </w:t>
      </w:r>
      <w:r w:rsidR="0077173F">
        <w:t>SRS and may in fact have contraindications to GH treatment.</w:t>
      </w:r>
      <w:bookmarkEnd w:id="0"/>
    </w:p>
    <w:p w14:paraId="2A0B2F57" w14:textId="4D964178" w:rsidR="00E23848" w:rsidRDefault="00916CC4" w:rsidP="00E23848">
      <w:pPr>
        <w:spacing w:after="120"/>
      </w:pPr>
      <w:bookmarkStart w:id="1" w:name="_Hlk239162749"/>
      <w:r w:rsidRPr="00916CC4">
        <w:t>The diagnostic uncertainty pertaining to clinically diagnosed SRS is an important limitation of this analysis, as a number of these papers included this group. There is also a potential overlap in the published cohorts</w:t>
      </w:r>
      <w:r w:rsidR="002369E4">
        <w:t xml:space="preserve"> where studies looked at </w:t>
      </w:r>
      <w:r w:rsidR="00F200F3">
        <w:t>a given</w:t>
      </w:r>
      <w:r w:rsidR="002369E4">
        <w:t xml:space="preserve"> country’s SRS population</w:t>
      </w:r>
      <w:r w:rsidR="009D466B">
        <w:t>, particularly</w:t>
      </w:r>
      <w:r w:rsidR="00F200F3">
        <w:t xml:space="preserve"> considering</w:t>
      </w:r>
      <w:r w:rsidR="009D466B">
        <w:t xml:space="preserve"> the rarity of the disease</w:t>
      </w:r>
      <w:r w:rsidRPr="00916CC4">
        <w:t>.</w:t>
      </w:r>
    </w:p>
    <w:bookmarkEnd w:id="1"/>
    <w:p w14:paraId="5E17C9A3" w14:textId="77777777" w:rsidR="00916CC4" w:rsidRDefault="00916CC4" w:rsidP="00E23848">
      <w:pPr>
        <w:spacing w:after="120"/>
      </w:pPr>
    </w:p>
    <w:p w14:paraId="478AC548" w14:textId="77777777" w:rsidR="00177023" w:rsidRDefault="00271C27">
      <w:pPr>
        <w:pStyle w:val="Heading1"/>
      </w:pPr>
      <w:r>
        <w:t>Clinical Bottom Lines</w:t>
      </w:r>
    </w:p>
    <w:p w14:paraId="31BF4555" w14:textId="02ABF0AD" w:rsidR="00177023" w:rsidRDefault="00271C27">
      <w:pPr>
        <w:pStyle w:val="ListParagraph"/>
        <w:numPr>
          <w:ilvl w:val="0"/>
          <w:numId w:val="2"/>
        </w:numPr>
        <w:spacing w:after="80"/>
      </w:pPr>
      <w:r>
        <w:t>Start growth hormone before four years of age in children with confirmed SRS to maximise height gain</w:t>
      </w:r>
      <w:r w:rsidR="00916CC4" w:rsidRPr="00916CC4">
        <w:t xml:space="preserve">, ideally from two years of age once caloric deficits have been addressed with appropriate feeding support if required. </w:t>
      </w:r>
      <w:r>
        <w:t xml:space="preserve"> [Grade B]</w:t>
      </w:r>
    </w:p>
    <w:p w14:paraId="11D3901E" w14:textId="5BD8C175" w:rsidR="00177023" w:rsidRDefault="00271C27">
      <w:pPr>
        <w:pStyle w:val="ListParagraph"/>
        <w:numPr>
          <w:ilvl w:val="0"/>
          <w:numId w:val="2"/>
        </w:numPr>
        <w:spacing w:after="80"/>
      </w:pPr>
      <w:r>
        <w:t>Confirm SRS molecularly before starting GH; clinically diagnosed children respond less well</w:t>
      </w:r>
      <w:r w:rsidR="00916CC4">
        <w:t xml:space="preserve"> </w:t>
      </w:r>
      <w:r w:rsidR="00916CC4" w:rsidRPr="00916CC4">
        <w:t>and there is a risk of starting GH treatment in children who may have other underlying disorders and therefore potential contraindications</w:t>
      </w:r>
      <w:r>
        <w:t>. [Grade C]</w:t>
      </w:r>
    </w:p>
    <w:p w14:paraId="7C4C9840" w14:textId="0F14C0E1" w:rsidR="00177023" w:rsidRDefault="00271C27">
      <w:pPr>
        <w:pStyle w:val="ListParagraph"/>
        <w:numPr>
          <w:ilvl w:val="0"/>
          <w:numId w:val="2"/>
        </w:numPr>
        <w:spacing w:after="80"/>
      </w:pPr>
      <w:r>
        <w:t>Monitor cardiometabolic health long term; outcomes are reassuring to early adulthood but data beyond age 20 years are lacking</w:t>
      </w:r>
      <w:r w:rsidR="00916CC4" w:rsidRPr="00916CC4">
        <w:t>, and individuals with SRS have been shown to have a predisposition to metabolic complications.</w:t>
      </w:r>
      <w:r>
        <w:t xml:space="preserve"> [Grade C]</w:t>
      </w:r>
    </w:p>
    <w:p w14:paraId="2179C8C9" w14:textId="77777777" w:rsidR="00177023" w:rsidRDefault="00177023">
      <w:pPr>
        <w:spacing w:after="80"/>
      </w:pPr>
    </w:p>
    <w:p w14:paraId="58189279" w14:textId="77777777" w:rsidR="00177023" w:rsidRDefault="00271C27">
      <w:pPr>
        <w:pStyle w:val="Heading1"/>
      </w:pPr>
      <w:r>
        <w:t>References</w:t>
      </w:r>
    </w:p>
    <w:p w14:paraId="6897F915" w14:textId="092063FF" w:rsidR="00532912" w:rsidRDefault="00271C27">
      <w:pPr>
        <w:spacing w:after="80"/>
        <w:rPr>
          <w:sz w:val="20"/>
          <w:szCs w:val="20"/>
        </w:rPr>
      </w:pPr>
      <w:bookmarkStart w:id="2" w:name="_Hlk239163321"/>
      <w:r>
        <w:rPr>
          <w:sz w:val="20"/>
          <w:szCs w:val="20"/>
        </w:rPr>
        <w:t>1.</w:t>
      </w:r>
      <w:r w:rsidR="00532912" w:rsidRPr="00532912">
        <w:rPr>
          <w:sz w:val="20"/>
          <w:szCs w:val="20"/>
        </w:rPr>
        <w:t xml:space="preserve"> </w:t>
      </w:r>
      <w:proofErr w:type="spellStart"/>
      <w:r w:rsidR="00532912" w:rsidRPr="00921C52">
        <w:rPr>
          <w:sz w:val="20"/>
          <w:szCs w:val="20"/>
        </w:rPr>
        <w:t>Wakeling</w:t>
      </w:r>
      <w:proofErr w:type="spellEnd"/>
      <w:r w:rsidR="00532912" w:rsidRPr="00921C52">
        <w:rPr>
          <w:sz w:val="20"/>
          <w:szCs w:val="20"/>
        </w:rPr>
        <w:t xml:space="preserve"> EL, </w:t>
      </w:r>
      <w:proofErr w:type="spellStart"/>
      <w:r w:rsidR="00532912" w:rsidRPr="00921C52">
        <w:rPr>
          <w:sz w:val="20"/>
          <w:szCs w:val="20"/>
        </w:rPr>
        <w:t>Brioude</w:t>
      </w:r>
      <w:proofErr w:type="spellEnd"/>
      <w:r w:rsidR="00532912" w:rsidRPr="00921C52">
        <w:rPr>
          <w:sz w:val="20"/>
          <w:szCs w:val="20"/>
        </w:rPr>
        <w:t xml:space="preserve"> F, </w:t>
      </w:r>
      <w:proofErr w:type="spellStart"/>
      <w:r w:rsidR="00532912" w:rsidRPr="00921C52">
        <w:rPr>
          <w:sz w:val="20"/>
          <w:szCs w:val="20"/>
        </w:rPr>
        <w:t>Lokulo-Sodipe</w:t>
      </w:r>
      <w:proofErr w:type="spellEnd"/>
      <w:r w:rsidR="00532912" w:rsidRPr="00921C52">
        <w:rPr>
          <w:sz w:val="20"/>
          <w:szCs w:val="20"/>
        </w:rPr>
        <w:t xml:space="preserve"> O, et al. Diagnosis and management of Silver–Russell syndrome: first international consensus statement. Nat Rev Endocrinol. 2017;13(2):105-124</w:t>
      </w:r>
    </w:p>
    <w:p w14:paraId="4B41DA9A" w14:textId="6D036251" w:rsidR="00177023" w:rsidRDefault="00532912">
      <w:pPr>
        <w:spacing w:after="80"/>
      </w:pPr>
      <w:r>
        <w:rPr>
          <w:sz w:val="20"/>
          <w:szCs w:val="20"/>
        </w:rPr>
        <w:t>2.</w:t>
      </w:r>
      <w:r w:rsidR="00271C27">
        <w:rPr>
          <w:sz w:val="20"/>
          <w:szCs w:val="20"/>
        </w:rPr>
        <w:t xml:space="preserve"> National Institute for Health and Care Excellence. Human Growth Hormone (Somatropin) for the Treatment of Growth Failure in Children. TA188. 2010.</w:t>
      </w:r>
    </w:p>
    <w:p w14:paraId="386C18F7" w14:textId="0C2E5859" w:rsidR="00177023" w:rsidRDefault="00532912">
      <w:pPr>
        <w:spacing w:after="80"/>
      </w:pPr>
      <w:r>
        <w:rPr>
          <w:sz w:val="20"/>
          <w:szCs w:val="20"/>
        </w:rPr>
        <w:t>3</w:t>
      </w:r>
      <w:r w:rsidR="00271C27">
        <w:rPr>
          <w:sz w:val="20"/>
          <w:szCs w:val="20"/>
        </w:rPr>
        <w:t xml:space="preserve">. </w:t>
      </w:r>
      <w:proofErr w:type="spellStart"/>
      <w:r w:rsidR="00271C27">
        <w:rPr>
          <w:sz w:val="20"/>
          <w:szCs w:val="20"/>
        </w:rPr>
        <w:t>Rakover</w:t>
      </w:r>
      <w:proofErr w:type="spellEnd"/>
      <w:r w:rsidR="00271C27">
        <w:rPr>
          <w:sz w:val="20"/>
          <w:szCs w:val="20"/>
        </w:rPr>
        <w:t xml:space="preserve"> Y, et al. Growth hormone therapy in Silver Russell Syndrome: 5 </w:t>
      </w:r>
      <w:proofErr w:type="spellStart"/>
      <w:r w:rsidR="00271C27">
        <w:rPr>
          <w:sz w:val="20"/>
          <w:szCs w:val="20"/>
        </w:rPr>
        <w:t>years experience</w:t>
      </w:r>
      <w:proofErr w:type="spellEnd"/>
      <w:r w:rsidR="00271C27">
        <w:rPr>
          <w:sz w:val="20"/>
          <w:szCs w:val="20"/>
        </w:rPr>
        <w:t xml:space="preserve"> of OZGROW. </w:t>
      </w:r>
      <w:proofErr w:type="spellStart"/>
      <w:r w:rsidR="00271C27">
        <w:rPr>
          <w:sz w:val="20"/>
          <w:szCs w:val="20"/>
        </w:rPr>
        <w:t>Eur</w:t>
      </w:r>
      <w:proofErr w:type="spellEnd"/>
      <w:r w:rsidR="00271C27">
        <w:rPr>
          <w:sz w:val="20"/>
          <w:szCs w:val="20"/>
        </w:rPr>
        <w:t xml:space="preserve"> J </w:t>
      </w:r>
      <w:proofErr w:type="spellStart"/>
      <w:r w:rsidR="00271C27">
        <w:rPr>
          <w:sz w:val="20"/>
          <w:szCs w:val="20"/>
        </w:rPr>
        <w:t>Pediatr</w:t>
      </w:r>
      <w:proofErr w:type="spellEnd"/>
      <w:r w:rsidR="00271C27">
        <w:rPr>
          <w:sz w:val="20"/>
          <w:szCs w:val="20"/>
        </w:rPr>
        <w:t>. 1996;155(10):851-857.</w:t>
      </w:r>
    </w:p>
    <w:p w14:paraId="26069F76" w14:textId="3FB9DABA" w:rsidR="00177023" w:rsidRDefault="00532912">
      <w:pPr>
        <w:spacing w:after="80"/>
      </w:pPr>
      <w:r>
        <w:rPr>
          <w:sz w:val="20"/>
          <w:szCs w:val="20"/>
        </w:rPr>
        <w:t>4</w:t>
      </w:r>
      <w:r w:rsidR="00271C27">
        <w:rPr>
          <w:sz w:val="20"/>
          <w:szCs w:val="20"/>
        </w:rPr>
        <w:t>. Ranke MB, Lindberg A. Height at Start, First-Year Growth Response and Cause of Shortness at Birth Are Major Determinants of Adult Height Outcome</w:t>
      </w:r>
      <w:r w:rsidR="00076A7C">
        <w:rPr>
          <w:sz w:val="20"/>
          <w:szCs w:val="20"/>
        </w:rPr>
        <w:t xml:space="preserve">s </w:t>
      </w:r>
      <w:r w:rsidR="00076A7C" w:rsidRPr="00076A7C">
        <w:rPr>
          <w:sz w:val="20"/>
          <w:szCs w:val="20"/>
        </w:rPr>
        <w:t>of short children born small for gestational age and Silver-Russell syndrome treated with growth hormone: analysis of data from KIGS</w:t>
      </w:r>
      <w:r w:rsidR="00076A7C">
        <w:rPr>
          <w:sz w:val="20"/>
          <w:szCs w:val="20"/>
        </w:rPr>
        <w:t>.</w:t>
      </w:r>
      <w:r w:rsidR="00271C27">
        <w:rPr>
          <w:sz w:val="20"/>
          <w:szCs w:val="20"/>
        </w:rPr>
        <w:t xml:space="preserve"> </w:t>
      </w:r>
      <w:proofErr w:type="spellStart"/>
      <w:r w:rsidR="00271C27">
        <w:rPr>
          <w:sz w:val="20"/>
          <w:szCs w:val="20"/>
        </w:rPr>
        <w:t>Horm</w:t>
      </w:r>
      <w:proofErr w:type="spellEnd"/>
      <w:r w:rsidR="00271C27">
        <w:rPr>
          <w:sz w:val="20"/>
          <w:szCs w:val="20"/>
        </w:rPr>
        <w:t xml:space="preserve"> Res </w:t>
      </w:r>
      <w:proofErr w:type="spellStart"/>
      <w:r w:rsidR="00271C27">
        <w:rPr>
          <w:sz w:val="20"/>
          <w:szCs w:val="20"/>
        </w:rPr>
        <w:t>Paediatr</w:t>
      </w:r>
      <w:proofErr w:type="spellEnd"/>
      <w:r w:rsidR="00271C27">
        <w:rPr>
          <w:sz w:val="20"/>
          <w:szCs w:val="20"/>
        </w:rPr>
        <w:t>. 2010;74(4):259-266.</w:t>
      </w:r>
    </w:p>
    <w:p w14:paraId="672042A3" w14:textId="676761E5" w:rsidR="00177023" w:rsidRPr="00921C52" w:rsidRDefault="00532912">
      <w:pPr>
        <w:spacing w:after="80"/>
        <w:rPr>
          <w:sz w:val="20"/>
          <w:szCs w:val="20"/>
        </w:rPr>
      </w:pPr>
      <w:r>
        <w:rPr>
          <w:sz w:val="20"/>
          <w:szCs w:val="20"/>
        </w:rPr>
        <w:t>5</w:t>
      </w:r>
      <w:r w:rsidR="00271C27">
        <w:rPr>
          <w:sz w:val="20"/>
          <w:szCs w:val="20"/>
        </w:rPr>
        <w:t xml:space="preserve">. Binder G, et </w:t>
      </w:r>
      <w:r w:rsidR="00271C27" w:rsidRPr="00921C52">
        <w:rPr>
          <w:sz w:val="20"/>
          <w:szCs w:val="20"/>
        </w:rPr>
        <w:t xml:space="preserve">al. Adult Height and Epigenotype in Children with Silver-Russell Syndrome Treated with GH. </w:t>
      </w:r>
      <w:proofErr w:type="spellStart"/>
      <w:r w:rsidR="00271C27" w:rsidRPr="00921C52">
        <w:rPr>
          <w:sz w:val="20"/>
          <w:szCs w:val="20"/>
        </w:rPr>
        <w:t>Horm</w:t>
      </w:r>
      <w:proofErr w:type="spellEnd"/>
      <w:r w:rsidR="00271C27" w:rsidRPr="00921C52">
        <w:rPr>
          <w:sz w:val="20"/>
          <w:szCs w:val="20"/>
        </w:rPr>
        <w:t xml:space="preserve"> Res </w:t>
      </w:r>
      <w:proofErr w:type="spellStart"/>
      <w:r w:rsidR="00271C27" w:rsidRPr="00921C52">
        <w:rPr>
          <w:sz w:val="20"/>
          <w:szCs w:val="20"/>
        </w:rPr>
        <w:t>Paediatr</w:t>
      </w:r>
      <w:proofErr w:type="spellEnd"/>
      <w:r w:rsidR="00271C27" w:rsidRPr="00921C52">
        <w:rPr>
          <w:sz w:val="20"/>
          <w:szCs w:val="20"/>
        </w:rPr>
        <w:t>. 2013;80(3):193-200.</w:t>
      </w:r>
    </w:p>
    <w:p w14:paraId="5BA96013" w14:textId="6037CB99" w:rsidR="00177023" w:rsidRPr="00921C52" w:rsidRDefault="00532912">
      <w:pPr>
        <w:spacing w:after="80"/>
        <w:rPr>
          <w:sz w:val="20"/>
          <w:szCs w:val="20"/>
        </w:rPr>
      </w:pPr>
      <w:r>
        <w:rPr>
          <w:sz w:val="20"/>
          <w:szCs w:val="20"/>
        </w:rPr>
        <w:t>6</w:t>
      </w:r>
      <w:r w:rsidR="00271C27" w:rsidRPr="00921C52">
        <w:rPr>
          <w:sz w:val="20"/>
          <w:szCs w:val="20"/>
        </w:rPr>
        <w:t xml:space="preserve">. </w:t>
      </w:r>
      <w:proofErr w:type="spellStart"/>
      <w:r w:rsidR="00271C27" w:rsidRPr="00921C52">
        <w:rPr>
          <w:sz w:val="20"/>
          <w:szCs w:val="20"/>
        </w:rPr>
        <w:t>Smeets</w:t>
      </w:r>
      <w:proofErr w:type="spellEnd"/>
      <w:r w:rsidR="00271C27" w:rsidRPr="00921C52">
        <w:rPr>
          <w:sz w:val="20"/>
          <w:szCs w:val="20"/>
        </w:rPr>
        <w:t xml:space="preserve"> CCJ, </w:t>
      </w:r>
      <w:proofErr w:type="spellStart"/>
      <w:r w:rsidR="00271C27" w:rsidRPr="00921C52">
        <w:rPr>
          <w:sz w:val="20"/>
          <w:szCs w:val="20"/>
        </w:rPr>
        <w:t>Zandwijken</w:t>
      </w:r>
      <w:proofErr w:type="spellEnd"/>
      <w:r w:rsidR="00271C27" w:rsidRPr="00921C52">
        <w:rPr>
          <w:sz w:val="20"/>
          <w:szCs w:val="20"/>
        </w:rPr>
        <w:t xml:space="preserve"> GRJ, et al. Long-Term Results of GH Treatment in Silver-Russell Syndrome. J Clin Endocrinol </w:t>
      </w:r>
      <w:proofErr w:type="spellStart"/>
      <w:r w:rsidR="00271C27" w:rsidRPr="00921C52">
        <w:rPr>
          <w:sz w:val="20"/>
          <w:szCs w:val="20"/>
        </w:rPr>
        <w:t>Metab</w:t>
      </w:r>
      <w:proofErr w:type="spellEnd"/>
      <w:r w:rsidR="00271C27" w:rsidRPr="00921C52">
        <w:rPr>
          <w:sz w:val="20"/>
          <w:szCs w:val="20"/>
        </w:rPr>
        <w:t>. 2016;101(5):2105-2112.</w:t>
      </w:r>
    </w:p>
    <w:p w14:paraId="0BD79238" w14:textId="7BC06775" w:rsidR="00177023" w:rsidRPr="00921C52" w:rsidRDefault="00532912">
      <w:pPr>
        <w:spacing w:after="80"/>
        <w:rPr>
          <w:sz w:val="20"/>
          <w:szCs w:val="20"/>
        </w:rPr>
      </w:pPr>
      <w:r>
        <w:rPr>
          <w:sz w:val="20"/>
          <w:szCs w:val="20"/>
        </w:rPr>
        <w:t>7</w:t>
      </w:r>
      <w:r w:rsidR="00271C27" w:rsidRPr="00921C52">
        <w:rPr>
          <w:sz w:val="20"/>
          <w:szCs w:val="20"/>
        </w:rPr>
        <w:t xml:space="preserve">. Smeets CCJ, Renes JS, et al. Metabolic Health and Long-term Safety of Growth Hormone Treatment in Silver-Russell Syndrome. J Clin Endocrinol </w:t>
      </w:r>
      <w:proofErr w:type="spellStart"/>
      <w:r w:rsidR="00271C27" w:rsidRPr="00921C52">
        <w:rPr>
          <w:sz w:val="20"/>
          <w:szCs w:val="20"/>
        </w:rPr>
        <w:t>Metab</w:t>
      </w:r>
      <w:proofErr w:type="spellEnd"/>
      <w:r w:rsidR="00271C27" w:rsidRPr="00921C52">
        <w:rPr>
          <w:sz w:val="20"/>
          <w:szCs w:val="20"/>
        </w:rPr>
        <w:t xml:space="preserve">. </w:t>
      </w:r>
      <w:r w:rsidR="00483F7A" w:rsidRPr="00020BE8">
        <w:rPr>
          <w:sz w:val="20"/>
          <w:szCs w:val="20"/>
        </w:rPr>
        <w:t>2017;102(3):983-991.</w:t>
      </w:r>
    </w:p>
    <w:p w14:paraId="68113599" w14:textId="0DD5C9B5" w:rsidR="00177023" w:rsidRPr="00921C52" w:rsidRDefault="00532912">
      <w:pPr>
        <w:spacing w:after="80"/>
        <w:rPr>
          <w:sz w:val="20"/>
          <w:szCs w:val="20"/>
        </w:rPr>
      </w:pPr>
      <w:r>
        <w:rPr>
          <w:sz w:val="20"/>
          <w:szCs w:val="20"/>
        </w:rPr>
        <w:t>8</w:t>
      </w:r>
      <w:r w:rsidR="00271C27" w:rsidRPr="00921C52">
        <w:rPr>
          <w:sz w:val="20"/>
          <w:szCs w:val="20"/>
        </w:rPr>
        <w:t xml:space="preserve">. </w:t>
      </w:r>
      <w:proofErr w:type="spellStart"/>
      <w:r w:rsidR="00271C27" w:rsidRPr="00921C52">
        <w:rPr>
          <w:sz w:val="20"/>
          <w:szCs w:val="20"/>
        </w:rPr>
        <w:t>Lokulo-Sodipe</w:t>
      </w:r>
      <w:proofErr w:type="spellEnd"/>
      <w:r w:rsidR="00271C27" w:rsidRPr="00921C52">
        <w:rPr>
          <w:sz w:val="20"/>
          <w:szCs w:val="20"/>
        </w:rPr>
        <w:t xml:space="preserve"> O, </w:t>
      </w:r>
      <w:proofErr w:type="spellStart"/>
      <w:r w:rsidR="00271C27" w:rsidRPr="00921C52">
        <w:rPr>
          <w:sz w:val="20"/>
          <w:szCs w:val="20"/>
        </w:rPr>
        <w:t>Giabicani</w:t>
      </w:r>
      <w:proofErr w:type="spellEnd"/>
      <w:r w:rsidR="00271C27" w:rsidRPr="00921C52">
        <w:rPr>
          <w:sz w:val="20"/>
          <w:szCs w:val="20"/>
        </w:rPr>
        <w:t xml:space="preserve"> E, et al. Height and body mass index in molecularly confirmed Silver–Russell syndrome</w:t>
      </w:r>
      <w:r w:rsidR="00076A7C">
        <w:rPr>
          <w:sz w:val="20"/>
          <w:szCs w:val="20"/>
        </w:rPr>
        <w:t xml:space="preserve"> </w:t>
      </w:r>
      <w:r w:rsidR="00076A7C" w:rsidRPr="00076A7C">
        <w:rPr>
          <w:sz w:val="20"/>
          <w:szCs w:val="20"/>
        </w:rPr>
        <w:t>and the long-term effects of growth hormone treatment</w:t>
      </w:r>
      <w:r w:rsidR="00076A7C">
        <w:rPr>
          <w:sz w:val="20"/>
          <w:szCs w:val="20"/>
        </w:rPr>
        <w:t>.</w:t>
      </w:r>
      <w:r w:rsidR="00271C27" w:rsidRPr="00921C52">
        <w:rPr>
          <w:sz w:val="20"/>
          <w:szCs w:val="20"/>
        </w:rPr>
        <w:t xml:space="preserve"> Clin Endocrinol (</w:t>
      </w:r>
      <w:proofErr w:type="spellStart"/>
      <w:r w:rsidR="00271C27" w:rsidRPr="00921C52">
        <w:rPr>
          <w:sz w:val="20"/>
          <w:szCs w:val="20"/>
        </w:rPr>
        <w:t>Oxf</w:t>
      </w:r>
      <w:proofErr w:type="spellEnd"/>
      <w:r w:rsidR="00271C27" w:rsidRPr="00921C52">
        <w:rPr>
          <w:sz w:val="20"/>
          <w:szCs w:val="20"/>
        </w:rPr>
        <w:t>). 2022;97(3):284-292.</w:t>
      </w:r>
    </w:p>
    <w:p w14:paraId="774224D1" w14:textId="0B1C413D" w:rsidR="00177023" w:rsidRPr="00921C52" w:rsidRDefault="00532912">
      <w:pPr>
        <w:spacing w:after="80"/>
        <w:rPr>
          <w:sz w:val="20"/>
          <w:szCs w:val="20"/>
        </w:rPr>
      </w:pPr>
      <w:r>
        <w:rPr>
          <w:sz w:val="20"/>
          <w:szCs w:val="20"/>
        </w:rPr>
        <w:t>9</w:t>
      </w:r>
      <w:r w:rsidR="00271C27" w:rsidRPr="00921C52">
        <w:rPr>
          <w:sz w:val="20"/>
          <w:szCs w:val="20"/>
        </w:rPr>
        <w:t xml:space="preserve">. </w:t>
      </w:r>
      <w:proofErr w:type="spellStart"/>
      <w:r w:rsidR="00271C27" w:rsidRPr="00921C52">
        <w:rPr>
          <w:sz w:val="20"/>
          <w:szCs w:val="20"/>
        </w:rPr>
        <w:t>Świąder-Leśniak</w:t>
      </w:r>
      <w:proofErr w:type="spellEnd"/>
      <w:r w:rsidR="00271C27" w:rsidRPr="00921C52">
        <w:rPr>
          <w:sz w:val="20"/>
          <w:szCs w:val="20"/>
        </w:rPr>
        <w:t xml:space="preserve"> A, et al. The effects of 3-year growth hormone treatment and body composition in Polish patients with Silver-Russell syndrome. </w:t>
      </w:r>
      <w:proofErr w:type="spellStart"/>
      <w:r w:rsidR="00271C27" w:rsidRPr="00921C52">
        <w:rPr>
          <w:sz w:val="20"/>
          <w:szCs w:val="20"/>
        </w:rPr>
        <w:t>Endokrynol</w:t>
      </w:r>
      <w:proofErr w:type="spellEnd"/>
      <w:r w:rsidR="00271C27" w:rsidRPr="00921C52">
        <w:rPr>
          <w:sz w:val="20"/>
          <w:szCs w:val="20"/>
        </w:rPr>
        <w:t xml:space="preserve"> Pol. 2023;74(3):285-293.</w:t>
      </w:r>
    </w:p>
    <w:p w14:paraId="3F8B57E4" w14:textId="449ABC7F" w:rsidR="00177023" w:rsidRPr="00921C52" w:rsidRDefault="00532912">
      <w:pPr>
        <w:spacing w:after="80"/>
        <w:rPr>
          <w:sz w:val="20"/>
          <w:szCs w:val="20"/>
        </w:rPr>
      </w:pPr>
      <w:r>
        <w:rPr>
          <w:sz w:val="20"/>
          <w:szCs w:val="20"/>
        </w:rPr>
        <w:t>10</w:t>
      </w:r>
      <w:r w:rsidR="00271C27" w:rsidRPr="00921C52">
        <w:rPr>
          <w:sz w:val="20"/>
          <w:szCs w:val="20"/>
        </w:rPr>
        <w:t>. Özgen İT, et al. Comparison of the clinical characteristics of children with Silver–Russell syndrome genetically confirmed or not</w:t>
      </w:r>
      <w:r w:rsidR="00076A7C">
        <w:rPr>
          <w:sz w:val="20"/>
          <w:szCs w:val="20"/>
        </w:rPr>
        <w:t xml:space="preserve"> </w:t>
      </w:r>
      <w:r w:rsidR="00076A7C" w:rsidRPr="00076A7C">
        <w:rPr>
          <w:sz w:val="20"/>
          <w:szCs w:val="20"/>
        </w:rPr>
        <w:t xml:space="preserve">and their response to growth hormone therapy: a national </w:t>
      </w:r>
      <w:proofErr w:type="spellStart"/>
      <w:r w:rsidR="00076A7C" w:rsidRPr="00076A7C">
        <w:rPr>
          <w:sz w:val="20"/>
          <w:szCs w:val="20"/>
        </w:rPr>
        <w:t>multicenter</w:t>
      </w:r>
      <w:proofErr w:type="spellEnd"/>
      <w:r w:rsidR="00076A7C" w:rsidRPr="00076A7C">
        <w:rPr>
          <w:sz w:val="20"/>
          <w:szCs w:val="20"/>
        </w:rPr>
        <w:t xml:space="preserve"> study</w:t>
      </w:r>
      <w:r w:rsidR="00076A7C">
        <w:rPr>
          <w:sz w:val="20"/>
          <w:szCs w:val="20"/>
        </w:rPr>
        <w:t>.</w:t>
      </w:r>
      <w:r w:rsidR="00271C27" w:rsidRPr="00921C52">
        <w:rPr>
          <w:sz w:val="20"/>
          <w:szCs w:val="20"/>
        </w:rPr>
        <w:t xml:space="preserve"> J </w:t>
      </w:r>
      <w:proofErr w:type="spellStart"/>
      <w:r w:rsidR="00271C27" w:rsidRPr="00921C52">
        <w:rPr>
          <w:sz w:val="20"/>
          <w:szCs w:val="20"/>
        </w:rPr>
        <w:t>Pediatr</w:t>
      </w:r>
      <w:proofErr w:type="spellEnd"/>
      <w:r w:rsidR="00271C27" w:rsidRPr="00921C52">
        <w:rPr>
          <w:sz w:val="20"/>
          <w:szCs w:val="20"/>
        </w:rPr>
        <w:t xml:space="preserve"> Endocrinol </w:t>
      </w:r>
      <w:proofErr w:type="spellStart"/>
      <w:r w:rsidR="00271C27" w:rsidRPr="00921C52">
        <w:rPr>
          <w:sz w:val="20"/>
          <w:szCs w:val="20"/>
        </w:rPr>
        <w:t>Metab</w:t>
      </w:r>
      <w:proofErr w:type="spellEnd"/>
      <w:r w:rsidR="00271C27" w:rsidRPr="00921C52">
        <w:rPr>
          <w:sz w:val="20"/>
          <w:szCs w:val="20"/>
        </w:rPr>
        <w:t>. 2025;38(8):830-837.</w:t>
      </w:r>
    </w:p>
    <w:p w14:paraId="5FB7AA4E" w14:textId="107955DB" w:rsidR="00177023" w:rsidRPr="00921C52" w:rsidRDefault="00271C27">
      <w:pPr>
        <w:spacing w:after="80"/>
        <w:rPr>
          <w:sz w:val="20"/>
          <w:szCs w:val="20"/>
        </w:rPr>
      </w:pPr>
      <w:r w:rsidRPr="00921C52">
        <w:rPr>
          <w:sz w:val="20"/>
          <w:szCs w:val="20"/>
        </w:rPr>
        <w:lastRenderedPageBreak/>
        <w:t>1</w:t>
      </w:r>
      <w:r w:rsidR="00532912">
        <w:rPr>
          <w:sz w:val="20"/>
          <w:szCs w:val="20"/>
        </w:rPr>
        <w:t>1</w:t>
      </w:r>
      <w:r w:rsidRPr="00921C52">
        <w:rPr>
          <w:sz w:val="20"/>
          <w:szCs w:val="20"/>
        </w:rPr>
        <w:t xml:space="preserve">. </w:t>
      </w:r>
      <w:proofErr w:type="spellStart"/>
      <w:r w:rsidRPr="00921C52">
        <w:rPr>
          <w:sz w:val="20"/>
          <w:szCs w:val="20"/>
        </w:rPr>
        <w:t>Giabicani</w:t>
      </w:r>
      <w:proofErr w:type="spellEnd"/>
      <w:r w:rsidRPr="00921C52">
        <w:rPr>
          <w:sz w:val="20"/>
          <w:szCs w:val="20"/>
        </w:rPr>
        <w:t xml:space="preserve"> E, et al. Early Growth Hormone Treatment Enhances Growth and Nutritional Status in Silver-Russell Syndrome. J Clin Endocrinol </w:t>
      </w:r>
      <w:proofErr w:type="spellStart"/>
      <w:r w:rsidRPr="00921C52">
        <w:rPr>
          <w:sz w:val="20"/>
          <w:szCs w:val="20"/>
        </w:rPr>
        <w:t>Metab</w:t>
      </w:r>
      <w:proofErr w:type="spellEnd"/>
      <w:r w:rsidRPr="00921C52">
        <w:rPr>
          <w:sz w:val="20"/>
          <w:szCs w:val="20"/>
        </w:rPr>
        <w:t>. 2026;111(3):e900-e907.</w:t>
      </w:r>
    </w:p>
    <w:p w14:paraId="7F99A0C2" w14:textId="4E65CE83" w:rsidR="00076A7C" w:rsidRPr="00921C52" w:rsidRDefault="00076A7C" w:rsidP="00076A7C">
      <w:pPr>
        <w:spacing w:after="80"/>
        <w:rPr>
          <w:sz w:val="20"/>
          <w:szCs w:val="20"/>
        </w:rPr>
      </w:pPr>
      <w:r w:rsidRPr="00921C52">
        <w:rPr>
          <w:sz w:val="20"/>
          <w:szCs w:val="20"/>
        </w:rPr>
        <w:t>1</w:t>
      </w:r>
      <w:r>
        <w:rPr>
          <w:sz w:val="20"/>
          <w:szCs w:val="20"/>
        </w:rPr>
        <w:t>2</w:t>
      </w:r>
      <w:r w:rsidRPr="00921C52">
        <w:rPr>
          <w:sz w:val="20"/>
          <w:szCs w:val="20"/>
        </w:rPr>
        <w:t xml:space="preserve">. </w:t>
      </w:r>
      <w:proofErr w:type="spellStart"/>
      <w:r w:rsidRPr="00921C52">
        <w:rPr>
          <w:sz w:val="20"/>
          <w:szCs w:val="20"/>
        </w:rPr>
        <w:t>Lokulo-Sodipe</w:t>
      </w:r>
      <w:proofErr w:type="spellEnd"/>
      <w:r w:rsidRPr="00921C52">
        <w:rPr>
          <w:sz w:val="20"/>
          <w:szCs w:val="20"/>
        </w:rPr>
        <w:t xml:space="preserve"> O, </w:t>
      </w:r>
      <w:proofErr w:type="spellStart"/>
      <w:r w:rsidRPr="00921C52">
        <w:rPr>
          <w:sz w:val="20"/>
          <w:szCs w:val="20"/>
        </w:rPr>
        <w:t>Inskip</w:t>
      </w:r>
      <w:proofErr w:type="spellEnd"/>
      <w:r w:rsidRPr="00921C52">
        <w:rPr>
          <w:sz w:val="20"/>
          <w:szCs w:val="20"/>
        </w:rPr>
        <w:t xml:space="preserve"> HM, Byrne CD, et al. Body Composition and Metabolism in Adults With Molecularly Confirmed Silver-Russell Syndrome. J Clin Endocrinol </w:t>
      </w:r>
      <w:proofErr w:type="spellStart"/>
      <w:r w:rsidRPr="00921C52">
        <w:rPr>
          <w:sz w:val="20"/>
          <w:szCs w:val="20"/>
        </w:rPr>
        <w:t>Metab</w:t>
      </w:r>
      <w:proofErr w:type="spellEnd"/>
      <w:r w:rsidRPr="00921C52">
        <w:rPr>
          <w:sz w:val="20"/>
          <w:szCs w:val="20"/>
        </w:rPr>
        <w:t>. 2024;109(11):e2001-e2008.</w:t>
      </w:r>
    </w:p>
    <w:bookmarkEnd w:id="2"/>
    <w:p w14:paraId="554628D7" w14:textId="77777777" w:rsidR="00076A7C" w:rsidRPr="00921C52" w:rsidRDefault="00076A7C" w:rsidP="00EC6E81">
      <w:pPr>
        <w:spacing w:after="80"/>
        <w:rPr>
          <w:sz w:val="20"/>
          <w:szCs w:val="20"/>
        </w:rPr>
      </w:pPr>
    </w:p>
    <w:sectPr w:rsidR="00076A7C" w:rsidRPr="00921C52">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4023A3"/>
    <w:multiLevelType w:val="hybridMultilevel"/>
    <w:tmpl w:val="C5946844"/>
    <w:lvl w:ilvl="0" w:tplc="93B86C9E">
      <w:start w:val="1"/>
      <w:numFmt w:val="bullet"/>
      <w:lvlText w:val="●"/>
      <w:lvlJc w:val="left"/>
      <w:pPr>
        <w:ind w:left="720" w:hanging="360"/>
      </w:pPr>
    </w:lvl>
    <w:lvl w:ilvl="1" w:tplc="5E22C11A">
      <w:start w:val="1"/>
      <w:numFmt w:val="bullet"/>
      <w:lvlText w:val="○"/>
      <w:lvlJc w:val="left"/>
      <w:pPr>
        <w:ind w:left="1440" w:hanging="360"/>
      </w:pPr>
    </w:lvl>
    <w:lvl w:ilvl="2" w:tplc="B212CD40">
      <w:start w:val="1"/>
      <w:numFmt w:val="bullet"/>
      <w:lvlText w:val="■"/>
      <w:lvlJc w:val="left"/>
      <w:pPr>
        <w:ind w:left="2160" w:hanging="360"/>
      </w:pPr>
    </w:lvl>
    <w:lvl w:ilvl="3" w:tplc="A16C571E">
      <w:start w:val="1"/>
      <w:numFmt w:val="bullet"/>
      <w:lvlText w:val="●"/>
      <w:lvlJc w:val="left"/>
      <w:pPr>
        <w:ind w:left="2880" w:hanging="360"/>
      </w:pPr>
    </w:lvl>
    <w:lvl w:ilvl="4" w:tplc="7AD6C794">
      <w:start w:val="1"/>
      <w:numFmt w:val="bullet"/>
      <w:lvlText w:val="○"/>
      <w:lvlJc w:val="left"/>
      <w:pPr>
        <w:ind w:left="3600" w:hanging="360"/>
      </w:pPr>
    </w:lvl>
    <w:lvl w:ilvl="5" w:tplc="0B0E6FBE">
      <w:start w:val="1"/>
      <w:numFmt w:val="bullet"/>
      <w:lvlText w:val="■"/>
      <w:lvlJc w:val="left"/>
      <w:pPr>
        <w:ind w:left="4320" w:hanging="360"/>
      </w:pPr>
    </w:lvl>
    <w:lvl w:ilvl="6" w:tplc="57863F4C">
      <w:start w:val="1"/>
      <w:numFmt w:val="bullet"/>
      <w:lvlText w:val="●"/>
      <w:lvlJc w:val="left"/>
      <w:pPr>
        <w:ind w:left="5040" w:hanging="360"/>
      </w:pPr>
    </w:lvl>
    <w:lvl w:ilvl="7" w:tplc="A2A28B26">
      <w:start w:val="1"/>
      <w:numFmt w:val="bullet"/>
      <w:lvlText w:val="●"/>
      <w:lvlJc w:val="left"/>
      <w:pPr>
        <w:ind w:left="5760" w:hanging="360"/>
      </w:pPr>
    </w:lvl>
    <w:lvl w:ilvl="8" w:tplc="B05AD954">
      <w:start w:val="1"/>
      <w:numFmt w:val="bullet"/>
      <w:lvlText w:val="●"/>
      <w:lvlJc w:val="left"/>
      <w:pPr>
        <w:ind w:left="6480" w:hanging="360"/>
      </w:pPr>
    </w:lvl>
  </w:abstractNum>
  <w:abstractNum w:abstractNumId="1" w15:restartNumberingAfterBreak="0">
    <w:nsid w:val="6E906310"/>
    <w:multiLevelType w:val="hybridMultilevel"/>
    <w:tmpl w:val="47889F40"/>
    <w:lvl w:ilvl="0" w:tplc="061CCDE8">
      <w:start w:val="1"/>
      <w:numFmt w:val="bullet"/>
      <w:lvlText w:val="•"/>
      <w:lvlJc w:val="left"/>
      <w:pPr>
        <w:ind w:left="720" w:hanging="360"/>
      </w:pPr>
    </w:lvl>
    <w:lvl w:ilvl="1" w:tplc="BB06700C">
      <w:numFmt w:val="decimal"/>
      <w:lvlText w:val=""/>
      <w:lvlJc w:val="left"/>
    </w:lvl>
    <w:lvl w:ilvl="2" w:tplc="16DEC2E4">
      <w:numFmt w:val="decimal"/>
      <w:lvlText w:val=""/>
      <w:lvlJc w:val="left"/>
    </w:lvl>
    <w:lvl w:ilvl="3" w:tplc="5400DC24">
      <w:numFmt w:val="decimal"/>
      <w:lvlText w:val=""/>
      <w:lvlJc w:val="left"/>
    </w:lvl>
    <w:lvl w:ilvl="4" w:tplc="D1CAF07A">
      <w:numFmt w:val="decimal"/>
      <w:lvlText w:val=""/>
      <w:lvlJc w:val="left"/>
    </w:lvl>
    <w:lvl w:ilvl="5" w:tplc="4204E7A2">
      <w:numFmt w:val="decimal"/>
      <w:lvlText w:val=""/>
      <w:lvlJc w:val="left"/>
    </w:lvl>
    <w:lvl w:ilvl="6" w:tplc="DF7C5B72">
      <w:numFmt w:val="decimal"/>
      <w:lvlText w:val=""/>
      <w:lvlJc w:val="left"/>
    </w:lvl>
    <w:lvl w:ilvl="7" w:tplc="C0A89372">
      <w:numFmt w:val="decimal"/>
      <w:lvlText w:val=""/>
      <w:lvlJc w:val="left"/>
    </w:lvl>
    <w:lvl w:ilvl="8" w:tplc="1FB84EE2">
      <w:numFmt w:val="decimal"/>
      <w:lvlText w:val=""/>
      <w:lvlJc w:val="left"/>
    </w:lvl>
  </w:abstractNum>
  <w:num w:numId="1" w16cid:durableId="1527016385">
    <w:abstractNumId w:val="0"/>
    <w:lvlOverride w:ilvl="0">
      <w:startOverride w:val="1"/>
    </w:lvlOverride>
  </w:num>
  <w:num w:numId="2" w16cid:durableId="186771893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023"/>
    <w:rsid w:val="00076A7C"/>
    <w:rsid w:val="000F002F"/>
    <w:rsid w:val="00177023"/>
    <w:rsid w:val="001E48A7"/>
    <w:rsid w:val="00215CCE"/>
    <w:rsid w:val="002369E4"/>
    <w:rsid w:val="00271C27"/>
    <w:rsid w:val="0027262D"/>
    <w:rsid w:val="00284DBE"/>
    <w:rsid w:val="002F2903"/>
    <w:rsid w:val="0040234C"/>
    <w:rsid w:val="00404766"/>
    <w:rsid w:val="00483F7A"/>
    <w:rsid w:val="004A27AE"/>
    <w:rsid w:val="004C6300"/>
    <w:rsid w:val="00532912"/>
    <w:rsid w:val="00546C0A"/>
    <w:rsid w:val="00564C1F"/>
    <w:rsid w:val="00595EE0"/>
    <w:rsid w:val="006D7EE8"/>
    <w:rsid w:val="0077173F"/>
    <w:rsid w:val="007A49C3"/>
    <w:rsid w:val="00895276"/>
    <w:rsid w:val="008D2DBE"/>
    <w:rsid w:val="00900E59"/>
    <w:rsid w:val="009033AA"/>
    <w:rsid w:val="00916CC4"/>
    <w:rsid w:val="00921C52"/>
    <w:rsid w:val="00977626"/>
    <w:rsid w:val="00994DD9"/>
    <w:rsid w:val="009D466B"/>
    <w:rsid w:val="00AC021B"/>
    <w:rsid w:val="00B151C6"/>
    <w:rsid w:val="00B82D8B"/>
    <w:rsid w:val="00BF0F41"/>
    <w:rsid w:val="00D5112B"/>
    <w:rsid w:val="00DF5804"/>
    <w:rsid w:val="00E23848"/>
    <w:rsid w:val="00E41721"/>
    <w:rsid w:val="00E84CBB"/>
    <w:rsid w:val="00EC6E81"/>
    <w:rsid w:val="00F200F3"/>
    <w:rsid w:val="00F30853"/>
    <w:rsid w:val="00F524C1"/>
    <w:rsid w:val="00F60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2ECB4"/>
  <w15:docId w15:val="{E335C576-DABE-724E-88F3-7F688F919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00" w:after="100"/>
      <w:outlineLvl w:val="0"/>
    </w:pPr>
    <w:rPr>
      <w:b/>
      <w:bCs/>
      <w:color w:val="2E5F8A"/>
      <w:sz w:val="24"/>
      <w:szCs w:val="24"/>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546C0A"/>
    <w:rPr>
      <w:sz w:val="16"/>
      <w:szCs w:val="16"/>
    </w:rPr>
  </w:style>
  <w:style w:type="paragraph" w:styleId="NormalWeb">
    <w:name w:val="Normal (Web)"/>
    <w:basedOn w:val="Normal"/>
    <w:uiPriority w:val="99"/>
    <w:unhideWhenUsed/>
    <w:rsid w:val="00D5112B"/>
    <w:pPr>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51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72196">
      <w:bodyDiv w:val="1"/>
      <w:marLeft w:val="0"/>
      <w:marRight w:val="0"/>
      <w:marTop w:val="0"/>
      <w:marBottom w:val="0"/>
      <w:divBdr>
        <w:top w:val="none" w:sz="0" w:space="0" w:color="auto"/>
        <w:left w:val="none" w:sz="0" w:space="0" w:color="auto"/>
        <w:bottom w:val="none" w:sz="0" w:space="0" w:color="auto"/>
        <w:right w:val="none" w:sz="0" w:space="0" w:color="auto"/>
      </w:divBdr>
    </w:div>
    <w:div w:id="513690649">
      <w:bodyDiv w:val="1"/>
      <w:marLeft w:val="0"/>
      <w:marRight w:val="0"/>
      <w:marTop w:val="0"/>
      <w:marBottom w:val="0"/>
      <w:divBdr>
        <w:top w:val="none" w:sz="0" w:space="0" w:color="auto"/>
        <w:left w:val="none" w:sz="0" w:space="0" w:color="auto"/>
        <w:bottom w:val="none" w:sz="0" w:space="0" w:color="auto"/>
        <w:right w:val="none" w:sz="0" w:space="0" w:color="auto"/>
      </w:divBdr>
    </w:div>
    <w:div w:id="784732754">
      <w:bodyDiv w:val="1"/>
      <w:marLeft w:val="0"/>
      <w:marRight w:val="0"/>
      <w:marTop w:val="0"/>
      <w:marBottom w:val="0"/>
      <w:divBdr>
        <w:top w:val="none" w:sz="0" w:space="0" w:color="auto"/>
        <w:left w:val="none" w:sz="0" w:space="0" w:color="auto"/>
        <w:bottom w:val="none" w:sz="0" w:space="0" w:color="auto"/>
        <w:right w:val="none" w:sz="0" w:space="0" w:color="auto"/>
      </w:divBdr>
    </w:div>
    <w:div w:id="864904555">
      <w:bodyDiv w:val="1"/>
      <w:marLeft w:val="0"/>
      <w:marRight w:val="0"/>
      <w:marTop w:val="0"/>
      <w:marBottom w:val="0"/>
      <w:divBdr>
        <w:top w:val="none" w:sz="0" w:space="0" w:color="auto"/>
        <w:left w:val="none" w:sz="0" w:space="0" w:color="auto"/>
        <w:bottom w:val="none" w:sz="0" w:space="0" w:color="auto"/>
        <w:right w:val="none" w:sz="0" w:space="0" w:color="auto"/>
      </w:divBdr>
    </w:div>
    <w:div w:id="1114205058">
      <w:bodyDiv w:val="1"/>
      <w:marLeft w:val="0"/>
      <w:marRight w:val="0"/>
      <w:marTop w:val="0"/>
      <w:marBottom w:val="0"/>
      <w:divBdr>
        <w:top w:val="none" w:sz="0" w:space="0" w:color="auto"/>
        <w:left w:val="none" w:sz="0" w:space="0" w:color="auto"/>
        <w:bottom w:val="none" w:sz="0" w:space="0" w:color="auto"/>
        <w:right w:val="none" w:sz="0" w:space="0" w:color="auto"/>
      </w:divBdr>
    </w:div>
    <w:div w:id="1614897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Eleonora Vulpe</cp:lastModifiedBy>
  <cp:revision>3</cp:revision>
  <dcterms:created xsi:type="dcterms:W3CDTF">2026-09-01T12:56:00Z</dcterms:created>
  <dcterms:modified xsi:type="dcterms:W3CDTF">2026-09-01T13:07:00Z</dcterms:modified>
</cp:coreProperties>
</file>