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17.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18.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19.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20.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21.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22.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23.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24.xml" ContentType="application/vnd.openxmlformats-officedocument.drawingml.chart+xml"/>
  <Override PartName="/word/charts/style11.xml" ContentType="application/vnd.ms-office.chartstyle+xml"/>
  <Override PartName="/word/charts/colors1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CB9C2B" w14:textId="11C4C5E8" w:rsidR="00C04F5C" w:rsidRPr="00B03FD3" w:rsidRDefault="00524A55" w:rsidP="00B03FD3">
      <w:pPr>
        <w:pStyle w:val="Heading1"/>
        <w:numPr>
          <w:ilvl w:val="0"/>
          <w:numId w:val="0"/>
        </w:numPr>
        <w:spacing w:after="240" w:line="360" w:lineRule="auto"/>
        <w:ind w:left="432" w:hanging="432"/>
        <w:rPr>
          <w:rFonts w:cs="Times New Roman"/>
          <w:sz w:val="22"/>
          <w:szCs w:val="22"/>
        </w:rPr>
      </w:pPr>
      <w:r>
        <w:rPr>
          <w:rFonts w:cs="Times New Roman"/>
          <w:sz w:val="22"/>
          <w:szCs w:val="22"/>
        </w:rPr>
        <w:t>Supplementary material</w:t>
      </w:r>
      <w:r w:rsidR="00436CD9" w:rsidRPr="00524A55">
        <w:rPr>
          <w:rFonts w:cs="Times New Roman"/>
          <w:sz w:val="22"/>
          <w:szCs w:val="22"/>
        </w:rPr>
        <w:t xml:space="preserve"> </w:t>
      </w:r>
    </w:p>
    <w:p w14:paraId="76FC4D92" w14:textId="33AA1AF6" w:rsidR="00436CD9" w:rsidRPr="00187B43" w:rsidRDefault="00524A55" w:rsidP="00B03FD3">
      <w:pPr>
        <w:jc w:val="both"/>
        <w:rPr>
          <w:rFonts w:ascii="Times New Roman" w:hAnsi="Times New Roman" w:cs="Times New Roman"/>
          <w:lang w:val="en-US"/>
        </w:rPr>
      </w:pPr>
      <w:r w:rsidRPr="00187B43">
        <w:rPr>
          <w:rFonts w:ascii="Times New Roman" w:hAnsi="Times New Roman" w:cs="Times New Roman"/>
          <w:lang w:val="en-US"/>
        </w:rPr>
        <w:t>Table S.</w:t>
      </w:r>
      <w:r w:rsidR="00B03FD3">
        <w:rPr>
          <w:rFonts w:ascii="Times New Roman" w:hAnsi="Times New Roman" w:cs="Times New Roman"/>
          <w:lang w:val="en-US"/>
        </w:rPr>
        <w:t>1</w:t>
      </w:r>
      <w:r w:rsidRPr="00187B43">
        <w:rPr>
          <w:rFonts w:ascii="Times New Roman" w:hAnsi="Times New Roman" w:cs="Times New Roman"/>
          <w:lang w:val="en-US"/>
        </w:rPr>
        <w:t>, S.</w:t>
      </w:r>
      <w:r w:rsidR="00B03FD3">
        <w:rPr>
          <w:rFonts w:ascii="Times New Roman" w:hAnsi="Times New Roman" w:cs="Times New Roman"/>
          <w:lang w:val="en-US"/>
        </w:rPr>
        <w:t>2</w:t>
      </w:r>
      <w:r w:rsidRPr="00187B43">
        <w:rPr>
          <w:rFonts w:ascii="Times New Roman" w:hAnsi="Times New Roman" w:cs="Times New Roman"/>
          <w:lang w:val="en-US"/>
        </w:rPr>
        <w:t>, and S.</w:t>
      </w:r>
      <w:r w:rsidR="00B03FD3">
        <w:rPr>
          <w:rFonts w:ascii="Times New Roman" w:hAnsi="Times New Roman" w:cs="Times New Roman"/>
          <w:lang w:val="en-US"/>
        </w:rPr>
        <w:t>3</w:t>
      </w:r>
      <w:r w:rsidRPr="00187B43">
        <w:rPr>
          <w:rFonts w:ascii="Times New Roman" w:hAnsi="Times New Roman" w:cs="Times New Roman"/>
          <w:lang w:val="en-US"/>
        </w:rPr>
        <w:t xml:space="preserve"> show the assumptions related to technologies consumption and costs for vehicles in the heavy, medium, and light weight category, respectively</w:t>
      </w:r>
      <w:r w:rsidR="00B76540">
        <w:rPr>
          <w:rFonts w:ascii="Times New Roman" w:hAnsi="Times New Roman" w:cs="Times New Roman"/>
          <w:lang w:val="en-US"/>
        </w:rPr>
        <w:t xml:space="preserve">. Data </w:t>
      </w:r>
      <w:r w:rsidR="00D17271">
        <w:rPr>
          <w:rFonts w:ascii="Times New Roman" w:hAnsi="Times New Roman" w:cs="Times New Roman"/>
          <w:lang w:val="en-US"/>
        </w:rPr>
        <w:t xml:space="preserve">employed derived from internal elaborations and </w:t>
      </w:r>
      <w:r w:rsidR="00B76540">
        <w:rPr>
          <w:rFonts w:ascii="Times New Roman" w:hAnsi="Times New Roman" w:cs="Times New Roman"/>
          <w:lang w:val="en-US"/>
        </w:rPr>
        <w:t>literature sources</w:t>
      </w:r>
      <w:r w:rsidR="00B03FD3">
        <w:rPr>
          <w:rFonts w:ascii="Times New Roman" w:hAnsi="Times New Roman" w:cs="Times New Roman"/>
          <w:lang w:val="en-US"/>
        </w:rPr>
        <w:t xml:space="preserve"> </w:t>
      </w:r>
      <w:r w:rsidR="00B03FD3" w:rsidRPr="00B03FD3">
        <w:rPr>
          <w:rFonts w:ascii="Times New Roman" w:hAnsi="Times New Roman" w:cs="Times New Roman"/>
          <w:lang w:val="en-US"/>
        </w:rPr>
        <w:t>the Italian Ministry of Sustainable Infrastructure and Mobility (MSIM)</w:t>
      </w:r>
      <w:r w:rsidR="00B76540">
        <w:rPr>
          <w:rFonts w:ascii="Times New Roman" w:hAnsi="Times New Roman" w:cs="Times New Roman"/>
          <w:lang w:val="en-US"/>
        </w:rPr>
        <w:t xml:space="preserve"> </w:t>
      </w:r>
      <w:r w:rsidR="00B76540" w:rsidRPr="00187B43">
        <w:rPr>
          <w:rFonts w:ascii="Times New Roman" w:hAnsi="Times New Roman" w:cs="Times New Roman"/>
          <w:lang w:val="en-US"/>
        </w:rPr>
        <w:fldChar w:fldCharType="begin" w:fldLock="1"/>
      </w:r>
      <w:r w:rsidR="002C04B3">
        <w:rPr>
          <w:rFonts w:ascii="Times New Roman" w:hAnsi="Times New Roman" w:cs="Times New Roman"/>
          <w:lang w:val="en-US"/>
        </w:rPr>
        <w:instrText>ADDIN CSL_CITATION {"citationItems":[{"id":"ITEM-1","itemData":{"author":[{"dropping-particle":"","family":"Ministero delle infrasttrutture e della mobilità sostenibili","given":"","non-dropping-particle":"","parse-names":false,"suffix":""}],"id":"ITEM-1","issued":{"date-parts":[["2022"]]},"title":"Tabelle recanti i valori orientativi dei costi di esercizio","type":"webpage"},"uris":["http://www.mendeley.com/documents/?uuid=c78dbce6-0be1-4174-a5df-de9084b6c043","http://www.mendeley.com/documents/?uuid=c07b875f-1354-4c10-a956-37e61ed2eda2"]}],"mendeley":{"formattedCitation":"[1]","plainTextFormattedCitation":"[1]","previouslyFormattedCitation":"[2]"},"properties":{"noteIndex":0},"schema":"https://github.com/citation-style-language/schema/raw/master/csl-citation.json"}</w:instrText>
      </w:r>
      <w:r w:rsidR="00B76540" w:rsidRPr="00187B43">
        <w:rPr>
          <w:rFonts w:ascii="Times New Roman" w:hAnsi="Times New Roman" w:cs="Times New Roman"/>
          <w:lang w:val="en-US"/>
        </w:rPr>
        <w:fldChar w:fldCharType="separate"/>
      </w:r>
      <w:r w:rsidR="002C04B3" w:rsidRPr="002C04B3">
        <w:rPr>
          <w:rFonts w:ascii="Times New Roman" w:hAnsi="Times New Roman" w:cs="Times New Roman"/>
          <w:noProof/>
          <w:lang w:val="en-US"/>
        </w:rPr>
        <w:t>[1]</w:t>
      </w:r>
      <w:r w:rsidR="00B76540" w:rsidRPr="00187B43">
        <w:rPr>
          <w:rFonts w:ascii="Times New Roman" w:hAnsi="Times New Roman" w:cs="Times New Roman"/>
          <w:lang w:val="en-US"/>
        </w:rPr>
        <w:fldChar w:fldCharType="end"/>
      </w:r>
      <w:r w:rsidR="00B03FD3">
        <w:rPr>
          <w:rFonts w:ascii="Times New Roman" w:hAnsi="Times New Roman" w:cs="Times New Roman"/>
          <w:lang w:val="en-US"/>
        </w:rPr>
        <w:t xml:space="preserve">, </w:t>
      </w:r>
      <w:r w:rsidR="00B03FD3" w:rsidRPr="00B03FD3">
        <w:rPr>
          <w:rFonts w:ascii="Times New Roman" w:hAnsi="Times New Roman" w:cs="Times New Roman"/>
          <w:lang w:val="en-US"/>
        </w:rPr>
        <w:t>Giarola et al.</w:t>
      </w:r>
      <w:r w:rsidR="00B76540">
        <w:rPr>
          <w:rFonts w:ascii="Times New Roman" w:hAnsi="Times New Roman" w:cs="Times New Roman"/>
          <w:lang w:val="en-US"/>
        </w:rPr>
        <w:t xml:space="preserve"> </w:t>
      </w:r>
      <w:r w:rsidR="00B76540" w:rsidRPr="00B76540">
        <w:rPr>
          <w:rFonts w:ascii="Times New Roman" w:hAnsi="Times New Roman" w:cs="Times New Roman"/>
          <w:lang w:val="en-US"/>
        </w:rPr>
        <w:fldChar w:fldCharType="begin" w:fldLock="1"/>
      </w:r>
      <w:r w:rsidR="002C04B3">
        <w:rPr>
          <w:rFonts w:ascii="Times New Roman" w:hAnsi="Times New Roman" w:cs="Times New Roman"/>
          <w:lang w:val="en-US"/>
        </w:rPr>
        <w:instrText>ADDIN CSL_CITATION {"citationItems":[{"id":"ITEM-1","itemData":{"DOI":"10.1016/j.scitotenv.2021.146861","ISSN":"18791026","PMID":"33872899","abstract":"Harmonisation sets the ground to a solid inter-comparison of integrated assessment models. A clear and transparent harmonisation process promotes a consistent interpretation of the modelling outcomes divergences and, reducing the model variance, is instrumental to the use of integrated assessment models to support policy decision-making. Despite its crucial role for climate economic policies, the definition of a comprehensive harmonisation methodology for integrated assessment modelling remains an open challenge for the scientific community. This paper proposes a framework for a harmonisation methodology with the definition of indispensable steps and recommendations to overcome stumbling blocks in order to reduce the variance of the outcomes which depends on controllable modelling assumptions. The harmonisation approach of the PARIS REINFORCE project is presented here to layout such a framework. A decomposition analysis of the harmonisation process is shown through 6 integrated assessment models (GCAM, ICES-XPS, MUSE, E3ME, GEMINI-E3, and TIAM). Results prove the potentials of the proposed framework to reduce the model variance and present a powerful diagnostic tool to feedback on the quality of the harmonisation itself.","author":[{"dropping-particle":"","family":"Giarola","given":"Sara","non-dropping-particle":"","parse-names":false,"suffix":""},{"dropping-particle":"","family":"Mittal","given":"Shivika","non-dropping-particle":"","parse-names":false,"suffix":""},{"dropping-particle":"","family":"Vielle","given":"Marc","non-dropping-particle":"","parse-names":false,"suffix":""},{"dropping-particle":"","family":"Perdana","given":"Sigit","non-dropping-particle":"","parse-names":false,"suffix":""},{"dropping-particle":"","family":"Campagnolo","given":"Lorenza","non-dropping-particle":"","parse-names":false,"suffix":""},{"dropping-particle":"","family":"Delpiazzo","given":"Elisa","non-dropping-particle":"","parse-names":false,"suffix":""},{"dropping-particle":"","family":"Bui","given":"Ha","non-dropping-particle":"","parse-names":false,"suffix":""},{"dropping-particle":"","family":"Kraavi","given":"Annela Anger","non-dropping-particle":"","parse-names":false,"suffix":""},{"dropping-particle":"","family":"Kolpakov","given":"Andrey","non-dropping-particle":"","parse-names":false,"suffix":""},{"dropping-particle":"","family":"Sognnaes","given":"Ida","non-dropping-particle":"","parse-names":false,"suffix":""},{"dropping-particle":"","family":"Peters","given":"Glen","non-dropping-particle":"","parse-names":false,"suffix":""},{"dropping-particle":"","family":"Hawkes","given":"Adam","non-dropping-particle":"","parse-names":false,"suffix":""},{"dropping-particle":"","family":"Köberle","given":"Alexandre C.","non-dropping-particle":"","parse-names":false,"suffix":""},{"dropping-particle":"","family":"Grant","given":"Neil","non-dropping-particle":"","parse-names":false,"suffix":""},{"dropping-particle":"","family":"Gambhir","given":"Ajay","non-dropping-particle":"","parse-names":false,"suffix":""},{"dropping-particle":"","family":"Nikas","given":"Alexandros","non-dropping-particle":"","parse-names":false,"suffix":""},{"dropping-particle":"","family":"Doukas","given":"Haris","non-dropping-particle":"","parse-names":false,"suffix":""},{"dropping-particle":"","family":"Moreno","given":"Jorge","non-dropping-particle":"","parse-names":false,"suffix":""},{"dropping-particle":"","family":"Ven","given":"Dirk Jan","non-dropping-particle":"van de","parse-names":false,"suffix":""}],"container-title":"Science of the Total Environment","id":"ITEM-1","issued":{"date-parts":[["2021"]]},"title":"Challenges in the harmonisation of global integrated assessment models: A comprehensive methodology to reduce model response heterogeneity","type":"article-journal","volume":"783"},"uris":["http://www.mendeley.com/documents/?uuid=a6d39a07-5ebd-44f4-9816-f21cc9bfcc62"]}],"mendeley":{"formattedCitation":"[2]","plainTextFormattedCitation":"[2]","previouslyFormattedCitation":"[3]"},"properties":{"noteIndex":0},"schema":"https://github.com/citation-style-language/schema/raw/master/csl-citation.json"}</w:instrText>
      </w:r>
      <w:r w:rsidR="00B76540" w:rsidRPr="00B76540">
        <w:rPr>
          <w:rFonts w:ascii="Times New Roman" w:hAnsi="Times New Roman" w:cs="Times New Roman"/>
          <w:lang w:val="en-US"/>
        </w:rPr>
        <w:fldChar w:fldCharType="separate"/>
      </w:r>
      <w:r w:rsidR="002C04B3" w:rsidRPr="002C04B3">
        <w:rPr>
          <w:rFonts w:ascii="Times New Roman" w:hAnsi="Times New Roman" w:cs="Times New Roman"/>
          <w:noProof/>
          <w:lang w:val="en-US"/>
        </w:rPr>
        <w:t>[2]</w:t>
      </w:r>
      <w:r w:rsidR="00B76540" w:rsidRPr="00B76540">
        <w:rPr>
          <w:rFonts w:ascii="Times New Roman" w:hAnsi="Times New Roman" w:cs="Times New Roman"/>
          <w:lang w:val="en-US"/>
        </w:rPr>
        <w:fldChar w:fldCharType="end"/>
      </w:r>
      <w:r w:rsidR="00B03FD3">
        <w:rPr>
          <w:rFonts w:ascii="Times New Roman" w:hAnsi="Times New Roman" w:cs="Times New Roman"/>
          <w:lang w:val="en-US"/>
        </w:rPr>
        <w:t>, and Italy’s</w:t>
      </w:r>
      <w:r w:rsidR="00B03FD3" w:rsidRPr="00B03FD3">
        <w:t xml:space="preserve"> </w:t>
      </w:r>
      <w:r w:rsidR="00B03FD3" w:rsidRPr="00B03FD3">
        <w:rPr>
          <w:rFonts w:ascii="Times New Roman" w:hAnsi="Times New Roman" w:cs="Times New Roman"/>
          <w:lang w:val="en-US"/>
        </w:rPr>
        <w:t>Integrated National Energy and Climate Plan (INECP)</w:t>
      </w:r>
      <w:r w:rsidR="00B03FD3">
        <w:rPr>
          <w:rFonts w:ascii="Times New Roman" w:hAnsi="Times New Roman" w:cs="Times New Roman"/>
          <w:lang w:val="en-US"/>
        </w:rPr>
        <w:t xml:space="preserve"> </w:t>
      </w:r>
      <w:r w:rsidR="00B76540" w:rsidRPr="00B76540">
        <w:rPr>
          <w:rFonts w:ascii="Times New Roman" w:hAnsi="Times New Roman" w:cs="Times New Roman"/>
          <w:lang w:val="en-US"/>
        </w:rPr>
        <w:t xml:space="preserve"> </w:t>
      </w:r>
      <w:r w:rsidR="00B76540" w:rsidRPr="00B76540">
        <w:rPr>
          <w:rFonts w:ascii="Times New Roman" w:hAnsi="Times New Roman" w:cs="Times New Roman"/>
          <w:lang w:val="en-US"/>
        </w:rPr>
        <w:fldChar w:fldCharType="begin" w:fldLock="1"/>
      </w:r>
      <w:r w:rsidR="002C04B3">
        <w:rPr>
          <w:rFonts w:ascii="Times New Roman" w:hAnsi="Times New Roman" w:cs="Times New Roman"/>
          <w:lang w:val="en-US"/>
        </w:rPr>
        <w:instrText>ADDIN CSL_CITATION {"citationItems":[{"id":"ITEM-1","itemData":{"author":[{"dropping-particle":"","family":"Ministry of Economic Development","given":"Ministry of the Environment and Protection of Natural Resources and the Sea and Ministry of Infrastructure and Transport","non-dropping-particle":"","parse-names":false,"suffix":""}],"id":"ITEM-1","issue":"December","issued":{"date-parts":[["2019"]]},"title":"INTEGRATED NATIONAL ENERGY AND CLIMATE PLAN","type":"article-journal"},"uris":["http://www.mendeley.com/documents/?uuid=d54a07a1-e890-4466-887f-f5a283ccae32","http://www.mendeley.com/documents/?uuid=d7a97139-9386-4d6c-98f2-f217b6b2b372"]}],"mendeley":{"formattedCitation":"[3]","plainTextFormattedCitation":"[3]","previouslyFormattedCitation":"[4]"},"properties":{"noteIndex":0},"schema":"https://github.com/citation-style-language/schema/raw/master/csl-citation.json"}</w:instrText>
      </w:r>
      <w:r w:rsidR="00B76540" w:rsidRPr="00B76540">
        <w:rPr>
          <w:rFonts w:ascii="Times New Roman" w:hAnsi="Times New Roman" w:cs="Times New Roman"/>
          <w:lang w:val="en-US"/>
        </w:rPr>
        <w:fldChar w:fldCharType="separate"/>
      </w:r>
      <w:r w:rsidR="002C04B3" w:rsidRPr="002C04B3">
        <w:rPr>
          <w:rFonts w:ascii="Times New Roman" w:hAnsi="Times New Roman" w:cs="Times New Roman"/>
          <w:noProof/>
          <w:lang w:val="en-US"/>
        </w:rPr>
        <w:t>[3]</w:t>
      </w:r>
      <w:r w:rsidR="00B76540" w:rsidRPr="00B76540">
        <w:rPr>
          <w:rFonts w:ascii="Times New Roman" w:hAnsi="Times New Roman" w:cs="Times New Roman"/>
          <w:lang w:val="en-US"/>
        </w:rPr>
        <w:fldChar w:fldCharType="end"/>
      </w:r>
      <w:r w:rsidRPr="00187B43">
        <w:rPr>
          <w:rFonts w:ascii="Times New Roman" w:hAnsi="Times New Roman" w:cs="Times New Roman"/>
          <w:lang w:val="en-US"/>
        </w:rPr>
        <w:t>.</w:t>
      </w:r>
    </w:p>
    <w:p w14:paraId="4058B7BB" w14:textId="4DA0A48F" w:rsidR="00FB1CB5" w:rsidRPr="000C35B6" w:rsidRDefault="000C35B6" w:rsidP="000C35B6">
      <w:pPr>
        <w:pStyle w:val="Caption"/>
        <w:rPr>
          <w:rFonts w:cs="Times New Roman"/>
          <w:lang w:val="en-US"/>
        </w:rPr>
      </w:pPr>
      <w:proofErr w:type="spellStart"/>
      <w:r>
        <w:t>Table</w:t>
      </w:r>
      <w:proofErr w:type="spellEnd"/>
      <w:r>
        <w:t xml:space="preserve"> S. </w:t>
      </w:r>
      <w:fldSimple w:instr=" SEQ Table_S. \* ARABIC ">
        <w:r>
          <w:rPr>
            <w:noProof/>
          </w:rPr>
          <w:t>1</w:t>
        </w:r>
      </w:fldSimple>
      <w:r w:rsidR="00922D57" w:rsidRPr="00B03FD3">
        <w:rPr>
          <w:rFonts w:cs="Times New Roman"/>
          <w:i w:val="0"/>
          <w:sz w:val="22"/>
          <w:szCs w:val="22"/>
          <w:lang w:val="en-US"/>
        </w:rPr>
        <w:t>.</w:t>
      </w:r>
      <w:r w:rsidR="00FB1CB5" w:rsidRPr="00B03FD3">
        <w:rPr>
          <w:rFonts w:cs="Times New Roman"/>
          <w:i w:val="0"/>
          <w:color w:val="000000" w:themeColor="text1"/>
          <w:sz w:val="22"/>
          <w:szCs w:val="22"/>
          <w:lang w:val="en-US"/>
        </w:rPr>
        <w:t xml:space="preserve"> </w:t>
      </w:r>
      <w:r w:rsidR="00FB1CB5" w:rsidRPr="000C35B6">
        <w:rPr>
          <w:rFonts w:cs="Times New Roman"/>
          <w:lang w:val="en-US"/>
        </w:rPr>
        <w:t>Assumptions related to technologies consumption and costs</w:t>
      </w:r>
      <w:r w:rsidR="00524A55" w:rsidRPr="000C35B6">
        <w:rPr>
          <w:rFonts w:cs="Times New Roman"/>
          <w:lang w:val="en-US"/>
        </w:rPr>
        <w:t xml:space="preserve"> for vehicles in</w:t>
      </w:r>
      <w:r w:rsidR="00FB1CB5" w:rsidRPr="000C35B6">
        <w:rPr>
          <w:rFonts w:cs="Times New Roman"/>
          <w:lang w:val="en-US"/>
        </w:rPr>
        <w:t xml:space="preserve"> heavy weight category.</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25"/>
        <w:gridCol w:w="1926"/>
        <w:gridCol w:w="1925"/>
        <w:gridCol w:w="1926"/>
        <w:gridCol w:w="1926"/>
      </w:tblGrid>
      <w:tr w:rsidR="00FB1CB5" w:rsidRPr="00524A55" w14:paraId="719383F4" w14:textId="77777777" w:rsidTr="00FB1CB5">
        <w:trPr>
          <w:trHeight w:val="300"/>
        </w:trPr>
        <w:tc>
          <w:tcPr>
            <w:tcW w:w="1925" w:type="dxa"/>
            <w:vMerge w:val="restart"/>
            <w:tcBorders>
              <w:top w:val="single" w:sz="4" w:space="0" w:color="auto"/>
              <w:bottom w:val="nil"/>
            </w:tcBorders>
            <w:noWrap/>
            <w:vAlign w:val="center"/>
            <w:hideMark/>
          </w:tcPr>
          <w:p w14:paraId="268D4B0A" w14:textId="77777777" w:rsidR="00FB1CB5" w:rsidRPr="00524A55" w:rsidRDefault="00FB1CB5" w:rsidP="00D47D53">
            <w:pPr>
              <w:jc w:val="center"/>
              <w:rPr>
                <w:rFonts w:ascii="Times New Roman" w:hAnsi="Times New Roman" w:cs="Times New Roman"/>
                <w:b/>
              </w:rPr>
            </w:pPr>
            <w:r w:rsidRPr="00524A55">
              <w:rPr>
                <w:rFonts w:ascii="Times New Roman" w:hAnsi="Times New Roman" w:cs="Times New Roman"/>
                <w:b/>
              </w:rPr>
              <w:t>Year</w:t>
            </w:r>
          </w:p>
        </w:tc>
        <w:tc>
          <w:tcPr>
            <w:tcW w:w="1926" w:type="dxa"/>
            <w:vMerge w:val="restart"/>
            <w:tcBorders>
              <w:top w:val="single" w:sz="4" w:space="0" w:color="auto"/>
              <w:bottom w:val="nil"/>
            </w:tcBorders>
            <w:vAlign w:val="center"/>
          </w:tcPr>
          <w:p w14:paraId="15848AC3" w14:textId="77777777" w:rsidR="00FB1CB5" w:rsidRPr="00524A55" w:rsidRDefault="00FB1CB5" w:rsidP="00D47D53">
            <w:pPr>
              <w:jc w:val="center"/>
              <w:rPr>
                <w:rFonts w:ascii="Times New Roman" w:hAnsi="Times New Roman" w:cs="Times New Roman"/>
                <w:b/>
              </w:rPr>
            </w:pPr>
            <w:r w:rsidRPr="00524A55">
              <w:rPr>
                <w:rFonts w:ascii="Times New Roman" w:hAnsi="Times New Roman" w:cs="Times New Roman"/>
                <w:b/>
              </w:rPr>
              <w:t>Technology</w:t>
            </w:r>
          </w:p>
        </w:tc>
        <w:tc>
          <w:tcPr>
            <w:tcW w:w="1925" w:type="dxa"/>
            <w:tcBorders>
              <w:top w:val="single" w:sz="4" w:space="0" w:color="auto"/>
              <w:bottom w:val="nil"/>
            </w:tcBorders>
            <w:noWrap/>
            <w:vAlign w:val="center"/>
            <w:hideMark/>
          </w:tcPr>
          <w:p w14:paraId="18CC234C" w14:textId="77777777" w:rsidR="00FB1CB5" w:rsidRPr="00524A55" w:rsidRDefault="00FB1CB5" w:rsidP="00D47D53">
            <w:pPr>
              <w:jc w:val="center"/>
              <w:rPr>
                <w:rFonts w:ascii="Times New Roman" w:hAnsi="Times New Roman" w:cs="Times New Roman"/>
                <w:b/>
                <w:lang w:val="en-US"/>
              </w:rPr>
            </w:pPr>
            <w:r w:rsidRPr="00524A55">
              <w:rPr>
                <w:rFonts w:ascii="Times New Roman" w:hAnsi="Times New Roman" w:cs="Times New Roman"/>
                <w:b/>
              </w:rPr>
              <w:t>Consumption</w:t>
            </w:r>
          </w:p>
        </w:tc>
        <w:tc>
          <w:tcPr>
            <w:tcW w:w="1926" w:type="dxa"/>
            <w:tcBorders>
              <w:top w:val="single" w:sz="4" w:space="0" w:color="auto"/>
              <w:bottom w:val="nil"/>
            </w:tcBorders>
            <w:noWrap/>
            <w:vAlign w:val="center"/>
            <w:hideMark/>
          </w:tcPr>
          <w:p w14:paraId="6A72E6E2" w14:textId="77777777" w:rsidR="00FB1CB5" w:rsidRPr="00524A55" w:rsidRDefault="00FB1CB5" w:rsidP="00D47D53">
            <w:pPr>
              <w:jc w:val="center"/>
              <w:rPr>
                <w:rFonts w:ascii="Times New Roman" w:hAnsi="Times New Roman" w:cs="Times New Roman"/>
                <w:b/>
                <w:lang w:val="en-US"/>
              </w:rPr>
            </w:pPr>
            <w:r w:rsidRPr="00524A55">
              <w:rPr>
                <w:rFonts w:ascii="Times New Roman" w:hAnsi="Times New Roman" w:cs="Times New Roman"/>
                <w:b/>
                <w:color w:val="000000" w:themeColor="text1"/>
                <w:lang w:val="en-GB"/>
              </w:rPr>
              <w:t xml:space="preserve">Purchase price </w:t>
            </w:r>
          </w:p>
        </w:tc>
        <w:tc>
          <w:tcPr>
            <w:tcW w:w="1926" w:type="dxa"/>
            <w:tcBorders>
              <w:top w:val="single" w:sz="4" w:space="0" w:color="auto"/>
              <w:bottom w:val="nil"/>
            </w:tcBorders>
            <w:noWrap/>
            <w:vAlign w:val="center"/>
            <w:hideMark/>
          </w:tcPr>
          <w:p w14:paraId="551068DB" w14:textId="77777777" w:rsidR="00FB1CB5" w:rsidRPr="00524A55" w:rsidRDefault="00FB1CB5" w:rsidP="00D47D53">
            <w:pPr>
              <w:jc w:val="center"/>
              <w:rPr>
                <w:rFonts w:ascii="Times New Roman" w:hAnsi="Times New Roman" w:cs="Times New Roman"/>
                <w:b/>
              </w:rPr>
            </w:pPr>
            <w:r w:rsidRPr="00524A55">
              <w:rPr>
                <w:rFonts w:ascii="Times New Roman" w:hAnsi="Times New Roman" w:cs="Times New Roman"/>
                <w:b/>
                <w:color w:val="000000" w:themeColor="text1"/>
                <w:lang w:val="en-GB"/>
              </w:rPr>
              <w:t>Fixed annual costs</w:t>
            </w:r>
          </w:p>
        </w:tc>
      </w:tr>
      <w:tr w:rsidR="00FB1CB5" w:rsidRPr="00187B43" w14:paraId="1487C696" w14:textId="77777777" w:rsidTr="00FB1CB5">
        <w:trPr>
          <w:trHeight w:val="886"/>
        </w:trPr>
        <w:tc>
          <w:tcPr>
            <w:tcW w:w="1925" w:type="dxa"/>
            <w:vMerge/>
            <w:tcBorders>
              <w:top w:val="nil"/>
              <w:bottom w:val="single" w:sz="4" w:space="0" w:color="auto"/>
            </w:tcBorders>
            <w:noWrap/>
            <w:vAlign w:val="center"/>
            <w:hideMark/>
          </w:tcPr>
          <w:p w14:paraId="433A2525" w14:textId="77777777" w:rsidR="00FB1CB5" w:rsidRPr="00524A55" w:rsidRDefault="00FB1CB5" w:rsidP="00D47D53">
            <w:pPr>
              <w:jc w:val="center"/>
              <w:rPr>
                <w:rFonts w:ascii="Times New Roman" w:hAnsi="Times New Roman" w:cs="Times New Roman"/>
                <w:b/>
              </w:rPr>
            </w:pPr>
          </w:p>
        </w:tc>
        <w:tc>
          <w:tcPr>
            <w:tcW w:w="1926" w:type="dxa"/>
            <w:vMerge/>
            <w:tcBorders>
              <w:top w:val="nil"/>
              <w:bottom w:val="single" w:sz="4" w:space="0" w:color="auto"/>
            </w:tcBorders>
            <w:noWrap/>
            <w:vAlign w:val="center"/>
            <w:hideMark/>
          </w:tcPr>
          <w:p w14:paraId="28AFDFDF" w14:textId="77777777" w:rsidR="00FB1CB5" w:rsidRPr="00524A55" w:rsidRDefault="00FB1CB5" w:rsidP="00D47D53">
            <w:pPr>
              <w:jc w:val="center"/>
              <w:rPr>
                <w:rFonts w:ascii="Times New Roman" w:hAnsi="Times New Roman" w:cs="Times New Roman"/>
                <w:b/>
              </w:rPr>
            </w:pPr>
          </w:p>
        </w:tc>
        <w:tc>
          <w:tcPr>
            <w:tcW w:w="1925" w:type="dxa"/>
            <w:tcBorders>
              <w:top w:val="nil"/>
              <w:bottom w:val="single" w:sz="4" w:space="0" w:color="auto"/>
            </w:tcBorders>
            <w:noWrap/>
            <w:vAlign w:val="center"/>
            <w:hideMark/>
          </w:tcPr>
          <w:p w14:paraId="7E2C4945" w14:textId="77777777" w:rsidR="00FB1CB5" w:rsidRPr="00524A55" w:rsidRDefault="00000000" w:rsidP="00D47D53">
            <w:pPr>
              <w:jc w:val="center"/>
              <w:rPr>
                <w:rFonts w:ascii="Times New Roman" w:hAnsi="Times New Roman" w:cs="Times New Roman"/>
                <w:b/>
                <w:lang w:val="en-US"/>
              </w:rPr>
            </w:pPr>
            <m:oMathPara>
              <m:oMath>
                <m:d>
                  <m:dPr>
                    <m:begChr m:val="["/>
                    <m:endChr m:val="]"/>
                    <m:ctrlPr>
                      <w:rPr>
                        <w:rFonts w:ascii="Cambria Math" w:hAnsi="Cambria Math" w:cs="Times New Roman"/>
                        <w:b/>
                        <w:i/>
                      </w:rPr>
                    </m:ctrlPr>
                  </m:dPr>
                  <m:e>
                    <m:f>
                      <m:fPr>
                        <m:ctrlPr>
                          <w:rPr>
                            <w:rFonts w:ascii="Cambria Math" w:hAnsi="Cambria Math" w:cs="Times New Roman"/>
                            <w:b/>
                            <w:i/>
                          </w:rPr>
                        </m:ctrlPr>
                      </m:fPr>
                      <m:num>
                        <m:r>
                          <m:rPr>
                            <m:sty m:val="b"/>
                          </m:rPr>
                          <w:rPr>
                            <w:rFonts w:ascii="Cambria Math" w:hAnsi="Cambria Math" w:cs="Times New Roman"/>
                            <w:lang w:val="en-US"/>
                          </w:rPr>
                          <m:t>kJ</m:t>
                        </m:r>
                      </m:num>
                      <m:den>
                        <m:r>
                          <m:rPr>
                            <m:sty m:val="b"/>
                          </m:rPr>
                          <w:rPr>
                            <w:rFonts w:ascii="Cambria Math" w:hAnsi="Cambria Math" w:cs="Times New Roman"/>
                            <w:lang w:val="en-US"/>
                          </w:rPr>
                          <m:t>t-km</m:t>
                        </m:r>
                      </m:den>
                    </m:f>
                  </m:e>
                </m:d>
              </m:oMath>
            </m:oMathPara>
          </w:p>
        </w:tc>
        <w:tc>
          <w:tcPr>
            <w:tcW w:w="1926" w:type="dxa"/>
            <w:tcBorders>
              <w:top w:val="nil"/>
              <w:bottom w:val="single" w:sz="4" w:space="0" w:color="auto"/>
            </w:tcBorders>
            <w:noWrap/>
            <w:vAlign w:val="center"/>
            <w:hideMark/>
          </w:tcPr>
          <w:p w14:paraId="0403E56A" w14:textId="77777777" w:rsidR="00FB1CB5" w:rsidRPr="00524A55" w:rsidRDefault="00000000" w:rsidP="00D47D53">
            <w:pPr>
              <w:jc w:val="center"/>
              <w:rPr>
                <w:rFonts w:ascii="Times New Roman" w:hAnsi="Times New Roman" w:cs="Times New Roman"/>
                <w:b/>
                <w:lang w:val="en-US"/>
              </w:rPr>
            </w:pPr>
            <m:oMath>
              <m:d>
                <m:dPr>
                  <m:begChr m:val="["/>
                  <m:endChr m:val="]"/>
                  <m:ctrlPr>
                    <w:rPr>
                      <w:rFonts w:ascii="Cambria Math" w:hAnsi="Cambria Math" w:cs="Times New Roman"/>
                      <w:b/>
                      <w:i/>
                    </w:rPr>
                  </m:ctrlPr>
                </m:dPr>
                <m:e>
                  <m:f>
                    <m:fPr>
                      <m:ctrlPr>
                        <w:rPr>
                          <w:rFonts w:ascii="Cambria Math" w:hAnsi="Cambria Math" w:cs="Times New Roman"/>
                          <w:b/>
                          <w:i/>
                        </w:rPr>
                      </m:ctrlPr>
                    </m:fPr>
                    <m:num>
                      <m:r>
                        <m:rPr>
                          <m:sty m:val="b"/>
                        </m:rPr>
                        <w:rPr>
                          <w:rFonts w:ascii="Cambria Math" w:hAnsi="Cambria Math" w:cs="Times New Roman"/>
                        </w:rPr>
                        <m:t>Million</m:t>
                      </m:r>
                      <m:r>
                        <m:rPr>
                          <m:sty m:val="b"/>
                        </m:rPr>
                        <w:rPr>
                          <w:rFonts w:ascii="Cambria Math" w:hAnsi="Cambria Math" w:cs="Times New Roman"/>
                          <w:lang w:val="en-US"/>
                        </w:rPr>
                        <m:t xml:space="preserve"> </m:t>
                      </m:r>
                      <m:r>
                        <m:rPr>
                          <m:sty m:val="b"/>
                        </m:rPr>
                        <w:rPr>
                          <w:rFonts w:ascii="Cambria Math" w:hAnsi="Cambria Math" w:cs="Times New Roman"/>
                        </w:rPr>
                        <m:t>2010</m:t>
                      </m:r>
                      <m:r>
                        <m:rPr>
                          <m:sty m:val="b"/>
                        </m:rPr>
                        <w:rPr>
                          <w:rFonts w:ascii="Cambria Math" w:hAnsi="Cambria Math" w:cs="Times New Roman"/>
                          <w:lang w:val="en-US"/>
                        </w:rPr>
                        <m:t xml:space="preserve"> </m:t>
                      </m:r>
                      <m:r>
                        <m:rPr>
                          <m:sty m:val="b"/>
                        </m:rPr>
                        <w:rPr>
                          <w:rFonts w:ascii="Cambria Math" w:hAnsi="Cambria Math" w:cs="Times New Roman"/>
                        </w:rPr>
                        <m:t>USD</m:t>
                      </m:r>
                    </m:num>
                    <m:den>
                      <m:r>
                        <m:rPr>
                          <m:sty m:val="b"/>
                        </m:rPr>
                        <w:rPr>
                          <w:rFonts w:ascii="Cambria Math" w:hAnsi="Cambria Math" w:cs="Times New Roman"/>
                        </w:rPr>
                        <m:t>billion</m:t>
                      </m:r>
                      <m:r>
                        <m:rPr>
                          <m:sty m:val="b"/>
                        </m:rPr>
                        <w:rPr>
                          <w:rFonts w:ascii="Cambria Math" w:hAnsi="Cambria Math" w:cs="Times New Roman"/>
                          <w:lang w:val="en-US"/>
                        </w:rPr>
                        <m:t xml:space="preserve"> </m:t>
                      </m:r>
                      <m:r>
                        <m:rPr>
                          <m:sty m:val="b"/>
                        </m:rPr>
                        <w:rPr>
                          <w:rFonts w:ascii="Cambria Math" w:hAnsi="Cambria Math" w:cs="Times New Roman"/>
                        </w:rPr>
                        <m:t>t</m:t>
                      </m:r>
                      <m:r>
                        <m:rPr>
                          <m:sty m:val="b"/>
                        </m:rPr>
                        <w:rPr>
                          <w:rFonts w:ascii="Cambria Math" w:hAnsi="Cambria Math" w:cs="Times New Roman"/>
                          <w:lang w:val="en-US"/>
                        </w:rPr>
                        <m:t>-</m:t>
                      </m:r>
                      <m:r>
                        <m:rPr>
                          <m:sty m:val="b"/>
                        </m:rPr>
                        <w:rPr>
                          <w:rFonts w:ascii="Cambria Math" w:hAnsi="Cambria Math" w:cs="Times New Roman"/>
                        </w:rPr>
                        <m:t>km</m:t>
                      </m:r>
                    </m:den>
                  </m:f>
                </m:e>
              </m:d>
            </m:oMath>
            <w:r w:rsidR="00FB1CB5" w:rsidRPr="00524A55">
              <w:rPr>
                <w:rFonts w:ascii="Times New Roman" w:hAnsi="Times New Roman" w:cs="Times New Roman"/>
                <w:b/>
                <w:lang w:val="en-US"/>
              </w:rPr>
              <w:t xml:space="preserve"> </w:t>
            </w:r>
          </w:p>
        </w:tc>
        <w:tc>
          <w:tcPr>
            <w:tcW w:w="1926" w:type="dxa"/>
            <w:tcBorders>
              <w:top w:val="nil"/>
              <w:bottom w:val="single" w:sz="4" w:space="0" w:color="auto"/>
            </w:tcBorders>
            <w:noWrap/>
            <w:vAlign w:val="center"/>
            <w:hideMark/>
          </w:tcPr>
          <w:p w14:paraId="2484C50A" w14:textId="77777777" w:rsidR="00FB1CB5" w:rsidRPr="00524A55" w:rsidRDefault="00000000" w:rsidP="00D47D53">
            <w:pPr>
              <w:jc w:val="center"/>
              <w:rPr>
                <w:rFonts w:ascii="Times New Roman" w:hAnsi="Times New Roman" w:cs="Times New Roman"/>
                <w:b/>
                <w:lang w:val="en-US"/>
              </w:rPr>
            </w:pPr>
            <m:oMath>
              <m:d>
                <m:dPr>
                  <m:begChr m:val="["/>
                  <m:endChr m:val="]"/>
                  <m:ctrlPr>
                    <w:rPr>
                      <w:rFonts w:ascii="Cambria Math" w:hAnsi="Cambria Math" w:cs="Times New Roman"/>
                      <w:b/>
                      <w:i/>
                    </w:rPr>
                  </m:ctrlPr>
                </m:dPr>
                <m:e>
                  <m:f>
                    <m:fPr>
                      <m:ctrlPr>
                        <w:rPr>
                          <w:rFonts w:ascii="Cambria Math" w:hAnsi="Cambria Math" w:cs="Times New Roman"/>
                          <w:b/>
                          <w:i/>
                        </w:rPr>
                      </m:ctrlPr>
                    </m:fPr>
                    <m:num>
                      <m:r>
                        <m:rPr>
                          <m:sty m:val="b"/>
                        </m:rPr>
                        <w:rPr>
                          <w:rFonts w:ascii="Cambria Math" w:hAnsi="Cambria Math" w:cs="Times New Roman"/>
                          <w:lang w:val="en-US"/>
                        </w:rPr>
                        <m:t>Million 2010 USD</m:t>
                      </m:r>
                    </m:num>
                    <m:den>
                      <m:r>
                        <m:rPr>
                          <m:sty m:val="b"/>
                        </m:rPr>
                        <w:rPr>
                          <w:rFonts w:ascii="Cambria Math" w:hAnsi="Cambria Math" w:cs="Times New Roman"/>
                          <w:lang w:val="en-US"/>
                        </w:rPr>
                        <m:t>billion t-km</m:t>
                      </m:r>
                    </m:den>
                  </m:f>
                </m:e>
              </m:d>
            </m:oMath>
            <w:r w:rsidR="00FB1CB5" w:rsidRPr="00524A55">
              <w:rPr>
                <w:rFonts w:ascii="Times New Roman" w:hAnsi="Times New Roman" w:cs="Times New Roman"/>
                <w:b/>
                <w:lang w:val="en-US"/>
              </w:rPr>
              <w:t xml:space="preserve"> </w:t>
            </w:r>
          </w:p>
        </w:tc>
      </w:tr>
      <w:tr w:rsidR="00DB77F8" w:rsidRPr="00524A55" w14:paraId="0CA4B415" w14:textId="77777777" w:rsidTr="00FB1CB5">
        <w:trPr>
          <w:trHeight w:val="300"/>
        </w:trPr>
        <w:tc>
          <w:tcPr>
            <w:tcW w:w="1925" w:type="dxa"/>
            <w:tcBorders>
              <w:top w:val="single" w:sz="4" w:space="0" w:color="auto"/>
            </w:tcBorders>
            <w:noWrap/>
            <w:vAlign w:val="center"/>
            <w:hideMark/>
          </w:tcPr>
          <w:p w14:paraId="37DA1394"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2020</w:t>
            </w:r>
          </w:p>
        </w:tc>
        <w:tc>
          <w:tcPr>
            <w:tcW w:w="1926" w:type="dxa"/>
            <w:tcBorders>
              <w:top w:val="single" w:sz="4" w:space="0" w:color="auto"/>
            </w:tcBorders>
            <w:noWrap/>
            <w:vAlign w:val="center"/>
            <w:hideMark/>
          </w:tcPr>
          <w:p w14:paraId="442DD940"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Diesel ME</w:t>
            </w:r>
          </w:p>
        </w:tc>
        <w:tc>
          <w:tcPr>
            <w:tcW w:w="1925" w:type="dxa"/>
            <w:tcBorders>
              <w:top w:val="single" w:sz="4" w:space="0" w:color="auto"/>
            </w:tcBorders>
            <w:noWrap/>
            <w:vAlign w:val="center"/>
            <w:hideMark/>
          </w:tcPr>
          <w:p w14:paraId="2DF446D7"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702.7</w:t>
            </w:r>
          </w:p>
        </w:tc>
        <w:tc>
          <w:tcPr>
            <w:tcW w:w="1926" w:type="dxa"/>
            <w:tcBorders>
              <w:top w:val="single" w:sz="4" w:space="0" w:color="auto"/>
            </w:tcBorders>
            <w:noWrap/>
            <w:vAlign w:val="center"/>
            <w:hideMark/>
          </w:tcPr>
          <w:p w14:paraId="0F4E70BD"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183.8</w:t>
            </w:r>
          </w:p>
        </w:tc>
        <w:tc>
          <w:tcPr>
            <w:tcW w:w="1926" w:type="dxa"/>
            <w:tcBorders>
              <w:top w:val="single" w:sz="4" w:space="0" w:color="auto"/>
            </w:tcBorders>
            <w:noWrap/>
            <w:vAlign w:val="center"/>
            <w:hideMark/>
          </w:tcPr>
          <w:p w14:paraId="4F47B2D7"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12.5</w:t>
            </w:r>
          </w:p>
        </w:tc>
      </w:tr>
      <w:tr w:rsidR="00DB77F8" w:rsidRPr="00524A55" w14:paraId="41D532A9" w14:textId="77777777" w:rsidTr="00FB1CB5">
        <w:trPr>
          <w:trHeight w:val="300"/>
        </w:trPr>
        <w:tc>
          <w:tcPr>
            <w:tcW w:w="1925" w:type="dxa"/>
            <w:noWrap/>
            <w:vAlign w:val="center"/>
            <w:hideMark/>
          </w:tcPr>
          <w:p w14:paraId="259D322B"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2030</w:t>
            </w:r>
          </w:p>
        </w:tc>
        <w:tc>
          <w:tcPr>
            <w:tcW w:w="1926" w:type="dxa"/>
            <w:noWrap/>
            <w:vAlign w:val="center"/>
            <w:hideMark/>
          </w:tcPr>
          <w:p w14:paraId="1A9A595D"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Diesel ME</w:t>
            </w:r>
          </w:p>
        </w:tc>
        <w:tc>
          <w:tcPr>
            <w:tcW w:w="1925" w:type="dxa"/>
            <w:noWrap/>
            <w:vAlign w:val="center"/>
            <w:hideMark/>
          </w:tcPr>
          <w:p w14:paraId="2E63120A"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659.7</w:t>
            </w:r>
          </w:p>
        </w:tc>
        <w:tc>
          <w:tcPr>
            <w:tcW w:w="1926" w:type="dxa"/>
            <w:noWrap/>
            <w:vAlign w:val="center"/>
            <w:hideMark/>
          </w:tcPr>
          <w:p w14:paraId="29B7C786"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183.8</w:t>
            </w:r>
          </w:p>
        </w:tc>
        <w:tc>
          <w:tcPr>
            <w:tcW w:w="1926" w:type="dxa"/>
            <w:noWrap/>
            <w:vAlign w:val="center"/>
            <w:hideMark/>
          </w:tcPr>
          <w:p w14:paraId="0A6E3ADF"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12.6</w:t>
            </w:r>
          </w:p>
        </w:tc>
      </w:tr>
      <w:tr w:rsidR="00DB77F8" w:rsidRPr="00524A55" w14:paraId="0F551903" w14:textId="77777777" w:rsidTr="00FB1CB5">
        <w:trPr>
          <w:trHeight w:val="300"/>
        </w:trPr>
        <w:tc>
          <w:tcPr>
            <w:tcW w:w="1925" w:type="dxa"/>
            <w:noWrap/>
            <w:vAlign w:val="center"/>
            <w:hideMark/>
          </w:tcPr>
          <w:p w14:paraId="2B055955"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2040</w:t>
            </w:r>
          </w:p>
        </w:tc>
        <w:tc>
          <w:tcPr>
            <w:tcW w:w="1926" w:type="dxa"/>
            <w:noWrap/>
            <w:vAlign w:val="center"/>
            <w:hideMark/>
          </w:tcPr>
          <w:p w14:paraId="0740E6DA"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Diesel ME</w:t>
            </w:r>
          </w:p>
        </w:tc>
        <w:tc>
          <w:tcPr>
            <w:tcW w:w="1925" w:type="dxa"/>
            <w:noWrap/>
            <w:vAlign w:val="center"/>
            <w:hideMark/>
          </w:tcPr>
          <w:p w14:paraId="5FE4EBEC"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621.6</w:t>
            </w:r>
          </w:p>
        </w:tc>
        <w:tc>
          <w:tcPr>
            <w:tcW w:w="1926" w:type="dxa"/>
            <w:noWrap/>
            <w:vAlign w:val="center"/>
            <w:hideMark/>
          </w:tcPr>
          <w:p w14:paraId="6C3B9572"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183.8</w:t>
            </w:r>
          </w:p>
        </w:tc>
        <w:tc>
          <w:tcPr>
            <w:tcW w:w="1926" w:type="dxa"/>
            <w:noWrap/>
            <w:vAlign w:val="center"/>
            <w:hideMark/>
          </w:tcPr>
          <w:p w14:paraId="44E13904"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12.6</w:t>
            </w:r>
          </w:p>
        </w:tc>
      </w:tr>
      <w:tr w:rsidR="00DB77F8" w:rsidRPr="00524A55" w14:paraId="7A4EC80F" w14:textId="77777777" w:rsidTr="00FB1CB5">
        <w:trPr>
          <w:trHeight w:val="300"/>
        </w:trPr>
        <w:tc>
          <w:tcPr>
            <w:tcW w:w="1925" w:type="dxa"/>
            <w:noWrap/>
            <w:vAlign w:val="center"/>
            <w:hideMark/>
          </w:tcPr>
          <w:p w14:paraId="4EAD314D"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2050</w:t>
            </w:r>
          </w:p>
        </w:tc>
        <w:tc>
          <w:tcPr>
            <w:tcW w:w="1926" w:type="dxa"/>
            <w:noWrap/>
            <w:vAlign w:val="center"/>
            <w:hideMark/>
          </w:tcPr>
          <w:p w14:paraId="65492D10"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Diesel ME</w:t>
            </w:r>
          </w:p>
        </w:tc>
        <w:tc>
          <w:tcPr>
            <w:tcW w:w="1925" w:type="dxa"/>
            <w:noWrap/>
            <w:vAlign w:val="center"/>
            <w:hideMark/>
          </w:tcPr>
          <w:p w14:paraId="4352B3B3"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587.7</w:t>
            </w:r>
          </w:p>
        </w:tc>
        <w:tc>
          <w:tcPr>
            <w:tcW w:w="1926" w:type="dxa"/>
            <w:noWrap/>
            <w:vAlign w:val="center"/>
            <w:hideMark/>
          </w:tcPr>
          <w:p w14:paraId="56C4C1A7"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183.8</w:t>
            </w:r>
          </w:p>
        </w:tc>
        <w:tc>
          <w:tcPr>
            <w:tcW w:w="1926" w:type="dxa"/>
            <w:noWrap/>
            <w:vAlign w:val="center"/>
            <w:hideMark/>
          </w:tcPr>
          <w:p w14:paraId="55460586"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12.6</w:t>
            </w:r>
          </w:p>
        </w:tc>
      </w:tr>
      <w:tr w:rsidR="00DB77F8" w:rsidRPr="00524A55" w14:paraId="64765DD7" w14:textId="77777777" w:rsidTr="00FB1CB5">
        <w:trPr>
          <w:trHeight w:val="300"/>
        </w:trPr>
        <w:tc>
          <w:tcPr>
            <w:tcW w:w="1925" w:type="dxa"/>
            <w:noWrap/>
            <w:vAlign w:val="center"/>
            <w:hideMark/>
          </w:tcPr>
          <w:p w14:paraId="3B5DD43F"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2020</w:t>
            </w:r>
          </w:p>
        </w:tc>
        <w:tc>
          <w:tcPr>
            <w:tcW w:w="1926" w:type="dxa"/>
            <w:noWrap/>
            <w:vAlign w:val="center"/>
            <w:hideMark/>
          </w:tcPr>
          <w:p w14:paraId="19A444D6"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Diesel HE</w:t>
            </w:r>
          </w:p>
        </w:tc>
        <w:tc>
          <w:tcPr>
            <w:tcW w:w="1925" w:type="dxa"/>
            <w:noWrap/>
            <w:vAlign w:val="center"/>
            <w:hideMark/>
          </w:tcPr>
          <w:p w14:paraId="4DF19850"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594.9</w:t>
            </w:r>
          </w:p>
        </w:tc>
        <w:tc>
          <w:tcPr>
            <w:tcW w:w="1926" w:type="dxa"/>
            <w:noWrap/>
            <w:vAlign w:val="center"/>
            <w:hideMark/>
          </w:tcPr>
          <w:p w14:paraId="486D1558"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187.4</w:t>
            </w:r>
          </w:p>
        </w:tc>
        <w:tc>
          <w:tcPr>
            <w:tcW w:w="1926" w:type="dxa"/>
            <w:noWrap/>
            <w:vAlign w:val="center"/>
            <w:hideMark/>
          </w:tcPr>
          <w:p w14:paraId="1BD8BA78"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12.6</w:t>
            </w:r>
          </w:p>
        </w:tc>
      </w:tr>
      <w:tr w:rsidR="00DB77F8" w:rsidRPr="00524A55" w14:paraId="55B83E50" w14:textId="77777777" w:rsidTr="00FB1CB5">
        <w:trPr>
          <w:trHeight w:val="300"/>
        </w:trPr>
        <w:tc>
          <w:tcPr>
            <w:tcW w:w="1925" w:type="dxa"/>
            <w:noWrap/>
            <w:vAlign w:val="center"/>
            <w:hideMark/>
          </w:tcPr>
          <w:p w14:paraId="2BFAEF8D"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2030</w:t>
            </w:r>
          </w:p>
        </w:tc>
        <w:tc>
          <w:tcPr>
            <w:tcW w:w="1926" w:type="dxa"/>
            <w:noWrap/>
            <w:vAlign w:val="center"/>
            <w:hideMark/>
          </w:tcPr>
          <w:p w14:paraId="54C4C405"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Diesel HE</w:t>
            </w:r>
          </w:p>
        </w:tc>
        <w:tc>
          <w:tcPr>
            <w:tcW w:w="1925" w:type="dxa"/>
            <w:noWrap/>
            <w:vAlign w:val="center"/>
            <w:hideMark/>
          </w:tcPr>
          <w:p w14:paraId="1BA0DED1"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563.8</w:t>
            </w:r>
          </w:p>
        </w:tc>
        <w:tc>
          <w:tcPr>
            <w:tcW w:w="1926" w:type="dxa"/>
            <w:noWrap/>
            <w:vAlign w:val="center"/>
            <w:hideMark/>
          </w:tcPr>
          <w:p w14:paraId="0590BA17"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192.1</w:t>
            </w:r>
          </w:p>
        </w:tc>
        <w:tc>
          <w:tcPr>
            <w:tcW w:w="1926" w:type="dxa"/>
            <w:noWrap/>
            <w:vAlign w:val="center"/>
            <w:hideMark/>
          </w:tcPr>
          <w:p w14:paraId="1C3FC6BF"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12.7</w:t>
            </w:r>
          </w:p>
        </w:tc>
      </w:tr>
      <w:tr w:rsidR="00DB77F8" w:rsidRPr="00524A55" w14:paraId="35946894" w14:textId="77777777" w:rsidTr="00FB1CB5">
        <w:trPr>
          <w:trHeight w:val="300"/>
        </w:trPr>
        <w:tc>
          <w:tcPr>
            <w:tcW w:w="1925" w:type="dxa"/>
            <w:noWrap/>
            <w:vAlign w:val="center"/>
            <w:hideMark/>
          </w:tcPr>
          <w:p w14:paraId="183B745B"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2040</w:t>
            </w:r>
          </w:p>
        </w:tc>
        <w:tc>
          <w:tcPr>
            <w:tcW w:w="1926" w:type="dxa"/>
            <w:noWrap/>
            <w:vAlign w:val="center"/>
            <w:hideMark/>
          </w:tcPr>
          <w:p w14:paraId="3BEB931D"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Diesel HE</w:t>
            </w:r>
          </w:p>
        </w:tc>
        <w:tc>
          <w:tcPr>
            <w:tcW w:w="1925" w:type="dxa"/>
            <w:noWrap/>
            <w:vAlign w:val="center"/>
            <w:hideMark/>
          </w:tcPr>
          <w:p w14:paraId="57778105"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535.7</w:t>
            </w:r>
          </w:p>
        </w:tc>
        <w:tc>
          <w:tcPr>
            <w:tcW w:w="1926" w:type="dxa"/>
            <w:noWrap/>
            <w:vAlign w:val="center"/>
            <w:hideMark/>
          </w:tcPr>
          <w:p w14:paraId="1E9D9395"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192.1</w:t>
            </w:r>
          </w:p>
        </w:tc>
        <w:tc>
          <w:tcPr>
            <w:tcW w:w="1926" w:type="dxa"/>
            <w:noWrap/>
            <w:vAlign w:val="center"/>
            <w:hideMark/>
          </w:tcPr>
          <w:p w14:paraId="1E336AC9"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12.7</w:t>
            </w:r>
          </w:p>
        </w:tc>
      </w:tr>
      <w:tr w:rsidR="00DB77F8" w:rsidRPr="00524A55" w14:paraId="5FAAA20A" w14:textId="77777777" w:rsidTr="00FB1CB5">
        <w:trPr>
          <w:trHeight w:val="300"/>
        </w:trPr>
        <w:tc>
          <w:tcPr>
            <w:tcW w:w="1925" w:type="dxa"/>
            <w:noWrap/>
            <w:vAlign w:val="center"/>
            <w:hideMark/>
          </w:tcPr>
          <w:p w14:paraId="197CBB27"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2050</w:t>
            </w:r>
          </w:p>
        </w:tc>
        <w:tc>
          <w:tcPr>
            <w:tcW w:w="1926" w:type="dxa"/>
            <w:noWrap/>
            <w:vAlign w:val="center"/>
            <w:hideMark/>
          </w:tcPr>
          <w:p w14:paraId="61248249"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Diesel HE</w:t>
            </w:r>
          </w:p>
        </w:tc>
        <w:tc>
          <w:tcPr>
            <w:tcW w:w="1925" w:type="dxa"/>
            <w:noWrap/>
            <w:vAlign w:val="center"/>
            <w:hideMark/>
          </w:tcPr>
          <w:p w14:paraId="50A7106C"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510.4</w:t>
            </w:r>
          </w:p>
        </w:tc>
        <w:tc>
          <w:tcPr>
            <w:tcW w:w="1926" w:type="dxa"/>
            <w:noWrap/>
            <w:vAlign w:val="center"/>
            <w:hideMark/>
          </w:tcPr>
          <w:p w14:paraId="342DDA46"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192.1</w:t>
            </w:r>
          </w:p>
        </w:tc>
        <w:tc>
          <w:tcPr>
            <w:tcW w:w="1926" w:type="dxa"/>
            <w:noWrap/>
            <w:vAlign w:val="center"/>
            <w:hideMark/>
          </w:tcPr>
          <w:p w14:paraId="5E1B7D81"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12.7</w:t>
            </w:r>
          </w:p>
        </w:tc>
      </w:tr>
      <w:tr w:rsidR="00DB77F8" w:rsidRPr="00524A55" w14:paraId="3871AE24" w14:textId="77777777" w:rsidTr="00FB1CB5">
        <w:trPr>
          <w:trHeight w:val="300"/>
        </w:trPr>
        <w:tc>
          <w:tcPr>
            <w:tcW w:w="1925" w:type="dxa"/>
            <w:noWrap/>
            <w:vAlign w:val="center"/>
            <w:hideMark/>
          </w:tcPr>
          <w:p w14:paraId="30175437"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2020</w:t>
            </w:r>
          </w:p>
        </w:tc>
        <w:tc>
          <w:tcPr>
            <w:tcW w:w="1926" w:type="dxa"/>
            <w:noWrap/>
            <w:vAlign w:val="center"/>
            <w:hideMark/>
          </w:tcPr>
          <w:p w14:paraId="0A06A21E"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Diesel SE</w:t>
            </w:r>
          </w:p>
        </w:tc>
        <w:tc>
          <w:tcPr>
            <w:tcW w:w="1925" w:type="dxa"/>
            <w:noWrap/>
            <w:vAlign w:val="center"/>
            <w:hideMark/>
          </w:tcPr>
          <w:p w14:paraId="3B860E19"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858.2</w:t>
            </w:r>
          </w:p>
        </w:tc>
        <w:tc>
          <w:tcPr>
            <w:tcW w:w="1926" w:type="dxa"/>
            <w:noWrap/>
            <w:vAlign w:val="center"/>
            <w:hideMark/>
          </w:tcPr>
          <w:p w14:paraId="20D7AD93"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180.2</w:t>
            </w:r>
          </w:p>
        </w:tc>
        <w:tc>
          <w:tcPr>
            <w:tcW w:w="1926" w:type="dxa"/>
            <w:noWrap/>
            <w:vAlign w:val="center"/>
            <w:hideMark/>
          </w:tcPr>
          <w:p w14:paraId="0D2AA7BD"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12.4</w:t>
            </w:r>
          </w:p>
        </w:tc>
      </w:tr>
      <w:tr w:rsidR="00DB77F8" w:rsidRPr="00524A55" w14:paraId="42170EB0" w14:textId="77777777" w:rsidTr="00FB1CB5">
        <w:trPr>
          <w:trHeight w:val="300"/>
        </w:trPr>
        <w:tc>
          <w:tcPr>
            <w:tcW w:w="1925" w:type="dxa"/>
            <w:noWrap/>
            <w:vAlign w:val="center"/>
            <w:hideMark/>
          </w:tcPr>
          <w:p w14:paraId="7C32628E"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2030</w:t>
            </w:r>
          </w:p>
        </w:tc>
        <w:tc>
          <w:tcPr>
            <w:tcW w:w="1926" w:type="dxa"/>
            <w:noWrap/>
            <w:vAlign w:val="center"/>
            <w:hideMark/>
          </w:tcPr>
          <w:p w14:paraId="33FBECBB"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Diesel SE</w:t>
            </w:r>
          </w:p>
        </w:tc>
        <w:tc>
          <w:tcPr>
            <w:tcW w:w="1925" w:type="dxa"/>
            <w:noWrap/>
            <w:vAlign w:val="center"/>
            <w:hideMark/>
          </w:tcPr>
          <w:p w14:paraId="62B5813F"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794.8</w:t>
            </w:r>
          </w:p>
        </w:tc>
        <w:tc>
          <w:tcPr>
            <w:tcW w:w="1926" w:type="dxa"/>
            <w:noWrap/>
            <w:vAlign w:val="center"/>
            <w:hideMark/>
          </w:tcPr>
          <w:p w14:paraId="682C3A61"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180.2</w:t>
            </w:r>
          </w:p>
        </w:tc>
        <w:tc>
          <w:tcPr>
            <w:tcW w:w="1926" w:type="dxa"/>
            <w:noWrap/>
            <w:vAlign w:val="center"/>
            <w:hideMark/>
          </w:tcPr>
          <w:p w14:paraId="03C89C0B"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12.5</w:t>
            </w:r>
          </w:p>
        </w:tc>
      </w:tr>
      <w:tr w:rsidR="00DB77F8" w:rsidRPr="00524A55" w14:paraId="3B5A3410" w14:textId="77777777" w:rsidTr="00FB1CB5">
        <w:trPr>
          <w:trHeight w:val="300"/>
        </w:trPr>
        <w:tc>
          <w:tcPr>
            <w:tcW w:w="1925" w:type="dxa"/>
            <w:noWrap/>
            <w:vAlign w:val="center"/>
            <w:hideMark/>
          </w:tcPr>
          <w:p w14:paraId="099B54BA"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2040</w:t>
            </w:r>
          </w:p>
        </w:tc>
        <w:tc>
          <w:tcPr>
            <w:tcW w:w="1926" w:type="dxa"/>
            <w:noWrap/>
            <w:vAlign w:val="center"/>
            <w:hideMark/>
          </w:tcPr>
          <w:p w14:paraId="270E0E6E"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Diesel SE</w:t>
            </w:r>
          </w:p>
        </w:tc>
        <w:tc>
          <w:tcPr>
            <w:tcW w:w="1925" w:type="dxa"/>
            <w:noWrap/>
            <w:vAlign w:val="center"/>
            <w:hideMark/>
          </w:tcPr>
          <w:p w14:paraId="614C67E7"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740.2</w:t>
            </w:r>
          </w:p>
        </w:tc>
        <w:tc>
          <w:tcPr>
            <w:tcW w:w="1926" w:type="dxa"/>
            <w:noWrap/>
            <w:vAlign w:val="center"/>
            <w:hideMark/>
          </w:tcPr>
          <w:p w14:paraId="4B3AEFDE"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180.2</w:t>
            </w:r>
          </w:p>
        </w:tc>
        <w:tc>
          <w:tcPr>
            <w:tcW w:w="1926" w:type="dxa"/>
            <w:noWrap/>
            <w:vAlign w:val="center"/>
            <w:hideMark/>
          </w:tcPr>
          <w:p w14:paraId="2F110785"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12.5</w:t>
            </w:r>
          </w:p>
        </w:tc>
      </w:tr>
      <w:tr w:rsidR="00DB77F8" w:rsidRPr="00524A55" w14:paraId="685A270D" w14:textId="77777777" w:rsidTr="00FB1CB5">
        <w:trPr>
          <w:trHeight w:val="300"/>
        </w:trPr>
        <w:tc>
          <w:tcPr>
            <w:tcW w:w="1925" w:type="dxa"/>
            <w:noWrap/>
            <w:vAlign w:val="center"/>
            <w:hideMark/>
          </w:tcPr>
          <w:p w14:paraId="0E8C0CE0"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2050</w:t>
            </w:r>
          </w:p>
        </w:tc>
        <w:tc>
          <w:tcPr>
            <w:tcW w:w="1926" w:type="dxa"/>
            <w:noWrap/>
            <w:vAlign w:val="center"/>
            <w:hideMark/>
          </w:tcPr>
          <w:p w14:paraId="2DD6B6A8"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Diesel SE</w:t>
            </w:r>
          </w:p>
        </w:tc>
        <w:tc>
          <w:tcPr>
            <w:tcW w:w="1925" w:type="dxa"/>
            <w:noWrap/>
            <w:vAlign w:val="center"/>
            <w:hideMark/>
          </w:tcPr>
          <w:p w14:paraId="212A173C"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692.6</w:t>
            </w:r>
          </w:p>
        </w:tc>
        <w:tc>
          <w:tcPr>
            <w:tcW w:w="1926" w:type="dxa"/>
            <w:noWrap/>
            <w:vAlign w:val="center"/>
            <w:hideMark/>
          </w:tcPr>
          <w:p w14:paraId="66CA2838"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180.2</w:t>
            </w:r>
          </w:p>
        </w:tc>
        <w:tc>
          <w:tcPr>
            <w:tcW w:w="1926" w:type="dxa"/>
            <w:noWrap/>
            <w:vAlign w:val="center"/>
            <w:hideMark/>
          </w:tcPr>
          <w:p w14:paraId="7475DADC"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12.5</w:t>
            </w:r>
          </w:p>
        </w:tc>
      </w:tr>
      <w:tr w:rsidR="00DB77F8" w:rsidRPr="00524A55" w14:paraId="5BF4E4D9" w14:textId="77777777" w:rsidTr="00FB1CB5">
        <w:trPr>
          <w:trHeight w:val="300"/>
        </w:trPr>
        <w:tc>
          <w:tcPr>
            <w:tcW w:w="1925" w:type="dxa"/>
            <w:noWrap/>
            <w:vAlign w:val="center"/>
            <w:hideMark/>
          </w:tcPr>
          <w:p w14:paraId="659904BF"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2020</w:t>
            </w:r>
          </w:p>
        </w:tc>
        <w:tc>
          <w:tcPr>
            <w:tcW w:w="1926" w:type="dxa"/>
            <w:noWrap/>
            <w:vAlign w:val="center"/>
            <w:hideMark/>
          </w:tcPr>
          <w:p w14:paraId="3A580A39"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Battery Electric</w:t>
            </w:r>
          </w:p>
        </w:tc>
        <w:tc>
          <w:tcPr>
            <w:tcW w:w="1925" w:type="dxa"/>
            <w:noWrap/>
            <w:vAlign w:val="center"/>
            <w:hideMark/>
          </w:tcPr>
          <w:p w14:paraId="5E8D09B1"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205.5</w:t>
            </w:r>
          </w:p>
        </w:tc>
        <w:tc>
          <w:tcPr>
            <w:tcW w:w="1926" w:type="dxa"/>
            <w:noWrap/>
            <w:vAlign w:val="center"/>
            <w:hideMark/>
          </w:tcPr>
          <w:p w14:paraId="63B9B519"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339.4</w:t>
            </w:r>
          </w:p>
        </w:tc>
        <w:tc>
          <w:tcPr>
            <w:tcW w:w="1926" w:type="dxa"/>
            <w:noWrap/>
            <w:vAlign w:val="center"/>
            <w:hideMark/>
          </w:tcPr>
          <w:p w14:paraId="66656C34"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23.8</w:t>
            </w:r>
          </w:p>
        </w:tc>
      </w:tr>
      <w:tr w:rsidR="00DB77F8" w:rsidRPr="00524A55" w14:paraId="53F13300" w14:textId="77777777" w:rsidTr="00FB1CB5">
        <w:trPr>
          <w:trHeight w:val="300"/>
        </w:trPr>
        <w:tc>
          <w:tcPr>
            <w:tcW w:w="1925" w:type="dxa"/>
            <w:noWrap/>
            <w:vAlign w:val="center"/>
            <w:hideMark/>
          </w:tcPr>
          <w:p w14:paraId="5CFC507E"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2030</w:t>
            </w:r>
          </w:p>
        </w:tc>
        <w:tc>
          <w:tcPr>
            <w:tcW w:w="1926" w:type="dxa"/>
            <w:noWrap/>
            <w:vAlign w:val="center"/>
            <w:hideMark/>
          </w:tcPr>
          <w:p w14:paraId="56A8CEAF"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Battery Electric</w:t>
            </w:r>
          </w:p>
        </w:tc>
        <w:tc>
          <w:tcPr>
            <w:tcW w:w="1925" w:type="dxa"/>
            <w:noWrap/>
            <w:vAlign w:val="center"/>
            <w:hideMark/>
          </w:tcPr>
          <w:p w14:paraId="250DF268"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182.1</w:t>
            </w:r>
          </w:p>
        </w:tc>
        <w:tc>
          <w:tcPr>
            <w:tcW w:w="1926" w:type="dxa"/>
            <w:noWrap/>
            <w:vAlign w:val="center"/>
            <w:hideMark/>
          </w:tcPr>
          <w:p w14:paraId="231949AA"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339.4</w:t>
            </w:r>
          </w:p>
        </w:tc>
        <w:tc>
          <w:tcPr>
            <w:tcW w:w="1926" w:type="dxa"/>
            <w:noWrap/>
            <w:vAlign w:val="center"/>
            <w:hideMark/>
          </w:tcPr>
          <w:p w14:paraId="1C2BB5FC"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12.6</w:t>
            </w:r>
          </w:p>
        </w:tc>
      </w:tr>
      <w:tr w:rsidR="00DB77F8" w:rsidRPr="00524A55" w14:paraId="0896167D" w14:textId="77777777" w:rsidTr="00FB1CB5">
        <w:trPr>
          <w:trHeight w:val="300"/>
        </w:trPr>
        <w:tc>
          <w:tcPr>
            <w:tcW w:w="1925" w:type="dxa"/>
            <w:noWrap/>
            <w:vAlign w:val="center"/>
            <w:hideMark/>
          </w:tcPr>
          <w:p w14:paraId="673E7884"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2040</w:t>
            </w:r>
          </w:p>
        </w:tc>
        <w:tc>
          <w:tcPr>
            <w:tcW w:w="1926" w:type="dxa"/>
            <w:noWrap/>
            <w:vAlign w:val="center"/>
            <w:hideMark/>
          </w:tcPr>
          <w:p w14:paraId="62A240E9"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Battery Electric</w:t>
            </w:r>
          </w:p>
        </w:tc>
        <w:tc>
          <w:tcPr>
            <w:tcW w:w="1925" w:type="dxa"/>
            <w:noWrap/>
            <w:vAlign w:val="center"/>
            <w:hideMark/>
          </w:tcPr>
          <w:p w14:paraId="05A10623"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163.9</w:t>
            </w:r>
          </w:p>
        </w:tc>
        <w:tc>
          <w:tcPr>
            <w:tcW w:w="1926" w:type="dxa"/>
            <w:noWrap/>
            <w:vAlign w:val="center"/>
            <w:hideMark/>
          </w:tcPr>
          <w:p w14:paraId="0D7517E1"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285.3</w:t>
            </w:r>
          </w:p>
        </w:tc>
        <w:tc>
          <w:tcPr>
            <w:tcW w:w="1926" w:type="dxa"/>
            <w:noWrap/>
            <w:vAlign w:val="center"/>
            <w:hideMark/>
          </w:tcPr>
          <w:p w14:paraId="6021B7D3"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11.2</w:t>
            </w:r>
          </w:p>
        </w:tc>
      </w:tr>
      <w:tr w:rsidR="00DB77F8" w:rsidRPr="00524A55" w14:paraId="66D5C5F6" w14:textId="77777777" w:rsidTr="00FB1CB5">
        <w:trPr>
          <w:trHeight w:val="300"/>
        </w:trPr>
        <w:tc>
          <w:tcPr>
            <w:tcW w:w="1925" w:type="dxa"/>
            <w:noWrap/>
            <w:vAlign w:val="center"/>
            <w:hideMark/>
          </w:tcPr>
          <w:p w14:paraId="00E95E0E"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2050</w:t>
            </w:r>
          </w:p>
        </w:tc>
        <w:tc>
          <w:tcPr>
            <w:tcW w:w="1926" w:type="dxa"/>
            <w:noWrap/>
            <w:vAlign w:val="center"/>
            <w:hideMark/>
          </w:tcPr>
          <w:p w14:paraId="13C9EBBF"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Battery Electric</w:t>
            </w:r>
          </w:p>
        </w:tc>
        <w:tc>
          <w:tcPr>
            <w:tcW w:w="1925" w:type="dxa"/>
            <w:noWrap/>
            <w:vAlign w:val="center"/>
            <w:hideMark/>
          </w:tcPr>
          <w:p w14:paraId="4465BBC1"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160.6</w:t>
            </w:r>
          </w:p>
        </w:tc>
        <w:tc>
          <w:tcPr>
            <w:tcW w:w="1926" w:type="dxa"/>
            <w:noWrap/>
            <w:vAlign w:val="center"/>
            <w:hideMark/>
          </w:tcPr>
          <w:p w14:paraId="0DE0B764"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277.6</w:t>
            </w:r>
          </w:p>
        </w:tc>
        <w:tc>
          <w:tcPr>
            <w:tcW w:w="1926" w:type="dxa"/>
            <w:noWrap/>
            <w:vAlign w:val="center"/>
            <w:hideMark/>
          </w:tcPr>
          <w:p w14:paraId="00E83213"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11.2</w:t>
            </w:r>
          </w:p>
        </w:tc>
      </w:tr>
      <w:tr w:rsidR="00DB77F8" w:rsidRPr="00524A55" w14:paraId="4C88E931" w14:textId="77777777" w:rsidTr="00FB1CB5">
        <w:trPr>
          <w:trHeight w:val="300"/>
        </w:trPr>
        <w:tc>
          <w:tcPr>
            <w:tcW w:w="1925" w:type="dxa"/>
            <w:noWrap/>
            <w:vAlign w:val="center"/>
            <w:hideMark/>
          </w:tcPr>
          <w:p w14:paraId="32185E03"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2020</w:t>
            </w:r>
          </w:p>
        </w:tc>
        <w:tc>
          <w:tcPr>
            <w:tcW w:w="1926" w:type="dxa"/>
            <w:noWrap/>
            <w:vAlign w:val="center"/>
            <w:hideMark/>
          </w:tcPr>
          <w:p w14:paraId="6BDB70C1"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Gasoline SE</w:t>
            </w:r>
          </w:p>
        </w:tc>
        <w:tc>
          <w:tcPr>
            <w:tcW w:w="1925" w:type="dxa"/>
            <w:noWrap/>
            <w:vAlign w:val="center"/>
            <w:hideMark/>
          </w:tcPr>
          <w:p w14:paraId="5C8189E2"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577.2</w:t>
            </w:r>
          </w:p>
        </w:tc>
        <w:tc>
          <w:tcPr>
            <w:tcW w:w="1926" w:type="dxa"/>
            <w:noWrap/>
            <w:vAlign w:val="center"/>
            <w:hideMark/>
          </w:tcPr>
          <w:p w14:paraId="709380FC"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180.2</w:t>
            </w:r>
          </w:p>
        </w:tc>
        <w:tc>
          <w:tcPr>
            <w:tcW w:w="1926" w:type="dxa"/>
            <w:noWrap/>
            <w:vAlign w:val="center"/>
            <w:hideMark/>
          </w:tcPr>
          <w:p w14:paraId="65C8343D"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12.4</w:t>
            </w:r>
          </w:p>
        </w:tc>
      </w:tr>
      <w:tr w:rsidR="00DB77F8" w:rsidRPr="00524A55" w14:paraId="6E992939" w14:textId="77777777" w:rsidTr="00FB1CB5">
        <w:trPr>
          <w:trHeight w:val="300"/>
        </w:trPr>
        <w:tc>
          <w:tcPr>
            <w:tcW w:w="1925" w:type="dxa"/>
            <w:noWrap/>
            <w:vAlign w:val="center"/>
            <w:hideMark/>
          </w:tcPr>
          <w:p w14:paraId="3B66DF42"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2030</w:t>
            </w:r>
          </w:p>
        </w:tc>
        <w:tc>
          <w:tcPr>
            <w:tcW w:w="1926" w:type="dxa"/>
            <w:noWrap/>
            <w:vAlign w:val="center"/>
            <w:hideMark/>
          </w:tcPr>
          <w:p w14:paraId="748FB460"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Gasoline SE</w:t>
            </w:r>
          </w:p>
        </w:tc>
        <w:tc>
          <w:tcPr>
            <w:tcW w:w="1925" w:type="dxa"/>
            <w:noWrap/>
            <w:vAlign w:val="center"/>
            <w:hideMark/>
          </w:tcPr>
          <w:p w14:paraId="4807B911"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532.0</w:t>
            </w:r>
          </w:p>
        </w:tc>
        <w:tc>
          <w:tcPr>
            <w:tcW w:w="1926" w:type="dxa"/>
            <w:noWrap/>
            <w:vAlign w:val="center"/>
            <w:hideMark/>
          </w:tcPr>
          <w:p w14:paraId="6B53941E"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184.7</w:t>
            </w:r>
          </w:p>
        </w:tc>
        <w:tc>
          <w:tcPr>
            <w:tcW w:w="1926" w:type="dxa"/>
            <w:noWrap/>
            <w:vAlign w:val="center"/>
            <w:hideMark/>
          </w:tcPr>
          <w:p w14:paraId="00664607"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12.5</w:t>
            </w:r>
          </w:p>
        </w:tc>
      </w:tr>
      <w:tr w:rsidR="00DB77F8" w:rsidRPr="00524A55" w14:paraId="063713B3" w14:textId="77777777" w:rsidTr="00FB1CB5">
        <w:trPr>
          <w:trHeight w:val="300"/>
        </w:trPr>
        <w:tc>
          <w:tcPr>
            <w:tcW w:w="1925" w:type="dxa"/>
            <w:noWrap/>
            <w:vAlign w:val="center"/>
            <w:hideMark/>
          </w:tcPr>
          <w:p w14:paraId="04CF4FC5"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2040</w:t>
            </w:r>
          </w:p>
        </w:tc>
        <w:tc>
          <w:tcPr>
            <w:tcW w:w="1926" w:type="dxa"/>
            <w:noWrap/>
            <w:vAlign w:val="center"/>
            <w:hideMark/>
          </w:tcPr>
          <w:p w14:paraId="2033F530"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Gasoline SE</w:t>
            </w:r>
          </w:p>
        </w:tc>
        <w:tc>
          <w:tcPr>
            <w:tcW w:w="1925" w:type="dxa"/>
            <w:noWrap/>
            <w:vAlign w:val="center"/>
            <w:hideMark/>
          </w:tcPr>
          <w:p w14:paraId="0451E3E5"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532.0</w:t>
            </w:r>
          </w:p>
        </w:tc>
        <w:tc>
          <w:tcPr>
            <w:tcW w:w="1926" w:type="dxa"/>
            <w:noWrap/>
            <w:vAlign w:val="center"/>
            <w:hideMark/>
          </w:tcPr>
          <w:p w14:paraId="54A0772C"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184.7</w:t>
            </w:r>
          </w:p>
        </w:tc>
        <w:tc>
          <w:tcPr>
            <w:tcW w:w="1926" w:type="dxa"/>
            <w:noWrap/>
            <w:vAlign w:val="center"/>
            <w:hideMark/>
          </w:tcPr>
          <w:p w14:paraId="2B08A88E"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12.5</w:t>
            </w:r>
          </w:p>
        </w:tc>
      </w:tr>
      <w:tr w:rsidR="00DB77F8" w:rsidRPr="00524A55" w14:paraId="0CFDF71A" w14:textId="77777777" w:rsidTr="00FB1CB5">
        <w:trPr>
          <w:trHeight w:val="300"/>
        </w:trPr>
        <w:tc>
          <w:tcPr>
            <w:tcW w:w="1925" w:type="dxa"/>
            <w:noWrap/>
            <w:vAlign w:val="center"/>
            <w:hideMark/>
          </w:tcPr>
          <w:p w14:paraId="09FB71C7"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2050</w:t>
            </w:r>
          </w:p>
        </w:tc>
        <w:tc>
          <w:tcPr>
            <w:tcW w:w="1926" w:type="dxa"/>
            <w:noWrap/>
            <w:vAlign w:val="center"/>
            <w:hideMark/>
          </w:tcPr>
          <w:p w14:paraId="0E48982B"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Gasoline SE</w:t>
            </w:r>
          </w:p>
        </w:tc>
        <w:tc>
          <w:tcPr>
            <w:tcW w:w="1925" w:type="dxa"/>
            <w:noWrap/>
            <w:vAlign w:val="center"/>
            <w:hideMark/>
          </w:tcPr>
          <w:p w14:paraId="120257EE"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532.0</w:t>
            </w:r>
          </w:p>
        </w:tc>
        <w:tc>
          <w:tcPr>
            <w:tcW w:w="1926" w:type="dxa"/>
            <w:noWrap/>
            <w:vAlign w:val="center"/>
            <w:hideMark/>
          </w:tcPr>
          <w:p w14:paraId="7EF402AD"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184.7</w:t>
            </w:r>
          </w:p>
        </w:tc>
        <w:tc>
          <w:tcPr>
            <w:tcW w:w="1926" w:type="dxa"/>
            <w:noWrap/>
            <w:vAlign w:val="center"/>
            <w:hideMark/>
          </w:tcPr>
          <w:p w14:paraId="7217900B"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12.5</w:t>
            </w:r>
          </w:p>
        </w:tc>
      </w:tr>
      <w:tr w:rsidR="00DB77F8" w:rsidRPr="00524A55" w14:paraId="6287C7FC" w14:textId="77777777" w:rsidTr="00FB1CB5">
        <w:trPr>
          <w:trHeight w:val="300"/>
        </w:trPr>
        <w:tc>
          <w:tcPr>
            <w:tcW w:w="1925" w:type="dxa"/>
            <w:noWrap/>
            <w:vAlign w:val="center"/>
            <w:hideMark/>
          </w:tcPr>
          <w:p w14:paraId="05FD52BA"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2020</w:t>
            </w:r>
          </w:p>
        </w:tc>
        <w:tc>
          <w:tcPr>
            <w:tcW w:w="1926" w:type="dxa"/>
            <w:noWrap/>
            <w:vAlign w:val="center"/>
            <w:hideMark/>
          </w:tcPr>
          <w:p w14:paraId="625B5879"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Hydrogen</w:t>
            </w:r>
          </w:p>
        </w:tc>
        <w:tc>
          <w:tcPr>
            <w:tcW w:w="1925" w:type="dxa"/>
            <w:noWrap/>
            <w:vAlign w:val="center"/>
            <w:hideMark/>
          </w:tcPr>
          <w:p w14:paraId="655E0EEB"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380.4</w:t>
            </w:r>
          </w:p>
        </w:tc>
        <w:tc>
          <w:tcPr>
            <w:tcW w:w="1926" w:type="dxa"/>
            <w:noWrap/>
            <w:vAlign w:val="center"/>
            <w:hideMark/>
          </w:tcPr>
          <w:p w14:paraId="646F3BF7"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291.5</w:t>
            </w:r>
          </w:p>
        </w:tc>
        <w:tc>
          <w:tcPr>
            <w:tcW w:w="1926" w:type="dxa"/>
            <w:noWrap/>
            <w:vAlign w:val="center"/>
            <w:hideMark/>
          </w:tcPr>
          <w:p w14:paraId="1A5C5078"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26.6</w:t>
            </w:r>
          </w:p>
        </w:tc>
      </w:tr>
      <w:tr w:rsidR="00DB77F8" w:rsidRPr="00524A55" w14:paraId="6952A362" w14:textId="77777777" w:rsidTr="00FB1CB5">
        <w:trPr>
          <w:trHeight w:val="300"/>
        </w:trPr>
        <w:tc>
          <w:tcPr>
            <w:tcW w:w="1925" w:type="dxa"/>
            <w:noWrap/>
            <w:vAlign w:val="center"/>
            <w:hideMark/>
          </w:tcPr>
          <w:p w14:paraId="0E0FF7D3"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2030</w:t>
            </w:r>
          </w:p>
        </w:tc>
        <w:tc>
          <w:tcPr>
            <w:tcW w:w="1926" w:type="dxa"/>
            <w:noWrap/>
            <w:vAlign w:val="center"/>
            <w:hideMark/>
          </w:tcPr>
          <w:p w14:paraId="15A31500"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Hydrogen</w:t>
            </w:r>
          </w:p>
        </w:tc>
        <w:tc>
          <w:tcPr>
            <w:tcW w:w="1925" w:type="dxa"/>
            <w:noWrap/>
            <w:vAlign w:val="center"/>
            <w:hideMark/>
          </w:tcPr>
          <w:p w14:paraId="2C694F15"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328.1</w:t>
            </w:r>
          </w:p>
        </w:tc>
        <w:tc>
          <w:tcPr>
            <w:tcW w:w="1926" w:type="dxa"/>
            <w:noWrap/>
            <w:vAlign w:val="center"/>
            <w:hideMark/>
          </w:tcPr>
          <w:p w14:paraId="5F0BA74D"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294.6</w:t>
            </w:r>
          </w:p>
        </w:tc>
        <w:tc>
          <w:tcPr>
            <w:tcW w:w="1926" w:type="dxa"/>
            <w:noWrap/>
            <w:vAlign w:val="center"/>
            <w:hideMark/>
          </w:tcPr>
          <w:p w14:paraId="5D1E2A89"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17.8</w:t>
            </w:r>
          </w:p>
        </w:tc>
      </w:tr>
      <w:tr w:rsidR="00DB77F8" w:rsidRPr="00524A55" w14:paraId="78A18203" w14:textId="77777777" w:rsidTr="00FB1CB5">
        <w:trPr>
          <w:trHeight w:val="300"/>
        </w:trPr>
        <w:tc>
          <w:tcPr>
            <w:tcW w:w="1925" w:type="dxa"/>
            <w:noWrap/>
            <w:vAlign w:val="center"/>
            <w:hideMark/>
          </w:tcPr>
          <w:p w14:paraId="2252C9BC"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2040</w:t>
            </w:r>
          </w:p>
        </w:tc>
        <w:tc>
          <w:tcPr>
            <w:tcW w:w="1926" w:type="dxa"/>
            <w:noWrap/>
            <w:vAlign w:val="center"/>
            <w:hideMark/>
          </w:tcPr>
          <w:p w14:paraId="5D11F0AF"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Hydrogen</w:t>
            </w:r>
          </w:p>
        </w:tc>
        <w:tc>
          <w:tcPr>
            <w:tcW w:w="1925" w:type="dxa"/>
            <w:noWrap/>
            <w:vAlign w:val="center"/>
            <w:hideMark/>
          </w:tcPr>
          <w:p w14:paraId="144B5D0B"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295.3</w:t>
            </w:r>
          </w:p>
        </w:tc>
        <w:tc>
          <w:tcPr>
            <w:tcW w:w="1926" w:type="dxa"/>
            <w:noWrap/>
            <w:vAlign w:val="center"/>
            <w:hideMark/>
          </w:tcPr>
          <w:p w14:paraId="2A3D1EF4"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267.5</w:t>
            </w:r>
          </w:p>
        </w:tc>
        <w:tc>
          <w:tcPr>
            <w:tcW w:w="1926" w:type="dxa"/>
            <w:noWrap/>
            <w:vAlign w:val="center"/>
            <w:hideMark/>
          </w:tcPr>
          <w:p w14:paraId="05D933B6"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11.2</w:t>
            </w:r>
          </w:p>
        </w:tc>
      </w:tr>
      <w:tr w:rsidR="00DB77F8" w:rsidRPr="00524A55" w14:paraId="44373165" w14:textId="77777777" w:rsidTr="00FB1CB5">
        <w:trPr>
          <w:trHeight w:val="300"/>
        </w:trPr>
        <w:tc>
          <w:tcPr>
            <w:tcW w:w="1925" w:type="dxa"/>
            <w:noWrap/>
            <w:vAlign w:val="center"/>
            <w:hideMark/>
          </w:tcPr>
          <w:p w14:paraId="6705B66E"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2050</w:t>
            </w:r>
          </w:p>
        </w:tc>
        <w:tc>
          <w:tcPr>
            <w:tcW w:w="1926" w:type="dxa"/>
            <w:noWrap/>
            <w:vAlign w:val="center"/>
            <w:hideMark/>
          </w:tcPr>
          <w:p w14:paraId="61349837"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Hydrogen</w:t>
            </w:r>
          </w:p>
        </w:tc>
        <w:tc>
          <w:tcPr>
            <w:tcW w:w="1925" w:type="dxa"/>
            <w:noWrap/>
            <w:vAlign w:val="center"/>
            <w:hideMark/>
          </w:tcPr>
          <w:p w14:paraId="39C0524B"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265.8</w:t>
            </w:r>
          </w:p>
        </w:tc>
        <w:tc>
          <w:tcPr>
            <w:tcW w:w="1926" w:type="dxa"/>
            <w:noWrap/>
            <w:vAlign w:val="center"/>
            <w:hideMark/>
          </w:tcPr>
          <w:p w14:paraId="2221D8B2"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263.6</w:t>
            </w:r>
          </w:p>
        </w:tc>
        <w:tc>
          <w:tcPr>
            <w:tcW w:w="1926" w:type="dxa"/>
            <w:noWrap/>
            <w:vAlign w:val="center"/>
            <w:hideMark/>
          </w:tcPr>
          <w:p w14:paraId="0782E927"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11.2</w:t>
            </w:r>
          </w:p>
        </w:tc>
      </w:tr>
      <w:tr w:rsidR="00DB77F8" w:rsidRPr="00524A55" w14:paraId="19D22DB0" w14:textId="77777777" w:rsidTr="00FB1CB5">
        <w:trPr>
          <w:trHeight w:val="300"/>
        </w:trPr>
        <w:tc>
          <w:tcPr>
            <w:tcW w:w="1925" w:type="dxa"/>
            <w:noWrap/>
            <w:vAlign w:val="center"/>
            <w:hideMark/>
          </w:tcPr>
          <w:p w14:paraId="146EBA53"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2020</w:t>
            </w:r>
          </w:p>
        </w:tc>
        <w:tc>
          <w:tcPr>
            <w:tcW w:w="1926" w:type="dxa"/>
            <w:noWrap/>
            <w:vAlign w:val="center"/>
            <w:hideMark/>
          </w:tcPr>
          <w:p w14:paraId="76EEB254"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LPG</w:t>
            </w:r>
          </w:p>
        </w:tc>
        <w:tc>
          <w:tcPr>
            <w:tcW w:w="1925" w:type="dxa"/>
            <w:noWrap/>
            <w:vAlign w:val="center"/>
            <w:hideMark/>
          </w:tcPr>
          <w:p w14:paraId="3E3C38DA"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524.0</w:t>
            </w:r>
          </w:p>
        </w:tc>
        <w:tc>
          <w:tcPr>
            <w:tcW w:w="1926" w:type="dxa"/>
            <w:noWrap/>
            <w:vAlign w:val="center"/>
            <w:hideMark/>
          </w:tcPr>
          <w:p w14:paraId="275DD23F"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201.5</w:t>
            </w:r>
          </w:p>
        </w:tc>
        <w:tc>
          <w:tcPr>
            <w:tcW w:w="1926" w:type="dxa"/>
            <w:noWrap/>
            <w:vAlign w:val="center"/>
            <w:hideMark/>
          </w:tcPr>
          <w:p w14:paraId="55578690"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12.8</w:t>
            </w:r>
          </w:p>
        </w:tc>
      </w:tr>
      <w:tr w:rsidR="00DB77F8" w:rsidRPr="00524A55" w14:paraId="1D721C33" w14:textId="77777777" w:rsidTr="00FB1CB5">
        <w:trPr>
          <w:trHeight w:val="300"/>
        </w:trPr>
        <w:tc>
          <w:tcPr>
            <w:tcW w:w="1925" w:type="dxa"/>
            <w:noWrap/>
            <w:vAlign w:val="center"/>
            <w:hideMark/>
          </w:tcPr>
          <w:p w14:paraId="2F2F7794"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2030</w:t>
            </w:r>
          </w:p>
        </w:tc>
        <w:tc>
          <w:tcPr>
            <w:tcW w:w="1926" w:type="dxa"/>
            <w:noWrap/>
            <w:vAlign w:val="center"/>
            <w:hideMark/>
          </w:tcPr>
          <w:p w14:paraId="4B0B3CE9"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LPG</w:t>
            </w:r>
          </w:p>
        </w:tc>
        <w:tc>
          <w:tcPr>
            <w:tcW w:w="1925" w:type="dxa"/>
            <w:noWrap/>
            <w:vAlign w:val="center"/>
            <w:hideMark/>
          </w:tcPr>
          <w:p w14:paraId="092C8FD0"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500.4</w:t>
            </w:r>
          </w:p>
        </w:tc>
        <w:tc>
          <w:tcPr>
            <w:tcW w:w="1926" w:type="dxa"/>
            <w:noWrap/>
            <w:vAlign w:val="center"/>
            <w:hideMark/>
          </w:tcPr>
          <w:p w14:paraId="0D95D7E3"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211.5</w:t>
            </w:r>
          </w:p>
        </w:tc>
        <w:tc>
          <w:tcPr>
            <w:tcW w:w="1926" w:type="dxa"/>
            <w:noWrap/>
            <w:vAlign w:val="center"/>
            <w:hideMark/>
          </w:tcPr>
          <w:p w14:paraId="4887D138"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12.9</w:t>
            </w:r>
          </w:p>
        </w:tc>
      </w:tr>
      <w:tr w:rsidR="00DB77F8" w:rsidRPr="00524A55" w14:paraId="0A4450F3" w14:textId="77777777" w:rsidTr="00FB1CB5">
        <w:trPr>
          <w:trHeight w:val="300"/>
        </w:trPr>
        <w:tc>
          <w:tcPr>
            <w:tcW w:w="1925" w:type="dxa"/>
            <w:noWrap/>
            <w:vAlign w:val="center"/>
            <w:hideMark/>
          </w:tcPr>
          <w:p w14:paraId="3DB0959D"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2040</w:t>
            </w:r>
          </w:p>
        </w:tc>
        <w:tc>
          <w:tcPr>
            <w:tcW w:w="1926" w:type="dxa"/>
            <w:noWrap/>
            <w:vAlign w:val="center"/>
            <w:hideMark/>
          </w:tcPr>
          <w:p w14:paraId="3A686DA5"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LPG</w:t>
            </w:r>
          </w:p>
        </w:tc>
        <w:tc>
          <w:tcPr>
            <w:tcW w:w="1925" w:type="dxa"/>
            <w:noWrap/>
            <w:vAlign w:val="center"/>
            <w:hideMark/>
          </w:tcPr>
          <w:p w14:paraId="534322F7"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478.8</w:t>
            </w:r>
          </w:p>
        </w:tc>
        <w:tc>
          <w:tcPr>
            <w:tcW w:w="1926" w:type="dxa"/>
            <w:noWrap/>
            <w:vAlign w:val="center"/>
            <w:hideMark/>
          </w:tcPr>
          <w:p w14:paraId="51A13745"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216.6</w:t>
            </w:r>
          </w:p>
        </w:tc>
        <w:tc>
          <w:tcPr>
            <w:tcW w:w="1926" w:type="dxa"/>
            <w:noWrap/>
            <w:vAlign w:val="center"/>
            <w:hideMark/>
          </w:tcPr>
          <w:p w14:paraId="30D22E3B"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12.9</w:t>
            </w:r>
          </w:p>
        </w:tc>
      </w:tr>
      <w:tr w:rsidR="00DB77F8" w:rsidRPr="00524A55" w14:paraId="5B330A4C" w14:textId="77777777" w:rsidTr="00FB1CB5">
        <w:trPr>
          <w:trHeight w:val="300"/>
        </w:trPr>
        <w:tc>
          <w:tcPr>
            <w:tcW w:w="1925" w:type="dxa"/>
            <w:noWrap/>
            <w:vAlign w:val="center"/>
            <w:hideMark/>
          </w:tcPr>
          <w:p w14:paraId="79E220A3"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2050</w:t>
            </w:r>
          </w:p>
        </w:tc>
        <w:tc>
          <w:tcPr>
            <w:tcW w:w="1926" w:type="dxa"/>
            <w:noWrap/>
            <w:vAlign w:val="center"/>
            <w:hideMark/>
          </w:tcPr>
          <w:p w14:paraId="730B0D6A"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LPG</w:t>
            </w:r>
          </w:p>
        </w:tc>
        <w:tc>
          <w:tcPr>
            <w:tcW w:w="1925" w:type="dxa"/>
            <w:noWrap/>
            <w:vAlign w:val="center"/>
            <w:hideMark/>
          </w:tcPr>
          <w:p w14:paraId="0A0E939F"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459.0</w:t>
            </w:r>
          </w:p>
        </w:tc>
        <w:tc>
          <w:tcPr>
            <w:tcW w:w="1926" w:type="dxa"/>
            <w:noWrap/>
            <w:vAlign w:val="center"/>
            <w:hideMark/>
          </w:tcPr>
          <w:p w14:paraId="6C41F4D4"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221.9</w:t>
            </w:r>
          </w:p>
        </w:tc>
        <w:tc>
          <w:tcPr>
            <w:tcW w:w="1926" w:type="dxa"/>
            <w:noWrap/>
            <w:vAlign w:val="center"/>
            <w:hideMark/>
          </w:tcPr>
          <w:p w14:paraId="395A6074"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12.9</w:t>
            </w:r>
          </w:p>
        </w:tc>
      </w:tr>
      <w:tr w:rsidR="00DB77F8" w:rsidRPr="00524A55" w14:paraId="30D28F4F" w14:textId="77777777" w:rsidTr="00FB1CB5">
        <w:trPr>
          <w:trHeight w:val="300"/>
        </w:trPr>
        <w:tc>
          <w:tcPr>
            <w:tcW w:w="1925" w:type="dxa"/>
            <w:noWrap/>
            <w:vAlign w:val="center"/>
            <w:hideMark/>
          </w:tcPr>
          <w:p w14:paraId="501EDC60"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2020</w:t>
            </w:r>
          </w:p>
        </w:tc>
        <w:tc>
          <w:tcPr>
            <w:tcW w:w="1926" w:type="dxa"/>
            <w:noWrap/>
            <w:vAlign w:val="center"/>
            <w:hideMark/>
          </w:tcPr>
          <w:p w14:paraId="4AF935C0"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Natural gas</w:t>
            </w:r>
          </w:p>
        </w:tc>
        <w:tc>
          <w:tcPr>
            <w:tcW w:w="1925" w:type="dxa"/>
            <w:noWrap/>
            <w:vAlign w:val="center"/>
            <w:hideMark/>
          </w:tcPr>
          <w:p w14:paraId="558FEFA6"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341.8</w:t>
            </w:r>
          </w:p>
        </w:tc>
        <w:tc>
          <w:tcPr>
            <w:tcW w:w="1926" w:type="dxa"/>
            <w:noWrap/>
            <w:vAlign w:val="center"/>
            <w:hideMark/>
          </w:tcPr>
          <w:p w14:paraId="0DE99889"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243.6</w:t>
            </w:r>
          </w:p>
        </w:tc>
        <w:tc>
          <w:tcPr>
            <w:tcW w:w="1926" w:type="dxa"/>
            <w:noWrap/>
            <w:vAlign w:val="center"/>
            <w:hideMark/>
          </w:tcPr>
          <w:p w14:paraId="558D8274"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13.7</w:t>
            </w:r>
          </w:p>
        </w:tc>
      </w:tr>
      <w:tr w:rsidR="00DB77F8" w:rsidRPr="00524A55" w14:paraId="410931F7" w14:textId="77777777" w:rsidTr="00FB1CB5">
        <w:trPr>
          <w:trHeight w:val="300"/>
        </w:trPr>
        <w:tc>
          <w:tcPr>
            <w:tcW w:w="1925" w:type="dxa"/>
            <w:noWrap/>
            <w:vAlign w:val="center"/>
            <w:hideMark/>
          </w:tcPr>
          <w:p w14:paraId="18D08425"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2030</w:t>
            </w:r>
          </w:p>
        </w:tc>
        <w:tc>
          <w:tcPr>
            <w:tcW w:w="1926" w:type="dxa"/>
            <w:noWrap/>
            <w:vAlign w:val="center"/>
            <w:hideMark/>
          </w:tcPr>
          <w:p w14:paraId="126A4CFF"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Natural gas</w:t>
            </w:r>
          </w:p>
        </w:tc>
        <w:tc>
          <w:tcPr>
            <w:tcW w:w="1925" w:type="dxa"/>
            <w:noWrap/>
            <w:vAlign w:val="center"/>
            <w:hideMark/>
          </w:tcPr>
          <w:p w14:paraId="1318860A"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324.4</w:t>
            </w:r>
          </w:p>
        </w:tc>
        <w:tc>
          <w:tcPr>
            <w:tcW w:w="1926" w:type="dxa"/>
            <w:noWrap/>
            <w:vAlign w:val="center"/>
            <w:hideMark/>
          </w:tcPr>
          <w:p w14:paraId="2EDAF856"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249.7</w:t>
            </w:r>
          </w:p>
        </w:tc>
        <w:tc>
          <w:tcPr>
            <w:tcW w:w="1926" w:type="dxa"/>
            <w:noWrap/>
            <w:vAlign w:val="center"/>
            <w:hideMark/>
          </w:tcPr>
          <w:p w14:paraId="2175D8C1"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12.7</w:t>
            </w:r>
          </w:p>
        </w:tc>
      </w:tr>
      <w:tr w:rsidR="00DB77F8" w:rsidRPr="00524A55" w14:paraId="3ADC3C5C" w14:textId="77777777" w:rsidTr="00FB1CB5">
        <w:trPr>
          <w:trHeight w:val="300"/>
        </w:trPr>
        <w:tc>
          <w:tcPr>
            <w:tcW w:w="1925" w:type="dxa"/>
            <w:noWrap/>
            <w:vAlign w:val="center"/>
            <w:hideMark/>
          </w:tcPr>
          <w:p w14:paraId="18CEA002"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2040</w:t>
            </w:r>
          </w:p>
        </w:tc>
        <w:tc>
          <w:tcPr>
            <w:tcW w:w="1926" w:type="dxa"/>
            <w:noWrap/>
            <w:vAlign w:val="center"/>
            <w:hideMark/>
          </w:tcPr>
          <w:p w14:paraId="49DD26F2"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Natural gas</w:t>
            </w:r>
          </w:p>
        </w:tc>
        <w:tc>
          <w:tcPr>
            <w:tcW w:w="1925" w:type="dxa"/>
            <w:noWrap/>
            <w:vAlign w:val="center"/>
            <w:hideMark/>
          </w:tcPr>
          <w:p w14:paraId="442BF0EC"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308.7</w:t>
            </w:r>
          </w:p>
        </w:tc>
        <w:tc>
          <w:tcPr>
            <w:tcW w:w="1926" w:type="dxa"/>
            <w:noWrap/>
            <w:vAlign w:val="center"/>
            <w:hideMark/>
          </w:tcPr>
          <w:p w14:paraId="64C673DC"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249.7</w:t>
            </w:r>
          </w:p>
        </w:tc>
        <w:tc>
          <w:tcPr>
            <w:tcW w:w="1926" w:type="dxa"/>
            <w:noWrap/>
            <w:vAlign w:val="center"/>
            <w:hideMark/>
          </w:tcPr>
          <w:p w14:paraId="2C57AEDE"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12.7</w:t>
            </w:r>
          </w:p>
        </w:tc>
      </w:tr>
      <w:tr w:rsidR="00DB77F8" w:rsidRPr="00524A55" w14:paraId="7D63DA5E" w14:textId="77777777" w:rsidTr="00FB1CB5">
        <w:trPr>
          <w:trHeight w:val="300"/>
        </w:trPr>
        <w:tc>
          <w:tcPr>
            <w:tcW w:w="1925" w:type="dxa"/>
            <w:noWrap/>
            <w:vAlign w:val="center"/>
            <w:hideMark/>
          </w:tcPr>
          <w:p w14:paraId="2E047ABA"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2050</w:t>
            </w:r>
          </w:p>
        </w:tc>
        <w:tc>
          <w:tcPr>
            <w:tcW w:w="1926" w:type="dxa"/>
            <w:noWrap/>
            <w:vAlign w:val="center"/>
            <w:hideMark/>
          </w:tcPr>
          <w:p w14:paraId="7CE4FB39"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Natural gas</w:t>
            </w:r>
          </w:p>
        </w:tc>
        <w:tc>
          <w:tcPr>
            <w:tcW w:w="1925" w:type="dxa"/>
            <w:noWrap/>
            <w:vAlign w:val="center"/>
            <w:hideMark/>
          </w:tcPr>
          <w:p w14:paraId="7786A8BF"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294.4</w:t>
            </w:r>
          </w:p>
        </w:tc>
        <w:tc>
          <w:tcPr>
            <w:tcW w:w="1926" w:type="dxa"/>
            <w:noWrap/>
            <w:vAlign w:val="center"/>
            <w:hideMark/>
          </w:tcPr>
          <w:p w14:paraId="0404AF16"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249.7</w:t>
            </w:r>
          </w:p>
        </w:tc>
        <w:tc>
          <w:tcPr>
            <w:tcW w:w="1926" w:type="dxa"/>
            <w:noWrap/>
            <w:vAlign w:val="center"/>
            <w:hideMark/>
          </w:tcPr>
          <w:p w14:paraId="42BD90AB" w14:textId="77777777" w:rsidR="00DB77F8" w:rsidRPr="00524A55" w:rsidRDefault="00DB77F8" w:rsidP="00D47D53">
            <w:pPr>
              <w:jc w:val="center"/>
              <w:rPr>
                <w:rFonts w:ascii="Times New Roman" w:hAnsi="Times New Roman" w:cs="Times New Roman"/>
              </w:rPr>
            </w:pPr>
            <w:r w:rsidRPr="00524A55">
              <w:rPr>
                <w:rFonts w:ascii="Times New Roman" w:hAnsi="Times New Roman" w:cs="Times New Roman"/>
              </w:rPr>
              <w:t>12.7</w:t>
            </w:r>
          </w:p>
        </w:tc>
      </w:tr>
    </w:tbl>
    <w:p w14:paraId="7ABD37B7" w14:textId="77777777" w:rsidR="001D1B82" w:rsidRPr="00524A55" w:rsidRDefault="001D1B82" w:rsidP="001D1B82">
      <w:pPr>
        <w:rPr>
          <w:rFonts w:ascii="Times New Roman" w:hAnsi="Times New Roman" w:cs="Times New Roman"/>
        </w:rPr>
      </w:pPr>
      <w:r w:rsidRPr="00524A55">
        <w:rPr>
          <w:rFonts w:ascii="Times New Roman" w:hAnsi="Times New Roman" w:cs="Times New Roman"/>
        </w:rPr>
        <w:br w:type="page"/>
      </w:r>
    </w:p>
    <w:p w14:paraId="480F5327" w14:textId="46D65DDD" w:rsidR="001D1B82" w:rsidRPr="00B03FD3" w:rsidRDefault="000C35B6" w:rsidP="000C35B6">
      <w:pPr>
        <w:pStyle w:val="Caption"/>
        <w:rPr>
          <w:rFonts w:cs="Times New Roman"/>
          <w:i w:val="0"/>
          <w:sz w:val="22"/>
          <w:lang w:val="en-US"/>
        </w:rPr>
      </w:pPr>
      <w:proofErr w:type="spellStart"/>
      <w:r>
        <w:lastRenderedPageBreak/>
        <w:t>Table</w:t>
      </w:r>
      <w:proofErr w:type="spellEnd"/>
      <w:r>
        <w:t xml:space="preserve"> S. </w:t>
      </w:r>
      <w:fldSimple w:instr=" SEQ Table_S. \* ARABIC ">
        <w:r>
          <w:rPr>
            <w:noProof/>
          </w:rPr>
          <w:t>2</w:t>
        </w:r>
      </w:fldSimple>
      <w:r>
        <w:t xml:space="preserve">. </w:t>
      </w:r>
      <w:r w:rsidR="001D1B82" w:rsidRPr="000C35B6">
        <w:rPr>
          <w:rFonts w:cs="Times New Roman"/>
          <w:lang w:val="en-US"/>
        </w:rPr>
        <w:t xml:space="preserve">Assumptions related to technologies consumption and costs for vehicles </w:t>
      </w:r>
      <w:r w:rsidR="00524A55" w:rsidRPr="000C35B6">
        <w:rPr>
          <w:rFonts w:cs="Times New Roman"/>
          <w:lang w:val="en-US"/>
        </w:rPr>
        <w:t>in the</w:t>
      </w:r>
      <w:r w:rsidR="001D1B82" w:rsidRPr="000C35B6">
        <w:rPr>
          <w:rFonts w:cs="Times New Roman"/>
          <w:lang w:val="en-US"/>
        </w:rPr>
        <w:t xml:space="preserve"> medium weight category.</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25"/>
        <w:gridCol w:w="1926"/>
        <w:gridCol w:w="1925"/>
        <w:gridCol w:w="1926"/>
        <w:gridCol w:w="1926"/>
      </w:tblGrid>
      <w:tr w:rsidR="001D1B82" w:rsidRPr="00524A55" w14:paraId="17ADF0EC" w14:textId="77777777" w:rsidTr="001D1B82">
        <w:trPr>
          <w:trHeight w:val="300"/>
        </w:trPr>
        <w:tc>
          <w:tcPr>
            <w:tcW w:w="1925" w:type="dxa"/>
            <w:vMerge w:val="restart"/>
            <w:tcBorders>
              <w:top w:val="single" w:sz="4" w:space="0" w:color="auto"/>
              <w:bottom w:val="nil"/>
            </w:tcBorders>
            <w:noWrap/>
            <w:vAlign w:val="center"/>
            <w:hideMark/>
          </w:tcPr>
          <w:p w14:paraId="0EF5D9C2" w14:textId="77777777" w:rsidR="001D1B82" w:rsidRPr="00524A55" w:rsidRDefault="001D1B82" w:rsidP="00D20363">
            <w:pPr>
              <w:jc w:val="center"/>
              <w:rPr>
                <w:rFonts w:ascii="Times New Roman" w:hAnsi="Times New Roman" w:cs="Times New Roman"/>
                <w:b/>
              </w:rPr>
            </w:pPr>
            <w:r w:rsidRPr="00524A55">
              <w:rPr>
                <w:rFonts w:ascii="Times New Roman" w:hAnsi="Times New Roman" w:cs="Times New Roman"/>
                <w:b/>
              </w:rPr>
              <w:t>Year</w:t>
            </w:r>
          </w:p>
        </w:tc>
        <w:tc>
          <w:tcPr>
            <w:tcW w:w="1926" w:type="dxa"/>
            <w:vMerge w:val="restart"/>
            <w:tcBorders>
              <w:top w:val="single" w:sz="4" w:space="0" w:color="auto"/>
              <w:bottom w:val="nil"/>
            </w:tcBorders>
            <w:vAlign w:val="center"/>
          </w:tcPr>
          <w:p w14:paraId="08AFB21C" w14:textId="77777777" w:rsidR="001D1B82" w:rsidRPr="00524A55" w:rsidRDefault="001D1B82" w:rsidP="00D20363">
            <w:pPr>
              <w:jc w:val="center"/>
              <w:rPr>
                <w:rFonts w:ascii="Times New Roman" w:hAnsi="Times New Roman" w:cs="Times New Roman"/>
                <w:b/>
              </w:rPr>
            </w:pPr>
            <w:r w:rsidRPr="00524A55">
              <w:rPr>
                <w:rFonts w:ascii="Times New Roman" w:hAnsi="Times New Roman" w:cs="Times New Roman"/>
                <w:b/>
              </w:rPr>
              <w:t>Technology</w:t>
            </w:r>
          </w:p>
        </w:tc>
        <w:tc>
          <w:tcPr>
            <w:tcW w:w="1925" w:type="dxa"/>
            <w:tcBorders>
              <w:top w:val="single" w:sz="4" w:space="0" w:color="auto"/>
              <w:bottom w:val="nil"/>
            </w:tcBorders>
            <w:noWrap/>
            <w:vAlign w:val="center"/>
            <w:hideMark/>
          </w:tcPr>
          <w:p w14:paraId="57508C5A" w14:textId="77777777" w:rsidR="001D1B82" w:rsidRPr="00524A55" w:rsidRDefault="001D1B82" w:rsidP="00D20363">
            <w:pPr>
              <w:jc w:val="center"/>
              <w:rPr>
                <w:rFonts w:ascii="Times New Roman" w:hAnsi="Times New Roman" w:cs="Times New Roman"/>
                <w:b/>
                <w:lang w:val="en-US"/>
              </w:rPr>
            </w:pPr>
            <w:r w:rsidRPr="00524A55">
              <w:rPr>
                <w:rFonts w:ascii="Times New Roman" w:hAnsi="Times New Roman" w:cs="Times New Roman"/>
                <w:b/>
              </w:rPr>
              <w:t>Consumption</w:t>
            </w:r>
          </w:p>
        </w:tc>
        <w:tc>
          <w:tcPr>
            <w:tcW w:w="1926" w:type="dxa"/>
            <w:tcBorders>
              <w:top w:val="single" w:sz="4" w:space="0" w:color="auto"/>
              <w:bottom w:val="nil"/>
            </w:tcBorders>
            <w:noWrap/>
            <w:vAlign w:val="center"/>
            <w:hideMark/>
          </w:tcPr>
          <w:p w14:paraId="48252AAB" w14:textId="77777777" w:rsidR="001D1B82" w:rsidRPr="00524A55" w:rsidRDefault="001D1B82" w:rsidP="00D20363">
            <w:pPr>
              <w:jc w:val="center"/>
              <w:rPr>
                <w:rFonts w:ascii="Times New Roman" w:hAnsi="Times New Roman" w:cs="Times New Roman"/>
                <w:b/>
                <w:lang w:val="en-US"/>
              </w:rPr>
            </w:pPr>
            <w:r w:rsidRPr="00524A55">
              <w:rPr>
                <w:rFonts w:ascii="Times New Roman" w:hAnsi="Times New Roman" w:cs="Times New Roman"/>
                <w:b/>
                <w:color w:val="000000" w:themeColor="text1"/>
                <w:lang w:val="en-GB"/>
              </w:rPr>
              <w:t xml:space="preserve">Purchase price </w:t>
            </w:r>
          </w:p>
        </w:tc>
        <w:tc>
          <w:tcPr>
            <w:tcW w:w="1926" w:type="dxa"/>
            <w:tcBorders>
              <w:top w:val="single" w:sz="4" w:space="0" w:color="auto"/>
              <w:bottom w:val="nil"/>
            </w:tcBorders>
            <w:noWrap/>
            <w:vAlign w:val="center"/>
            <w:hideMark/>
          </w:tcPr>
          <w:p w14:paraId="54E2B105" w14:textId="77777777" w:rsidR="001D1B82" w:rsidRPr="00524A55" w:rsidRDefault="001D1B82" w:rsidP="00D20363">
            <w:pPr>
              <w:jc w:val="center"/>
              <w:rPr>
                <w:rFonts w:ascii="Times New Roman" w:hAnsi="Times New Roman" w:cs="Times New Roman"/>
                <w:b/>
              </w:rPr>
            </w:pPr>
            <w:r w:rsidRPr="00524A55">
              <w:rPr>
                <w:rFonts w:ascii="Times New Roman" w:hAnsi="Times New Roman" w:cs="Times New Roman"/>
                <w:b/>
                <w:color w:val="000000" w:themeColor="text1"/>
                <w:lang w:val="en-GB"/>
              </w:rPr>
              <w:t>Fixed annual costs</w:t>
            </w:r>
          </w:p>
        </w:tc>
      </w:tr>
      <w:tr w:rsidR="001D1B82" w:rsidRPr="00187B43" w14:paraId="5A99E3D0" w14:textId="77777777" w:rsidTr="001D1B82">
        <w:trPr>
          <w:trHeight w:val="886"/>
        </w:trPr>
        <w:tc>
          <w:tcPr>
            <w:tcW w:w="1925" w:type="dxa"/>
            <w:vMerge/>
            <w:tcBorders>
              <w:top w:val="nil"/>
              <w:bottom w:val="single" w:sz="4" w:space="0" w:color="auto"/>
            </w:tcBorders>
            <w:noWrap/>
            <w:vAlign w:val="center"/>
            <w:hideMark/>
          </w:tcPr>
          <w:p w14:paraId="07005AFD" w14:textId="77777777" w:rsidR="001D1B82" w:rsidRPr="00524A55" w:rsidRDefault="001D1B82" w:rsidP="00D20363">
            <w:pPr>
              <w:jc w:val="center"/>
              <w:rPr>
                <w:rFonts w:ascii="Times New Roman" w:hAnsi="Times New Roman" w:cs="Times New Roman"/>
                <w:b/>
              </w:rPr>
            </w:pPr>
          </w:p>
        </w:tc>
        <w:tc>
          <w:tcPr>
            <w:tcW w:w="1926" w:type="dxa"/>
            <w:vMerge/>
            <w:tcBorders>
              <w:top w:val="nil"/>
              <w:bottom w:val="single" w:sz="4" w:space="0" w:color="auto"/>
            </w:tcBorders>
            <w:noWrap/>
            <w:vAlign w:val="center"/>
            <w:hideMark/>
          </w:tcPr>
          <w:p w14:paraId="33AF59CD" w14:textId="77777777" w:rsidR="001D1B82" w:rsidRPr="00524A55" w:rsidRDefault="001D1B82" w:rsidP="00D20363">
            <w:pPr>
              <w:jc w:val="center"/>
              <w:rPr>
                <w:rFonts w:ascii="Times New Roman" w:hAnsi="Times New Roman" w:cs="Times New Roman"/>
                <w:b/>
              </w:rPr>
            </w:pPr>
          </w:p>
        </w:tc>
        <w:tc>
          <w:tcPr>
            <w:tcW w:w="1925" w:type="dxa"/>
            <w:tcBorders>
              <w:top w:val="nil"/>
              <w:bottom w:val="single" w:sz="4" w:space="0" w:color="auto"/>
            </w:tcBorders>
            <w:noWrap/>
            <w:vAlign w:val="center"/>
            <w:hideMark/>
          </w:tcPr>
          <w:p w14:paraId="6914E8A9" w14:textId="77777777" w:rsidR="001D1B82" w:rsidRPr="00524A55" w:rsidRDefault="00000000" w:rsidP="00D20363">
            <w:pPr>
              <w:jc w:val="center"/>
              <w:rPr>
                <w:rFonts w:ascii="Times New Roman" w:hAnsi="Times New Roman" w:cs="Times New Roman"/>
                <w:b/>
                <w:lang w:val="en-US"/>
              </w:rPr>
            </w:pPr>
            <m:oMathPara>
              <m:oMath>
                <m:d>
                  <m:dPr>
                    <m:begChr m:val="["/>
                    <m:endChr m:val="]"/>
                    <m:ctrlPr>
                      <w:rPr>
                        <w:rFonts w:ascii="Cambria Math" w:hAnsi="Cambria Math" w:cs="Times New Roman"/>
                        <w:b/>
                        <w:i/>
                      </w:rPr>
                    </m:ctrlPr>
                  </m:dPr>
                  <m:e>
                    <m:f>
                      <m:fPr>
                        <m:ctrlPr>
                          <w:rPr>
                            <w:rFonts w:ascii="Cambria Math" w:hAnsi="Cambria Math" w:cs="Times New Roman"/>
                            <w:b/>
                            <w:i/>
                          </w:rPr>
                        </m:ctrlPr>
                      </m:fPr>
                      <m:num>
                        <m:r>
                          <m:rPr>
                            <m:sty m:val="b"/>
                          </m:rPr>
                          <w:rPr>
                            <w:rFonts w:ascii="Cambria Math" w:hAnsi="Cambria Math" w:cs="Times New Roman"/>
                            <w:lang w:val="en-US"/>
                          </w:rPr>
                          <m:t>kJ</m:t>
                        </m:r>
                      </m:num>
                      <m:den>
                        <m:r>
                          <m:rPr>
                            <m:sty m:val="b"/>
                          </m:rPr>
                          <w:rPr>
                            <w:rFonts w:ascii="Cambria Math" w:hAnsi="Cambria Math" w:cs="Times New Roman"/>
                            <w:lang w:val="en-US"/>
                          </w:rPr>
                          <m:t>t-km</m:t>
                        </m:r>
                      </m:den>
                    </m:f>
                  </m:e>
                </m:d>
              </m:oMath>
            </m:oMathPara>
          </w:p>
        </w:tc>
        <w:tc>
          <w:tcPr>
            <w:tcW w:w="1926" w:type="dxa"/>
            <w:tcBorders>
              <w:top w:val="nil"/>
              <w:bottom w:val="single" w:sz="4" w:space="0" w:color="auto"/>
            </w:tcBorders>
            <w:noWrap/>
            <w:vAlign w:val="center"/>
            <w:hideMark/>
          </w:tcPr>
          <w:p w14:paraId="622E7768" w14:textId="77777777" w:rsidR="001D1B82" w:rsidRPr="00524A55" w:rsidRDefault="00000000" w:rsidP="00D20363">
            <w:pPr>
              <w:jc w:val="center"/>
              <w:rPr>
                <w:rFonts w:ascii="Times New Roman" w:hAnsi="Times New Roman" w:cs="Times New Roman"/>
                <w:b/>
                <w:lang w:val="en-US"/>
              </w:rPr>
            </w:pPr>
            <m:oMath>
              <m:d>
                <m:dPr>
                  <m:begChr m:val="["/>
                  <m:endChr m:val="]"/>
                  <m:ctrlPr>
                    <w:rPr>
                      <w:rFonts w:ascii="Cambria Math" w:hAnsi="Cambria Math" w:cs="Times New Roman"/>
                      <w:b/>
                      <w:i/>
                    </w:rPr>
                  </m:ctrlPr>
                </m:dPr>
                <m:e>
                  <m:f>
                    <m:fPr>
                      <m:ctrlPr>
                        <w:rPr>
                          <w:rFonts w:ascii="Cambria Math" w:hAnsi="Cambria Math" w:cs="Times New Roman"/>
                          <w:b/>
                          <w:i/>
                        </w:rPr>
                      </m:ctrlPr>
                    </m:fPr>
                    <m:num>
                      <m:r>
                        <m:rPr>
                          <m:sty m:val="b"/>
                        </m:rPr>
                        <w:rPr>
                          <w:rFonts w:ascii="Cambria Math" w:hAnsi="Cambria Math" w:cs="Times New Roman"/>
                        </w:rPr>
                        <m:t>Million</m:t>
                      </m:r>
                      <m:r>
                        <m:rPr>
                          <m:sty m:val="b"/>
                        </m:rPr>
                        <w:rPr>
                          <w:rFonts w:ascii="Cambria Math" w:hAnsi="Cambria Math" w:cs="Times New Roman"/>
                          <w:lang w:val="en-US"/>
                        </w:rPr>
                        <m:t xml:space="preserve"> </m:t>
                      </m:r>
                      <m:r>
                        <m:rPr>
                          <m:sty m:val="b"/>
                        </m:rPr>
                        <w:rPr>
                          <w:rFonts w:ascii="Cambria Math" w:hAnsi="Cambria Math" w:cs="Times New Roman"/>
                        </w:rPr>
                        <m:t>2010</m:t>
                      </m:r>
                      <m:r>
                        <m:rPr>
                          <m:sty m:val="b"/>
                        </m:rPr>
                        <w:rPr>
                          <w:rFonts w:ascii="Cambria Math" w:hAnsi="Cambria Math" w:cs="Times New Roman"/>
                          <w:lang w:val="en-US"/>
                        </w:rPr>
                        <m:t xml:space="preserve"> </m:t>
                      </m:r>
                      <m:r>
                        <m:rPr>
                          <m:sty m:val="b"/>
                        </m:rPr>
                        <w:rPr>
                          <w:rFonts w:ascii="Cambria Math" w:hAnsi="Cambria Math" w:cs="Times New Roman"/>
                        </w:rPr>
                        <m:t>USD</m:t>
                      </m:r>
                    </m:num>
                    <m:den>
                      <m:r>
                        <m:rPr>
                          <m:sty m:val="b"/>
                        </m:rPr>
                        <w:rPr>
                          <w:rFonts w:ascii="Cambria Math" w:hAnsi="Cambria Math" w:cs="Times New Roman"/>
                        </w:rPr>
                        <m:t>billion</m:t>
                      </m:r>
                      <m:r>
                        <m:rPr>
                          <m:sty m:val="b"/>
                        </m:rPr>
                        <w:rPr>
                          <w:rFonts w:ascii="Cambria Math" w:hAnsi="Cambria Math" w:cs="Times New Roman"/>
                          <w:lang w:val="en-US"/>
                        </w:rPr>
                        <m:t xml:space="preserve"> </m:t>
                      </m:r>
                      <m:r>
                        <m:rPr>
                          <m:sty m:val="b"/>
                        </m:rPr>
                        <w:rPr>
                          <w:rFonts w:ascii="Cambria Math" w:hAnsi="Cambria Math" w:cs="Times New Roman"/>
                        </w:rPr>
                        <m:t>t</m:t>
                      </m:r>
                      <m:r>
                        <m:rPr>
                          <m:sty m:val="b"/>
                        </m:rPr>
                        <w:rPr>
                          <w:rFonts w:ascii="Cambria Math" w:hAnsi="Cambria Math" w:cs="Times New Roman"/>
                          <w:lang w:val="en-US"/>
                        </w:rPr>
                        <m:t>-</m:t>
                      </m:r>
                      <m:r>
                        <m:rPr>
                          <m:sty m:val="b"/>
                        </m:rPr>
                        <w:rPr>
                          <w:rFonts w:ascii="Cambria Math" w:hAnsi="Cambria Math" w:cs="Times New Roman"/>
                        </w:rPr>
                        <m:t>km</m:t>
                      </m:r>
                    </m:den>
                  </m:f>
                </m:e>
              </m:d>
            </m:oMath>
            <w:r w:rsidR="001D1B82" w:rsidRPr="00524A55">
              <w:rPr>
                <w:rFonts w:ascii="Times New Roman" w:hAnsi="Times New Roman" w:cs="Times New Roman"/>
                <w:b/>
                <w:lang w:val="en-US"/>
              </w:rPr>
              <w:t xml:space="preserve"> </w:t>
            </w:r>
          </w:p>
        </w:tc>
        <w:tc>
          <w:tcPr>
            <w:tcW w:w="1926" w:type="dxa"/>
            <w:tcBorders>
              <w:top w:val="nil"/>
              <w:bottom w:val="single" w:sz="4" w:space="0" w:color="auto"/>
            </w:tcBorders>
            <w:noWrap/>
            <w:vAlign w:val="center"/>
            <w:hideMark/>
          </w:tcPr>
          <w:p w14:paraId="2BA7ACB8" w14:textId="77777777" w:rsidR="001D1B82" w:rsidRPr="00524A55" w:rsidRDefault="00000000" w:rsidP="00D20363">
            <w:pPr>
              <w:jc w:val="center"/>
              <w:rPr>
                <w:rFonts w:ascii="Times New Roman" w:hAnsi="Times New Roman" w:cs="Times New Roman"/>
                <w:b/>
                <w:lang w:val="en-US"/>
              </w:rPr>
            </w:pPr>
            <m:oMath>
              <m:d>
                <m:dPr>
                  <m:begChr m:val="["/>
                  <m:endChr m:val="]"/>
                  <m:ctrlPr>
                    <w:rPr>
                      <w:rFonts w:ascii="Cambria Math" w:hAnsi="Cambria Math" w:cs="Times New Roman"/>
                      <w:b/>
                      <w:i/>
                    </w:rPr>
                  </m:ctrlPr>
                </m:dPr>
                <m:e>
                  <m:f>
                    <m:fPr>
                      <m:ctrlPr>
                        <w:rPr>
                          <w:rFonts w:ascii="Cambria Math" w:hAnsi="Cambria Math" w:cs="Times New Roman"/>
                          <w:b/>
                          <w:i/>
                        </w:rPr>
                      </m:ctrlPr>
                    </m:fPr>
                    <m:num>
                      <m:r>
                        <m:rPr>
                          <m:sty m:val="b"/>
                        </m:rPr>
                        <w:rPr>
                          <w:rFonts w:ascii="Cambria Math" w:hAnsi="Cambria Math" w:cs="Times New Roman"/>
                          <w:lang w:val="en-US"/>
                        </w:rPr>
                        <m:t>Million 2010 USD</m:t>
                      </m:r>
                    </m:num>
                    <m:den>
                      <m:r>
                        <m:rPr>
                          <m:sty m:val="b"/>
                        </m:rPr>
                        <w:rPr>
                          <w:rFonts w:ascii="Cambria Math" w:hAnsi="Cambria Math" w:cs="Times New Roman"/>
                          <w:lang w:val="en-US"/>
                        </w:rPr>
                        <m:t>billion t-km</m:t>
                      </m:r>
                    </m:den>
                  </m:f>
                </m:e>
              </m:d>
            </m:oMath>
            <w:r w:rsidR="001D1B82" w:rsidRPr="00524A55">
              <w:rPr>
                <w:rFonts w:ascii="Times New Roman" w:hAnsi="Times New Roman" w:cs="Times New Roman"/>
                <w:b/>
                <w:lang w:val="en-US"/>
              </w:rPr>
              <w:t xml:space="preserve"> </w:t>
            </w:r>
          </w:p>
        </w:tc>
      </w:tr>
      <w:tr w:rsidR="001D1B82" w:rsidRPr="00524A55" w14:paraId="2894E70A" w14:textId="77777777" w:rsidTr="001D1B82">
        <w:trPr>
          <w:trHeight w:val="300"/>
        </w:trPr>
        <w:tc>
          <w:tcPr>
            <w:tcW w:w="1925" w:type="dxa"/>
            <w:tcBorders>
              <w:top w:val="single" w:sz="4" w:space="0" w:color="auto"/>
            </w:tcBorders>
            <w:noWrap/>
            <w:vAlign w:val="center"/>
          </w:tcPr>
          <w:p w14:paraId="5CC57BA7"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2020</w:t>
            </w:r>
          </w:p>
        </w:tc>
        <w:tc>
          <w:tcPr>
            <w:tcW w:w="1926" w:type="dxa"/>
            <w:tcBorders>
              <w:top w:val="single" w:sz="4" w:space="0" w:color="auto"/>
            </w:tcBorders>
            <w:noWrap/>
            <w:vAlign w:val="center"/>
          </w:tcPr>
          <w:p w14:paraId="1F258E63"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Diesel ME</w:t>
            </w:r>
          </w:p>
        </w:tc>
        <w:tc>
          <w:tcPr>
            <w:tcW w:w="1925" w:type="dxa"/>
            <w:tcBorders>
              <w:top w:val="single" w:sz="4" w:space="0" w:color="auto"/>
            </w:tcBorders>
            <w:noWrap/>
            <w:vAlign w:val="center"/>
          </w:tcPr>
          <w:p w14:paraId="7ED421D6"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2794.1</w:t>
            </w:r>
          </w:p>
        </w:tc>
        <w:tc>
          <w:tcPr>
            <w:tcW w:w="1926" w:type="dxa"/>
            <w:tcBorders>
              <w:top w:val="single" w:sz="4" w:space="0" w:color="auto"/>
            </w:tcBorders>
            <w:noWrap/>
            <w:vAlign w:val="center"/>
          </w:tcPr>
          <w:p w14:paraId="2B22FF96"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588.4</w:t>
            </w:r>
          </w:p>
        </w:tc>
        <w:tc>
          <w:tcPr>
            <w:tcW w:w="1926" w:type="dxa"/>
            <w:tcBorders>
              <w:top w:val="single" w:sz="4" w:space="0" w:color="auto"/>
            </w:tcBorders>
            <w:noWrap/>
            <w:vAlign w:val="center"/>
          </w:tcPr>
          <w:p w14:paraId="78B3E63F"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66.5</w:t>
            </w:r>
          </w:p>
        </w:tc>
      </w:tr>
      <w:tr w:rsidR="001D1B82" w:rsidRPr="00524A55" w14:paraId="4EF5D622" w14:textId="77777777" w:rsidTr="001D1B82">
        <w:trPr>
          <w:trHeight w:val="300"/>
        </w:trPr>
        <w:tc>
          <w:tcPr>
            <w:tcW w:w="1925" w:type="dxa"/>
            <w:noWrap/>
            <w:vAlign w:val="center"/>
          </w:tcPr>
          <w:p w14:paraId="737030B0"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2030</w:t>
            </w:r>
          </w:p>
        </w:tc>
        <w:tc>
          <w:tcPr>
            <w:tcW w:w="1926" w:type="dxa"/>
            <w:noWrap/>
            <w:vAlign w:val="center"/>
          </w:tcPr>
          <w:p w14:paraId="3208C9C6"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Diesel ME</w:t>
            </w:r>
          </w:p>
        </w:tc>
        <w:tc>
          <w:tcPr>
            <w:tcW w:w="1925" w:type="dxa"/>
            <w:noWrap/>
            <w:vAlign w:val="center"/>
          </w:tcPr>
          <w:p w14:paraId="163171E5"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2680.8</w:t>
            </w:r>
          </w:p>
        </w:tc>
        <w:tc>
          <w:tcPr>
            <w:tcW w:w="1926" w:type="dxa"/>
            <w:noWrap/>
            <w:vAlign w:val="center"/>
          </w:tcPr>
          <w:p w14:paraId="01EB242E"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588.4</w:t>
            </w:r>
          </w:p>
        </w:tc>
        <w:tc>
          <w:tcPr>
            <w:tcW w:w="1926" w:type="dxa"/>
            <w:noWrap/>
            <w:vAlign w:val="center"/>
          </w:tcPr>
          <w:p w14:paraId="34D79EDA"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67.5</w:t>
            </w:r>
          </w:p>
        </w:tc>
      </w:tr>
      <w:tr w:rsidR="001D1B82" w:rsidRPr="00524A55" w14:paraId="27801D50" w14:textId="77777777" w:rsidTr="001D1B82">
        <w:trPr>
          <w:trHeight w:val="300"/>
        </w:trPr>
        <w:tc>
          <w:tcPr>
            <w:tcW w:w="1925" w:type="dxa"/>
            <w:noWrap/>
            <w:vAlign w:val="center"/>
          </w:tcPr>
          <w:p w14:paraId="4824A507"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2040</w:t>
            </w:r>
          </w:p>
        </w:tc>
        <w:tc>
          <w:tcPr>
            <w:tcW w:w="1926" w:type="dxa"/>
            <w:noWrap/>
            <w:vAlign w:val="center"/>
          </w:tcPr>
          <w:p w14:paraId="40DBCCBE"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Diesel ME</w:t>
            </w:r>
          </w:p>
        </w:tc>
        <w:tc>
          <w:tcPr>
            <w:tcW w:w="1925" w:type="dxa"/>
            <w:noWrap/>
            <w:vAlign w:val="center"/>
          </w:tcPr>
          <w:p w14:paraId="4B4A6EA3"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2576.3</w:t>
            </w:r>
          </w:p>
        </w:tc>
        <w:tc>
          <w:tcPr>
            <w:tcW w:w="1926" w:type="dxa"/>
            <w:noWrap/>
            <w:vAlign w:val="center"/>
          </w:tcPr>
          <w:p w14:paraId="01834659"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588.4</w:t>
            </w:r>
          </w:p>
        </w:tc>
        <w:tc>
          <w:tcPr>
            <w:tcW w:w="1926" w:type="dxa"/>
            <w:noWrap/>
            <w:vAlign w:val="center"/>
          </w:tcPr>
          <w:p w14:paraId="242E83B9"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63.7</w:t>
            </w:r>
          </w:p>
        </w:tc>
      </w:tr>
      <w:tr w:rsidR="001D1B82" w:rsidRPr="00524A55" w14:paraId="0438DF9B" w14:textId="77777777" w:rsidTr="001D1B82">
        <w:trPr>
          <w:trHeight w:val="300"/>
        </w:trPr>
        <w:tc>
          <w:tcPr>
            <w:tcW w:w="1925" w:type="dxa"/>
            <w:noWrap/>
            <w:vAlign w:val="center"/>
          </w:tcPr>
          <w:p w14:paraId="78F14184"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2050</w:t>
            </w:r>
          </w:p>
        </w:tc>
        <w:tc>
          <w:tcPr>
            <w:tcW w:w="1926" w:type="dxa"/>
            <w:noWrap/>
            <w:vAlign w:val="center"/>
          </w:tcPr>
          <w:p w14:paraId="5A6B5708"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Diesel ME</w:t>
            </w:r>
          </w:p>
        </w:tc>
        <w:tc>
          <w:tcPr>
            <w:tcW w:w="1925" w:type="dxa"/>
            <w:noWrap/>
            <w:vAlign w:val="center"/>
          </w:tcPr>
          <w:p w14:paraId="62F6A9B1"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2479.7</w:t>
            </w:r>
          </w:p>
        </w:tc>
        <w:tc>
          <w:tcPr>
            <w:tcW w:w="1926" w:type="dxa"/>
            <w:noWrap/>
            <w:vAlign w:val="center"/>
          </w:tcPr>
          <w:p w14:paraId="2BD8D8B3"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588.4</w:t>
            </w:r>
          </w:p>
        </w:tc>
        <w:tc>
          <w:tcPr>
            <w:tcW w:w="1926" w:type="dxa"/>
            <w:noWrap/>
            <w:vAlign w:val="center"/>
          </w:tcPr>
          <w:p w14:paraId="38FE05FF"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63.7</w:t>
            </w:r>
          </w:p>
        </w:tc>
      </w:tr>
      <w:tr w:rsidR="001D1B82" w:rsidRPr="00524A55" w14:paraId="1235D331" w14:textId="77777777" w:rsidTr="001D1B82">
        <w:trPr>
          <w:trHeight w:val="300"/>
        </w:trPr>
        <w:tc>
          <w:tcPr>
            <w:tcW w:w="1925" w:type="dxa"/>
            <w:noWrap/>
            <w:vAlign w:val="center"/>
          </w:tcPr>
          <w:p w14:paraId="14E6FA3A"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2020</w:t>
            </w:r>
          </w:p>
        </w:tc>
        <w:tc>
          <w:tcPr>
            <w:tcW w:w="1926" w:type="dxa"/>
            <w:noWrap/>
            <w:vAlign w:val="center"/>
          </w:tcPr>
          <w:p w14:paraId="7C1A5065"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Diesel HE</w:t>
            </w:r>
          </w:p>
        </w:tc>
        <w:tc>
          <w:tcPr>
            <w:tcW w:w="1925" w:type="dxa"/>
            <w:noWrap/>
            <w:vAlign w:val="center"/>
          </w:tcPr>
          <w:p w14:paraId="188B1DEB"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2527.4</w:t>
            </w:r>
          </w:p>
        </w:tc>
        <w:tc>
          <w:tcPr>
            <w:tcW w:w="1926" w:type="dxa"/>
            <w:noWrap/>
            <w:vAlign w:val="center"/>
          </w:tcPr>
          <w:p w14:paraId="2C077127"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599.9</w:t>
            </w:r>
          </w:p>
        </w:tc>
        <w:tc>
          <w:tcPr>
            <w:tcW w:w="1926" w:type="dxa"/>
            <w:noWrap/>
            <w:vAlign w:val="center"/>
          </w:tcPr>
          <w:p w14:paraId="348CA229"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67.3</w:t>
            </w:r>
          </w:p>
        </w:tc>
      </w:tr>
      <w:tr w:rsidR="001D1B82" w:rsidRPr="00524A55" w14:paraId="08DA672E" w14:textId="77777777" w:rsidTr="001D1B82">
        <w:trPr>
          <w:trHeight w:val="300"/>
        </w:trPr>
        <w:tc>
          <w:tcPr>
            <w:tcW w:w="1925" w:type="dxa"/>
            <w:noWrap/>
            <w:vAlign w:val="center"/>
          </w:tcPr>
          <w:p w14:paraId="35F3BF8A"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2030</w:t>
            </w:r>
          </w:p>
        </w:tc>
        <w:tc>
          <w:tcPr>
            <w:tcW w:w="1926" w:type="dxa"/>
            <w:noWrap/>
            <w:vAlign w:val="center"/>
          </w:tcPr>
          <w:p w14:paraId="6307E893"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Diesel HE</w:t>
            </w:r>
          </w:p>
        </w:tc>
        <w:tc>
          <w:tcPr>
            <w:tcW w:w="1925" w:type="dxa"/>
            <w:noWrap/>
            <w:vAlign w:val="center"/>
          </w:tcPr>
          <w:p w14:paraId="41722844"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2434.3</w:t>
            </w:r>
          </w:p>
        </w:tc>
        <w:tc>
          <w:tcPr>
            <w:tcW w:w="1926" w:type="dxa"/>
            <w:noWrap/>
            <w:vAlign w:val="center"/>
          </w:tcPr>
          <w:p w14:paraId="537FA2E0"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615.0</w:t>
            </w:r>
          </w:p>
        </w:tc>
        <w:tc>
          <w:tcPr>
            <w:tcW w:w="1926" w:type="dxa"/>
            <w:noWrap/>
            <w:vAlign w:val="center"/>
          </w:tcPr>
          <w:p w14:paraId="629853F9"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68.3</w:t>
            </w:r>
          </w:p>
        </w:tc>
      </w:tr>
      <w:tr w:rsidR="001D1B82" w:rsidRPr="00524A55" w14:paraId="1B59E5C5" w14:textId="77777777" w:rsidTr="001D1B82">
        <w:trPr>
          <w:trHeight w:val="300"/>
        </w:trPr>
        <w:tc>
          <w:tcPr>
            <w:tcW w:w="1925" w:type="dxa"/>
            <w:noWrap/>
            <w:vAlign w:val="center"/>
          </w:tcPr>
          <w:p w14:paraId="3DB4FC85"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2040</w:t>
            </w:r>
          </w:p>
        </w:tc>
        <w:tc>
          <w:tcPr>
            <w:tcW w:w="1926" w:type="dxa"/>
            <w:noWrap/>
            <w:vAlign w:val="center"/>
          </w:tcPr>
          <w:p w14:paraId="6348459E"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Diesel HE</w:t>
            </w:r>
          </w:p>
        </w:tc>
        <w:tc>
          <w:tcPr>
            <w:tcW w:w="1925" w:type="dxa"/>
            <w:noWrap/>
            <w:vAlign w:val="center"/>
          </w:tcPr>
          <w:p w14:paraId="66A3AD4A"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2347.9</w:t>
            </w:r>
          </w:p>
        </w:tc>
        <w:tc>
          <w:tcPr>
            <w:tcW w:w="1926" w:type="dxa"/>
            <w:noWrap/>
            <w:vAlign w:val="center"/>
          </w:tcPr>
          <w:p w14:paraId="303BE97E"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615.0</w:t>
            </w:r>
          </w:p>
        </w:tc>
        <w:tc>
          <w:tcPr>
            <w:tcW w:w="1926" w:type="dxa"/>
            <w:noWrap/>
            <w:vAlign w:val="center"/>
          </w:tcPr>
          <w:p w14:paraId="0579590C"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64.4</w:t>
            </w:r>
          </w:p>
        </w:tc>
      </w:tr>
      <w:tr w:rsidR="001D1B82" w:rsidRPr="00524A55" w14:paraId="749607B3" w14:textId="77777777" w:rsidTr="001D1B82">
        <w:trPr>
          <w:trHeight w:val="300"/>
        </w:trPr>
        <w:tc>
          <w:tcPr>
            <w:tcW w:w="1925" w:type="dxa"/>
            <w:noWrap/>
            <w:vAlign w:val="center"/>
          </w:tcPr>
          <w:p w14:paraId="62D08A2F"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2050</w:t>
            </w:r>
          </w:p>
        </w:tc>
        <w:tc>
          <w:tcPr>
            <w:tcW w:w="1926" w:type="dxa"/>
            <w:noWrap/>
            <w:vAlign w:val="center"/>
          </w:tcPr>
          <w:p w14:paraId="7552222F"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Diesel HE</w:t>
            </w:r>
          </w:p>
        </w:tc>
        <w:tc>
          <w:tcPr>
            <w:tcW w:w="1925" w:type="dxa"/>
            <w:noWrap/>
            <w:vAlign w:val="center"/>
          </w:tcPr>
          <w:p w14:paraId="6AF6619A"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2267.4</w:t>
            </w:r>
          </w:p>
        </w:tc>
        <w:tc>
          <w:tcPr>
            <w:tcW w:w="1926" w:type="dxa"/>
            <w:noWrap/>
            <w:vAlign w:val="center"/>
          </w:tcPr>
          <w:p w14:paraId="090B4CF5"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615.0</w:t>
            </w:r>
          </w:p>
        </w:tc>
        <w:tc>
          <w:tcPr>
            <w:tcW w:w="1926" w:type="dxa"/>
            <w:noWrap/>
            <w:vAlign w:val="center"/>
          </w:tcPr>
          <w:p w14:paraId="1193F7CC"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64.4</w:t>
            </w:r>
          </w:p>
        </w:tc>
      </w:tr>
      <w:tr w:rsidR="001D1B82" w:rsidRPr="00524A55" w14:paraId="78351D15" w14:textId="77777777" w:rsidTr="001D1B82">
        <w:trPr>
          <w:trHeight w:val="300"/>
        </w:trPr>
        <w:tc>
          <w:tcPr>
            <w:tcW w:w="1925" w:type="dxa"/>
            <w:noWrap/>
            <w:vAlign w:val="center"/>
          </w:tcPr>
          <w:p w14:paraId="3AB25FE1"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2020</w:t>
            </w:r>
          </w:p>
        </w:tc>
        <w:tc>
          <w:tcPr>
            <w:tcW w:w="1926" w:type="dxa"/>
            <w:noWrap/>
            <w:vAlign w:val="center"/>
          </w:tcPr>
          <w:p w14:paraId="68150C55"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Diesel SE</w:t>
            </w:r>
          </w:p>
        </w:tc>
        <w:tc>
          <w:tcPr>
            <w:tcW w:w="1925" w:type="dxa"/>
            <w:noWrap/>
            <w:vAlign w:val="center"/>
          </w:tcPr>
          <w:p w14:paraId="0A8711AB"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4955.7</w:t>
            </w:r>
          </w:p>
        </w:tc>
        <w:tc>
          <w:tcPr>
            <w:tcW w:w="1926" w:type="dxa"/>
            <w:noWrap/>
            <w:vAlign w:val="center"/>
          </w:tcPr>
          <w:p w14:paraId="7ABD791A"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576.8</w:t>
            </w:r>
          </w:p>
        </w:tc>
        <w:tc>
          <w:tcPr>
            <w:tcW w:w="1926" w:type="dxa"/>
            <w:noWrap/>
            <w:vAlign w:val="center"/>
          </w:tcPr>
          <w:p w14:paraId="51DBCC30"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65.7</w:t>
            </w:r>
          </w:p>
        </w:tc>
      </w:tr>
      <w:tr w:rsidR="001D1B82" w:rsidRPr="00524A55" w14:paraId="3F0C27E9" w14:textId="77777777" w:rsidTr="001D1B82">
        <w:trPr>
          <w:trHeight w:val="300"/>
        </w:trPr>
        <w:tc>
          <w:tcPr>
            <w:tcW w:w="1925" w:type="dxa"/>
            <w:noWrap/>
            <w:vAlign w:val="center"/>
          </w:tcPr>
          <w:p w14:paraId="28A9B20E"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2030</w:t>
            </w:r>
          </w:p>
        </w:tc>
        <w:tc>
          <w:tcPr>
            <w:tcW w:w="1926" w:type="dxa"/>
            <w:noWrap/>
            <w:vAlign w:val="center"/>
          </w:tcPr>
          <w:p w14:paraId="11208DA5"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Diesel SE</w:t>
            </w:r>
          </w:p>
        </w:tc>
        <w:tc>
          <w:tcPr>
            <w:tcW w:w="1925" w:type="dxa"/>
            <w:noWrap/>
            <w:vAlign w:val="center"/>
          </w:tcPr>
          <w:p w14:paraId="28E69C27"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4732.1</w:t>
            </w:r>
          </w:p>
        </w:tc>
        <w:tc>
          <w:tcPr>
            <w:tcW w:w="1926" w:type="dxa"/>
            <w:noWrap/>
            <w:vAlign w:val="center"/>
          </w:tcPr>
          <w:p w14:paraId="32015A43"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576.8</w:t>
            </w:r>
          </w:p>
        </w:tc>
        <w:tc>
          <w:tcPr>
            <w:tcW w:w="1926" w:type="dxa"/>
            <w:noWrap/>
            <w:vAlign w:val="center"/>
          </w:tcPr>
          <w:p w14:paraId="78F08ADD"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66.7</w:t>
            </w:r>
          </w:p>
        </w:tc>
      </w:tr>
      <w:tr w:rsidR="001D1B82" w:rsidRPr="00524A55" w14:paraId="7B2BF4B2" w14:textId="77777777" w:rsidTr="001D1B82">
        <w:trPr>
          <w:trHeight w:val="300"/>
        </w:trPr>
        <w:tc>
          <w:tcPr>
            <w:tcW w:w="1925" w:type="dxa"/>
            <w:noWrap/>
            <w:vAlign w:val="center"/>
          </w:tcPr>
          <w:p w14:paraId="5063F793"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2040</w:t>
            </w:r>
          </w:p>
        </w:tc>
        <w:tc>
          <w:tcPr>
            <w:tcW w:w="1926" w:type="dxa"/>
            <w:noWrap/>
            <w:vAlign w:val="center"/>
          </w:tcPr>
          <w:p w14:paraId="261DABC1"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Diesel SE</w:t>
            </w:r>
          </w:p>
        </w:tc>
        <w:tc>
          <w:tcPr>
            <w:tcW w:w="1925" w:type="dxa"/>
            <w:noWrap/>
            <w:vAlign w:val="center"/>
          </w:tcPr>
          <w:p w14:paraId="5B52CD6C"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4527.8</w:t>
            </w:r>
          </w:p>
        </w:tc>
        <w:tc>
          <w:tcPr>
            <w:tcW w:w="1926" w:type="dxa"/>
            <w:noWrap/>
            <w:vAlign w:val="center"/>
          </w:tcPr>
          <w:p w14:paraId="129F9EED"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576.8</w:t>
            </w:r>
          </w:p>
        </w:tc>
        <w:tc>
          <w:tcPr>
            <w:tcW w:w="1926" w:type="dxa"/>
            <w:noWrap/>
            <w:vAlign w:val="center"/>
          </w:tcPr>
          <w:p w14:paraId="10A092C9"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62.9</w:t>
            </w:r>
          </w:p>
        </w:tc>
      </w:tr>
      <w:tr w:rsidR="001D1B82" w:rsidRPr="00524A55" w14:paraId="6A0D09E8" w14:textId="77777777" w:rsidTr="001D1B82">
        <w:trPr>
          <w:trHeight w:val="300"/>
        </w:trPr>
        <w:tc>
          <w:tcPr>
            <w:tcW w:w="1925" w:type="dxa"/>
            <w:noWrap/>
            <w:vAlign w:val="center"/>
          </w:tcPr>
          <w:p w14:paraId="60573C09"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2050</w:t>
            </w:r>
          </w:p>
        </w:tc>
        <w:tc>
          <w:tcPr>
            <w:tcW w:w="1926" w:type="dxa"/>
            <w:noWrap/>
            <w:vAlign w:val="center"/>
          </w:tcPr>
          <w:p w14:paraId="0DA70A5A"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Diesel SE</w:t>
            </w:r>
          </w:p>
        </w:tc>
        <w:tc>
          <w:tcPr>
            <w:tcW w:w="1925" w:type="dxa"/>
            <w:noWrap/>
            <w:vAlign w:val="center"/>
          </w:tcPr>
          <w:p w14:paraId="5C44D372"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4340.4</w:t>
            </w:r>
          </w:p>
        </w:tc>
        <w:tc>
          <w:tcPr>
            <w:tcW w:w="1926" w:type="dxa"/>
            <w:noWrap/>
            <w:vAlign w:val="center"/>
          </w:tcPr>
          <w:p w14:paraId="57709175"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576.8</w:t>
            </w:r>
          </w:p>
        </w:tc>
        <w:tc>
          <w:tcPr>
            <w:tcW w:w="1926" w:type="dxa"/>
            <w:noWrap/>
            <w:vAlign w:val="center"/>
          </w:tcPr>
          <w:p w14:paraId="14891591"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62.9</w:t>
            </w:r>
          </w:p>
        </w:tc>
      </w:tr>
      <w:tr w:rsidR="001D1B82" w:rsidRPr="00524A55" w14:paraId="6EFFA83D" w14:textId="77777777" w:rsidTr="001D1B82">
        <w:trPr>
          <w:trHeight w:val="300"/>
        </w:trPr>
        <w:tc>
          <w:tcPr>
            <w:tcW w:w="1925" w:type="dxa"/>
            <w:noWrap/>
            <w:vAlign w:val="center"/>
          </w:tcPr>
          <w:p w14:paraId="1141E5E5"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2020</w:t>
            </w:r>
          </w:p>
        </w:tc>
        <w:tc>
          <w:tcPr>
            <w:tcW w:w="1926" w:type="dxa"/>
            <w:noWrap/>
            <w:vAlign w:val="center"/>
          </w:tcPr>
          <w:p w14:paraId="281D4926"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Battery Electric</w:t>
            </w:r>
          </w:p>
        </w:tc>
        <w:tc>
          <w:tcPr>
            <w:tcW w:w="1925" w:type="dxa"/>
            <w:noWrap/>
            <w:vAlign w:val="center"/>
          </w:tcPr>
          <w:p w14:paraId="068C112C"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873.2</w:t>
            </w:r>
          </w:p>
        </w:tc>
        <w:tc>
          <w:tcPr>
            <w:tcW w:w="1926" w:type="dxa"/>
            <w:noWrap/>
            <w:vAlign w:val="center"/>
          </w:tcPr>
          <w:p w14:paraId="467B7AB5"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887.0</w:t>
            </w:r>
          </w:p>
        </w:tc>
        <w:tc>
          <w:tcPr>
            <w:tcW w:w="1926" w:type="dxa"/>
            <w:noWrap/>
            <w:vAlign w:val="center"/>
          </w:tcPr>
          <w:p w14:paraId="0A1F54AA"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95.2</w:t>
            </w:r>
          </w:p>
        </w:tc>
      </w:tr>
      <w:tr w:rsidR="001D1B82" w:rsidRPr="00524A55" w14:paraId="5F0C8716" w14:textId="77777777" w:rsidTr="001D1B82">
        <w:trPr>
          <w:trHeight w:val="300"/>
        </w:trPr>
        <w:tc>
          <w:tcPr>
            <w:tcW w:w="1925" w:type="dxa"/>
            <w:noWrap/>
            <w:vAlign w:val="center"/>
          </w:tcPr>
          <w:p w14:paraId="60E62BFC"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2030</w:t>
            </w:r>
          </w:p>
        </w:tc>
        <w:tc>
          <w:tcPr>
            <w:tcW w:w="1926" w:type="dxa"/>
            <w:noWrap/>
            <w:vAlign w:val="center"/>
          </w:tcPr>
          <w:p w14:paraId="79325E40"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Battery Electric</w:t>
            </w:r>
          </w:p>
        </w:tc>
        <w:tc>
          <w:tcPr>
            <w:tcW w:w="1925" w:type="dxa"/>
            <w:noWrap/>
            <w:vAlign w:val="center"/>
          </w:tcPr>
          <w:p w14:paraId="1C56B92F"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773.6</w:t>
            </w:r>
          </w:p>
        </w:tc>
        <w:tc>
          <w:tcPr>
            <w:tcW w:w="1926" w:type="dxa"/>
            <w:noWrap/>
            <w:vAlign w:val="center"/>
          </w:tcPr>
          <w:p w14:paraId="460B0455"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887.0</w:t>
            </w:r>
          </w:p>
        </w:tc>
        <w:tc>
          <w:tcPr>
            <w:tcW w:w="1926" w:type="dxa"/>
            <w:noWrap/>
            <w:vAlign w:val="center"/>
          </w:tcPr>
          <w:p w14:paraId="2FB21CED"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66.7</w:t>
            </w:r>
          </w:p>
        </w:tc>
      </w:tr>
      <w:tr w:rsidR="001D1B82" w:rsidRPr="00524A55" w14:paraId="3A5094DA" w14:textId="77777777" w:rsidTr="001D1B82">
        <w:trPr>
          <w:trHeight w:val="300"/>
        </w:trPr>
        <w:tc>
          <w:tcPr>
            <w:tcW w:w="1925" w:type="dxa"/>
            <w:noWrap/>
            <w:vAlign w:val="center"/>
          </w:tcPr>
          <w:p w14:paraId="7EA752C5"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2040</w:t>
            </w:r>
          </w:p>
        </w:tc>
        <w:tc>
          <w:tcPr>
            <w:tcW w:w="1926" w:type="dxa"/>
            <w:noWrap/>
            <w:vAlign w:val="center"/>
          </w:tcPr>
          <w:p w14:paraId="741F5277"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Battery Electric</w:t>
            </w:r>
          </w:p>
        </w:tc>
        <w:tc>
          <w:tcPr>
            <w:tcW w:w="1925" w:type="dxa"/>
            <w:noWrap/>
            <w:vAlign w:val="center"/>
          </w:tcPr>
          <w:p w14:paraId="70AB85A8"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696.2</w:t>
            </w:r>
          </w:p>
        </w:tc>
        <w:tc>
          <w:tcPr>
            <w:tcW w:w="1926" w:type="dxa"/>
            <w:noWrap/>
            <w:vAlign w:val="center"/>
          </w:tcPr>
          <w:p w14:paraId="7F33638E"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864.7</w:t>
            </w:r>
          </w:p>
        </w:tc>
        <w:tc>
          <w:tcPr>
            <w:tcW w:w="1926" w:type="dxa"/>
            <w:noWrap/>
            <w:vAlign w:val="center"/>
          </w:tcPr>
          <w:p w14:paraId="717F4395"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54.9</w:t>
            </w:r>
          </w:p>
        </w:tc>
      </w:tr>
      <w:tr w:rsidR="001D1B82" w:rsidRPr="00524A55" w14:paraId="226D5202" w14:textId="77777777" w:rsidTr="001D1B82">
        <w:trPr>
          <w:trHeight w:val="300"/>
        </w:trPr>
        <w:tc>
          <w:tcPr>
            <w:tcW w:w="1925" w:type="dxa"/>
            <w:noWrap/>
            <w:vAlign w:val="center"/>
          </w:tcPr>
          <w:p w14:paraId="406B546C"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2050</w:t>
            </w:r>
          </w:p>
        </w:tc>
        <w:tc>
          <w:tcPr>
            <w:tcW w:w="1926" w:type="dxa"/>
            <w:noWrap/>
            <w:vAlign w:val="center"/>
          </w:tcPr>
          <w:p w14:paraId="70929C48"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Battery Electric</w:t>
            </w:r>
          </w:p>
        </w:tc>
        <w:tc>
          <w:tcPr>
            <w:tcW w:w="1925" w:type="dxa"/>
            <w:noWrap/>
            <w:vAlign w:val="center"/>
          </w:tcPr>
          <w:p w14:paraId="43826952"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682.3</w:t>
            </w:r>
          </w:p>
        </w:tc>
        <w:tc>
          <w:tcPr>
            <w:tcW w:w="1926" w:type="dxa"/>
            <w:noWrap/>
            <w:vAlign w:val="center"/>
          </w:tcPr>
          <w:p w14:paraId="7D0F4FAB"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842.4</w:t>
            </w:r>
          </w:p>
        </w:tc>
        <w:tc>
          <w:tcPr>
            <w:tcW w:w="1926" w:type="dxa"/>
            <w:noWrap/>
            <w:vAlign w:val="center"/>
          </w:tcPr>
          <w:p w14:paraId="4F704E01"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54.9</w:t>
            </w:r>
          </w:p>
        </w:tc>
      </w:tr>
      <w:tr w:rsidR="001D1B82" w:rsidRPr="00524A55" w14:paraId="2B04AAAD" w14:textId="77777777" w:rsidTr="001D1B82">
        <w:trPr>
          <w:trHeight w:val="300"/>
        </w:trPr>
        <w:tc>
          <w:tcPr>
            <w:tcW w:w="1925" w:type="dxa"/>
            <w:noWrap/>
            <w:vAlign w:val="center"/>
          </w:tcPr>
          <w:p w14:paraId="56EFE1CE"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2020</w:t>
            </w:r>
          </w:p>
        </w:tc>
        <w:tc>
          <w:tcPr>
            <w:tcW w:w="1926" w:type="dxa"/>
            <w:noWrap/>
            <w:vAlign w:val="center"/>
          </w:tcPr>
          <w:p w14:paraId="4BB675D3"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Gasoline SE</w:t>
            </w:r>
          </w:p>
        </w:tc>
        <w:tc>
          <w:tcPr>
            <w:tcW w:w="1925" w:type="dxa"/>
            <w:noWrap/>
            <w:vAlign w:val="center"/>
          </w:tcPr>
          <w:p w14:paraId="31D2FF43"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2340.2</w:t>
            </w:r>
          </w:p>
        </w:tc>
        <w:tc>
          <w:tcPr>
            <w:tcW w:w="1926" w:type="dxa"/>
            <w:noWrap/>
            <w:vAlign w:val="center"/>
          </w:tcPr>
          <w:p w14:paraId="06977E7E"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576.8</w:t>
            </w:r>
          </w:p>
        </w:tc>
        <w:tc>
          <w:tcPr>
            <w:tcW w:w="1926" w:type="dxa"/>
            <w:noWrap/>
            <w:vAlign w:val="center"/>
          </w:tcPr>
          <w:p w14:paraId="7CDC5062"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65.7</w:t>
            </w:r>
          </w:p>
        </w:tc>
      </w:tr>
      <w:tr w:rsidR="001D1B82" w:rsidRPr="00524A55" w14:paraId="3CB77A74" w14:textId="77777777" w:rsidTr="001D1B82">
        <w:trPr>
          <w:trHeight w:val="300"/>
        </w:trPr>
        <w:tc>
          <w:tcPr>
            <w:tcW w:w="1925" w:type="dxa"/>
            <w:noWrap/>
            <w:vAlign w:val="center"/>
          </w:tcPr>
          <w:p w14:paraId="6D14780D"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2030</w:t>
            </w:r>
          </w:p>
        </w:tc>
        <w:tc>
          <w:tcPr>
            <w:tcW w:w="1926" w:type="dxa"/>
            <w:noWrap/>
            <w:vAlign w:val="center"/>
          </w:tcPr>
          <w:p w14:paraId="454E7652"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Gasoline SE</w:t>
            </w:r>
          </w:p>
        </w:tc>
        <w:tc>
          <w:tcPr>
            <w:tcW w:w="1925" w:type="dxa"/>
            <w:noWrap/>
            <w:vAlign w:val="center"/>
          </w:tcPr>
          <w:p w14:paraId="6E1DFB55"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2221.2</w:t>
            </w:r>
          </w:p>
        </w:tc>
        <w:tc>
          <w:tcPr>
            <w:tcW w:w="1926" w:type="dxa"/>
            <w:noWrap/>
            <w:vAlign w:val="center"/>
          </w:tcPr>
          <w:p w14:paraId="0F3FDA07"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591.4</w:t>
            </w:r>
          </w:p>
        </w:tc>
        <w:tc>
          <w:tcPr>
            <w:tcW w:w="1926" w:type="dxa"/>
            <w:noWrap/>
            <w:vAlign w:val="center"/>
          </w:tcPr>
          <w:p w14:paraId="1F9BF29F"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66.7</w:t>
            </w:r>
          </w:p>
        </w:tc>
      </w:tr>
      <w:tr w:rsidR="001D1B82" w:rsidRPr="00524A55" w14:paraId="3967FA34" w14:textId="77777777" w:rsidTr="001D1B82">
        <w:trPr>
          <w:trHeight w:val="300"/>
        </w:trPr>
        <w:tc>
          <w:tcPr>
            <w:tcW w:w="1925" w:type="dxa"/>
            <w:noWrap/>
            <w:vAlign w:val="center"/>
          </w:tcPr>
          <w:p w14:paraId="65E192EC"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2040</w:t>
            </w:r>
          </w:p>
        </w:tc>
        <w:tc>
          <w:tcPr>
            <w:tcW w:w="1926" w:type="dxa"/>
            <w:noWrap/>
            <w:vAlign w:val="center"/>
          </w:tcPr>
          <w:p w14:paraId="19CE5F53"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Gasoline SE</w:t>
            </w:r>
          </w:p>
        </w:tc>
        <w:tc>
          <w:tcPr>
            <w:tcW w:w="1925" w:type="dxa"/>
            <w:noWrap/>
            <w:vAlign w:val="center"/>
          </w:tcPr>
          <w:p w14:paraId="1D2BA2BC"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2113.8</w:t>
            </w:r>
          </w:p>
        </w:tc>
        <w:tc>
          <w:tcPr>
            <w:tcW w:w="1926" w:type="dxa"/>
            <w:noWrap/>
            <w:vAlign w:val="center"/>
          </w:tcPr>
          <w:p w14:paraId="2E0EC6E3"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591.4</w:t>
            </w:r>
          </w:p>
        </w:tc>
        <w:tc>
          <w:tcPr>
            <w:tcW w:w="1926" w:type="dxa"/>
            <w:noWrap/>
            <w:vAlign w:val="center"/>
          </w:tcPr>
          <w:p w14:paraId="07F0BBF9"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62.9</w:t>
            </w:r>
          </w:p>
        </w:tc>
      </w:tr>
      <w:tr w:rsidR="001D1B82" w:rsidRPr="00524A55" w14:paraId="0963C092" w14:textId="77777777" w:rsidTr="001D1B82">
        <w:trPr>
          <w:trHeight w:val="300"/>
        </w:trPr>
        <w:tc>
          <w:tcPr>
            <w:tcW w:w="1925" w:type="dxa"/>
            <w:noWrap/>
            <w:vAlign w:val="center"/>
          </w:tcPr>
          <w:p w14:paraId="64F65FF3"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2050</w:t>
            </w:r>
          </w:p>
        </w:tc>
        <w:tc>
          <w:tcPr>
            <w:tcW w:w="1926" w:type="dxa"/>
            <w:noWrap/>
            <w:vAlign w:val="center"/>
          </w:tcPr>
          <w:p w14:paraId="5ACBDCEB"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Gasoline SE</w:t>
            </w:r>
          </w:p>
        </w:tc>
        <w:tc>
          <w:tcPr>
            <w:tcW w:w="1925" w:type="dxa"/>
            <w:noWrap/>
            <w:vAlign w:val="center"/>
          </w:tcPr>
          <w:p w14:paraId="59E715EF"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2016.2</w:t>
            </w:r>
          </w:p>
        </w:tc>
        <w:tc>
          <w:tcPr>
            <w:tcW w:w="1926" w:type="dxa"/>
            <w:noWrap/>
            <w:vAlign w:val="center"/>
          </w:tcPr>
          <w:p w14:paraId="1141679D"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591.4</w:t>
            </w:r>
          </w:p>
        </w:tc>
        <w:tc>
          <w:tcPr>
            <w:tcW w:w="1926" w:type="dxa"/>
            <w:noWrap/>
            <w:vAlign w:val="center"/>
          </w:tcPr>
          <w:p w14:paraId="1530BA32"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62.9</w:t>
            </w:r>
          </w:p>
        </w:tc>
      </w:tr>
      <w:tr w:rsidR="001D1B82" w:rsidRPr="00524A55" w14:paraId="43679CEE" w14:textId="77777777" w:rsidTr="001D1B82">
        <w:trPr>
          <w:trHeight w:val="300"/>
        </w:trPr>
        <w:tc>
          <w:tcPr>
            <w:tcW w:w="1925" w:type="dxa"/>
            <w:noWrap/>
            <w:vAlign w:val="center"/>
          </w:tcPr>
          <w:p w14:paraId="52DF618D"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2020</w:t>
            </w:r>
          </w:p>
        </w:tc>
        <w:tc>
          <w:tcPr>
            <w:tcW w:w="1926" w:type="dxa"/>
            <w:noWrap/>
            <w:vAlign w:val="center"/>
          </w:tcPr>
          <w:p w14:paraId="5EAE471F"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Hydrogen</w:t>
            </w:r>
          </w:p>
        </w:tc>
        <w:tc>
          <w:tcPr>
            <w:tcW w:w="1925" w:type="dxa"/>
            <w:noWrap/>
            <w:vAlign w:val="center"/>
          </w:tcPr>
          <w:p w14:paraId="5EEB557D"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1616.1</w:t>
            </w:r>
          </w:p>
        </w:tc>
        <w:tc>
          <w:tcPr>
            <w:tcW w:w="1926" w:type="dxa"/>
            <w:noWrap/>
            <w:vAlign w:val="center"/>
          </w:tcPr>
          <w:p w14:paraId="053B8577"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803.5</w:t>
            </w:r>
          </w:p>
        </w:tc>
        <w:tc>
          <w:tcPr>
            <w:tcW w:w="1926" w:type="dxa"/>
            <w:noWrap/>
            <w:vAlign w:val="center"/>
          </w:tcPr>
          <w:p w14:paraId="577BCCAB"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161.3</w:t>
            </w:r>
          </w:p>
        </w:tc>
      </w:tr>
      <w:tr w:rsidR="001D1B82" w:rsidRPr="00524A55" w14:paraId="06FF65EF" w14:textId="77777777" w:rsidTr="001D1B82">
        <w:trPr>
          <w:trHeight w:val="300"/>
        </w:trPr>
        <w:tc>
          <w:tcPr>
            <w:tcW w:w="1925" w:type="dxa"/>
            <w:noWrap/>
            <w:vAlign w:val="center"/>
          </w:tcPr>
          <w:p w14:paraId="78FC2402"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2030</w:t>
            </w:r>
          </w:p>
        </w:tc>
        <w:tc>
          <w:tcPr>
            <w:tcW w:w="1926" w:type="dxa"/>
            <w:noWrap/>
            <w:vAlign w:val="center"/>
          </w:tcPr>
          <w:p w14:paraId="7BFE60DA"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Hydrogen</w:t>
            </w:r>
          </w:p>
        </w:tc>
        <w:tc>
          <w:tcPr>
            <w:tcW w:w="1925" w:type="dxa"/>
            <w:noWrap/>
            <w:vAlign w:val="center"/>
          </w:tcPr>
          <w:p w14:paraId="68D67C69"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1394.0</w:t>
            </w:r>
          </w:p>
        </w:tc>
        <w:tc>
          <w:tcPr>
            <w:tcW w:w="1926" w:type="dxa"/>
            <w:noWrap/>
            <w:vAlign w:val="center"/>
          </w:tcPr>
          <w:p w14:paraId="076FB3AC"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812.5</w:t>
            </w:r>
          </w:p>
        </w:tc>
        <w:tc>
          <w:tcPr>
            <w:tcW w:w="1926" w:type="dxa"/>
            <w:noWrap/>
            <w:vAlign w:val="center"/>
          </w:tcPr>
          <w:p w14:paraId="634C73B2"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102.5</w:t>
            </w:r>
          </w:p>
        </w:tc>
      </w:tr>
      <w:tr w:rsidR="001D1B82" w:rsidRPr="00524A55" w14:paraId="162C1C33" w14:textId="77777777" w:rsidTr="001D1B82">
        <w:trPr>
          <w:trHeight w:val="300"/>
        </w:trPr>
        <w:tc>
          <w:tcPr>
            <w:tcW w:w="1925" w:type="dxa"/>
            <w:noWrap/>
            <w:vAlign w:val="center"/>
          </w:tcPr>
          <w:p w14:paraId="0EF63561"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2040</w:t>
            </w:r>
          </w:p>
        </w:tc>
        <w:tc>
          <w:tcPr>
            <w:tcW w:w="1926" w:type="dxa"/>
            <w:noWrap/>
            <w:vAlign w:val="center"/>
          </w:tcPr>
          <w:p w14:paraId="166A7C85"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Hydrogen</w:t>
            </w:r>
          </w:p>
        </w:tc>
        <w:tc>
          <w:tcPr>
            <w:tcW w:w="1925" w:type="dxa"/>
            <w:noWrap/>
            <w:vAlign w:val="center"/>
          </w:tcPr>
          <w:p w14:paraId="0E37A93A"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1254.6</w:t>
            </w:r>
          </w:p>
        </w:tc>
        <w:tc>
          <w:tcPr>
            <w:tcW w:w="1926" w:type="dxa"/>
            <w:noWrap/>
            <w:vAlign w:val="center"/>
          </w:tcPr>
          <w:p w14:paraId="0863BE4F"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801.4</w:t>
            </w:r>
          </w:p>
        </w:tc>
        <w:tc>
          <w:tcPr>
            <w:tcW w:w="1926" w:type="dxa"/>
            <w:noWrap/>
            <w:vAlign w:val="center"/>
          </w:tcPr>
          <w:p w14:paraId="7588A4ED"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54.9</w:t>
            </w:r>
          </w:p>
        </w:tc>
      </w:tr>
      <w:tr w:rsidR="001D1B82" w:rsidRPr="00524A55" w14:paraId="6E7E42B3" w14:textId="77777777" w:rsidTr="001D1B82">
        <w:trPr>
          <w:trHeight w:val="300"/>
        </w:trPr>
        <w:tc>
          <w:tcPr>
            <w:tcW w:w="1925" w:type="dxa"/>
            <w:noWrap/>
            <w:vAlign w:val="center"/>
          </w:tcPr>
          <w:p w14:paraId="35428CFF"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2050</w:t>
            </w:r>
          </w:p>
        </w:tc>
        <w:tc>
          <w:tcPr>
            <w:tcW w:w="1926" w:type="dxa"/>
            <w:noWrap/>
            <w:vAlign w:val="center"/>
          </w:tcPr>
          <w:p w14:paraId="5527DC84"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Hydrogen</w:t>
            </w:r>
          </w:p>
        </w:tc>
        <w:tc>
          <w:tcPr>
            <w:tcW w:w="1925" w:type="dxa"/>
            <w:noWrap/>
            <w:vAlign w:val="center"/>
          </w:tcPr>
          <w:p w14:paraId="75439189"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1129.1</w:t>
            </w:r>
          </w:p>
        </w:tc>
        <w:tc>
          <w:tcPr>
            <w:tcW w:w="1926" w:type="dxa"/>
            <w:noWrap/>
            <w:vAlign w:val="center"/>
          </w:tcPr>
          <w:p w14:paraId="3C332FF4"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790.2</w:t>
            </w:r>
          </w:p>
        </w:tc>
        <w:tc>
          <w:tcPr>
            <w:tcW w:w="1926" w:type="dxa"/>
            <w:noWrap/>
            <w:vAlign w:val="center"/>
          </w:tcPr>
          <w:p w14:paraId="12C36ECC"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54.9</w:t>
            </w:r>
          </w:p>
        </w:tc>
      </w:tr>
      <w:tr w:rsidR="001D1B82" w:rsidRPr="00524A55" w14:paraId="3A1F3024" w14:textId="77777777" w:rsidTr="001D1B82">
        <w:trPr>
          <w:trHeight w:val="300"/>
        </w:trPr>
        <w:tc>
          <w:tcPr>
            <w:tcW w:w="1925" w:type="dxa"/>
            <w:noWrap/>
            <w:vAlign w:val="center"/>
          </w:tcPr>
          <w:p w14:paraId="7CD1CEE0"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2020</w:t>
            </w:r>
          </w:p>
        </w:tc>
        <w:tc>
          <w:tcPr>
            <w:tcW w:w="1926" w:type="dxa"/>
            <w:noWrap/>
            <w:vAlign w:val="center"/>
          </w:tcPr>
          <w:p w14:paraId="17FA5F57"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LPG</w:t>
            </w:r>
          </w:p>
        </w:tc>
        <w:tc>
          <w:tcPr>
            <w:tcW w:w="1925" w:type="dxa"/>
            <w:noWrap/>
            <w:vAlign w:val="center"/>
          </w:tcPr>
          <w:p w14:paraId="7B2838BC"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2225.9</w:t>
            </w:r>
          </w:p>
        </w:tc>
        <w:tc>
          <w:tcPr>
            <w:tcW w:w="1926" w:type="dxa"/>
            <w:noWrap/>
            <w:vAlign w:val="center"/>
          </w:tcPr>
          <w:p w14:paraId="511583F9"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645.1</w:t>
            </w:r>
          </w:p>
        </w:tc>
        <w:tc>
          <w:tcPr>
            <w:tcW w:w="1926" w:type="dxa"/>
            <w:noWrap/>
            <w:vAlign w:val="center"/>
          </w:tcPr>
          <w:p w14:paraId="4174D514"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68.5</w:t>
            </w:r>
          </w:p>
        </w:tc>
      </w:tr>
      <w:tr w:rsidR="001D1B82" w:rsidRPr="00524A55" w14:paraId="7A54D056" w14:textId="77777777" w:rsidTr="001D1B82">
        <w:trPr>
          <w:trHeight w:val="300"/>
        </w:trPr>
        <w:tc>
          <w:tcPr>
            <w:tcW w:w="1925" w:type="dxa"/>
            <w:noWrap/>
            <w:vAlign w:val="center"/>
          </w:tcPr>
          <w:p w14:paraId="5986A0AE"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2030</w:t>
            </w:r>
          </w:p>
        </w:tc>
        <w:tc>
          <w:tcPr>
            <w:tcW w:w="1926" w:type="dxa"/>
            <w:noWrap/>
            <w:vAlign w:val="center"/>
          </w:tcPr>
          <w:p w14:paraId="1CCF179E"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LPG</w:t>
            </w:r>
          </w:p>
        </w:tc>
        <w:tc>
          <w:tcPr>
            <w:tcW w:w="1925" w:type="dxa"/>
            <w:noWrap/>
            <w:vAlign w:val="center"/>
          </w:tcPr>
          <w:p w14:paraId="4FC9CB29"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2125.5</w:t>
            </w:r>
          </w:p>
        </w:tc>
        <w:tc>
          <w:tcPr>
            <w:tcW w:w="1926" w:type="dxa"/>
            <w:noWrap/>
            <w:vAlign w:val="center"/>
          </w:tcPr>
          <w:p w14:paraId="0B83B7AB"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677.3</w:t>
            </w:r>
          </w:p>
        </w:tc>
        <w:tc>
          <w:tcPr>
            <w:tcW w:w="1926" w:type="dxa"/>
            <w:noWrap/>
            <w:vAlign w:val="center"/>
          </w:tcPr>
          <w:p w14:paraId="5729D171"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69.5</w:t>
            </w:r>
          </w:p>
        </w:tc>
      </w:tr>
      <w:tr w:rsidR="001D1B82" w:rsidRPr="00524A55" w14:paraId="5F93D967" w14:textId="77777777" w:rsidTr="001D1B82">
        <w:trPr>
          <w:trHeight w:val="300"/>
        </w:trPr>
        <w:tc>
          <w:tcPr>
            <w:tcW w:w="1925" w:type="dxa"/>
            <w:noWrap/>
            <w:vAlign w:val="center"/>
          </w:tcPr>
          <w:p w14:paraId="22C96FDA"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2040</w:t>
            </w:r>
          </w:p>
        </w:tc>
        <w:tc>
          <w:tcPr>
            <w:tcW w:w="1926" w:type="dxa"/>
            <w:noWrap/>
            <w:vAlign w:val="center"/>
          </w:tcPr>
          <w:p w14:paraId="24D4B45F"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LPG</w:t>
            </w:r>
          </w:p>
        </w:tc>
        <w:tc>
          <w:tcPr>
            <w:tcW w:w="1925" w:type="dxa"/>
            <w:noWrap/>
            <w:vAlign w:val="center"/>
          </w:tcPr>
          <w:p w14:paraId="0F186081"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2033.7</w:t>
            </w:r>
          </w:p>
        </w:tc>
        <w:tc>
          <w:tcPr>
            <w:tcW w:w="1926" w:type="dxa"/>
            <w:noWrap/>
            <w:vAlign w:val="center"/>
          </w:tcPr>
          <w:p w14:paraId="353AECFC"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693.6</w:t>
            </w:r>
          </w:p>
        </w:tc>
        <w:tc>
          <w:tcPr>
            <w:tcW w:w="1926" w:type="dxa"/>
            <w:noWrap/>
            <w:vAlign w:val="center"/>
          </w:tcPr>
          <w:p w14:paraId="30A25B43"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65.5</w:t>
            </w:r>
          </w:p>
        </w:tc>
      </w:tr>
      <w:tr w:rsidR="001D1B82" w:rsidRPr="00524A55" w14:paraId="51E1D279" w14:textId="77777777" w:rsidTr="001D1B82">
        <w:trPr>
          <w:trHeight w:val="300"/>
        </w:trPr>
        <w:tc>
          <w:tcPr>
            <w:tcW w:w="1925" w:type="dxa"/>
            <w:noWrap/>
            <w:vAlign w:val="center"/>
          </w:tcPr>
          <w:p w14:paraId="460829DF"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2050</w:t>
            </w:r>
          </w:p>
        </w:tc>
        <w:tc>
          <w:tcPr>
            <w:tcW w:w="1926" w:type="dxa"/>
            <w:noWrap/>
            <w:vAlign w:val="center"/>
          </w:tcPr>
          <w:p w14:paraId="423B279A"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LPG</w:t>
            </w:r>
          </w:p>
        </w:tc>
        <w:tc>
          <w:tcPr>
            <w:tcW w:w="1925" w:type="dxa"/>
            <w:noWrap/>
            <w:vAlign w:val="center"/>
          </w:tcPr>
          <w:p w14:paraId="726B25BF"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1949.5</w:t>
            </w:r>
          </w:p>
        </w:tc>
        <w:tc>
          <w:tcPr>
            <w:tcW w:w="1926" w:type="dxa"/>
            <w:noWrap/>
            <w:vAlign w:val="center"/>
          </w:tcPr>
          <w:p w14:paraId="1393F252"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710.4</w:t>
            </w:r>
          </w:p>
        </w:tc>
        <w:tc>
          <w:tcPr>
            <w:tcW w:w="1926" w:type="dxa"/>
            <w:noWrap/>
            <w:vAlign w:val="center"/>
          </w:tcPr>
          <w:p w14:paraId="2DC3F6DA"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65.5</w:t>
            </w:r>
          </w:p>
        </w:tc>
      </w:tr>
      <w:tr w:rsidR="001D1B82" w:rsidRPr="00524A55" w14:paraId="121CA1FE" w14:textId="77777777" w:rsidTr="001D1B82">
        <w:trPr>
          <w:trHeight w:val="300"/>
        </w:trPr>
        <w:tc>
          <w:tcPr>
            <w:tcW w:w="1925" w:type="dxa"/>
            <w:noWrap/>
            <w:vAlign w:val="center"/>
          </w:tcPr>
          <w:p w14:paraId="5F545E85"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2020</w:t>
            </w:r>
          </w:p>
        </w:tc>
        <w:tc>
          <w:tcPr>
            <w:tcW w:w="1926" w:type="dxa"/>
            <w:noWrap/>
            <w:vAlign w:val="center"/>
          </w:tcPr>
          <w:p w14:paraId="42BB0A1B"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Natural gas</w:t>
            </w:r>
          </w:p>
        </w:tc>
        <w:tc>
          <w:tcPr>
            <w:tcW w:w="1925" w:type="dxa"/>
            <w:noWrap/>
            <w:vAlign w:val="center"/>
          </w:tcPr>
          <w:p w14:paraId="1C7F75F8"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581.8</w:t>
            </w:r>
          </w:p>
        </w:tc>
        <w:tc>
          <w:tcPr>
            <w:tcW w:w="1926" w:type="dxa"/>
            <w:noWrap/>
            <w:vAlign w:val="center"/>
          </w:tcPr>
          <w:p w14:paraId="60DD5B7F"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719.9</w:t>
            </w:r>
          </w:p>
        </w:tc>
        <w:tc>
          <w:tcPr>
            <w:tcW w:w="1926" w:type="dxa"/>
            <w:noWrap/>
            <w:vAlign w:val="center"/>
          </w:tcPr>
          <w:p w14:paraId="270BFE04"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68.5</w:t>
            </w:r>
          </w:p>
        </w:tc>
      </w:tr>
      <w:tr w:rsidR="001D1B82" w:rsidRPr="00524A55" w14:paraId="51400D27" w14:textId="77777777" w:rsidTr="001D1B82">
        <w:trPr>
          <w:trHeight w:val="300"/>
        </w:trPr>
        <w:tc>
          <w:tcPr>
            <w:tcW w:w="1925" w:type="dxa"/>
            <w:noWrap/>
            <w:vAlign w:val="center"/>
          </w:tcPr>
          <w:p w14:paraId="6F7F4C23"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2030</w:t>
            </w:r>
          </w:p>
        </w:tc>
        <w:tc>
          <w:tcPr>
            <w:tcW w:w="1926" w:type="dxa"/>
            <w:noWrap/>
            <w:vAlign w:val="center"/>
          </w:tcPr>
          <w:p w14:paraId="0198C3C5"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Natural gas</w:t>
            </w:r>
          </w:p>
        </w:tc>
        <w:tc>
          <w:tcPr>
            <w:tcW w:w="1925" w:type="dxa"/>
            <w:noWrap/>
            <w:vAlign w:val="center"/>
          </w:tcPr>
          <w:p w14:paraId="5C9B0327"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552.2</w:t>
            </w:r>
          </w:p>
        </w:tc>
        <w:tc>
          <w:tcPr>
            <w:tcW w:w="1926" w:type="dxa"/>
            <w:noWrap/>
            <w:vAlign w:val="center"/>
          </w:tcPr>
          <w:p w14:paraId="41D4DDEA"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738.0</w:t>
            </w:r>
          </w:p>
        </w:tc>
        <w:tc>
          <w:tcPr>
            <w:tcW w:w="1926" w:type="dxa"/>
            <w:noWrap/>
            <w:vAlign w:val="center"/>
          </w:tcPr>
          <w:p w14:paraId="1E522AC8"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69.5</w:t>
            </w:r>
          </w:p>
        </w:tc>
      </w:tr>
      <w:tr w:rsidR="001D1B82" w:rsidRPr="00524A55" w14:paraId="44527D71" w14:textId="77777777" w:rsidTr="001D1B82">
        <w:trPr>
          <w:trHeight w:val="300"/>
        </w:trPr>
        <w:tc>
          <w:tcPr>
            <w:tcW w:w="1925" w:type="dxa"/>
            <w:noWrap/>
            <w:vAlign w:val="center"/>
          </w:tcPr>
          <w:p w14:paraId="21456A7C"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2040</w:t>
            </w:r>
          </w:p>
        </w:tc>
        <w:tc>
          <w:tcPr>
            <w:tcW w:w="1926" w:type="dxa"/>
            <w:noWrap/>
            <w:vAlign w:val="center"/>
          </w:tcPr>
          <w:p w14:paraId="7F12DE4D"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Natural gas</w:t>
            </w:r>
          </w:p>
        </w:tc>
        <w:tc>
          <w:tcPr>
            <w:tcW w:w="1925" w:type="dxa"/>
            <w:noWrap/>
            <w:vAlign w:val="center"/>
          </w:tcPr>
          <w:p w14:paraId="11E72636"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525.5</w:t>
            </w:r>
          </w:p>
        </w:tc>
        <w:tc>
          <w:tcPr>
            <w:tcW w:w="1926" w:type="dxa"/>
            <w:noWrap/>
            <w:vAlign w:val="center"/>
          </w:tcPr>
          <w:p w14:paraId="6BB1B15E"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738.0</w:t>
            </w:r>
          </w:p>
        </w:tc>
        <w:tc>
          <w:tcPr>
            <w:tcW w:w="1926" w:type="dxa"/>
            <w:noWrap/>
            <w:vAlign w:val="center"/>
          </w:tcPr>
          <w:p w14:paraId="1AEE557E"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65.5</w:t>
            </w:r>
          </w:p>
        </w:tc>
      </w:tr>
      <w:tr w:rsidR="001D1B82" w:rsidRPr="00524A55" w14:paraId="6EFCA379" w14:textId="77777777" w:rsidTr="001D1B82">
        <w:trPr>
          <w:trHeight w:val="300"/>
        </w:trPr>
        <w:tc>
          <w:tcPr>
            <w:tcW w:w="1925" w:type="dxa"/>
            <w:noWrap/>
            <w:vAlign w:val="center"/>
          </w:tcPr>
          <w:p w14:paraId="2BA33A82"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2050</w:t>
            </w:r>
          </w:p>
        </w:tc>
        <w:tc>
          <w:tcPr>
            <w:tcW w:w="1926" w:type="dxa"/>
            <w:noWrap/>
            <w:vAlign w:val="center"/>
          </w:tcPr>
          <w:p w14:paraId="30085AA1"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Natural gas</w:t>
            </w:r>
          </w:p>
        </w:tc>
        <w:tc>
          <w:tcPr>
            <w:tcW w:w="1925" w:type="dxa"/>
            <w:noWrap/>
            <w:vAlign w:val="center"/>
          </w:tcPr>
          <w:p w14:paraId="4B899E51"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501.2</w:t>
            </w:r>
          </w:p>
        </w:tc>
        <w:tc>
          <w:tcPr>
            <w:tcW w:w="1926" w:type="dxa"/>
            <w:noWrap/>
            <w:vAlign w:val="center"/>
          </w:tcPr>
          <w:p w14:paraId="798B5C5E"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738.0</w:t>
            </w:r>
          </w:p>
        </w:tc>
        <w:tc>
          <w:tcPr>
            <w:tcW w:w="1926" w:type="dxa"/>
            <w:noWrap/>
            <w:vAlign w:val="center"/>
          </w:tcPr>
          <w:p w14:paraId="72638545"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65.5</w:t>
            </w:r>
          </w:p>
        </w:tc>
      </w:tr>
    </w:tbl>
    <w:p w14:paraId="6D183916" w14:textId="77777777" w:rsidR="001D1B82" w:rsidRPr="00524A55" w:rsidRDefault="001D1B82" w:rsidP="001D1B82">
      <w:pPr>
        <w:rPr>
          <w:rFonts w:ascii="Times New Roman" w:hAnsi="Times New Roman" w:cs="Times New Roman"/>
        </w:rPr>
      </w:pPr>
      <w:r w:rsidRPr="00524A55">
        <w:rPr>
          <w:rFonts w:ascii="Times New Roman" w:hAnsi="Times New Roman" w:cs="Times New Roman"/>
        </w:rPr>
        <w:br w:type="page"/>
      </w:r>
    </w:p>
    <w:p w14:paraId="555302FE" w14:textId="7F593921" w:rsidR="001D1B82" w:rsidRPr="000C35B6" w:rsidRDefault="000C35B6" w:rsidP="000C35B6">
      <w:pPr>
        <w:pStyle w:val="Caption"/>
        <w:rPr>
          <w:rFonts w:cs="Times New Roman"/>
          <w:lang w:val="en-US"/>
        </w:rPr>
      </w:pPr>
      <w:proofErr w:type="spellStart"/>
      <w:r>
        <w:lastRenderedPageBreak/>
        <w:t>Table</w:t>
      </w:r>
      <w:proofErr w:type="spellEnd"/>
      <w:r>
        <w:t xml:space="preserve"> S. </w:t>
      </w:r>
      <w:fldSimple w:instr=" SEQ Table_S. \* ARABIC ">
        <w:r>
          <w:rPr>
            <w:noProof/>
          </w:rPr>
          <w:t>3</w:t>
        </w:r>
      </w:fldSimple>
      <w:r>
        <w:t xml:space="preserve">. </w:t>
      </w:r>
      <w:r w:rsidR="001D1B82" w:rsidRPr="000C35B6">
        <w:rPr>
          <w:rFonts w:cs="Times New Roman"/>
          <w:lang w:val="en-US"/>
        </w:rPr>
        <w:t xml:space="preserve">Assumptions related to technologies consumption and costs for vehicles </w:t>
      </w:r>
      <w:r w:rsidR="00524A55" w:rsidRPr="000C35B6">
        <w:rPr>
          <w:rFonts w:cs="Times New Roman"/>
          <w:lang w:val="en-US"/>
        </w:rPr>
        <w:t>in the</w:t>
      </w:r>
      <w:r w:rsidR="001D1B82" w:rsidRPr="000C35B6">
        <w:rPr>
          <w:rFonts w:cs="Times New Roman"/>
          <w:lang w:val="en-US"/>
        </w:rPr>
        <w:t xml:space="preserve"> </w:t>
      </w:r>
      <w:proofErr w:type="gramStart"/>
      <w:r w:rsidR="001D1B82" w:rsidRPr="000C35B6">
        <w:rPr>
          <w:rFonts w:cs="Times New Roman"/>
          <w:lang w:val="en-US"/>
        </w:rPr>
        <w:t>light weight</w:t>
      </w:r>
      <w:proofErr w:type="gramEnd"/>
      <w:r w:rsidR="001D1B82" w:rsidRPr="000C35B6">
        <w:rPr>
          <w:rFonts w:cs="Times New Roman"/>
          <w:lang w:val="en-US"/>
        </w:rPr>
        <w:t xml:space="preserve"> category.</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06"/>
        <w:gridCol w:w="1907"/>
        <w:gridCol w:w="1906"/>
        <w:gridCol w:w="1907"/>
        <w:gridCol w:w="1907"/>
      </w:tblGrid>
      <w:tr w:rsidR="001D1B82" w:rsidRPr="00524A55" w14:paraId="41D76CE4" w14:textId="77777777" w:rsidTr="001D1B82">
        <w:trPr>
          <w:trHeight w:val="284"/>
        </w:trPr>
        <w:tc>
          <w:tcPr>
            <w:tcW w:w="1906" w:type="dxa"/>
            <w:vMerge w:val="restart"/>
            <w:tcBorders>
              <w:top w:val="single" w:sz="4" w:space="0" w:color="auto"/>
              <w:bottom w:val="nil"/>
            </w:tcBorders>
            <w:noWrap/>
            <w:vAlign w:val="center"/>
            <w:hideMark/>
          </w:tcPr>
          <w:p w14:paraId="6CA6A9CE" w14:textId="77777777" w:rsidR="001D1B82" w:rsidRPr="00524A55" w:rsidRDefault="001D1B82" w:rsidP="00D20363">
            <w:pPr>
              <w:jc w:val="center"/>
              <w:rPr>
                <w:rFonts w:ascii="Times New Roman" w:hAnsi="Times New Roman" w:cs="Times New Roman"/>
                <w:b/>
              </w:rPr>
            </w:pPr>
            <w:r w:rsidRPr="00524A55">
              <w:rPr>
                <w:rFonts w:ascii="Times New Roman" w:hAnsi="Times New Roman" w:cs="Times New Roman"/>
                <w:b/>
              </w:rPr>
              <w:t>Year</w:t>
            </w:r>
          </w:p>
        </w:tc>
        <w:tc>
          <w:tcPr>
            <w:tcW w:w="1907" w:type="dxa"/>
            <w:vMerge w:val="restart"/>
            <w:tcBorders>
              <w:top w:val="single" w:sz="4" w:space="0" w:color="auto"/>
              <w:bottom w:val="nil"/>
            </w:tcBorders>
            <w:vAlign w:val="center"/>
          </w:tcPr>
          <w:p w14:paraId="50CD3461" w14:textId="77777777" w:rsidR="001D1B82" w:rsidRPr="00524A55" w:rsidRDefault="001D1B82" w:rsidP="00D20363">
            <w:pPr>
              <w:jc w:val="center"/>
              <w:rPr>
                <w:rFonts w:ascii="Times New Roman" w:hAnsi="Times New Roman" w:cs="Times New Roman"/>
                <w:b/>
              </w:rPr>
            </w:pPr>
            <w:r w:rsidRPr="00524A55">
              <w:rPr>
                <w:rFonts w:ascii="Times New Roman" w:hAnsi="Times New Roman" w:cs="Times New Roman"/>
                <w:b/>
              </w:rPr>
              <w:t>Technology</w:t>
            </w:r>
          </w:p>
        </w:tc>
        <w:tc>
          <w:tcPr>
            <w:tcW w:w="1906" w:type="dxa"/>
            <w:tcBorders>
              <w:top w:val="single" w:sz="4" w:space="0" w:color="auto"/>
              <w:bottom w:val="nil"/>
            </w:tcBorders>
            <w:noWrap/>
            <w:vAlign w:val="center"/>
            <w:hideMark/>
          </w:tcPr>
          <w:p w14:paraId="6B5F407B" w14:textId="77777777" w:rsidR="001D1B82" w:rsidRPr="00524A55" w:rsidRDefault="001D1B82" w:rsidP="00D20363">
            <w:pPr>
              <w:jc w:val="center"/>
              <w:rPr>
                <w:rFonts w:ascii="Times New Roman" w:hAnsi="Times New Roman" w:cs="Times New Roman"/>
                <w:b/>
                <w:lang w:val="en-US"/>
              </w:rPr>
            </w:pPr>
            <w:r w:rsidRPr="00524A55">
              <w:rPr>
                <w:rFonts w:ascii="Times New Roman" w:hAnsi="Times New Roman" w:cs="Times New Roman"/>
                <w:b/>
              </w:rPr>
              <w:t>Consumption</w:t>
            </w:r>
          </w:p>
        </w:tc>
        <w:tc>
          <w:tcPr>
            <w:tcW w:w="1907" w:type="dxa"/>
            <w:tcBorders>
              <w:top w:val="single" w:sz="4" w:space="0" w:color="auto"/>
              <w:bottom w:val="nil"/>
            </w:tcBorders>
            <w:noWrap/>
            <w:vAlign w:val="center"/>
            <w:hideMark/>
          </w:tcPr>
          <w:p w14:paraId="4039A752" w14:textId="77777777" w:rsidR="001D1B82" w:rsidRPr="00524A55" w:rsidRDefault="001D1B82" w:rsidP="00D20363">
            <w:pPr>
              <w:jc w:val="center"/>
              <w:rPr>
                <w:rFonts w:ascii="Times New Roman" w:hAnsi="Times New Roman" w:cs="Times New Roman"/>
                <w:b/>
                <w:lang w:val="en-US"/>
              </w:rPr>
            </w:pPr>
            <w:r w:rsidRPr="00524A55">
              <w:rPr>
                <w:rFonts w:ascii="Times New Roman" w:hAnsi="Times New Roman" w:cs="Times New Roman"/>
                <w:b/>
                <w:color w:val="000000" w:themeColor="text1"/>
                <w:lang w:val="en-GB"/>
              </w:rPr>
              <w:t xml:space="preserve">Purchase price </w:t>
            </w:r>
          </w:p>
        </w:tc>
        <w:tc>
          <w:tcPr>
            <w:tcW w:w="1907" w:type="dxa"/>
            <w:tcBorders>
              <w:top w:val="single" w:sz="4" w:space="0" w:color="auto"/>
              <w:bottom w:val="nil"/>
            </w:tcBorders>
            <w:noWrap/>
            <w:vAlign w:val="center"/>
            <w:hideMark/>
          </w:tcPr>
          <w:p w14:paraId="7ED4B958" w14:textId="77777777" w:rsidR="001D1B82" w:rsidRPr="00524A55" w:rsidRDefault="001D1B82" w:rsidP="00D20363">
            <w:pPr>
              <w:jc w:val="center"/>
              <w:rPr>
                <w:rFonts w:ascii="Times New Roman" w:hAnsi="Times New Roman" w:cs="Times New Roman"/>
                <w:b/>
              </w:rPr>
            </w:pPr>
            <w:r w:rsidRPr="00524A55">
              <w:rPr>
                <w:rFonts w:ascii="Times New Roman" w:hAnsi="Times New Roman" w:cs="Times New Roman"/>
                <w:b/>
                <w:color w:val="000000" w:themeColor="text1"/>
                <w:lang w:val="en-GB"/>
              </w:rPr>
              <w:t>Fixed annual costs</w:t>
            </w:r>
          </w:p>
        </w:tc>
      </w:tr>
      <w:tr w:rsidR="001D1B82" w:rsidRPr="00187B43" w14:paraId="3A26C889" w14:textId="77777777" w:rsidTr="001D1B82">
        <w:trPr>
          <w:trHeight w:val="733"/>
        </w:trPr>
        <w:tc>
          <w:tcPr>
            <w:tcW w:w="1906" w:type="dxa"/>
            <w:vMerge/>
            <w:tcBorders>
              <w:top w:val="nil"/>
              <w:bottom w:val="single" w:sz="4" w:space="0" w:color="auto"/>
            </w:tcBorders>
            <w:noWrap/>
            <w:vAlign w:val="center"/>
            <w:hideMark/>
          </w:tcPr>
          <w:p w14:paraId="00792D7D" w14:textId="77777777" w:rsidR="001D1B82" w:rsidRPr="00524A55" w:rsidRDefault="001D1B82" w:rsidP="00D20363">
            <w:pPr>
              <w:jc w:val="center"/>
              <w:rPr>
                <w:rFonts w:ascii="Times New Roman" w:hAnsi="Times New Roman" w:cs="Times New Roman"/>
                <w:b/>
              </w:rPr>
            </w:pPr>
          </w:p>
        </w:tc>
        <w:tc>
          <w:tcPr>
            <w:tcW w:w="1907" w:type="dxa"/>
            <w:vMerge/>
            <w:tcBorders>
              <w:top w:val="nil"/>
              <w:bottom w:val="single" w:sz="4" w:space="0" w:color="auto"/>
            </w:tcBorders>
            <w:noWrap/>
            <w:vAlign w:val="center"/>
            <w:hideMark/>
          </w:tcPr>
          <w:p w14:paraId="43D2D2E7" w14:textId="77777777" w:rsidR="001D1B82" w:rsidRPr="00524A55" w:rsidRDefault="001D1B82" w:rsidP="00D20363">
            <w:pPr>
              <w:jc w:val="center"/>
              <w:rPr>
                <w:rFonts w:ascii="Times New Roman" w:hAnsi="Times New Roman" w:cs="Times New Roman"/>
                <w:b/>
              </w:rPr>
            </w:pPr>
          </w:p>
        </w:tc>
        <w:tc>
          <w:tcPr>
            <w:tcW w:w="1906" w:type="dxa"/>
            <w:tcBorders>
              <w:top w:val="nil"/>
              <w:bottom w:val="single" w:sz="4" w:space="0" w:color="auto"/>
            </w:tcBorders>
            <w:noWrap/>
            <w:vAlign w:val="center"/>
            <w:hideMark/>
          </w:tcPr>
          <w:p w14:paraId="09F1AE21" w14:textId="77777777" w:rsidR="001D1B82" w:rsidRPr="00524A55" w:rsidRDefault="00000000" w:rsidP="00D20363">
            <w:pPr>
              <w:jc w:val="center"/>
              <w:rPr>
                <w:rFonts w:ascii="Times New Roman" w:hAnsi="Times New Roman" w:cs="Times New Roman"/>
                <w:b/>
                <w:lang w:val="en-US"/>
              </w:rPr>
            </w:pPr>
            <m:oMathPara>
              <m:oMath>
                <m:d>
                  <m:dPr>
                    <m:begChr m:val="["/>
                    <m:endChr m:val="]"/>
                    <m:ctrlPr>
                      <w:rPr>
                        <w:rFonts w:ascii="Cambria Math" w:hAnsi="Cambria Math" w:cs="Times New Roman"/>
                        <w:b/>
                        <w:i/>
                      </w:rPr>
                    </m:ctrlPr>
                  </m:dPr>
                  <m:e>
                    <m:f>
                      <m:fPr>
                        <m:ctrlPr>
                          <w:rPr>
                            <w:rFonts w:ascii="Cambria Math" w:hAnsi="Cambria Math" w:cs="Times New Roman"/>
                            <w:b/>
                            <w:i/>
                          </w:rPr>
                        </m:ctrlPr>
                      </m:fPr>
                      <m:num>
                        <m:r>
                          <m:rPr>
                            <m:sty m:val="b"/>
                          </m:rPr>
                          <w:rPr>
                            <w:rFonts w:ascii="Cambria Math" w:hAnsi="Cambria Math" w:cs="Times New Roman"/>
                            <w:lang w:val="en-US"/>
                          </w:rPr>
                          <m:t>kJ</m:t>
                        </m:r>
                      </m:num>
                      <m:den>
                        <m:r>
                          <m:rPr>
                            <m:sty m:val="b"/>
                          </m:rPr>
                          <w:rPr>
                            <w:rFonts w:ascii="Cambria Math" w:hAnsi="Cambria Math" w:cs="Times New Roman"/>
                            <w:lang w:val="en-US"/>
                          </w:rPr>
                          <m:t>t-km</m:t>
                        </m:r>
                      </m:den>
                    </m:f>
                  </m:e>
                </m:d>
              </m:oMath>
            </m:oMathPara>
          </w:p>
        </w:tc>
        <w:tc>
          <w:tcPr>
            <w:tcW w:w="1907" w:type="dxa"/>
            <w:tcBorders>
              <w:top w:val="nil"/>
              <w:bottom w:val="single" w:sz="4" w:space="0" w:color="auto"/>
            </w:tcBorders>
            <w:noWrap/>
            <w:vAlign w:val="center"/>
            <w:hideMark/>
          </w:tcPr>
          <w:p w14:paraId="17B1EE80" w14:textId="77777777" w:rsidR="001D1B82" w:rsidRPr="00524A55" w:rsidRDefault="00000000" w:rsidP="00D20363">
            <w:pPr>
              <w:jc w:val="center"/>
              <w:rPr>
                <w:rFonts w:ascii="Times New Roman" w:hAnsi="Times New Roman" w:cs="Times New Roman"/>
                <w:b/>
                <w:lang w:val="en-US"/>
              </w:rPr>
            </w:pPr>
            <m:oMath>
              <m:d>
                <m:dPr>
                  <m:begChr m:val="["/>
                  <m:endChr m:val="]"/>
                  <m:ctrlPr>
                    <w:rPr>
                      <w:rFonts w:ascii="Cambria Math" w:hAnsi="Cambria Math" w:cs="Times New Roman"/>
                      <w:b/>
                      <w:i/>
                    </w:rPr>
                  </m:ctrlPr>
                </m:dPr>
                <m:e>
                  <m:f>
                    <m:fPr>
                      <m:ctrlPr>
                        <w:rPr>
                          <w:rFonts w:ascii="Cambria Math" w:hAnsi="Cambria Math" w:cs="Times New Roman"/>
                          <w:b/>
                          <w:i/>
                        </w:rPr>
                      </m:ctrlPr>
                    </m:fPr>
                    <m:num>
                      <m:r>
                        <m:rPr>
                          <m:sty m:val="b"/>
                        </m:rPr>
                        <w:rPr>
                          <w:rFonts w:ascii="Cambria Math" w:hAnsi="Cambria Math" w:cs="Times New Roman"/>
                        </w:rPr>
                        <m:t>Million</m:t>
                      </m:r>
                      <m:r>
                        <m:rPr>
                          <m:sty m:val="b"/>
                        </m:rPr>
                        <w:rPr>
                          <w:rFonts w:ascii="Cambria Math" w:hAnsi="Cambria Math" w:cs="Times New Roman"/>
                          <w:lang w:val="en-US"/>
                        </w:rPr>
                        <m:t xml:space="preserve"> </m:t>
                      </m:r>
                      <m:r>
                        <m:rPr>
                          <m:sty m:val="b"/>
                        </m:rPr>
                        <w:rPr>
                          <w:rFonts w:ascii="Cambria Math" w:hAnsi="Cambria Math" w:cs="Times New Roman"/>
                        </w:rPr>
                        <m:t>2010</m:t>
                      </m:r>
                      <m:r>
                        <m:rPr>
                          <m:sty m:val="b"/>
                        </m:rPr>
                        <w:rPr>
                          <w:rFonts w:ascii="Cambria Math" w:hAnsi="Cambria Math" w:cs="Times New Roman"/>
                          <w:lang w:val="en-US"/>
                        </w:rPr>
                        <m:t xml:space="preserve"> </m:t>
                      </m:r>
                      <m:r>
                        <m:rPr>
                          <m:sty m:val="b"/>
                        </m:rPr>
                        <w:rPr>
                          <w:rFonts w:ascii="Cambria Math" w:hAnsi="Cambria Math" w:cs="Times New Roman"/>
                        </w:rPr>
                        <m:t>USD</m:t>
                      </m:r>
                    </m:num>
                    <m:den>
                      <m:r>
                        <m:rPr>
                          <m:sty m:val="b"/>
                        </m:rPr>
                        <w:rPr>
                          <w:rFonts w:ascii="Cambria Math" w:hAnsi="Cambria Math" w:cs="Times New Roman"/>
                        </w:rPr>
                        <m:t>billion</m:t>
                      </m:r>
                      <m:r>
                        <m:rPr>
                          <m:sty m:val="b"/>
                        </m:rPr>
                        <w:rPr>
                          <w:rFonts w:ascii="Cambria Math" w:hAnsi="Cambria Math" w:cs="Times New Roman"/>
                          <w:lang w:val="en-US"/>
                        </w:rPr>
                        <m:t xml:space="preserve"> </m:t>
                      </m:r>
                      <m:r>
                        <m:rPr>
                          <m:sty m:val="b"/>
                        </m:rPr>
                        <w:rPr>
                          <w:rFonts w:ascii="Cambria Math" w:hAnsi="Cambria Math" w:cs="Times New Roman"/>
                        </w:rPr>
                        <m:t>t</m:t>
                      </m:r>
                      <m:r>
                        <m:rPr>
                          <m:sty m:val="b"/>
                        </m:rPr>
                        <w:rPr>
                          <w:rFonts w:ascii="Cambria Math" w:hAnsi="Cambria Math" w:cs="Times New Roman"/>
                          <w:lang w:val="en-US"/>
                        </w:rPr>
                        <m:t>-</m:t>
                      </m:r>
                      <m:r>
                        <m:rPr>
                          <m:sty m:val="b"/>
                        </m:rPr>
                        <w:rPr>
                          <w:rFonts w:ascii="Cambria Math" w:hAnsi="Cambria Math" w:cs="Times New Roman"/>
                        </w:rPr>
                        <m:t>km</m:t>
                      </m:r>
                    </m:den>
                  </m:f>
                </m:e>
              </m:d>
            </m:oMath>
            <w:r w:rsidR="001D1B82" w:rsidRPr="00524A55">
              <w:rPr>
                <w:rFonts w:ascii="Times New Roman" w:hAnsi="Times New Roman" w:cs="Times New Roman"/>
                <w:b/>
                <w:lang w:val="en-US"/>
              </w:rPr>
              <w:t xml:space="preserve"> </w:t>
            </w:r>
          </w:p>
        </w:tc>
        <w:tc>
          <w:tcPr>
            <w:tcW w:w="1907" w:type="dxa"/>
            <w:tcBorders>
              <w:top w:val="nil"/>
              <w:bottom w:val="single" w:sz="4" w:space="0" w:color="auto"/>
            </w:tcBorders>
            <w:noWrap/>
            <w:vAlign w:val="center"/>
            <w:hideMark/>
          </w:tcPr>
          <w:p w14:paraId="2017550E" w14:textId="77777777" w:rsidR="001D1B82" w:rsidRPr="00524A55" w:rsidRDefault="00000000" w:rsidP="00D20363">
            <w:pPr>
              <w:jc w:val="center"/>
              <w:rPr>
                <w:rFonts w:ascii="Times New Roman" w:hAnsi="Times New Roman" w:cs="Times New Roman"/>
                <w:b/>
                <w:lang w:val="en-US"/>
              </w:rPr>
            </w:pPr>
            <m:oMath>
              <m:d>
                <m:dPr>
                  <m:begChr m:val="["/>
                  <m:endChr m:val="]"/>
                  <m:ctrlPr>
                    <w:rPr>
                      <w:rFonts w:ascii="Cambria Math" w:hAnsi="Cambria Math" w:cs="Times New Roman"/>
                      <w:b/>
                      <w:i/>
                    </w:rPr>
                  </m:ctrlPr>
                </m:dPr>
                <m:e>
                  <m:f>
                    <m:fPr>
                      <m:ctrlPr>
                        <w:rPr>
                          <w:rFonts w:ascii="Cambria Math" w:hAnsi="Cambria Math" w:cs="Times New Roman"/>
                          <w:b/>
                          <w:i/>
                        </w:rPr>
                      </m:ctrlPr>
                    </m:fPr>
                    <m:num>
                      <m:r>
                        <m:rPr>
                          <m:sty m:val="b"/>
                        </m:rPr>
                        <w:rPr>
                          <w:rFonts w:ascii="Cambria Math" w:hAnsi="Cambria Math" w:cs="Times New Roman"/>
                          <w:lang w:val="en-US"/>
                        </w:rPr>
                        <m:t>Million 2010 USD</m:t>
                      </m:r>
                    </m:num>
                    <m:den>
                      <m:r>
                        <m:rPr>
                          <m:sty m:val="b"/>
                        </m:rPr>
                        <w:rPr>
                          <w:rFonts w:ascii="Cambria Math" w:hAnsi="Cambria Math" w:cs="Times New Roman"/>
                          <w:lang w:val="en-US"/>
                        </w:rPr>
                        <m:t>billion t-km</m:t>
                      </m:r>
                    </m:den>
                  </m:f>
                </m:e>
              </m:d>
            </m:oMath>
            <w:r w:rsidR="001D1B82" w:rsidRPr="00524A55">
              <w:rPr>
                <w:rFonts w:ascii="Times New Roman" w:hAnsi="Times New Roman" w:cs="Times New Roman"/>
                <w:b/>
                <w:lang w:val="en-US"/>
              </w:rPr>
              <w:t xml:space="preserve"> </w:t>
            </w:r>
          </w:p>
        </w:tc>
      </w:tr>
      <w:tr w:rsidR="001D1B82" w:rsidRPr="00524A55" w14:paraId="392FED02" w14:textId="77777777" w:rsidTr="001D1B82">
        <w:trPr>
          <w:trHeight w:val="284"/>
        </w:trPr>
        <w:tc>
          <w:tcPr>
            <w:tcW w:w="1906" w:type="dxa"/>
            <w:tcBorders>
              <w:top w:val="single" w:sz="4" w:space="0" w:color="auto"/>
            </w:tcBorders>
            <w:noWrap/>
            <w:vAlign w:val="center"/>
          </w:tcPr>
          <w:p w14:paraId="7CE8106C"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2020</w:t>
            </w:r>
          </w:p>
        </w:tc>
        <w:tc>
          <w:tcPr>
            <w:tcW w:w="1907" w:type="dxa"/>
            <w:tcBorders>
              <w:top w:val="single" w:sz="4" w:space="0" w:color="auto"/>
            </w:tcBorders>
            <w:noWrap/>
            <w:vAlign w:val="center"/>
          </w:tcPr>
          <w:p w14:paraId="6DCB0B93"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Diesel ME</w:t>
            </w:r>
          </w:p>
        </w:tc>
        <w:tc>
          <w:tcPr>
            <w:tcW w:w="1906" w:type="dxa"/>
            <w:tcBorders>
              <w:top w:val="single" w:sz="4" w:space="0" w:color="auto"/>
            </w:tcBorders>
            <w:noWrap/>
            <w:vAlign w:val="center"/>
          </w:tcPr>
          <w:p w14:paraId="2187E87C"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5295.0</w:t>
            </w:r>
          </w:p>
        </w:tc>
        <w:tc>
          <w:tcPr>
            <w:tcW w:w="1907" w:type="dxa"/>
            <w:tcBorders>
              <w:top w:val="single" w:sz="4" w:space="0" w:color="auto"/>
            </w:tcBorders>
            <w:noWrap/>
            <w:vAlign w:val="center"/>
          </w:tcPr>
          <w:p w14:paraId="75EEAE0B"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5256.6</w:t>
            </w:r>
          </w:p>
        </w:tc>
        <w:tc>
          <w:tcPr>
            <w:tcW w:w="1907" w:type="dxa"/>
            <w:tcBorders>
              <w:top w:val="single" w:sz="4" w:space="0" w:color="auto"/>
            </w:tcBorders>
            <w:noWrap/>
            <w:vAlign w:val="center"/>
          </w:tcPr>
          <w:p w14:paraId="6097C365"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746.4</w:t>
            </w:r>
          </w:p>
        </w:tc>
      </w:tr>
      <w:tr w:rsidR="001D1B82" w:rsidRPr="00524A55" w14:paraId="4C29FF02" w14:textId="77777777" w:rsidTr="001D1B82">
        <w:trPr>
          <w:trHeight w:val="284"/>
        </w:trPr>
        <w:tc>
          <w:tcPr>
            <w:tcW w:w="1906" w:type="dxa"/>
            <w:noWrap/>
            <w:vAlign w:val="center"/>
          </w:tcPr>
          <w:p w14:paraId="7EA42E1B"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2030</w:t>
            </w:r>
          </w:p>
        </w:tc>
        <w:tc>
          <w:tcPr>
            <w:tcW w:w="1907" w:type="dxa"/>
            <w:noWrap/>
            <w:vAlign w:val="center"/>
          </w:tcPr>
          <w:p w14:paraId="7B89AD7A"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Diesel ME</w:t>
            </w:r>
          </w:p>
        </w:tc>
        <w:tc>
          <w:tcPr>
            <w:tcW w:w="1906" w:type="dxa"/>
            <w:noWrap/>
            <w:vAlign w:val="center"/>
          </w:tcPr>
          <w:p w14:paraId="6BD12245"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5029.0</w:t>
            </w:r>
          </w:p>
        </w:tc>
        <w:tc>
          <w:tcPr>
            <w:tcW w:w="1907" w:type="dxa"/>
            <w:noWrap/>
            <w:vAlign w:val="center"/>
          </w:tcPr>
          <w:p w14:paraId="511CA222"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5256.6</w:t>
            </w:r>
          </w:p>
        </w:tc>
        <w:tc>
          <w:tcPr>
            <w:tcW w:w="1907" w:type="dxa"/>
            <w:noWrap/>
            <w:vAlign w:val="center"/>
          </w:tcPr>
          <w:p w14:paraId="5284CFF0"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746.4</w:t>
            </w:r>
          </w:p>
        </w:tc>
      </w:tr>
      <w:tr w:rsidR="001D1B82" w:rsidRPr="00524A55" w14:paraId="72DBAEE2" w14:textId="77777777" w:rsidTr="001D1B82">
        <w:trPr>
          <w:trHeight w:val="284"/>
        </w:trPr>
        <w:tc>
          <w:tcPr>
            <w:tcW w:w="1906" w:type="dxa"/>
            <w:noWrap/>
            <w:vAlign w:val="center"/>
          </w:tcPr>
          <w:p w14:paraId="0228BAE2"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2040</w:t>
            </w:r>
          </w:p>
        </w:tc>
        <w:tc>
          <w:tcPr>
            <w:tcW w:w="1907" w:type="dxa"/>
            <w:noWrap/>
            <w:vAlign w:val="center"/>
          </w:tcPr>
          <w:p w14:paraId="6F962AB1"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Diesel ME</w:t>
            </w:r>
          </w:p>
        </w:tc>
        <w:tc>
          <w:tcPr>
            <w:tcW w:w="1906" w:type="dxa"/>
            <w:noWrap/>
            <w:vAlign w:val="center"/>
          </w:tcPr>
          <w:p w14:paraId="6EF0CA27"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4810.3</w:t>
            </w:r>
          </w:p>
        </w:tc>
        <w:tc>
          <w:tcPr>
            <w:tcW w:w="1907" w:type="dxa"/>
            <w:noWrap/>
            <w:vAlign w:val="center"/>
          </w:tcPr>
          <w:p w14:paraId="268822B2"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5256.6</w:t>
            </w:r>
          </w:p>
        </w:tc>
        <w:tc>
          <w:tcPr>
            <w:tcW w:w="1907" w:type="dxa"/>
            <w:noWrap/>
            <w:vAlign w:val="center"/>
          </w:tcPr>
          <w:p w14:paraId="4FA7C920"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747.3</w:t>
            </w:r>
          </w:p>
        </w:tc>
      </w:tr>
      <w:tr w:rsidR="001D1B82" w:rsidRPr="00524A55" w14:paraId="294FCEA1" w14:textId="77777777" w:rsidTr="001D1B82">
        <w:trPr>
          <w:trHeight w:val="284"/>
        </w:trPr>
        <w:tc>
          <w:tcPr>
            <w:tcW w:w="1906" w:type="dxa"/>
            <w:noWrap/>
            <w:vAlign w:val="center"/>
          </w:tcPr>
          <w:p w14:paraId="70D10145"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2050</w:t>
            </w:r>
          </w:p>
        </w:tc>
        <w:tc>
          <w:tcPr>
            <w:tcW w:w="1907" w:type="dxa"/>
            <w:noWrap/>
            <w:vAlign w:val="center"/>
          </w:tcPr>
          <w:p w14:paraId="1D2AA6EF"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Diesel ME</w:t>
            </w:r>
          </w:p>
        </w:tc>
        <w:tc>
          <w:tcPr>
            <w:tcW w:w="1906" w:type="dxa"/>
            <w:noWrap/>
            <w:vAlign w:val="center"/>
          </w:tcPr>
          <w:p w14:paraId="0852E3D6"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4694.0</w:t>
            </w:r>
          </w:p>
        </w:tc>
        <w:tc>
          <w:tcPr>
            <w:tcW w:w="1907" w:type="dxa"/>
            <w:noWrap/>
            <w:vAlign w:val="center"/>
          </w:tcPr>
          <w:p w14:paraId="6EFB4761"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5256.6</w:t>
            </w:r>
          </w:p>
        </w:tc>
        <w:tc>
          <w:tcPr>
            <w:tcW w:w="1907" w:type="dxa"/>
            <w:noWrap/>
            <w:vAlign w:val="center"/>
          </w:tcPr>
          <w:p w14:paraId="38EE4EBF"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747.3</w:t>
            </w:r>
          </w:p>
        </w:tc>
      </w:tr>
      <w:tr w:rsidR="001D1B82" w:rsidRPr="00524A55" w14:paraId="070C1DC5" w14:textId="77777777" w:rsidTr="001D1B82">
        <w:trPr>
          <w:trHeight w:val="284"/>
        </w:trPr>
        <w:tc>
          <w:tcPr>
            <w:tcW w:w="1906" w:type="dxa"/>
            <w:noWrap/>
            <w:vAlign w:val="center"/>
          </w:tcPr>
          <w:p w14:paraId="75B6B6C6"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2020</w:t>
            </w:r>
          </w:p>
        </w:tc>
        <w:tc>
          <w:tcPr>
            <w:tcW w:w="1907" w:type="dxa"/>
            <w:noWrap/>
            <w:vAlign w:val="center"/>
          </w:tcPr>
          <w:p w14:paraId="7D8EC449"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Diesel HE</w:t>
            </w:r>
          </w:p>
        </w:tc>
        <w:tc>
          <w:tcPr>
            <w:tcW w:w="1906" w:type="dxa"/>
            <w:noWrap/>
            <w:vAlign w:val="center"/>
          </w:tcPr>
          <w:p w14:paraId="690D162F"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4813.6</w:t>
            </w:r>
          </w:p>
        </w:tc>
        <w:tc>
          <w:tcPr>
            <w:tcW w:w="1907" w:type="dxa"/>
            <w:noWrap/>
            <w:vAlign w:val="center"/>
          </w:tcPr>
          <w:p w14:paraId="3618F80B"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5359.7</w:t>
            </w:r>
          </w:p>
        </w:tc>
        <w:tc>
          <w:tcPr>
            <w:tcW w:w="1907" w:type="dxa"/>
            <w:noWrap/>
            <w:vAlign w:val="center"/>
          </w:tcPr>
          <w:p w14:paraId="76F09835"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746.4</w:t>
            </w:r>
          </w:p>
        </w:tc>
      </w:tr>
      <w:tr w:rsidR="001D1B82" w:rsidRPr="00524A55" w14:paraId="51D4EFE3" w14:textId="77777777" w:rsidTr="001D1B82">
        <w:trPr>
          <w:trHeight w:val="284"/>
        </w:trPr>
        <w:tc>
          <w:tcPr>
            <w:tcW w:w="1906" w:type="dxa"/>
            <w:noWrap/>
            <w:vAlign w:val="center"/>
          </w:tcPr>
          <w:p w14:paraId="76DED36C"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2030</w:t>
            </w:r>
          </w:p>
        </w:tc>
        <w:tc>
          <w:tcPr>
            <w:tcW w:w="1907" w:type="dxa"/>
            <w:noWrap/>
            <w:vAlign w:val="center"/>
          </w:tcPr>
          <w:p w14:paraId="5D61D3AA"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Diesel HE</w:t>
            </w:r>
          </w:p>
        </w:tc>
        <w:tc>
          <w:tcPr>
            <w:tcW w:w="1906" w:type="dxa"/>
            <w:noWrap/>
            <w:vAlign w:val="center"/>
          </w:tcPr>
          <w:p w14:paraId="0D01FD4C"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4609.9</w:t>
            </w:r>
          </w:p>
        </w:tc>
        <w:tc>
          <w:tcPr>
            <w:tcW w:w="1907" w:type="dxa"/>
            <w:noWrap/>
            <w:vAlign w:val="center"/>
          </w:tcPr>
          <w:p w14:paraId="205F0C9A"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5367.8</w:t>
            </w:r>
          </w:p>
        </w:tc>
        <w:tc>
          <w:tcPr>
            <w:tcW w:w="1907" w:type="dxa"/>
            <w:noWrap/>
            <w:vAlign w:val="center"/>
          </w:tcPr>
          <w:p w14:paraId="79732810"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746.4</w:t>
            </w:r>
          </w:p>
        </w:tc>
      </w:tr>
      <w:tr w:rsidR="001D1B82" w:rsidRPr="00524A55" w14:paraId="0EBAAAA6" w14:textId="77777777" w:rsidTr="001D1B82">
        <w:trPr>
          <w:trHeight w:val="284"/>
        </w:trPr>
        <w:tc>
          <w:tcPr>
            <w:tcW w:w="1906" w:type="dxa"/>
            <w:noWrap/>
            <w:vAlign w:val="center"/>
          </w:tcPr>
          <w:p w14:paraId="7103BDE4"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2040</w:t>
            </w:r>
          </w:p>
        </w:tc>
        <w:tc>
          <w:tcPr>
            <w:tcW w:w="1907" w:type="dxa"/>
            <w:noWrap/>
            <w:vAlign w:val="center"/>
          </w:tcPr>
          <w:p w14:paraId="3798B948"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Diesel HE</w:t>
            </w:r>
          </w:p>
        </w:tc>
        <w:tc>
          <w:tcPr>
            <w:tcW w:w="1906" w:type="dxa"/>
            <w:noWrap/>
            <w:vAlign w:val="center"/>
          </w:tcPr>
          <w:p w14:paraId="7908D6E5"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4425.5</w:t>
            </w:r>
          </w:p>
        </w:tc>
        <w:tc>
          <w:tcPr>
            <w:tcW w:w="1907" w:type="dxa"/>
            <w:noWrap/>
            <w:vAlign w:val="center"/>
          </w:tcPr>
          <w:p w14:paraId="632903EE"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5376.0</w:t>
            </w:r>
          </w:p>
        </w:tc>
        <w:tc>
          <w:tcPr>
            <w:tcW w:w="1907" w:type="dxa"/>
            <w:noWrap/>
            <w:vAlign w:val="center"/>
          </w:tcPr>
          <w:p w14:paraId="37889B4D"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747.3</w:t>
            </w:r>
          </w:p>
        </w:tc>
      </w:tr>
      <w:tr w:rsidR="001D1B82" w:rsidRPr="00524A55" w14:paraId="0B91ADBA" w14:textId="77777777" w:rsidTr="001D1B82">
        <w:trPr>
          <w:trHeight w:val="284"/>
        </w:trPr>
        <w:tc>
          <w:tcPr>
            <w:tcW w:w="1906" w:type="dxa"/>
            <w:noWrap/>
            <w:vAlign w:val="center"/>
          </w:tcPr>
          <w:p w14:paraId="2A315555"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2050</w:t>
            </w:r>
          </w:p>
        </w:tc>
        <w:tc>
          <w:tcPr>
            <w:tcW w:w="1907" w:type="dxa"/>
            <w:noWrap/>
            <w:vAlign w:val="center"/>
          </w:tcPr>
          <w:p w14:paraId="41A36C1B"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Diesel HE</w:t>
            </w:r>
          </w:p>
        </w:tc>
        <w:tc>
          <w:tcPr>
            <w:tcW w:w="1906" w:type="dxa"/>
            <w:noWrap/>
            <w:vAlign w:val="center"/>
          </w:tcPr>
          <w:p w14:paraId="35771390"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4326.8</w:t>
            </w:r>
          </w:p>
        </w:tc>
        <w:tc>
          <w:tcPr>
            <w:tcW w:w="1907" w:type="dxa"/>
            <w:noWrap/>
            <w:vAlign w:val="center"/>
          </w:tcPr>
          <w:p w14:paraId="3436474A"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5384.1</w:t>
            </w:r>
          </w:p>
        </w:tc>
        <w:tc>
          <w:tcPr>
            <w:tcW w:w="1907" w:type="dxa"/>
            <w:noWrap/>
            <w:vAlign w:val="center"/>
          </w:tcPr>
          <w:p w14:paraId="2159C2C4"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747.3</w:t>
            </w:r>
          </w:p>
        </w:tc>
      </w:tr>
      <w:tr w:rsidR="001D1B82" w:rsidRPr="00524A55" w14:paraId="5B14C9C2" w14:textId="77777777" w:rsidTr="001D1B82">
        <w:trPr>
          <w:trHeight w:val="284"/>
        </w:trPr>
        <w:tc>
          <w:tcPr>
            <w:tcW w:w="1906" w:type="dxa"/>
            <w:noWrap/>
            <w:vAlign w:val="center"/>
          </w:tcPr>
          <w:p w14:paraId="6EC267D9"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2020</w:t>
            </w:r>
          </w:p>
        </w:tc>
        <w:tc>
          <w:tcPr>
            <w:tcW w:w="1907" w:type="dxa"/>
            <w:noWrap/>
            <w:vAlign w:val="center"/>
          </w:tcPr>
          <w:p w14:paraId="3316E146"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Diesel SE</w:t>
            </w:r>
          </w:p>
        </w:tc>
        <w:tc>
          <w:tcPr>
            <w:tcW w:w="1906" w:type="dxa"/>
            <w:noWrap/>
            <w:vAlign w:val="center"/>
          </w:tcPr>
          <w:p w14:paraId="0FCD1492"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5824.5</w:t>
            </w:r>
          </w:p>
        </w:tc>
        <w:tc>
          <w:tcPr>
            <w:tcW w:w="1907" w:type="dxa"/>
            <w:noWrap/>
            <w:vAlign w:val="center"/>
          </w:tcPr>
          <w:p w14:paraId="499AEC38"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5153.6</w:t>
            </w:r>
          </w:p>
        </w:tc>
        <w:tc>
          <w:tcPr>
            <w:tcW w:w="1907" w:type="dxa"/>
            <w:noWrap/>
            <w:vAlign w:val="center"/>
          </w:tcPr>
          <w:p w14:paraId="57650F9C"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746.4</w:t>
            </w:r>
          </w:p>
        </w:tc>
      </w:tr>
      <w:tr w:rsidR="001D1B82" w:rsidRPr="00524A55" w14:paraId="28706445" w14:textId="77777777" w:rsidTr="001D1B82">
        <w:trPr>
          <w:trHeight w:val="284"/>
        </w:trPr>
        <w:tc>
          <w:tcPr>
            <w:tcW w:w="1906" w:type="dxa"/>
            <w:noWrap/>
            <w:vAlign w:val="center"/>
          </w:tcPr>
          <w:p w14:paraId="478CFB81"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2030</w:t>
            </w:r>
          </w:p>
        </w:tc>
        <w:tc>
          <w:tcPr>
            <w:tcW w:w="1907" w:type="dxa"/>
            <w:noWrap/>
            <w:vAlign w:val="center"/>
          </w:tcPr>
          <w:p w14:paraId="06997083"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Diesel SE</w:t>
            </w:r>
          </w:p>
        </w:tc>
        <w:tc>
          <w:tcPr>
            <w:tcW w:w="1906" w:type="dxa"/>
            <w:noWrap/>
            <w:vAlign w:val="center"/>
          </w:tcPr>
          <w:p w14:paraId="477E139A"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5531.9</w:t>
            </w:r>
          </w:p>
        </w:tc>
        <w:tc>
          <w:tcPr>
            <w:tcW w:w="1907" w:type="dxa"/>
            <w:noWrap/>
            <w:vAlign w:val="center"/>
          </w:tcPr>
          <w:p w14:paraId="4AC2D5C2"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5153.6</w:t>
            </w:r>
          </w:p>
        </w:tc>
        <w:tc>
          <w:tcPr>
            <w:tcW w:w="1907" w:type="dxa"/>
            <w:noWrap/>
            <w:vAlign w:val="center"/>
          </w:tcPr>
          <w:p w14:paraId="2F8F5303"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746.4</w:t>
            </w:r>
          </w:p>
        </w:tc>
      </w:tr>
      <w:tr w:rsidR="001D1B82" w:rsidRPr="00524A55" w14:paraId="63BA99F2" w14:textId="77777777" w:rsidTr="001D1B82">
        <w:trPr>
          <w:trHeight w:val="284"/>
        </w:trPr>
        <w:tc>
          <w:tcPr>
            <w:tcW w:w="1906" w:type="dxa"/>
            <w:noWrap/>
            <w:vAlign w:val="center"/>
          </w:tcPr>
          <w:p w14:paraId="7AC37E29"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2040</w:t>
            </w:r>
          </w:p>
        </w:tc>
        <w:tc>
          <w:tcPr>
            <w:tcW w:w="1907" w:type="dxa"/>
            <w:noWrap/>
            <w:vAlign w:val="center"/>
          </w:tcPr>
          <w:p w14:paraId="38CBD598"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Diesel SE</w:t>
            </w:r>
          </w:p>
        </w:tc>
        <w:tc>
          <w:tcPr>
            <w:tcW w:w="1906" w:type="dxa"/>
            <w:noWrap/>
            <w:vAlign w:val="center"/>
          </w:tcPr>
          <w:p w14:paraId="7ECDF4DE"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5268.5</w:t>
            </w:r>
          </w:p>
        </w:tc>
        <w:tc>
          <w:tcPr>
            <w:tcW w:w="1907" w:type="dxa"/>
            <w:noWrap/>
            <w:vAlign w:val="center"/>
          </w:tcPr>
          <w:p w14:paraId="3E37E1E2"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5153.6</w:t>
            </w:r>
          </w:p>
        </w:tc>
        <w:tc>
          <w:tcPr>
            <w:tcW w:w="1907" w:type="dxa"/>
            <w:noWrap/>
            <w:vAlign w:val="center"/>
          </w:tcPr>
          <w:p w14:paraId="00E1710C"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747.3</w:t>
            </w:r>
          </w:p>
        </w:tc>
      </w:tr>
      <w:tr w:rsidR="001D1B82" w:rsidRPr="00524A55" w14:paraId="49AE87D8" w14:textId="77777777" w:rsidTr="001D1B82">
        <w:trPr>
          <w:trHeight w:val="284"/>
        </w:trPr>
        <w:tc>
          <w:tcPr>
            <w:tcW w:w="1906" w:type="dxa"/>
            <w:noWrap/>
            <w:vAlign w:val="center"/>
          </w:tcPr>
          <w:p w14:paraId="08B0C8C9"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2050</w:t>
            </w:r>
          </w:p>
        </w:tc>
        <w:tc>
          <w:tcPr>
            <w:tcW w:w="1907" w:type="dxa"/>
            <w:noWrap/>
            <w:vAlign w:val="center"/>
          </w:tcPr>
          <w:p w14:paraId="01138D3B"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Diesel SE</w:t>
            </w:r>
          </w:p>
        </w:tc>
        <w:tc>
          <w:tcPr>
            <w:tcW w:w="1906" w:type="dxa"/>
            <w:noWrap/>
            <w:vAlign w:val="center"/>
          </w:tcPr>
          <w:p w14:paraId="661DCB7A"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5129.2</w:t>
            </w:r>
          </w:p>
        </w:tc>
        <w:tc>
          <w:tcPr>
            <w:tcW w:w="1907" w:type="dxa"/>
            <w:noWrap/>
            <w:vAlign w:val="center"/>
          </w:tcPr>
          <w:p w14:paraId="2013E642"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5153.6</w:t>
            </w:r>
          </w:p>
        </w:tc>
        <w:tc>
          <w:tcPr>
            <w:tcW w:w="1907" w:type="dxa"/>
            <w:noWrap/>
            <w:vAlign w:val="center"/>
          </w:tcPr>
          <w:p w14:paraId="3675363D"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747.3</w:t>
            </w:r>
          </w:p>
        </w:tc>
      </w:tr>
      <w:tr w:rsidR="001D1B82" w:rsidRPr="00524A55" w14:paraId="73D25AB2" w14:textId="77777777" w:rsidTr="001D1B82">
        <w:trPr>
          <w:trHeight w:val="284"/>
        </w:trPr>
        <w:tc>
          <w:tcPr>
            <w:tcW w:w="1906" w:type="dxa"/>
            <w:noWrap/>
            <w:vAlign w:val="center"/>
          </w:tcPr>
          <w:p w14:paraId="479E4076"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2020</w:t>
            </w:r>
          </w:p>
        </w:tc>
        <w:tc>
          <w:tcPr>
            <w:tcW w:w="1907" w:type="dxa"/>
            <w:noWrap/>
            <w:vAlign w:val="center"/>
          </w:tcPr>
          <w:p w14:paraId="1D1BC44A"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Battery Electric</w:t>
            </w:r>
          </w:p>
        </w:tc>
        <w:tc>
          <w:tcPr>
            <w:tcW w:w="1906" w:type="dxa"/>
            <w:noWrap/>
            <w:vAlign w:val="center"/>
          </w:tcPr>
          <w:p w14:paraId="4D46010E"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1663.0</w:t>
            </w:r>
          </w:p>
        </w:tc>
        <w:tc>
          <w:tcPr>
            <w:tcW w:w="1907" w:type="dxa"/>
            <w:noWrap/>
            <w:vAlign w:val="center"/>
          </w:tcPr>
          <w:p w14:paraId="11A35C71"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6648.1</w:t>
            </w:r>
          </w:p>
        </w:tc>
        <w:tc>
          <w:tcPr>
            <w:tcW w:w="1907" w:type="dxa"/>
            <w:noWrap/>
            <w:vAlign w:val="center"/>
          </w:tcPr>
          <w:p w14:paraId="431E132C"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1073.4</w:t>
            </w:r>
          </w:p>
        </w:tc>
      </w:tr>
      <w:tr w:rsidR="001D1B82" w:rsidRPr="00524A55" w14:paraId="38CFC015" w14:textId="77777777" w:rsidTr="001D1B82">
        <w:trPr>
          <w:trHeight w:val="284"/>
        </w:trPr>
        <w:tc>
          <w:tcPr>
            <w:tcW w:w="1906" w:type="dxa"/>
            <w:noWrap/>
            <w:vAlign w:val="center"/>
          </w:tcPr>
          <w:p w14:paraId="67EE4517"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2030</w:t>
            </w:r>
          </w:p>
        </w:tc>
        <w:tc>
          <w:tcPr>
            <w:tcW w:w="1907" w:type="dxa"/>
            <w:noWrap/>
            <w:vAlign w:val="center"/>
          </w:tcPr>
          <w:p w14:paraId="3ADD68E2"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Battery Electric</w:t>
            </w:r>
          </w:p>
        </w:tc>
        <w:tc>
          <w:tcPr>
            <w:tcW w:w="1906" w:type="dxa"/>
            <w:noWrap/>
            <w:vAlign w:val="center"/>
          </w:tcPr>
          <w:p w14:paraId="5B0D84A9"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1473.4</w:t>
            </w:r>
          </w:p>
        </w:tc>
        <w:tc>
          <w:tcPr>
            <w:tcW w:w="1907" w:type="dxa"/>
            <w:noWrap/>
            <w:vAlign w:val="center"/>
          </w:tcPr>
          <w:p w14:paraId="30A72A14"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5161.6</w:t>
            </w:r>
          </w:p>
        </w:tc>
        <w:tc>
          <w:tcPr>
            <w:tcW w:w="1907" w:type="dxa"/>
            <w:noWrap/>
            <w:vAlign w:val="center"/>
          </w:tcPr>
          <w:p w14:paraId="1805FD36"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673.6</w:t>
            </w:r>
          </w:p>
        </w:tc>
      </w:tr>
      <w:tr w:rsidR="001D1B82" w:rsidRPr="00524A55" w14:paraId="17DF374E" w14:textId="77777777" w:rsidTr="001D1B82">
        <w:trPr>
          <w:trHeight w:val="284"/>
        </w:trPr>
        <w:tc>
          <w:tcPr>
            <w:tcW w:w="1906" w:type="dxa"/>
            <w:noWrap/>
            <w:vAlign w:val="center"/>
          </w:tcPr>
          <w:p w14:paraId="1508B9B4"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2040</w:t>
            </w:r>
          </w:p>
        </w:tc>
        <w:tc>
          <w:tcPr>
            <w:tcW w:w="1907" w:type="dxa"/>
            <w:noWrap/>
            <w:vAlign w:val="center"/>
          </w:tcPr>
          <w:p w14:paraId="0AC8DA3A"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Battery Electric</w:t>
            </w:r>
          </w:p>
        </w:tc>
        <w:tc>
          <w:tcPr>
            <w:tcW w:w="1906" w:type="dxa"/>
            <w:noWrap/>
            <w:vAlign w:val="center"/>
          </w:tcPr>
          <w:p w14:paraId="5668A083"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1326.0</w:t>
            </w:r>
          </w:p>
        </w:tc>
        <w:tc>
          <w:tcPr>
            <w:tcW w:w="1907" w:type="dxa"/>
            <w:noWrap/>
            <w:vAlign w:val="center"/>
          </w:tcPr>
          <w:p w14:paraId="06E29956"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4822.2</w:t>
            </w:r>
          </w:p>
        </w:tc>
        <w:tc>
          <w:tcPr>
            <w:tcW w:w="1907" w:type="dxa"/>
            <w:noWrap/>
            <w:vAlign w:val="center"/>
          </w:tcPr>
          <w:p w14:paraId="3E212041"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628.1</w:t>
            </w:r>
          </w:p>
        </w:tc>
      </w:tr>
      <w:tr w:rsidR="001D1B82" w:rsidRPr="00524A55" w14:paraId="26C83244" w14:textId="77777777" w:rsidTr="001D1B82">
        <w:trPr>
          <w:trHeight w:val="284"/>
        </w:trPr>
        <w:tc>
          <w:tcPr>
            <w:tcW w:w="1906" w:type="dxa"/>
            <w:noWrap/>
            <w:vAlign w:val="center"/>
          </w:tcPr>
          <w:p w14:paraId="69596F12"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2050</w:t>
            </w:r>
          </w:p>
        </w:tc>
        <w:tc>
          <w:tcPr>
            <w:tcW w:w="1907" w:type="dxa"/>
            <w:noWrap/>
            <w:vAlign w:val="center"/>
          </w:tcPr>
          <w:p w14:paraId="2706E72C"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Battery Electric</w:t>
            </w:r>
          </w:p>
        </w:tc>
        <w:tc>
          <w:tcPr>
            <w:tcW w:w="1906" w:type="dxa"/>
            <w:noWrap/>
            <w:vAlign w:val="center"/>
          </w:tcPr>
          <w:p w14:paraId="4EDF5076"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1299.5</w:t>
            </w:r>
          </w:p>
        </w:tc>
        <w:tc>
          <w:tcPr>
            <w:tcW w:w="1907" w:type="dxa"/>
            <w:noWrap/>
            <w:vAlign w:val="center"/>
          </w:tcPr>
          <w:p w14:paraId="681E91A9"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4779.6</w:t>
            </w:r>
          </w:p>
        </w:tc>
        <w:tc>
          <w:tcPr>
            <w:tcW w:w="1907" w:type="dxa"/>
            <w:noWrap/>
            <w:vAlign w:val="center"/>
          </w:tcPr>
          <w:p w14:paraId="77C6F594"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628.1</w:t>
            </w:r>
          </w:p>
        </w:tc>
      </w:tr>
      <w:tr w:rsidR="001D1B82" w:rsidRPr="00524A55" w14:paraId="009ED210" w14:textId="77777777" w:rsidTr="001D1B82">
        <w:trPr>
          <w:trHeight w:val="284"/>
        </w:trPr>
        <w:tc>
          <w:tcPr>
            <w:tcW w:w="1906" w:type="dxa"/>
            <w:noWrap/>
            <w:vAlign w:val="center"/>
          </w:tcPr>
          <w:p w14:paraId="693D2C26"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2020</w:t>
            </w:r>
          </w:p>
        </w:tc>
        <w:tc>
          <w:tcPr>
            <w:tcW w:w="1907" w:type="dxa"/>
            <w:noWrap/>
            <w:vAlign w:val="center"/>
          </w:tcPr>
          <w:p w14:paraId="6AD398A6"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Gasoline ME</w:t>
            </w:r>
          </w:p>
        </w:tc>
        <w:tc>
          <w:tcPr>
            <w:tcW w:w="1906" w:type="dxa"/>
            <w:noWrap/>
            <w:vAlign w:val="center"/>
          </w:tcPr>
          <w:p w14:paraId="52941941"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5750.4</w:t>
            </w:r>
          </w:p>
        </w:tc>
        <w:tc>
          <w:tcPr>
            <w:tcW w:w="1907" w:type="dxa"/>
            <w:noWrap/>
            <w:vAlign w:val="center"/>
          </w:tcPr>
          <w:p w14:paraId="1699C3AF"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5015.5</w:t>
            </w:r>
          </w:p>
        </w:tc>
        <w:tc>
          <w:tcPr>
            <w:tcW w:w="1907" w:type="dxa"/>
            <w:noWrap/>
            <w:vAlign w:val="center"/>
          </w:tcPr>
          <w:p w14:paraId="23F4C7B9"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723.8</w:t>
            </w:r>
          </w:p>
        </w:tc>
      </w:tr>
      <w:tr w:rsidR="001D1B82" w:rsidRPr="00524A55" w14:paraId="47A04DBA" w14:textId="77777777" w:rsidTr="001D1B82">
        <w:trPr>
          <w:trHeight w:val="284"/>
        </w:trPr>
        <w:tc>
          <w:tcPr>
            <w:tcW w:w="1906" w:type="dxa"/>
            <w:noWrap/>
            <w:vAlign w:val="center"/>
          </w:tcPr>
          <w:p w14:paraId="67ED58B9"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2030</w:t>
            </w:r>
          </w:p>
        </w:tc>
        <w:tc>
          <w:tcPr>
            <w:tcW w:w="1907" w:type="dxa"/>
            <w:noWrap/>
            <w:vAlign w:val="center"/>
          </w:tcPr>
          <w:p w14:paraId="177191CB"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Gasoline ME</w:t>
            </w:r>
          </w:p>
        </w:tc>
        <w:tc>
          <w:tcPr>
            <w:tcW w:w="1906" w:type="dxa"/>
            <w:noWrap/>
            <w:vAlign w:val="center"/>
          </w:tcPr>
          <w:p w14:paraId="7AF2DCDA"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5448.9</w:t>
            </w:r>
          </w:p>
        </w:tc>
        <w:tc>
          <w:tcPr>
            <w:tcW w:w="1907" w:type="dxa"/>
            <w:noWrap/>
            <w:vAlign w:val="center"/>
          </w:tcPr>
          <w:p w14:paraId="520F9BAB"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5015.5</w:t>
            </w:r>
          </w:p>
        </w:tc>
        <w:tc>
          <w:tcPr>
            <w:tcW w:w="1907" w:type="dxa"/>
            <w:noWrap/>
            <w:vAlign w:val="center"/>
          </w:tcPr>
          <w:p w14:paraId="3BD3CE5B"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750.6</w:t>
            </w:r>
          </w:p>
        </w:tc>
      </w:tr>
      <w:tr w:rsidR="001D1B82" w:rsidRPr="00524A55" w14:paraId="1ABC360D" w14:textId="77777777" w:rsidTr="001D1B82">
        <w:trPr>
          <w:trHeight w:val="284"/>
        </w:trPr>
        <w:tc>
          <w:tcPr>
            <w:tcW w:w="1906" w:type="dxa"/>
            <w:noWrap/>
            <w:vAlign w:val="center"/>
          </w:tcPr>
          <w:p w14:paraId="6BD2BC26"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2040</w:t>
            </w:r>
          </w:p>
        </w:tc>
        <w:tc>
          <w:tcPr>
            <w:tcW w:w="1907" w:type="dxa"/>
            <w:noWrap/>
            <w:vAlign w:val="center"/>
          </w:tcPr>
          <w:p w14:paraId="0E88E702"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Gasoline ME</w:t>
            </w:r>
          </w:p>
        </w:tc>
        <w:tc>
          <w:tcPr>
            <w:tcW w:w="1906" w:type="dxa"/>
            <w:noWrap/>
            <w:vAlign w:val="center"/>
          </w:tcPr>
          <w:p w14:paraId="3512EC1A"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5169.5</w:t>
            </w:r>
          </w:p>
        </w:tc>
        <w:tc>
          <w:tcPr>
            <w:tcW w:w="1907" w:type="dxa"/>
            <w:noWrap/>
            <w:vAlign w:val="center"/>
          </w:tcPr>
          <w:p w14:paraId="31F87A03"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5015.5</w:t>
            </w:r>
          </w:p>
        </w:tc>
        <w:tc>
          <w:tcPr>
            <w:tcW w:w="1907" w:type="dxa"/>
            <w:noWrap/>
            <w:vAlign w:val="center"/>
          </w:tcPr>
          <w:p w14:paraId="246D9364"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777.4</w:t>
            </w:r>
          </w:p>
        </w:tc>
      </w:tr>
      <w:tr w:rsidR="001D1B82" w:rsidRPr="00524A55" w14:paraId="188BA2D9" w14:textId="77777777" w:rsidTr="001D1B82">
        <w:trPr>
          <w:trHeight w:val="284"/>
        </w:trPr>
        <w:tc>
          <w:tcPr>
            <w:tcW w:w="1906" w:type="dxa"/>
            <w:noWrap/>
            <w:vAlign w:val="center"/>
          </w:tcPr>
          <w:p w14:paraId="41725894"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2050</w:t>
            </w:r>
          </w:p>
        </w:tc>
        <w:tc>
          <w:tcPr>
            <w:tcW w:w="1907" w:type="dxa"/>
            <w:noWrap/>
            <w:vAlign w:val="center"/>
          </w:tcPr>
          <w:p w14:paraId="5ABD0705"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Gasoline ME</w:t>
            </w:r>
          </w:p>
        </w:tc>
        <w:tc>
          <w:tcPr>
            <w:tcW w:w="1906" w:type="dxa"/>
            <w:noWrap/>
            <w:vAlign w:val="center"/>
          </w:tcPr>
          <w:p w14:paraId="20C3422E"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5040.2</w:t>
            </w:r>
          </w:p>
        </w:tc>
        <w:tc>
          <w:tcPr>
            <w:tcW w:w="1907" w:type="dxa"/>
            <w:noWrap/>
            <w:vAlign w:val="center"/>
          </w:tcPr>
          <w:p w14:paraId="7DCE9FBF"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5015.5</w:t>
            </w:r>
          </w:p>
        </w:tc>
        <w:tc>
          <w:tcPr>
            <w:tcW w:w="1907" w:type="dxa"/>
            <w:noWrap/>
            <w:vAlign w:val="center"/>
          </w:tcPr>
          <w:p w14:paraId="7AD355B3"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806.7</w:t>
            </w:r>
          </w:p>
        </w:tc>
      </w:tr>
      <w:tr w:rsidR="001D1B82" w:rsidRPr="00524A55" w14:paraId="666D1AF8" w14:textId="77777777" w:rsidTr="001D1B82">
        <w:trPr>
          <w:trHeight w:val="284"/>
        </w:trPr>
        <w:tc>
          <w:tcPr>
            <w:tcW w:w="1906" w:type="dxa"/>
            <w:noWrap/>
            <w:vAlign w:val="center"/>
          </w:tcPr>
          <w:p w14:paraId="3FF32B2F"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2020</w:t>
            </w:r>
          </w:p>
        </w:tc>
        <w:tc>
          <w:tcPr>
            <w:tcW w:w="1907" w:type="dxa"/>
            <w:noWrap/>
            <w:vAlign w:val="center"/>
          </w:tcPr>
          <w:p w14:paraId="6ECC876F"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Gasoline HE</w:t>
            </w:r>
          </w:p>
        </w:tc>
        <w:tc>
          <w:tcPr>
            <w:tcW w:w="1906" w:type="dxa"/>
            <w:noWrap/>
            <w:vAlign w:val="center"/>
          </w:tcPr>
          <w:p w14:paraId="3774939A"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5202.7</w:t>
            </w:r>
          </w:p>
        </w:tc>
        <w:tc>
          <w:tcPr>
            <w:tcW w:w="1907" w:type="dxa"/>
            <w:noWrap/>
            <w:vAlign w:val="center"/>
          </w:tcPr>
          <w:p w14:paraId="0E4F528A"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5113.8</w:t>
            </w:r>
          </w:p>
        </w:tc>
        <w:tc>
          <w:tcPr>
            <w:tcW w:w="1907" w:type="dxa"/>
            <w:noWrap/>
            <w:vAlign w:val="center"/>
          </w:tcPr>
          <w:p w14:paraId="141E3893"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733.0</w:t>
            </w:r>
          </w:p>
        </w:tc>
      </w:tr>
      <w:tr w:rsidR="001D1B82" w:rsidRPr="00524A55" w14:paraId="11E7BD56" w14:textId="77777777" w:rsidTr="001D1B82">
        <w:trPr>
          <w:trHeight w:val="284"/>
        </w:trPr>
        <w:tc>
          <w:tcPr>
            <w:tcW w:w="1906" w:type="dxa"/>
            <w:noWrap/>
            <w:vAlign w:val="center"/>
          </w:tcPr>
          <w:p w14:paraId="02B08572"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2030</w:t>
            </w:r>
          </w:p>
        </w:tc>
        <w:tc>
          <w:tcPr>
            <w:tcW w:w="1907" w:type="dxa"/>
            <w:noWrap/>
            <w:vAlign w:val="center"/>
          </w:tcPr>
          <w:p w14:paraId="48FC28BA"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Gasoline HE</w:t>
            </w:r>
          </w:p>
        </w:tc>
        <w:tc>
          <w:tcPr>
            <w:tcW w:w="1906" w:type="dxa"/>
            <w:noWrap/>
            <w:vAlign w:val="center"/>
          </w:tcPr>
          <w:p w14:paraId="0CB337E6"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4917.3</w:t>
            </w:r>
          </w:p>
        </w:tc>
        <w:tc>
          <w:tcPr>
            <w:tcW w:w="1907" w:type="dxa"/>
            <w:noWrap/>
            <w:vAlign w:val="center"/>
          </w:tcPr>
          <w:p w14:paraId="5274323E"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5121.6</w:t>
            </w:r>
          </w:p>
        </w:tc>
        <w:tc>
          <w:tcPr>
            <w:tcW w:w="1907" w:type="dxa"/>
            <w:noWrap/>
            <w:vAlign w:val="center"/>
          </w:tcPr>
          <w:p w14:paraId="4EB85D7F"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759.8</w:t>
            </w:r>
          </w:p>
        </w:tc>
      </w:tr>
      <w:tr w:rsidR="001D1B82" w:rsidRPr="00524A55" w14:paraId="3B8F9CCE" w14:textId="77777777" w:rsidTr="001D1B82">
        <w:trPr>
          <w:trHeight w:val="284"/>
        </w:trPr>
        <w:tc>
          <w:tcPr>
            <w:tcW w:w="1906" w:type="dxa"/>
            <w:noWrap/>
            <w:vAlign w:val="center"/>
          </w:tcPr>
          <w:p w14:paraId="02574AD0"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2040</w:t>
            </w:r>
          </w:p>
        </w:tc>
        <w:tc>
          <w:tcPr>
            <w:tcW w:w="1907" w:type="dxa"/>
            <w:noWrap/>
            <w:vAlign w:val="center"/>
          </w:tcPr>
          <w:p w14:paraId="69DDB460"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Gasoline HE</w:t>
            </w:r>
          </w:p>
        </w:tc>
        <w:tc>
          <w:tcPr>
            <w:tcW w:w="1906" w:type="dxa"/>
            <w:noWrap/>
            <w:vAlign w:val="center"/>
          </w:tcPr>
          <w:p w14:paraId="795DA429"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4800.2</w:t>
            </w:r>
          </w:p>
        </w:tc>
        <w:tc>
          <w:tcPr>
            <w:tcW w:w="1907" w:type="dxa"/>
            <w:noWrap/>
            <w:vAlign w:val="center"/>
          </w:tcPr>
          <w:p w14:paraId="186FAF36"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5121.6</w:t>
            </w:r>
          </w:p>
        </w:tc>
        <w:tc>
          <w:tcPr>
            <w:tcW w:w="1907" w:type="dxa"/>
            <w:noWrap/>
            <w:vAlign w:val="center"/>
          </w:tcPr>
          <w:p w14:paraId="0FA156E7"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787.5</w:t>
            </w:r>
          </w:p>
        </w:tc>
      </w:tr>
      <w:tr w:rsidR="001D1B82" w:rsidRPr="00524A55" w14:paraId="2C5574C2" w14:textId="77777777" w:rsidTr="001D1B82">
        <w:trPr>
          <w:trHeight w:val="284"/>
        </w:trPr>
        <w:tc>
          <w:tcPr>
            <w:tcW w:w="1906" w:type="dxa"/>
            <w:noWrap/>
            <w:vAlign w:val="center"/>
          </w:tcPr>
          <w:p w14:paraId="0F7F7038"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2050</w:t>
            </w:r>
          </w:p>
        </w:tc>
        <w:tc>
          <w:tcPr>
            <w:tcW w:w="1907" w:type="dxa"/>
            <w:noWrap/>
            <w:vAlign w:val="center"/>
          </w:tcPr>
          <w:p w14:paraId="2700BE9B"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Gasoline HE</w:t>
            </w:r>
          </w:p>
        </w:tc>
        <w:tc>
          <w:tcPr>
            <w:tcW w:w="1906" w:type="dxa"/>
            <w:noWrap/>
            <w:vAlign w:val="center"/>
          </w:tcPr>
          <w:p w14:paraId="629D04DE"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4688.6</w:t>
            </w:r>
          </w:p>
        </w:tc>
        <w:tc>
          <w:tcPr>
            <w:tcW w:w="1907" w:type="dxa"/>
            <w:noWrap/>
            <w:vAlign w:val="center"/>
          </w:tcPr>
          <w:p w14:paraId="3CD09A35"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5121.6</w:t>
            </w:r>
          </w:p>
        </w:tc>
        <w:tc>
          <w:tcPr>
            <w:tcW w:w="1907" w:type="dxa"/>
            <w:noWrap/>
            <w:vAlign w:val="center"/>
          </w:tcPr>
          <w:p w14:paraId="29B8A9C3"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817.6</w:t>
            </w:r>
          </w:p>
        </w:tc>
      </w:tr>
      <w:tr w:rsidR="001D1B82" w:rsidRPr="00524A55" w14:paraId="06A5D238" w14:textId="77777777" w:rsidTr="001D1B82">
        <w:trPr>
          <w:trHeight w:val="284"/>
        </w:trPr>
        <w:tc>
          <w:tcPr>
            <w:tcW w:w="1906" w:type="dxa"/>
            <w:noWrap/>
            <w:vAlign w:val="center"/>
          </w:tcPr>
          <w:p w14:paraId="656D04ED"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2020</w:t>
            </w:r>
          </w:p>
        </w:tc>
        <w:tc>
          <w:tcPr>
            <w:tcW w:w="1907" w:type="dxa"/>
            <w:noWrap/>
            <w:vAlign w:val="center"/>
          </w:tcPr>
          <w:p w14:paraId="2262D8C2"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Gasoline SE</w:t>
            </w:r>
          </w:p>
        </w:tc>
        <w:tc>
          <w:tcPr>
            <w:tcW w:w="1906" w:type="dxa"/>
            <w:noWrap/>
            <w:vAlign w:val="center"/>
          </w:tcPr>
          <w:p w14:paraId="45224A17"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6355.7</w:t>
            </w:r>
          </w:p>
        </w:tc>
        <w:tc>
          <w:tcPr>
            <w:tcW w:w="1907" w:type="dxa"/>
            <w:noWrap/>
            <w:vAlign w:val="center"/>
          </w:tcPr>
          <w:p w14:paraId="4F81365C"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4917.1</w:t>
            </w:r>
          </w:p>
        </w:tc>
        <w:tc>
          <w:tcPr>
            <w:tcW w:w="1907" w:type="dxa"/>
            <w:noWrap/>
            <w:vAlign w:val="center"/>
          </w:tcPr>
          <w:p w14:paraId="2B0F57BE"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715.4</w:t>
            </w:r>
          </w:p>
        </w:tc>
      </w:tr>
      <w:tr w:rsidR="001D1B82" w:rsidRPr="00524A55" w14:paraId="6A32D9D5" w14:textId="77777777" w:rsidTr="001D1B82">
        <w:trPr>
          <w:trHeight w:val="284"/>
        </w:trPr>
        <w:tc>
          <w:tcPr>
            <w:tcW w:w="1906" w:type="dxa"/>
            <w:noWrap/>
            <w:vAlign w:val="center"/>
          </w:tcPr>
          <w:p w14:paraId="227E58AE"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2030</w:t>
            </w:r>
          </w:p>
        </w:tc>
        <w:tc>
          <w:tcPr>
            <w:tcW w:w="1907" w:type="dxa"/>
            <w:noWrap/>
            <w:vAlign w:val="center"/>
          </w:tcPr>
          <w:p w14:paraId="641CD6BD"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Gasoline SE</w:t>
            </w:r>
          </w:p>
        </w:tc>
        <w:tc>
          <w:tcPr>
            <w:tcW w:w="1906" w:type="dxa"/>
            <w:noWrap/>
            <w:vAlign w:val="center"/>
          </w:tcPr>
          <w:p w14:paraId="4166EE19"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5929.7</w:t>
            </w:r>
          </w:p>
        </w:tc>
        <w:tc>
          <w:tcPr>
            <w:tcW w:w="1907" w:type="dxa"/>
            <w:noWrap/>
            <w:vAlign w:val="center"/>
          </w:tcPr>
          <w:p w14:paraId="24C8FBF7"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4917.1</w:t>
            </w:r>
          </w:p>
        </w:tc>
        <w:tc>
          <w:tcPr>
            <w:tcW w:w="1907" w:type="dxa"/>
            <w:noWrap/>
            <w:vAlign w:val="center"/>
          </w:tcPr>
          <w:p w14:paraId="4D770620"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740.6</w:t>
            </w:r>
          </w:p>
        </w:tc>
      </w:tr>
      <w:tr w:rsidR="001D1B82" w:rsidRPr="00524A55" w14:paraId="539795E3" w14:textId="77777777" w:rsidTr="001D1B82">
        <w:trPr>
          <w:trHeight w:val="284"/>
        </w:trPr>
        <w:tc>
          <w:tcPr>
            <w:tcW w:w="1906" w:type="dxa"/>
            <w:noWrap/>
            <w:vAlign w:val="center"/>
          </w:tcPr>
          <w:p w14:paraId="3BDBA2E9"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2040</w:t>
            </w:r>
          </w:p>
        </w:tc>
        <w:tc>
          <w:tcPr>
            <w:tcW w:w="1907" w:type="dxa"/>
            <w:noWrap/>
            <w:vAlign w:val="center"/>
          </w:tcPr>
          <w:p w14:paraId="74059903"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Gasoline SE</w:t>
            </w:r>
          </w:p>
        </w:tc>
        <w:tc>
          <w:tcPr>
            <w:tcW w:w="1906" w:type="dxa"/>
            <w:noWrap/>
            <w:vAlign w:val="center"/>
          </w:tcPr>
          <w:p w14:paraId="15CBF62A"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5760.3</w:t>
            </w:r>
          </w:p>
        </w:tc>
        <w:tc>
          <w:tcPr>
            <w:tcW w:w="1907" w:type="dxa"/>
            <w:noWrap/>
            <w:vAlign w:val="center"/>
          </w:tcPr>
          <w:p w14:paraId="4CAF564A"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4917.1</w:t>
            </w:r>
          </w:p>
        </w:tc>
        <w:tc>
          <w:tcPr>
            <w:tcW w:w="1907" w:type="dxa"/>
            <w:noWrap/>
            <w:vAlign w:val="center"/>
          </w:tcPr>
          <w:p w14:paraId="7D8E3516"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768.2</w:t>
            </w:r>
          </w:p>
        </w:tc>
      </w:tr>
      <w:tr w:rsidR="001D1B82" w:rsidRPr="00524A55" w14:paraId="3FB8675C" w14:textId="77777777" w:rsidTr="001D1B82">
        <w:trPr>
          <w:trHeight w:val="284"/>
        </w:trPr>
        <w:tc>
          <w:tcPr>
            <w:tcW w:w="1906" w:type="dxa"/>
            <w:noWrap/>
            <w:vAlign w:val="center"/>
          </w:tcPr>
          <w:p w14:paraId="795DF9E8"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2050</w:t>
            </w:r>
          </w:p>
        </w:tc>
        <w:tc>
          <w:tcPr>
            <w:tcW w:w="1907" w:type="dxa"/>
            <w:noWrap/>
            <w:vAlign w:val="center"/>
          </w:tcPr>
          <w:p w14:paraId="25492E52"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Gasoline SE</w:t>
            </w:r>
          </w:p>
        </w:tc>
        <w:tc>
          <w:tcPr>
            <w:tcW w:w="1906" w:type="dxa"/>
            <w:noWrap/>
            <w:vAlign w:val="center"/>
          </w:tcPr>
          <w:p w14:paraId="0382CF24"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5600.2</w:t>
            </w:r>
          </w:p>
        </w:tc>
        <w:tc>
          <w:tcPr>
            <w:tcW w:w="1907" w:type="dxa"/>
            <w:noWrap/>
            <w:vAlign w:val="center"/>
          </w:tcPr>
          <w:p w14:paraId="4C515944"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4917.1</w:t>
            </w:r>
          </w:p>
        </w:tc>
        <w:tc>
          <w:tcPr>
            <w:tcW w:w="1907" w:type="dxa"/>
            <w:noWrap/>
            <w:vAlign w:val="center"/>
          </w:tcPr>
          <w:p w14:paraId="67DA6097"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796.7</w:t>
            </w:r>
          </w:p>
        </w:tc>
      </w:tr>
      <w:tr w:rsidR="001D1B82" w:rsidRPr="00524A55" w14:paraId="65B15DBB" w14:textId="77777777" w:rsidTr="001D1B82">
        <w:trPr>
          <w:trHeight w:val="284"/>
        </w:trPr>
        <w:tc>
          <w:tcPr>
            <w:tcW w:w="1906" w:type="dxa"/>
            <w:noWrap/>
            <w:vAlign w:val="center"/>
          </w:tcPr>
          <w:p w14:paraId="2061FA7B"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2020</w:t>
            </w:r>
          </w:p>
        </w:tc>
        <w:tc>
          <w:tcPr>
            <w:tcW w:w="1907" w:type="dxa"/>
            <w:noWrap/>
            <w:vAlign w:val="center"/>
          </w:tcPr>
          <w:p w14:paraId="69D31427"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Hydrogen</w:t>
            </w:r>
          </w:p>
        </w:tc>
        <w:tc>
          <w:tcPr>
            <w:tcW w:w="1906" w:type="dxa"/>
            <w:noWrap/>
            <w:vAlign w:val="center"/>
          </w:tcPr>
          <w:p w14:paraId="61B90358"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3078.0</w:t>
            </w:r>
          </w:p>
        </w:tc>
        <w:tc>
          <w:tcPr>
            <w:tcW w:w="1907" w:type="dxa"/>
            <w:noWrap/>
            <w:vAlign w:val="center"/>
          </w:tcPr>
          <w:p w14:paraId="11C22562"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6655.0</w:t>
            </w:r>
          </w:p>
        </w:tc>
        <w:tc>
          <w:tcPr>
            <w:tcW w:w="1907" w:type="dxa"/>
            <w:noWrap/>
            <w:vAlign w:val="center"/>
          </w:tcPr>
          <w:p w14:paraId="6020CEFB"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1846.4</w:t>
            </w:r>
          </w:p>
        </w:tc>
      </w:tr>
      <w:tr w:rsidR="001D1B82" w:rsidRPr="00524A55" w14:paraId="2BEF9018" w14:textId="77777777" w:rsidTr="001D1B82">
        <w:trPr>
          <w:trHeight w:val="284"/>
        </w:trPr>
        <w:tc>
          <w:tcPr>
            <w:tcW w:w="1906" w:type="dxa"/>
            <w:noWrap/>
            <w:vAlign w:val="center"/>
          </w:tcPr>
          <w:p w14:paraId="6065B403"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2030</w:t>
            </w:r>
          </w:p>
        </w:tc>
        <w:tc>
          <w:tcPr>
            <w:tcW w:w="1907" w:type="dxa"/>
            <w:noWrap/>
            <w:vAlign w:val="center"/>
          </w:tcPr>
          <w:p w14:paraId="38B7B234"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Hydrogen</w:t>
            </w:r>
          </w:p>
        </w:tc>
        <w:tc>
          <w:tcPr>
            <w:tcW w:w="1906" w:type="dxa"/>
            <w:noWrap/>
            <w:vAlign w:val="center"/>
          </w:tcPr>
          <w:p w14:paraId="7A3C49EE"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2655.0</w:t>
            </w:r>
          </w:p>
        </w:tc>
        <w:tc>
          <w:tcPr>
            <w:tcW w:w="1907" w:type="dxa"/>
            <w:noWrap/>
            <w:vAlign w:val="center"/>
          </w:tcPr>
          <w:p w14:paraId="75ED35E1"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6047.7</w:t>
            </w:r>
          </w:p>
        </w:tc>
        <w:tc>
          <w:tcPr>
            <w:tcW w:w="1907" w:type="dxa"/>
            <w:noWrap/>
            <w:vAlign w:val="center"/>
          </w:tcPr>
          <w:p w14:paraId="2838F3D9"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1090.6</w:t>
            </w:r>
          </w:p>
        </w:tc>
      </w:tr>
      <w:tr w:rsidR="001D1B82" w:rsidRPr="00524A55" w14:paraId="57D9C98F" w14:textId="77777777" w:rsidTr="001D1B82">
        <w:trPr>
          <w:trHeight w:val="284"/>
        </w:trPr>
        <w:tc>
          <w:tcPr>
            <w:tcW w:w="1906" w:type="dxa"/>
            <w:noWrap/>
            <w:vAlign w:val="center"/>
          </w:tcPr>
          <w:p w14:paraId="2077AE68"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2040</w:t>
            </w:r>
          </w:p>
        </w:tc>
        <w:tc>
          <w:tcPr>
            <w:tcW w:w="1907" w:type="dxa"/>
            <w:noWrap/>
            <w:vAlign w:val="center"/>
          </w:tcPr>
          <w:p w14:paraId="2A6A7C69"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Hydrogen</w:t>
            </w:r>
          </w:p>
        </w:tc>
        <w:tc>
          <w:tcPr>
            <w:tcW w:w="1906" w:type="dxa"/>
            <w:noWrap/>
            <w:vAlign w:val="center"/>
          </w:tcPr>
          <w:p w14:paraId="52339D90"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2389.5</w:t>
            </w:r>
          </w:p>
        </w:tc>
        <w:tc>
          <w:tcPr>
            <w:tcW w:w="1907" w:type="dxa"/>
            <w:noWrap/>
            <w:vAlign w:val="center"/>
          </w:tcPr>
          <w:p w14:paraId="213079DA"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5495.7</w:t>
            </w:r>
          </w:p>
        </w:tc>
        <w:tc>
          <w:tcPr>
            <w:tcW w:w="1907" w:type="dxa"/>
            <w:noWrap/>
            <w:vAlign w:val="center"/>
          </w:tcPr>
          <w:p w14:paraId="5BBF602F"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628.1</w:t>
            </w:r>
          </w:p>
        </w:tc>
      </w:tr>
      <w:tr w:rsidR="001D1B82" w:rsidRPr="00524A55" w14:paraId="44ADECAC" w14:textId="77777777" w:rsidTr="001D1B82">
        <w:trPr>
          <w:trHeight w:val="284"/>
        </w:trPr>
        <w:tc>
          <w:tcPr>
            <w:tcW w:w="1906" w:type="dxa"/>
            <w:noWrap/>
            <w:vAlign w:val="center"/>
          </w:tcPr>
          <w:p w14:paraId="59164EA9"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2050</w:t>
            </w:r>
          </w:p>
        </w:tc>
        <w:tc>
          <w:tcPr>
            <w:tcW w:w="1907" w:type="dxa"/>
            <w:noWrap/>
            <w:vAlign w:val="center"/>
          </w:tcPr>
          <w:p w14:paraId="47D48FD2"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Hydrogen</w:t>
            </w:r>
          </w:p>
        </w:tc>
        <w:tc>
          <w:tcPr>
            <w:tcW w:w="1906" w:type="dxa"/>
            <w:noWrap/>
            <w:vAlign w:val="center"/>
          </w:tcPr>
          <w:p w14:paraId="409E50BE"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2150.5</w:t>
            </w:r>
          </w:p>
        </w:tc>
        <w:tc>
          <w:tcPr>
            <w:tcW w:w="1907" w:type="dxa"/>
            <w:noWrap/>
            <w:vAlign w:val="center"/>
          </w:tcPr>
          <w:p w14:paraId="148C609E"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4994.2</w:t>
            </w:r>
          </w:p>
        </w:tc>
        <w:tc>
          <w:tcPr>
            <w:tcW w:w="1907" w:type="dxa"/>
            <w:noWrap/>
            <w:vAlign w:val="center"/>
          </w:tcPr>
          <w:p w14:paraId="68634DD6"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628.1</w:t>
            </w:r>
          </w:p>
        </w:tc>
      </w:tr>
      <w:tr w:rsidR="001D1B82" w:rsidRPr="00524A55" w14:paraId="14B17B7B" w14:textId="77777777" w:rsidTr="001D1B82">
        <w:trPr>
          <w:trHeight w:val="284"/>
        </w:trPr>
        <w:tc>
          <w:tcPr>
            <w:tcW w:w="1906" w:type="dxa"/>
            <w:noWrap/>
            <w:vAlign w:val="center"/>
          </w:tcPr>
          <w:p w14:paraId="5F5D6BD5"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2020</w:t>
            </w:r>
          </w:p>
        </w:tc>
        <w:tc>
          <w:tcPr>
            <w:tcW w:w="1907" w:type="dxa"/>
            <w:noWrap/>
            <w:vAlign w:val="center"/>
          </w:tcPr>
          <w:p w14:paraId="1DFEB30E"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Gasoline Hybrid</w:t>
            </w:r>
          </w:p>
        </w:tc>
        <w:tc>
          <w:tcPr>
            <w:tcW w:w="1906" w:type="dxa"/>
            <w:noWrap/>
            <w:vAlign w:val="center"/>
          </w:tcPr>
          <w:p w14:paraId="4F27F069"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3525.5</w:t>
            </w:r>
          </w:p>
        </w:tc>
        <w:tc>
          <w:tcPr>
            <w:tcW w:w="1907" w:type="dxa"/>
            <w:noWrap/>
            <w:vAlign w:val="center"/>
          </w:tcPr>
          <w:p w14:paraId="4A3EBB32"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5789.8</w:t>
            </w:r>
          </w:p>
        </w:tc>
        <w:tc>
          <w:tcPr>
            <w:tcW w:w="1907" w:type="dxa"/>
            <w:noWrap/>
            <w:vAlign w:val="center"/>
          </w:tcPr>
          <w:p w14:paraId="63A038D7"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715.4</w:t>
            </w:r>
          </w:p>
        </w:tc>
      </w:tr>
      <w:tr w:rsidR="001D1B82" w:rsidRPr="00524A55" w14:paraId="3E38F539" w14:textId="77777777" w:rsidTr="001D1B82">
        <w:trPr>
          <w:trHeight w:val="284"/>
        </w:trPr>
        <w:tc>
          <w:tcPr>
            <w:tcW w:w="1906" w:type="dxa"/>
            <w:noWrap/>
            <w:vAlign w:val="center"/>
          </w:tcPr>
          <w:p w14:paraId="77DADC52"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2030</w:t>
            </w:r>
          </w:p>
        </w:tc>
        <w:tc>
          <w:tcPr>
            <w:tcW w:w="1907" w:type="dxa"/>
            <w:noWrap/>
            <w:vAlign w:val="center"/>
          </w:tcPr>
          <w:p w14:paraId="2243304D"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Gasoline Hybrid</w:t>
            </w:r>
          </w:p>
        </w:tc>
        <w:tc>
          <w:tcPr>
            <w:tcW w:w="1906" w:type="dxa"/>
            <w:noWrap/>
            <w:vAlign w:val="center"/>
          </w:tcPr>
          <w:p w14:paraId="06A0ACDA"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3525.5</w:t>
            </w:r>
          </w:p>
        </w:tc>
        <w:tc>
          <w:tcPr>
            <w:tcW w:w="1907" w:type="dxa"/>
            <w:noWrap/>
            <w:vAlign w:val="center"/>
          </w:tcPr>
          <w:p w14:paraId="5D13E77B"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5798.6</w:t>
            </w:r>
          </w:p>
        </w:tc>
        <w:tc>
          <w:tcPr>
            <w:tcW w:w="1907" w:type="dxa"/>
            <w:noWrap/>
            <w:vAlign w:val="center"/>
          </w:tcPr>
          <w:p w14:paraId="5FA4540A"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715.4</w:t>
            </w:r>
          </w:p>
        </w:tc>
      </w:tr>
      <w:tr w:rsidR="001D1B82" w:rsidRPr="00524A55" w14:paraId="57E1EA06" w14:textId="77777777" w:rsidTr="001D1B82">
        <w:trPr>
          <w:trHeight w:val="284"/>
        </w:trPr>
        <w:tc>
          <w:tcPr>
            <w:tcW w:w="1906" w:type="dxa"/>
            <w:noWrap/>
            <w:vAlign w:val="center"/>
          </w:tcPr>
          <w:p w14:paraId="2A2473A2"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2040</w:t>
            </w:r>
          </w:p>
        </w:tc>
        <w:tc>
          <w:tcPr>
            <w:tcW w:w="1907" w:type="dxa"/>
            <w:noWrap/>
            <w:vAlign w:val="center"/>
          </w:tcPr>
          <w:p w14:paraId="5374E538"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Gasoline Hybrid</w:t>
            </w:r>
          </w:p>
        </w:tc>
        <w:tc>
          <w:tcPr>
            <w:tcW w:w="1906" w:type="dxa"/>
            <w:noWrap/>
            <w:vAlign w:val="center"/>
          </w:tcPr>
          <w:p w14:paraId="468A673E"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3423.3</w:t>
            </w:r>
          </w:p>
        </w:tc>
        <w:tc>
          <w:tcPr>
            <w:tcW w:w="1907" w:type="dxa"/>
            <w:noWrap/>
            <w:vAlign w:val="center"/>
          </w:tcPr>
          <w:p w14:paraId="46A77D74"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5807.4</w:t>
            </w:r>
          </w:p>
        </w:tc>
        <w:tc>
          <w:tcPr>
            <w:tcW w:w="1907" w:type="dxa"/>
            <w:noWrap/>
            <w:vAlign w:val="center"/>
          </w:tcPr>
          <w:p w14:paraId="2284B35E"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715.4</w:t>
            </w:r>
          </w:p>
        </w:tc>
      </w:tr>
      <w:tr w:rsidR="001D1B82" w:rsidRPr="00524A55" w14:paraId="19FCDC3C" w14:textId="77777777" w:rsidTr="001D1B82">
        <w:trPr>
          <w:trHeight w:val="284"/>
        </w:trPr>
        <w:tc>
          <w:tcPr>
            <w:tcW w:w="1906" w:type="dxa"/>
            <w:noWrap/>
            <w:vAlign w:val="center"/>
          </w:tcPr>
          <w:p w14:paraId="10DBCFF5"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2050</w:t>
            </w:r>
          </w:p>
        </w:tc>
        <w:tc>
          <w:tcPr>
            <w:tcW w:w="1907" w:type="dxa"/>
            <w:noWrap/>
            <w:vAlign w:val="center"/>
          </w:tcPr>
          <w:p w14:paraId="5BC5B36F"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Gasoline Hybrid</w:t>
            </w:r>
          </w:p>
        </w:tc>
        <w:tc>
          <w:tcPr>
            <w:tcW w:w="1906" w:type="dxa"/>
            <w:noWrap/>
            <w:vAlign w:val="center"/>
          </w:tcPr>
          <w:p w14:paraId="4A818376"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3280.7</w:t>
            </w:r>
          </w:p>
        </w:tc>
        <w:tc>
          <w:tcPr>
            <w:tcW w:w="1907" w:type="dxa"/>
            <w:noWrap/>
            <w:vAlign w:val="center"/>
          </w:tcPr>
          <w:p w14:paraId="659D3369"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5816.2</w:t>
            </w:r>
          </w:p>
        </w:tc>
        <w:tc>
          <w:tcPr>
            <w:tcW w:w="1907" w:type="dxa"/>
            <w:noWrap/>
            <w:vAlign w:val="center"/>
          </w:tcPr>
          <w:p w14:paraId="5ACA3269"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715.4</w:t>
            </w:r>
          </w:p>
        </w:tc>
      </w:tr>
      <w:tr w:rsidR="001D1B82" w:rsidRPr="00524A55" w14:paraId="60F98215" w14:textId="77777777" w:rsidTr="001D1B82">
        <w:trPr>
          <w:trHeight w:val="284"/>
        </w:trPr>
        <w:tc>
          <w:tcPr>
            <w:tcW w:w="1906" w:type="dxa"/>
            <w:noWrap/>
            <w:vAlign w:val="center"/>
          </w:tcPr>
          <w:p w14:paraId="1499A777"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2020</w:t>
            </w:r>
          </w:p>
        </w:tc>
        <w:tc>
          <w:tcPr>
            <w:tcW w:w="1907" w:type="dxa"/>
            <w:noWrap/>
            <w:vAlign w:val="center"/>
          </w:tcPr>
          <w:p w14:paraId="65BA4683"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LPG</w:t>
            </w:r>
          </w:p>
        </w:tc>
        <w:tc>
          <w:tcPr>
            <w:tcW w:w="1906" w:type="dxa"/>
            <w:noWrap/>
            <w:vAlign w:val="center"/>
          </w:tcPr>
          <w:p w14:paraId="362FF7F7"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5418.9</w:t>
            </w:r>
          </w:p>
        </w:tc>
        <w:tc>
          <w:tcPr>
            <w:tcW w:w="1907" w:type="dxa"/>
            <w:noWrap/>
            <w:vAlign w:val="center"/>
          </w:tcPr>
          <w:p w14:paraId="6948998B"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5762.9</w:t>
            </w:r>
          </w:p>
        </w:tc>
        <w:tc>
          <w:tcPr>
            <w:tcW w:w="1907" w:type="dxa"/>
            <w:noWrap/>
            <w:vAlign w:val="center"/>
          </w:tcPr>
          <w:p w14:paraId="21374908"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893.0</w:t>
            </w:r>
          </w:p>
        </w:tc>
      </w:tr>
      <w:tr w:rsidR="001D1B82" w:rsidRPr="00524A55" w14:paraId="5AE7939D" w14:textId="77777777" w:rsidTr="001D1B82">
        <w:trPr>
          <w:trHeight w:val="284"/>
        </w:trPr>
        <w:tc>
          <w:tcPr>
            <w:tcW w:w="1906" w:type="dxa"/>
            <w:noWrap/>
            <w:vAlign w:val="center"/>
          </w:tcPr>
          <w:p w14:paraId="5F005916"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2030</w:t>
            </w:r>
          </w:p>
        </w:tc>
        <w:tc>
          <w:tcPr>
            <w:tcW w:w="1907" w:type="dxa"/>
            <w:noWrap/>
            <w:vAlign w:val="center"/>
          </w:tcPr>
          <w:p w14:paraId="2B668BB1"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LPG</w:t>
            </w:r>
          </w:p>
        </w:tc>
        <w:tc>
          <w:tcPr>
            <w:tcW w:w="1906" w:type="dxa"/>
            <w:noWrap/>
            <w:vAlign w:val="center"/>
          </w:tcPr>
          <w:p w14:paraId="1809D1F5"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5418.9</w:t>
            </w:r>
          </w:p>
        </w:tc>
        <w:tc>
          <w:tcPr>
            <w:tcW w:w="1907" w:type="dxa"/>
            <w:noWrap/>
            <w:vAlign w:val="center"/>
          </w:tcPr>
          <w:p w14:paraId="4BC85083"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5771.7</w:t>
            </w:r>
          </w:p>
        </w:tc>
        <w:tc>
          <w:tcPr>
            <w:tcW w:w="1907" w:type="dxa"/>
            <w:noWrap/>
            <w:vAlign w:val="center"/>
          </w:tcPr>
          <w:p w14:paraId="5EC58762"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908.9</w:t>
            </w:r>
          </w:p>
        </w:tc>
      </w:tr>
      <w:tr w:rsidR="001D1B82" w:rsidRPr="00524A55" w14:paraId="7DF25EDA" w14:textId="77777777" w:rsidTr="001D1B82">
        <w:trPr>
          <w:trHeight w:val="284"/>
        </w:trPr>
        <w:tc>
          <w:tcPr>
            <w:tcW w:w="1906" w:type="dxa"/>
            <w:noWrap/>
            <w:vAlign w:val="center"/>
          </w:tcPr>
          <w:p w14:paraId="0116E626"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2040</w:t>
            </w:r>
          </w:p>
        </w:tc>
        <w:tc>
          <w:tcPr>
            <w:tcW w:w="1907" w:type="dxa"/>
            <w:noWrap/>
            <w:vAlign w:val="center"/>
          </w:tcPr>
          <w:p w14:paraId="6687F9CC"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LPG</w:t>
            </w:r>
          </w:p>
        </w:tc>
        <w:tc>
          <w:tcPr>
            <w:tcW w:w="1906" w:type="dxa"/>
            <w:noWrap/>
            <w:vAlign w:val="center"/>
          </w:tcPr>
          <w:p w14:paraId="0986F795"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5188.3</w:t>
            </w:r>
          </w:p>
        </w:tc>
        <w:tc>
          <w:tcPr>
            <w:tcW w:w="1907" w:type="dxa"/>
            <w:noWrap/>
            <w:vAlign w:val="center"/>
          </w:tcPr>
          <w:p w14:paraId="19D4C05C"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5780.4</w:t>
            </w:r>
          </w:p>
        </w:tc>
        <w:tc>
          <w:tcPr>
            <w:tcW w:w="1907" w:type="dxa"/>
            <w:noWrap/>
            <w:vAlign w:val="center"/>
          </w:tcPr>
          <w:p w14:paraId="11E449DD"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925.6</w:t>
            </w:r>
          </w:p>
        </w:tc>
      </w:tr>
      <w:tr w:rsidR="001D1B82" w:rsidRPr="00524A55" w14:paraId="504DB0B5" w14:textId="77777777" w:rsidTr="001D1B82">
        <w:trPr>
          <w:trHeight w:val="284"/>
        </w:trPr>
        <w:tc>
          <w:tcPr>
            <w:tcW w:w="1906" w:type="dxa"/>
            <w:noWrap/>
            <w:vAlign w:val="center"/>
          </w:tcPr>
          <w:p w14:paraId="562DBA8B"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2050</w:t>
            </w:r>
          </w:p>
        </w:tc>
        <w:tc>
          <w:tcPr>
            <w:tcW w:w="1907" w:type="dxa"/>
            <w:noWrap/>
            <w:vAlign w:val="center"/>
          </w:tcPr>
          <w:p w14:paraId="335A4F52"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LPG</w:t>
            </w:r>
          </w:p>
        </w:tc>
        <w:tc>
          <w:tcPr>
            <w:tcW w:w="1906" w:type="dxa"/>
            <w:noWrap/>
            <w:vAlign w:val="center"/>
          </w:tcPr>
          <w:p w14:paraId="2AA1DB0D"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5080.2</w:t>
            </w:r>
          </w:p>
        </w:tc>
        <w:tc>
          <w:tcPr>
            <w:tcW w:w="1907" w:type="dxa"/>
            <w:noWrap/>
            <w:vAlign w:val="center"/>
          </w:tcPr>
          <w:p w14:paraId="1E5D4888"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5789.2</w:t>
            </w:r>
          </w:p>
        </w:tc>
        <w:tc>
          <w:tcPr>
            <w:tcW w:w="1907" w:type="dxa"/>
            <w:noWrap/>
            <w:vAlign w:val="center"/>
          </w:tcPr>
          <w:p w14:paraId="7BB455D4"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942.4</w:t>
            </w:r>
          </w:p>
        </w:tc>
      </w:tr>
      <w:tr w:rsidR="001D1B82" w:rsidRPr="00524A55" w14:paraId="2D4D1C3F" w14:textId="77777777" w:rsidTr="001D1B82">
        <w:trPr>
          <w:trHeight w:val="284"/>
        </w:trPr>
        <w:tc>
          <w:tcPr>
            <w:tcW w:w="1906" w:type="dxa"/>
            <w:noWrap/>
            <w:vAlign w:val="center"/>
          </w:tcPr>
          <w:p w14:paraId="4F80F1FC"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2020</w:t>
            </w:r>
          </w:p>
        </w:tc>
        <w:tc>
          <w:tcPr>
            <w:tcW w:w="1907" w:type="dxa"/>
            <w:noWrap/>
            <w:vAlign w:val="center"/>
          </w:tcPr>
          <w:p w14:paraId="20D02F69"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Natural gas</w:t>
            </w:r>
          </w:p>
        </w:tc>
        <w:tc>
          <w:tcPr>
            <w:tcW w:w="1906" w:type="dxa"/>
            <w:noWrap/>
            <w:vAlign w:val="center"/>
          </w:tcPr>
          <w:p w14:paraId="6DB780F8"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1111.5</w:t>
            </w:r>
          </w:p>
        </w:tc>
        <w:tc>
          <w:tcPr>
            <w:tcW w:w="1907" w:type="dxa"/>
            <w:noWrap/>
            <w:vAlign w:val="center"/>
          </w:tcPr>
          <w:p w14:paraId="33DBA248"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5627.7</w:t>
            </w:r>
          </w:p>
        </w:tc>
        <w:tc>
          <w:tcPr>
            <w:tcW w:w="1907" w:type="dxa"/>
            <w:noWrap/>
            <w:vAlign w:val="center"/>
          </w:tcPr>
          <w:p w14:paraId="0BED651F"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847.8</w:t>
            </w:r>
          </w:p>
        </w:tc>
      </w:tr>
      <w:tr w:rsidR="001D1B82" w:rsidRPr="00524A55" w14:paraId="5AECCE28" w14:textId="77777777" w:rsidTr="001D1B82">
        <w:trPr>
          <w:trHeight w:val="284"/>
        </w:trPr>
        <w:tc>
          <w:tcPr>
            <w:tcW w:w="1906" w:type="dxa"/>
            <w:noWrap/>
            <w:vAlign w:val="center"/>
          </w:tcPr>
          <w:p w14:paraId="02416965"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2030</w:t>
            </w:r>
          </w:p>
        </w:tc>
        <w:tc>
          <w:tcPr>
            <w:tcW w:w="1907" w:type="dxa"/>
            <w:noWrap/>
            <w:vAlign w:val="center"/>
          </w:tcPr>
          <w:p w14:paraId="2274E644"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Natural gas</w:t>
            </w:r>
          </w:p>
        </w:tc>
        <w:tc>
          <w:tcPr>
            <w:tcW w:w="1906" w:type="dxa"/>
            <w:noWrap/>
            <w:vAlign w:val="center"/>
          </w:tcPr>
          <w:p w14:paraId="79B27660"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1111.5</w:t>
            </w:r>
          </w:p>
        </w:tc>
        <w:tc>
          <w:tcPr>
            <w:tcW w:w="1907" w:type="dxa"/>
            <w:noWrap/>
            <w:vAlign w:val="center"/>
          </w:tcPr>
          <w:p w14:paraId="4E743025"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5636.2</w:t>
            </w:r>
          </w:p>
        </w:tc>
        <w:tc>
          <w:tcPr>
            <w:tcW w:w="1907" w:type="dxa"/>
            <w:noWrap/>
            <w:vAlign w:val="center"/>
          </w:tcPr>
          <w:p w14:paraId="5A67CB3D"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849.4</w:t>
            </w:r>
          </w:p>
        </w:tc>
      </w:tr>
      <w:tr w:rsidR="001D1B82" w:rsidRPr="00524A55" w14:paraId="3111609E" w14:textId="77777777" w:rsidTr="001D1B82">
        <w:trPr>
          <w:trHeight w:val="284"/>
        </w:trPr>
        <w:tc>
          <w:tcPr>
            <w:tcW w:w="1906" w:type="dxa"/>
            <w:noWrap/>
            <w:vAlign w:val="center"/>
          </w:tcPr>
          <w:p w14:paraId="49ADBD0E"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2040</w:t>
            </w:r>
          </w:p>
        </w:tc>
        <w:tc>
          <w:tcPr>
            <w:tcW w:w="1907" w:type="dxa"/>
            <w:noWrap/>
            <w:vAlign w:val="center"/>
          </w:tcPr>
          <w:p w14:paraId="293AAAD6"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Natural gas</w:t>
            </w:r>
          </w:p>
        </w:tc>
        <w:tc>
          <w:tcPr>
            <w:tcW w:w="1906" w:type="dxa"/>
            <w:noWrap/>
            <w:vAlign w:val="center"/>
          </w:tcPr>
          <w:p w14:paraId="4AB8AB09"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1064.2</w:t>
            </w:r>
          </w:p>
        </w:tc>
        <w:tc>
          <w:tcPr>
            <w:tcW w:w="1907" w:type="dxa"/>
            <w:noWrap/>
            <w:vAlign w:val="center"/>
          </w:tcPr>
          <w:p w14:paraId="29864333"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5644.8</w:t>
            </w:r>
          </w:p>
        </w:tc>
        <w:tc>
          <w:tcPr>
            <w:tcW w:w="1907" w:type="dxa"/>
            <w:noWrap/>
            <w:vAlign w:val="center"/>
          </w:tcPr>
          <w:p w14:paraId="1ECCC795"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851.1</w:t>
            </w:r>
          </w:p>
        </w:tc>
      </w:tr>
      <w:tr w:rsidR="001D1B82" w:rsidRPr="00524A55" w14:paraId="1EC262B4" w14:textId="77777777" w:rsidTr="001D1B82">
        <w:trPr>
          <w:trHeight w:val="284"/>
        </w:trPr>
        <w:tc>
          <w:tcPr>
            <w:tcW w:w="1906" w:type="dxa"/>
            <w:noWrap/>
            <w:vAlign w:val="center"/>
          </w:tcPr>
          <w:p w14:paraId="02B45DCD"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2050</w:t>
            </w:r>
          </w:p>
        </w:tc>
        <w:tc>
          <w:tcPr>
            <w:tcW w:w="1907" w:type="dxa"/>
            <w:noWrap/>
            <w:vAlign w:val="center"/>
          </w:tcPr>
          <w:p w14:paraId="5C7F3120"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Natural gas</w:t>
            </w:r>
          </w:p>
        </w:tc>
        <w:tc>
          <w:tcPr>
            <w:tcW w:w="1906" w:type="dxa"/>
            <w:noWrap/>
            <w:vAlign w:val="center"/>
          </w:tcPr>
          <w:p w14:paraId="168C868D"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1042.0</w:t>
            </w:r>
          </w:p>
        </w:tc>
        <w:tc>
          <w:tcPr>
            <w:tcW w:w="1907" w:type="dxa"/>
            <w:noWrap/>
            <w:vAlign w:val="center"/>
          </w:tcPr>
          <w:p w14:paraId="2812853F"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5653.3</w:t>
            </w:r>
          </w:p>
        </w:tc>
        <w:tc>
          <w:tcPr>
            <w:tcW w:w="1907" w:type="dxa"/>
            <w:noWrap/>
            <w:vAlign w:val="center"/>
          </w:tcPr>
          <w:p w14:paraId="698E9A4D" w14:textId="77777777" w:rsidR="001D1B82" w:rsidRPr="00524A55" w:rsidRDefault="001D1B82" w:rsidP="001D1B82">
            <w:pPr>
              <w:jc w:val="center"/>
              <w:rPr>
                <w:rFonts w:ascii="Times New Roman" w:hAnsi="Times New Roman" w:cs="Times New Roman"/>
              </w:rPr>
            </w:pPr>
            <w:r w:rsidRPr="00524A55">
              <w:rPr>
                <w:rFonts w:ascii="Times New Roman" w:hAnsi="Times New Roman" w:cs="Times New Roman"/>
              </w:rPr>
              <w:t>851.1</w:t>
            </w:r>
          </w:p>
        </w:tc>
      </w:tr>
    </w:tbl>
    <w:p w14:paraId="0307590C" w14:textId="77777777" w:rsidR="008A6A13" w:rsidRDefault="00A0764B" w:rsidP="008A6A13">
      <w:pPr>
        <w:keepNext/>
        <w:spacing w:after="0" w:line="360" w:lineRule="auto"/>
        <w:jc w:val="center"/>
        <w:rPr>
          <w:noProof/>
        </w:rPr>
      </w:pPr>
      <w:r w:rsidRPr="00187B43">
        <w:rPr>
          <w:noProof/>
        </w:rPr>
        <w:object w:dxaOrig="5484" w:dyaOrig="4188" w14:anchorId="4DCD29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Project Path: C:\Users\carbmat91702\OneDrive - Università degli Studi di Padova\ONEDRIVE\DOTTORATO PADOVA\Muse\MUSE_SHARED\TRUCK\Graphs\fuel prices WAR effect AND INFLACTION and carbon price - Copia.opju&#13;&#13;&#13;&#10;&#13;&#13;&#13;&#10;&#13;&#13;&#13;&#10;&#13;&#13;&#13;&#10;PE Folder: /fuel prices WAR effect AND INFLACTION and carbon price - Copia/Folder1/&#13;&#13;&#13;&#10;&#13;&#13;&#13;&#10;&#13;&#13;&#13;&#10;&#13;&#13;&#13;&#10;Short Name: carbonpricegraph" style="width:234.3pt;height:179.4pt;mso-width-percent:0;mso-height-percent:0;mso-width-percent:0;mso-height-percent:0" o:ole="">
            <v:imagedata r:id="rId9" o:title=""/>
          </v:shape>
          <o:OLEObject Type="Embed" ProgID="Origin95.Graph" ShapeID="_x0000_i1025" DrawAspect="Content" ObjectID="_1753742924" r:id="rId10"/>
        </w:object>
      </w:r>
    </w:p>
    <w:p w14:paraId="4BEFC15A" w14:textId="4452459F" w:rsidR="008A6A13" w:rsidRPr="000C35B6" w:rsidRDefault="008A6A13" w:rsidP="008A6A13">
      <w:pPr>
        <w:pStyle w:val="Caption"/>
        <w:rPr>
          <w:rFonts w:cs="Times New Roman"/>
          <w:lang w:val="en-US"/>
        </w:rPr>
      </w:pPr>
      <w:r w:rsidRPr="000C35B6">
        <w:rPr>
          <w:rFonts w:cs="Times New Roman"/>
          <w:lang w:val="en-US"/>
        </w:rPr>
        <w:t xml:space="preserve">Figure S. </w:t>
      </w:r>
      <w:r w:rsidRPr="000C35B6">
        <w:rPr>
          <w:rFonts w:cs="Times New Roman"/>
          <w:lang w:val="en-US"/>
        </w:rPr>
        <w:fldChar w:fldCharType="begin"/>
      </w:r>
      <w:r w:rsidRPr="000C35B6">
        <w:rPr>
          <w:rFonts w:cs="Times New Roman"/>
          <w:lang w:val="en-US"/>
        </w:rPr>
        <w:instrText xml:space="preserve"> SEQ Figure_S. \* ARABIC </w:instrText>
      </w:r>
      <w:r w:rsidRPr="000C35B6">
        <w:rPr>
          <w:rFonts w:cs="Times New Roman"/>
          <w:lang w:val="en-US"/>
        </w:rPr>
        <w:fldChar w:fldCharType="separate"/>
      </w:r>
      <w:r w:rsidR="000C35B6" w:rsidRPr="000C35B6">
        <w:rPr>
          <w:rFonts w:cs="Times New Roman"/>
          <w:lang w:val="en-US"/>
        </w:rPr>
        <w:t>1</w:t>
      </w:r>
      <w:r w:rsidRPr="000C35B6">
        <w:rPr>
          <w:rFonts w:cs="Times New Roman"/>
          <w:lang w:val="en-US"/>
        </w:rPr>
        <w:fldChar w:fldCharType="end"/>
      </w:r>
      <w:r w:rsidRPr="000C35B6">
        <w:rPr>
          <w:rFonts w:cs="Times New Roman"/>
          <w:lang w:val="en-US"/>
        </w:rPr>
        <w:t xml:space="preserve">. The figure shows the carbon price curve that were assumed in this work, retrieved from </w:t>
      </w:r>
      <w:proofErr w:type="spellStart"/>
      <w:r w:rsidRPr="000C35B6">
        <w:rPr>
          <w:rFonts w:cs="Times New Roman"/>
          <w:lang w:val="en-US"/>
        </w:rPr>
        <w:t>Sognaes</w:t>
      </w:r>
      <w:proofErr w:type="spellEnd"/>
      <w:r w:rsidRPr="000C35B6">
        <w:rPr>
          <w:rFonts w:cs="Times New Roman"/>
          <w:lang w:val="en-US"/>
        </w:rPr>
        <w:t xml:space="preserve"> et al </w:t>
      </w:r>
      <w:r w:rsidRPr="000C35B6">
        <w:rPr>
          <w:rFonts w:cs="Times New Roman"/>
          <w:lang w:val="en-US"/>
        </w:rPr>
        <w:fldChar w:fldCharType="begin" w:fldLock="1"/>
      </w:r>
      <w:r w:rsidRPr="000C35B6">
        <w:rPr>
          <w:rFonts w:cs="Times New Roman"/>
          <w:lang w:val="en-US"/>
        </w:rPr>
        <w:instrText>ADDIN CSL_CITATION {"citationItems":[{"id":"ITEM-1","itemData":{"DOI":"10.1007/BF00914340","ISSN":"15738620","author":[{"dropping-particle":"","family":"Gómez","given":"Dario R.","non-dropping-particle":"","parse-names":false,"suffix":""},{"dropping-particle":"","family":"Watterson","given":"D.","non-dropping-particle":"","parse-names":false,"suffix":""},{"dropping-particle":"","family":"Branca","given":"B.","non-dropping-particle":"","parse-names":false,"suffix":""},{"dropping-particle":"","family":"Chia","given":"Ha","non-dropping-particle":"","parse-names":false,"suffix":""},{"dropping-particle":"","family":"Marland","given":"Gregg","non-dropping-particle":"","parse-names":false,"suffix":""},{"dropping-particle":"","family":"Mastika","given":"Emmanuek","non-dropping-particle":"","parse-names":false,"suffix":""},{"dropping-particle":"","family":"Namayanga","given":"Lemmy Nenge","non-dropping-particle":"","parse-names":false,"suffix":""},{"dropping-particle":"","family":"Osman-Elasha","given":"Balgis","non-dropping-particle":"","parse-names":false,"suffix":""},{"dropping-particle":"","family":"Saka","given":"John D. Kalenga","non-dropping-particle":"","parse-names":false,"suffix":""},{"dropping-particle":"","family":"Karen","given":"Treanton","non-dropping-particle":"","parse-names":false,"suffix":""},{"dropping-particle":"","family":"Quadrelli","given":"Roberta","non-dropping-particle":"","parse-names":false,"suffix":""}],"container-title":"2006 IPCC Guidelines for National Greenhouse Gas Inventories","id":"ITEM-1","issued":{"date-parts":[["2006"]]},"title":"Chpater 2: Stationary combustion","type":"chapter","volume":"2"},"uris":["http://www.mendeley.com/documents/?uuid=59dc7eb6-c2e2-458a-bad6-41b56d7ca2d2","http://www.mendeley.com/documents/?uuid=6f29120a-ad1d-4e30-9e62-62d4b0383431"]}],"mendeley":{"formattedCitation":"[4]","plainTextFormattedCitation":"[4]","previouslyFormattedCitation":"[5]"},"properties":{"noteIndex":0},"schema":"https://github.com/citation-style-language/schema/raw/master/csl-citation.json"}</w:instrText>
      </w:r>
      <w:r w:rsidRPr="000C35B6">
        <w:rPr>
          <w:rFonts w:cs="Times New Roman"/>
          <w:lang w:val="en-US"/>
        </w:rPr>
        <w:fldChar w:fldCharType="separate"/>
      </w:r>
      <w:r w:rsidRPr="000C35B6">
        <w:rPr>
          <w:rFonts w:cs="Times New Roman"/>
          <w:lang w:val="en-US"/>
        </w:rPr>
        <w:t>[4]</w:t>
      </w:r>
      <w:r w:rsidRPr="000C35B6">
        <w:rPr>
          <w:rFonts w:cs="Times New Roman"/>
          <w:lang w:val="en-US"/>
        </w:rPr>
        <w:fldChar w:fldCharType="end"/>
      </w:r>
      <w:r w:rsidRPr="000C35B6">
        <w:rPr>
          <w:rFonts w:cs="Times New Roman"/>
          <w:lang w:val="en-US"/>
        </w:rPr>
        <w:t>.</w:t>
      </w:r>
    </w:p>
    <w:p w14:paraId="2D02574D" w14:textId="2D8283CF" w:rsidR="00922D57" w:rsidRPr="008A6A13" w:rsidRDefault="00922D57" w:rsidP="008A6A13">
      <w:pPr>
        <w:keepNext/>
        <w:spacing w:after="0" w:line="360" w:lineRule="auto"/>
        <w:jc w:val="center"/>
        <w:rPr>
          <w:rFonts w:ascii="Times New Roman" w:hAnsi="Times New Roman" w:cs="Times New Roman"/>
          <w:lang w:val="en-GB"/>
        </w:rPr>
      </w:pPr>
      <w:r>
        <w:rPr>
          <w:rFonts w:ascii="Times New Roman" w:hAnsi="Times New Roman"/>
          <w:iCs/>
          <w:szCs w:val="18"/>
          <w:lang w:val="en-GB"/>
        </w:rPr>
        <w:br w:type="page"/>
      </w:r>
    </w:p>
    <w:p w14:paraId="21452D1C" w14:textId="2C63DD57" w:rsidR="00922D57" w:rsidRPr="00524A55" w:rsidRDefault="00922D57" w:rsidP="00922D57">
      <w:pPr>
        <w:pStyle w:val="Heading1"/>
        <w:numPr>
          <w:ilvl w:val="0"/>
          <w:numId w:val="0"/>
        </w:numPr>
        <w:spacing w:after="240" w:line="360" w:lineRule="auto"/>
        <w:ind w:left="432" w:hanging="432"/>
        <w:rPr>
          <w:rFonts w:cs="Times New Roman"/>
          <w:sz w:val="22"/>
          <w:szCs w:val="22"/>
        </w:rPr>
      </w:pPr>
      <w:r>
        <w:rPr>
          <w:rFonts w:cs="Times New Roman"/>
          <w:sz w:val="22"/>
          <w:szCs w:val="22"/>
        </w:rPr>
        <w:lastRenderedPageBreak/>
        <w:t>Supplementary RESULTS</w:t>
      </w:r>
      <w:r w:rsidRPr="00524A55">
        <w:rPr>
          <w:rFonts w:cs="Times New Roman"/>
          <w:sz w:val="22"/>
          <w:szCs w:val="22"/>
        </w:rPr>
        <w:t xml:space="preserve"> </w:t>
      </w:r>
    </w:p>
    <w:p w14:paraId="04199277" w14:textId="2059DE88" w:rsidR="00922D57" w:rsidRPr="00D32CE7" w:rsidRDefault="002C04B3" w:rsidP="00922D57">
      <w:pPr>
        <w:keepNext/>
        <w:spacing w:line="360" w:lineRule="auto"/>
        <w:jc w:val="both"/>
        <w:rPr>
          <w:rFonts w:cs="Times New Roman"/>
        </w:rPr>
      </w:pPr>
      <w:r>
        <w:rPr>
          <w:noProof/>
          <w:lang w:val="en-US"/>
        </w:rPr>
        <mc:AlternateContent>
          <mc:Choice Requires="wpg">
            <w:drawing>
              <wp:inline distT="0" distB="0" distL="0" distR="0" wp14:anchorId="32BADA6E" wp14:editId="455A6B54">
                <wp:extent cx="5996940" cy="8339074"/>
                <wp:effectExtent l="0" t="0" r="3810" b="5080"/>
                <wp:docPr id="1" name="Group 1"/>
                <wp:cNvGraphicFramePr/>
                <a:graphic xmlns:a="http://schemas.openxmlformats.org/drawingml/2006/main">
                  <a:graphicData uri="http://schemas.microsoft.com/office/word/2010/wordprocessingGroup">
                    <wpg:wgp>
                      <wpg:cNvGrpSpPr/>
                      <wpg:grpSpPr>
                        <a:xfrm>
                          <a:off x="0" y="0"/>
                          <a:ext cx="5996940" cy="8339074"/>
                          <a:chOff x="0" y="0"/>
                          <a:chExt cx="5996940" cy="8339074"/>
                        </a:xfrm>
                      </wpg:grpSpPr>
                      <wpg:graphicFrame>
                        <wpg:cNvPr id="2" name="Chart 2"/>
                        <wpg:cNvFrPr/>
                        <wpg:xfrm>
                          <a:off x="73152" y="2011680"/>
                          <a:ext cx="3086100" cy="2011680"/>
                        </wpg:xfrm>
                        <a:graphic>
                          <a:graphicData uri="http://schemas.openxmlformats.org/drawingml/2006/chart">
                            <c:chart xmlns:c="http://schemas.openxmlformats.org/drawingml/2006/chart" xmlns:r="http://schemas.openxmlformats.org/officeDocument/2006/relationships" r:id="rId11"/>
                          </a:graphicData>
                        </a:graphic>
                      </wpg:graphicFrame>
                      <wpg:graphicFrame>
                        <wpg:cNvPr id="3" name="Chart 3"/>
                        <wpg:cNvFrPr/>
                        <wpg:xfrm>
                          <a:off x="73152" y="0"/>
                          <a:ext cx="3093720" cy="2011680"/>
                        </wpg:xfrm>
                        <a:graphic>
                          <a:graphicData uri="http://schemas.openxmlformats.org/drawingml/2006/chart">
                            <c:chart xmlns:c="http://schemas.openxmlformats.org/drawingml/2006/chart" xmlns:r="http://schemas.openxmlformats.org/officeDocument/2006/relationships" r:id="rId12"/>
                          </a:graphicData>
                        </a:graphic>
                      </wpg:graphicFrame>
                      <wpg:graphicFrame>
                        <wpg:cNvPr id="5" name="Chart 5"/>
                        <wpg:cNvFrPr/>
                        <wpg:xfrm>
                          <a:off x="3160166" y="2011680"/>
                          <a:ext cx="2834640" cy="2011680"/>
                        </wpg:xfrm>
                        <a:graphic>
                          <a:graphicData uri="http://schemas.openxmlformats.org/drawingml/2006/chart">
                            <c:chart xmlns:c="http://schemas.openxmlformats.org/drawingml/2006/chart" xmlns:r="http://schemas.openxmlformats.org/officeDocument/2006/relationships" r:id="rId13"/>
                          </a:graphicData>
                        </a:graphic>
                      </wpg:graphicFrame>
                      <wpg:graphicFrame>
                        <wpg:cNvPr id="6" name="Chart 6"/>
                        <wpg:cNvFrPr/>
                        <wpg:xfrm>
                          <a:off x="3108960" y="4023360"/>
                          <a:ext cx="2887980" cy="2157730"/>
                        </wpg:xfrm>
                        <a:graphic>
                          <a:graphicData uri="http://schemas.openxmlformats.org/drawingml/2006/chart">
                            <c:chart xmlns:c="http://schemas.openxmlformats.org/drawingml/2006/chart" xmlns:r="http://schemas.openxmlformats.org/officeDocument/2006/relationships" r:id="rId14"/>
                          </a:graphicData>
                        </a:graphic>
                      </wpg:graphicFrame>
                      <wpg:graphicFrame>
                        <wpg:cNvPr id="7" name="Chart 7"/>
                        <wpg:cNvFrPr/>
                        <wpg:xfrm>
                          <a:off x="0" y="6181344"/>
                          <a:ext cx="5934075" cy="2157730"/>
                        </wpg:xfrm>
                        <a:graphic>
                          <a:graphicData uri="http://schemas.openxmlformats.org/drawingml/2006/chart">
                            <c:chart xmlns:c="http://schemas.openxmlformats.org/drawingml/2006/chart" xmlns:r="http://schemas.openxmlformats.org/officeDocument/2006/relationships" r:id="rId15"/>
                          </a:graphicData>
                        </a:graphic>
                      </wpg:graphicFrame>
                      <wpg:graphicFrame>
                        <wpg:cNvPr id="8" name="Chart 8"/>
                        <wpg:cNvFrPr/>
                        <wpg:xfrm>
                          <a:off x="3160166" y="0"/>
                          <a:ext cx="2834640" cy="2011680"/>
                        </wpg:xfrm>
                        <a:graphic>
                          <a:graphicData uri="http://schemas.openxmlformats.org/drawingml/2006/chart">
                            <c:chart xmlns:c="http://schemas.openxmlformats.org/drawingml/2006/chart" xmlns:r="http://schemas.openxmlformats.org/officeDocument/2006/relationships" r:id="rId16"/>
                          </a:graphicData>
                        </a:graphic>
                      </wpg:graphicFrame>
                      <wpg:graphicFrame>
                        <wpg:cNvPr id="9" name="Chart 9"/>
                        <wpg:cNvFrPr/>
                        <wpg:xfrm>
                          <a:off x="43891" y="4023360"/>
                          <a:ext cx="3090545" cy="2157730"/>
                        </wpg:xfrm>
                        <a:graphic>
                          <a:graphicData uri="http://schemas.openxmlformats.org/drawingml/2006/chart">
                            <c:chart xmlns:c="http://schemas.openxmlformats.org/drawingml/2006/chart" xmlns:r="http://schemas.openxmlformats.org/officeDocument/2006/relationships" r:id="rId17"/>
                          </a:graphicData>
                        </a:graphic>
                      </wpg:graphicFrame>
                    </wpg:wgp>
                  </a:graphicData>
                </a:graphic>
              </wp:inline>
            </w:drawing>
          </mc:Choice>
          <mc:Fallback>
            <w:pict>
              <v:group w14:anchorId="72C52AC4" id="Group 1" o:spid="_x0000_s1026" style="width:472.2pt;height:656.6pt;mso-position-horizontal-relative:char;mso-position-vertical-relative:line" coordsize="59969,83390" o:gfxdata="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">
                <v:shape id="Chart 2" o:spid="_x0000_s1027" type="#_x0000_t75" style="position:absolute;left:731;top:20116;width:30846;height:2011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">
                  <v:imagedata r:id="rId18" o:title=""/>
                  <o:lock v:ext="edit" aspectratio="f"/>
                </v:shape>
                <v:shape id="Chart 3" o:spid="_x0000_s1028" type="#_x0000_t75" style="position:absolute;left:731;width:30907;height:201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">
                  <v:imagedata r:id="rId19" o:title=""/>
                  <o:lock v:ext="edit" aspectratio="f"/>
                </v:shape>
                <v:shape id="Chart 5" o:spid="_x0000_s1029" type="#_x0000_t75" style="position:absolute;left:31577;top:20116;width:28346;height:2011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">
                  <v:imagedata r:id="rId20" o:title=""/>
                  <o:lock v:ext="edit" aspectratio="f"/>
                </v:shape>
                <v:shape id="Chart 6" o:spid="_x0000_s1030" type="#_x0000_t75" style="position:absolute;left:31089;top:40233;width:28895;height:215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">
                  <v:imagedata r:id="rId21" o:title=""/>
                  <o:lock v:ext="edit" aspectratio="f"/>
                </v:shape>
                <v:shape id="Chart 7" o:spid="_x0000_s1031" type="#_x0000_t75" style="position:absolute;top:61813;width:59314;height:215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">
                  <v:imagedata r:id="rId22" o:title=""/>
                  <o:lock v:ext="edit" aspectratio="f"/>
                </v:shape>
                <v:shape id="Chart 8" o:spid="_x0000_s1032" type="#_x0000_t75" style="position:absolute;left:31577;width:28346;height:201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">
                  <v:imagedata r:id="rId23" o:title=""/>
                  <o:lock v:ext="edit" aspectratio="f"/>
                </v:shape>
                <v:shape id="Chart 9" o:spid="_x0000_s1033" type="#_x0000_t75" style="position:absolute;left:426;top:40233;width:30907;height:215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">
                  <v:imagedata r:id="rId24" o:title=""/>
                  <o:lock v:ext="edit" aspectratio="f"/>
                </v:shape>
                <w10:anchorlock/>
              </v:group>
            </w:pict>
          </mc:Fallback>
        </mc:AlternateContent>
      </w:r>
    </w:p>
    <w:p w14:paraId="641499BF" w14:textId="25687133" w:rsidR="00922D57" w:rsidRPr="000C35B6" w:rsidRDefault="008A6A13" w:rsidP="00922D57">
      <w:pPr>
        <w:pStyle w:val="Caption"/>
        <w:rPr>
          <w:rFonts w:cs="Times New Roman"/>
          <w:lang w:val="en-US"/>
        </w:rPr>
      </w:pPr>
      <w:r w:rsidRPr="000C35B6">
        <w:rPr>
          <w:rFonts w:cs="Times New Roman"/>
          <w:lang w:val="en-US"/>
        </w:rPr>
        <w:t xml:space="preserve">Figure S. </w:t>
      </w:r>
      <w:r w:rsidRPr="000C35B6">
        <w:rPr>
          <w:rFonts w:cs="Times New Roman"/>
          <w:lang w:val="en-US"/>
        </w:rPr>
        <w:fldChar w:fldCharType="begin"/>
      </w:r>
      <w:r w:rsidRPr="000C35B6">
        <w:rPr>
          <w:rFonts w:cs="Times New Roman"/>
          <w:lang w:val="en-US"/>
        </w:rPr>
        <w:instrText xml:space="preserve"> SEQ Figure_S. \* ARABIC </w:instrText>
      </w:r>
      <w:r w:rsidRPr="000C35B6">
        <w:rPr>
          <w:rFonts w:cs="Times New Roman"/>
          <w:lang w:val="en-US"/>
        </w:rPr>
        <w:fldChar w:fldCharType="separate"/>
      </w:r>
      <w:r w:rsidR="000C35B6" w:rsidRPr="000C35B6">
        <w:rPr>
          <w:rFonts w:cs="Times New Roman"/>
          <w:lang w:val="en-US"/>
        </w:rPr>
        <w:t>2</w:t>
      </w:r>
      <w:r w:rsidRPr="000C35B6">
        <w:rPr>
          <w:rFonts w:cs="Times New Roman"/>
          <w:lang w:val="en-US"/>
        </w:rPr>
        <w:fldChar w:fldCharType="end"/>
      </w:r>
      <w:r w:rsidRPr="000C35B6">
        <w:rPr>
          <w:rFonts w:cs="Times New Roman"/>
          <w:lang w:val="en-US"/>
        </w:rPr>
        <w:t xml:space="preserve">. </w:t>
      </w:r>
      <w:r w:rsidR="00922D57" w:rsidRPr="000C35B6">
        <w:rPr>
          <w:rFonts w:cs="Times New Roman"/>
          <w:lang w:val="en-US"/>
        </w:rPr>
        <w:t xml:space="preserve"> </w:t>
      </w:r>
      <w:r w:rsidR="002C04B3" w:rsidRPr="000C35B6">
        <w:rPr>
          <w:rFonts w:cs="Times New Roman"/>
          <w:lang w:val="en-US"/>
        </w:rPr>
        <w:t>Composition of heavy fleet (&gt;12t) per scenario: Number of heavy trucks by technology.</w:t>
      </w:r>
    </w:p>
    <w:p w14:paraId="055B2F46" w14:textId="66582623" w:rsidR="00922D57" w:rsidRPr="00D32CE7" w:rsidRDefault="002C04B3" w:rsidP="00922D57">
      <w:pPr>
        <w:keepNext/>
        <w:rPr>
          <w:rFonts w:cs="Times New Roman"/>
        </w:rPr>
      </w:pPr>
      <w:r>
        <w:rPr>
          <w:noProof/>
          <w:lang w:val="en-US"/>
        </w:rPr>
        <w:lastRenderedPageBreak/>
        <mc:AlternateContent>
          <mc:Choice Requires="wpg">
            <w:drawing>
              <wp:inline distT="0" distB="0" distL="0" distR="0" wp14:anchorId="5EBBE91A" wp14:editId="69EA62DC">
                <wp:extent cx="5943600" cy="8141564"/>
                <wp:effectExtent l="0" t="0" r="0" b="0"/>
                <wp:docPr id="13" name="Group 13"/>
                <wp:cNvGraphicFramePr/>
                <a:graphic xmlns:a="http://schemas.openxmlformats.org/drawingml/2006/main">
                  <a:graphicData uri="http://schemas.microsoft.com/office/word/2010/wordprocessingGroup">
                    <wpg:wgp>
                      <wpg:cNvGrpSpPr/>
                      <wpg:grpSpPr>
                        <a:xfrm>
                          <a:off x="0" y="0"/>
                          <a:ext cx="5943600" cy="8141564"/>
                          <a:chOff x="0" y="0"/>
                          <a:chExt cx="5943600" cy="8141564"/>
                        </a:xfrm>
                      </wpg:grpSpPr>
                      <wpg:graphicFrame>
                        <wpg:cNvPr id="14" name="Chart 14"/>
                        <wpg:cNvFrPr/>
                        <wpg:xfrm>
                          <a:off x="43891" y="0"/>
                          <a:ext cx="3017520" cy="2011680"/>
                        </wpg:xfrm>
                        <a:graphic>
                          <a:graphicData uri="http://schemas.openxmlformats.org/drawingml/2006/chart">
                            <c:chart xmlns:c="http://schemas.openxmlformats.org/drawingml/2006/chart" xmlns:r="http://schemas.openxmlformats.org/officeDocument/2006/relationships" r:id="rId25"/>
                          </a:graphicData>
                        </a:graphic>
                      </wpg:graphicFrame>
                      <wpg:graphicFrame>
                        <wpg:cNvPr id="16" name="Chart 16"/>
                        <wpg:cNvFrPr/>
                        <wpg:xfrm>
                          <a:off x="3013862" y="4001414"/>
                          <a:ext cx="2924175" cy="2011680"/>
                        </wpg:xfrm>
                        <a:graphic>
                          <a:graphicData uri="http://schemas.openxmlformats.org/drawingml/2006/chart">
                            <c:chart xmlns:c="http://schemas.openxmlformats.org/drawingml/2006/chart" xmlns:r="http://schemas.openxmlformats.org/officeDocument/2006/relationships" r:id="rId26"/>
                          </a:graphicData>
                        </a:graphic>
                      </wpg:graphicFrame>
                      <wpg:graphicFrame>
                        <wpg:cNvPr id="17" name="Chart 17"/>
                        <wpg:cNvFrPr/>
                        <wpg:xfrm>
                          <a:off x="0" y="5983834"/>
                          <a:ext cx="5943600" cy="2157730"/>
                        </wpg:xfrm>
                        <a:graphic>
                          <a:graphicData uri="http://schemas.openxmlformats.org/drawingml/2006/chart">
                            <c:chart xmlns:c="http://schemas.openxmlformats.org/drawingml/2006/chart" xmlns:r="http://schemas.openxmlformats.org/officeDocument/2006/relationships" r:id="rId27"/>
                          </a:graphicData>
                        </a:graphic>
                      </wpg:graphicFrame>
                      <wpg:graphicFrame>
                        <wpg:cNvPr id="18" name="Chart 18"/>
                        <wpg:cNvFrPr/>
                        <wpg:xfrm>
                          <a:off x="3013862" y="0"/>
                          <a:ext cx="2924175" cy="2011680"/>
                        </wpg:xfrm>
                        <a:graphic>
                          <a:graphicData uri="http://schemas.openxmlformats.org/drawingml/2006/chart">
                            <c:chart xmlns:c="http://schemas.openxmlformats.org/drawingml/2006/chart" xmlns:r="http://schemas.openxmlformats.org/officeDocument/2006/relationships" r:id="rId28"/>
                          </a:graphicData>
                        </a:graphic>
                      </wpg:graphicFrame>
                      <wpg:graphicFrame>
                        <wpg:cNvPr id="19" name="Chart 19"/>
                        <wpg:cNvFrPr/>
                        <wpg:xfrm>
                          <a:off x="43891" y="2004365"/>
                          <a:ext cx="3017520" cy="2011680"/>
                        </wpg:xfrm>
                        <a:graphic>
                          <a:graphicData uri="http://schemas.openxmlformats.org/drawingml/2006/chart">
                            <c:chart xmlns:c="http://schemas.openxmlformats.org/drawingml/2006/chart" xmlns:r="http://schemas.openxmlformats.org/officeDocument/2006/relationships" r:id="rId29"/>
                          </a:graphicData>
                        </a:graphic>
                      </wpg:graphicFrame>
                      <wpg:graphicFrame>
                        <wpg:cNvPr id="20" name="Chart 20"/>
                        <wpg:cNvFrPr/>
                        <wpg:xfrm>
                          <a:off x="3057753" y="2004365"/>
                          <a:ext cx="2879725" cy="2011680"/>
                        </wpg:xfrm>
                        <a:graphic>
                          <a:graphicData uri="http://schemas.openxmlformats.org/drawingml/2006/chart">
                            <c:chart xmlns:c="http://schemas.openxmlformats.org/drawingml/2006/chart" xmlns:r="http://schemas.openxmlformats.org/officeDocument/2006/relationships" r:id="rId30"/>
                          </a:graphicData>
                        </a:graphic>
                      </wpg:graphicFrame>
                      <wpg:graphicFrame>
                        <wpg:cNvPr id="21" name="Chart 21"/>
                        <wpg:cNvFrPr/>
                        <wpg:xfrm>
                          <a:off x="43891" y="4001414"/>
                          <a:ext cx="3017520" cy="2011680"/>
                        </wpg:xfrm>
                        <a:graphic>
                          <a:graphicData uri="http://schemas.openxmlformats.org/drawingml/2006/chart">
                            <c:chart xmlns:c="http://schemas.openxmlformats.org/drawingml/2006/chart" xmlns:r="http://schemas.openxmlformats.org/officeDocument/2006/relationships" r:id="rId31"/>
                          </a:graphicData>
                        </a:graphic>
                      </wpg:graphicFrame>
                    </wpg:wgp>
                  </a:graphicData>
                </a:graphic>
              </wp:inline>
            </w:drawing>
          </mc:Choice>
          <mc:Fallback>
            <w:pict>
              <v:group w14:anchorId="74F098CC" id="Group 13" o:spid="_x0000_s1026" style="width:468pt;height:641.05pt;mso-position-horizontal-relative:char;mso-position-vertical-relative:line" coordsize="59436,81415" o:gfxdata="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">
                <v:shape id="Chart 14" o:spid="_x0000_s1027" type="#_x0000_t75" style="position:absolute;left:426;width:30175;height:201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">
                  <v:imagedata r:id="rId32" o:title=""/>
                  <o:lock v:ext="edit" aspectratio="f"/>
                </v:shape>
                <v:shape id="Chart 16" o:spid="_x0000_s1028" type="#_x0000_t75" style="position:absolute;left:30114;top:39989;width:29261;height:2011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">
                  <v:imagedata r:id="rId33" o:title=""/>
                  <o:lock v:ext="edit" aspectratio="f"/>
                </v:shape>
                <v:shape id="Chart 17" o:spid="_x0000_s1029" type="#_x0000_t75" style="position:absolute;top:59862;width:59436;height:215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">
                  <v:imagedata r:id="rId34" o:title=""/>
                  <o:lock v:ext="edit" aspectratio="f"/>
                </v:shape>
                <v:shape id="Chart 18" o:spid="_x0000_s1030" type="#_x0000_t75" style="position:absolute;left:30114;width:29261;height:201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">
                  <v:imagedata r:id="rId35" o:title=""/>
                  <o:lock v:ext="edit" aspectratio="f"/>
                </v:shape>
                <v:shape id="Chart 19" o:spid="_x0000_s1031" type="#_x0000_t75" style="position:absolute;left:426;top:20055;width:30175;height:2011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">
                  <v:imagedata r:id="rId36" o:title=""/>
                  <o:lock v:ext="edit" aspectratio="f"/>
                </v:shape>
                <v:shape id="Chart 20" o:spid="_x0000_s1032" type="#_x0000_t75" style="position:absolute;left:30601;top:20055;width:28774;height:2011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">
                  <v:imagedata r:id="rId37" o:title=""/>
                  <o:lock v:ext="edit" aspectratio="f"/>
                </v:shape>
                <v:shape id="Chart 21" o:spid="_x0000_s1033" type="#_x0000_t75" style="position:absolute;left:426;top:39989;width:30175;height:2011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">
                  <v:imagedata r:id="rId38" o:title=""/>
                  <o:lock v:ext="edit" aspectratio="f"/>
                </v:shape>
                <w10:anchorlock/>
              </v:group>
            </w:pict>
          </mc:Fallback>
        </mc:AlternateContent>
      </w:r>
    </w:p>
    <w:p w14:paraId="0BAFCD10" w14:textId="1668E467" w:rsidR="00922D57" w:rsidRPr="000C35B6" w:rsidRDefault="008A6A13" w:rsidP="002C04B3">
      <w:pPr>
        <w:pStyle w:val="Caption"/>
        <w:rPr>
          <w:rFonts w:cs="Times New Roman"/>
          <w:lang w:val="en-US"/>
        </w:rPr>
      </w:pPr>
      <w:r w:rsidRPr="000C35B6">
        <w:rPr>
          <w:rFonts w:cs="Times New Roman"/>
          <w:lang w:val="en-US"/>
        </w:rPr>
        <w:t xml:space="preserve">Figure S. </w:t>
      </w:r>
      <w:r w:rsidR="00000000" w:rsidRPr="000C35B6">
        <w:rPr>
          <w:rFonts w:cs="Times New Roman"/>
          <w:lang w:val="en-US"/>
        </w:rPr>
        <w:fldChar w:fldCharType="begin"/>
      </w:r>
      <w:r w:rsidR="00000000" w:rsidRPr="000C35B6">
        <w:rPr>
          <w:rFonts w:cs="Times New Roman"/>
          <w:lang w:val="en-US"/>
        </w:rPr>
        <w:instrText xml:space="preserve"> SEQ Figure_S. \* ARABIC </w:instrText>
      </w:r>
      <w:r w:rsidR="00000000" w:rsidRPr="000C35B6">
        <w:rPr>
          <w:rFonts w:cs="Times New Roman"/>
          <w:lang w:val="en-US"/>
        </w:rPr>
        <w:fldChar w:fldCharType="separate"/>
      </w:r>
      <w:r w:rsidR="000C35B6" w:rsidRPr="000C35B6">
        <w:rPr>
          <w:rFonts w:cs="Times New Roman"/>
          <w:lang w:val="en-US"/>
        </w:rPr>
        <w:t>3</w:t>
      </w:r>
      <w:r w:rsidR="00000000" w:rsidRPr="000C35B6">
        <w:rPr>
          <w:rFonts w:cs="Times New Roman"/>
          <w:lang w:val="en-US"/>
        </w:rPr>
        <w:fldChar w:fldCharType="end"/>
      </w:r>
      <w:r w:rsidR="00922D57" w:rsidRPr="000C35B6">
        <w:rPr>
          <w:rFonts w:cs="Times New Roman"/>
          <w:lang w:val="en-US"/>
        </w:rPr>
        <w:t xml:space="preserve">. </w:t>
      </w:r>
      <w:r w:rsidR="002C04B3" w:rsidRPr="000C35B6">
        <w:rPr>
          <w:rFonts w:cs="Times New Roman"/>
          <w:lang w:val="en-US"/>
        </w:rPr>
        <w:t>Composition of medium fleet (&gt;3.5t and &lt;12t) per scenario: Number of medium trucks by technology.</w:t>
      </w:r>
    </w:p>
    <w:p w14:paraId="725A9A61" w14:textId="2E0C9ACD" w:rsidR="00922D57" w:rsidRPr="00D32CE7" w:rsidRDefault="002C04B3" w:rsidP="00922D57">
      <w:pPr>
        <w:keepNext/>
        <w:rPr>
          <w:rFonts w:cs="Times New Roman"/>
        </w:rPr>
      </w:pPr>
      <w:r>
        <w:rPr>
          <w:noProof/>
          <w:lang w:val="en-US"/>
        </w:rPr>
        <w:lastRenderedPageBreak/>
        <mc:AlternateContent>
          <mc:Choice Requires="wpg">
            <w:drawing>
              <wp:inline distT="0" distB="0" distL="0" distR="0" wp14:anchorId="349B8297" wp14:editId="4CEDA5B5">
                <wp:extent cx="5994807" cy="8097672"/>
                <wp:effectExtent l="0" t="0" r="6350" b="0"/>
                <wp:docPr id="22" name="Group 22"/>
                <wp:cNvGraphicFramePr/>
                <a:graphic xmlns:a="http://schemas.openxmlformats.org/drawingml/2006/main">
                  <a:graphicData uri="http://schemas.microsoft.com/office/word/2010/wordprocessingGroup">
                    <wpg:wgp>
                      <wpg:cNvGrpSpPr/>
                      <wpg:grpSpPr>
                        <a:xfrm>
                          <a:off x="0" y="0"/>
                          <a:ext cx="5994807" cy="8097672"/>
                          <a:chOff x="0" y="0"/>
                          <a:chExt cx="5994807" cy="8097672"/>
                        </a:xfrm>
                      </wpg:grpSpPr>
                      <wpg:graphicFrame>
                        <wpg:cNvPr id="23" name="Chart 23"/>
                        <wpg:cNvFrPr/>
                        <wpg:xfrm>
                          <a:off x="21946" y="0"/>
                          <a:ext cx="3017520" cy="2011680"/>
                        </wpg:xfrm>
                        <a:graphic>
                          <a:graphicData uri="http://schemas.openxmlformats.org/drawingml/2006/chart">
                            <c:chart xmlns:c="http://schemas.openxmlformats.org/drawingml/2006/chart" xmlns:r="http://schemas.openxmlformats.org/officeDocument/2006/relationships" r:id="rId39"/>
                          </a:graphicData>
                        </a:graphic>
                      </wpg:graphicFrame>
                      <wpg:graphicFrame>
                        <wpg:cNvPr id="24" name="Chart 24"/>
                        <wpg:cNvFrPr/>
                        <wpg:xfrm>
                          <a:off x="2977287" y="0"/>
                          <a:ext cx="3017520" cy="2011680"/>
                        </wpg:xfrm>
                        <a:graphic>
                          <a:graphicData uri="http://schemas.openxmlformats.org/drawingml/2006/chart">
                            <c:chart xmlns:c="http://schemas.openxmlformats.org/drawingml/2006/chart" xmlns:r="http://schemas.openxmlformats.org/officeDocument/2006/relationships" r:id="rId40"/>
                          </a:graphicData>
                        </a:graphic>
                      </wpg:graphicFrame>
                      <wpg:graphicFrame>
                        <wpg:cNvPr id="25" name="Chart 25"/>
                        <wpg:cNvFrPr/>
                        <wpg:xfrm>
                          <a:off x="14631" y="1997050"/>
                          <a:ext cx="3017520" cy="2011680"/>
                        </wpg:xfrm>
                        <a:graphic>
                          <a:graphicData uri="http://schemas.openxmlformats.org/drawingml/2006/chart">
                            <c:chart xmlns:c="http://schemas.openxmlformats.org/drawingml/2006/chart" xmlns:r="http://schemas.openxmlformats.org/officeDocument/2006/relationships" r:id="rId41"/>
                          </a:graphicData>
                        </a:graphic>
                      </wpg:graphicFrame>
                      <wpg:graphicFrame>
                        <wpg:cNvPr id="26" name="Chart 26"/>
                        <wpg:cNvFrPr/>
                        <wpg:xfrm>
                          <a:off x="14631" y="5939942"/>
                          <a:ext cx="5943600" cy="2157730"/>
                        </wpg:xfrm>
                        <a:graphic>
                          <a:graphicData uri="http://schemas.openxmlformats.org/drawingml/2006/chart">
                            <c:chart xmlns:c="http://schemas.openxmlformats.org/drawingml/2006/chart" xmlns:r="http://schemas.openxmlformats.org/officeDocument/2006/relationships" r:id="rId42"/>
                          </a:graphicData>
                        </a:graphic>
                      </wpg:graphicFrame>
                      <wpg:graphicFrame>
                        <wpg:cNvPr id="27" name="Chart 27"/>
                        <wpg:cNvFrPr/>
                        <wpg:xfrm>
                          <a:off x="2940711" y="2011680"/>
                          <a:ext cx="3017520" cy="2011680"/>
                        </wpg:xfrm>
                        <a:graphic>
                          <a:graphicData uri="http://schemas.openxmlformats.org/drawingml/2006/chart">
                            <c:chart xmlns:c="http://schemas.openxmlformats.org/drawingml/2006/chart" xmlns:r="http://schemas.openxmlformats.org/officeDocument/2006/relationships" r:id="rId43"/>
                          </a:graphicData>
                        </a:graphic>
                      </wpg:graphicFrame>
                      <wpg:graphicFrame>
                        <wpg:cNvPr id="28" name="Chart 28"/>
                        <wpg:cNvFrPr/>
                        <wpg:xfrm>
                          <a:off x="0" y="3964838"/>
                          <a:ext cx="3017520" cy="2011680"/>
                        </wpg:xfrm>
                        <a:graphic>
                          <a:graphicData uri="http://schemas.openxmlformats.org/drawingml/2006/chart">
                            <c:chart xmlns:c="http://schemas.openxmlformats.org/drawingml/2006/chart" xmlns:r="http://schemas.openxmlformats.org/officeDocument/2006/relationships" r:id="rId44"/>
                          </a:graphicData>
                        </a:graphic>
                      </wpg:graphicFrame>
                      <wpg:graphicFrame>
                        <wpg:cNvPr id="29" name="Chart 29"/>
                        <wpg:cNvFrPr/>
                        <wpg:xfrm>
                          <a:off x="2940711" y="3979469"/>
                          <a:ext cx="3017520" cy="2011680"/>
                        </wpg:xfrm>
                        <a:graphic>
                          <a:graphicData uri="http://schemas.openxmlformats.org/drawingml/2006/chart">
                            <c:chart xmlns:c="http://schemas.openxmlformats.org/drawingml/2006/chart" xmlns:r="http://schemas.openxmlformats.org/officeDocument/2006/relationships" r:id="rId45"/>
                          </a:graphicData>
                        </a:graphic>
                      </wpg:graphicFrame>
                    </wpg:wgp>
                  </a:graphicData>
                </a:graphic>
              </wp:inline>
            </w:drawing>
          </mc:Choice>
          <mc:Fallback>
            <w:pict>
              <v:group w14:anchorId="59986CA1" id="Group 22" o:spid="_x0000_s1026" style="width:472.05pt;height:637.6pt;mso-position-horizontal-relative:char;mso-position-vertical-relative:line" coordsize="59948,80976" o:gfxdata="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">
                <v:shape id="Chart 23" o:spid="_x0000_s1027" type="#_x0000_t75" style="position:absolute;left:243;width:30176;height:201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">
                  <v:imagedata r:id="rId46" o:title=""/>
                  <o:lock v:ext="edit" aspectratio="f"/>
                </v:shape>
                <v:shape id="Chart 24" o:spid="_x0000_s1028" type="#_x0000_t75" style="position:absolute;left:29748;width:30175;height:201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">
                  <v:imagedata r:id="rId47" o:title=""/>
                  <o:lock v:ext="edit" aspectratio="f"/>
                </v:shape>
                <v:shape id="Chart 25" o:spid="_x0000_s1029" type="#_x0000_t75" style="position:absolute;left:121;top:19994;width:30176;height:2011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">
                  <v:imagedata r:id="rId48" o:title=""/>
                  <o:lock v:ext="edit" aspectratio="f"/>
                </v:shape>
                <v:shape id="Chart 26" o:spid="_x0000_s1030" type="#_x0000_t75" style="position:absolute;left:121;top:59375;width:59436;height:215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">
                  <v:imagedata r:id="rId49" o:title=""/>
                  <o:lock v:ext="edit" aspectratio="f"/>
                </v:shape>
                <v:shape id="Chart 27" o:spid="_x0000_s1031" type="#_x0000_t75" style="position:absolute;left:29382;top:20116;width:30175;height:2011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">
                  <v:imagedata r:id="rId50" o:title=""/>
                  <o:lock v:ext="edit" aspectratio="f"/>
                </v:shape>
                <v:shape id="Chart 28" o:spid="_x0000_s1032" type="#_x0000_t75" style="position:absolute;top:39624;width:30175;height:201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">
                  <v:imagedata r:id="rId51" o:title=""/>
                  <o:lock v:ext="edit" aspectratio="f"/>
                </v:shape>
                <v:shape id="Chart 29" o:spid="_x0000_s1033" type="#_x0000_t75" style="position:absolute;left:29382;top:39806;width:30175;height:2011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">
                  <v:imagedata r:id="rId52" o:title=""/>
                  <o:lock v:ext="edit" aspectratio="f"/>
                </v:shape>
                <w10:anchorlock/>
              </v:group>
            </w:pict>
          </mc:Fallback>
        </mc:AlternateContent>
      </w:r>
    </w:p>
    <w:p w14:paraId="0B4AE030" w14:textId="17635D81" w:rsidR="00922D57" w:rsidRPr="000C35B6" w:rsidRDefault="000C35B6" w:rsidP="002C04B3">
      <w:pPr>
        <w:pStyle w:val="Caption"/>
        <w:rPr>
          <w:rFonts w:cs="Times New Roman"/>
          <w:lang w:val="en-US"/>
        </w:rPr>
      </w:pPr>
      <w:r w:rsidRPr="000C35B6">
        <w:rPr>
          <w:rFonts w:cs="Times New Roman"/>
          <w:lang w:val="en-US"/>
        </w:rPr>
        <w:t xml:space="preserve">Figure S. </w:t>
      </w:r>
      <w:r w:rsidRPr="000C35B6">
        <w:rPr>
          <w:rFonts w:cs="Times New Roman"/>
          <w:lang w:val="en-US"/>
        </w:rPr>
        <w:fldChar w:fldCharType="begin"/>
      </w:r>
      <w:r w:rsidRPr="000C35B6">
        <w:rPr>
          <w:rFonts w:cs="Times New Roman"/>
          <w:lang w:val="en-US"/>
        </w:rPr>
        <w:instrText xml:space="preserve"> SEQ Figure_S. \* ARABIC </w:instrText>
      </w:r>
      <w:r w:rsidRPr="000C35B6">
        <w:rPr>
          <w:rFonts w:cs="Times New Roman"/>
          <w:lang w:val="en-US"/>
        </w:rPr>
        <w:fldChar w:fldCharType="separate"/>
      </w:r>
      <w:r w:rsidRPr="000C35B6">
        <w:rPr>
          <w:rFonts w:cs="Times New Roman"/>
          <w:lang w:val="en-US"/>
        </w:rPr>
        <w:t>4</w:t>
      </w:r>
      <w:r w:rsidRPr="000C35B6">
        <w:rPr>
          <w:rFonts w:cs="Times New Roman"/>
          <w:lang w:val="en-US"/>
        </w:rPr>
        <w:fldChar w:fldCharType="end"/>
      </w:r>
      <w:r w:rsidRPr="000C35B6">
        <w:rPr>
          <w:rFonts w:cs="Times New Roman"/>
          <w:lang w:val="en-US"/>
        </w:rPr>
        <w:t xml:space="preserve">. </w:t>
      </w:r>
      <w:r w:rsidR="002C04B3" w:rsidRPr="000C35B6">
        <w:rPr>
          <w:rFonts w:cs="Times New Roman"/>
          <w:lang w:val="en-US"/>
        </w:rPr>
        <w:t>Composition of light fleet (&lt;3.5t) per scenario: Number of light trucks by technology.</w:t>
      </w:r>
    </w:p>
    <w:p w14:paraId="6C567489" w14:textId="77777777" w:rsidR="008A6A13" w:rsidRDefault="008A6A13" w:rsidP="008A6A13">
      <w:pPr>
        <w:spacing w:line="360" w:lineRule="auto"/>
        <w:jc w:val="both"/>
        <w:rPr>
          <w:rFonts w:ascii="Times New Roman" w:hAnsi="Times New Roman" w:cs="Times New Roman"/>
        </w:rPr>
      </w:pPr>
    </w:p>
    <w:p w14:paraId="32C4FB89" w14:textId="77777777" w:rsidR="008A6A13" w:rsidRDefault="008A6A13" w:rsidP="008A6A13">
      <w:pPr>
        <w:pStyle w:val="Caption"/>
      </w:pPr>
    </w:p>
    <w:p w14:paraId="49F27B1B" w14:textId="635A78F9" w:rsidR="008A6A13" w:rsidRDefault="008A6A13" w:rsidP="008A6A13">
      <w:pPr>
        <w:keepNext/>
        <w:spacing w:after="0" w:line="360" w:lineRule="auto"/>
        <w:jc w:val="center"/>
        <w:rPr>
          <w:rFonts w:cs="Times New Roman"/>
        </w:rPr>
      </w:pPr>
      <w:r>
        <w:rPr>
          <w:noProof/>
          <w:lang w:val="en-US"/>
        </w:rPr>
        <w:lastRenderedPageBreak/>
        <w:drawing>
          <wp:inline distT="0" distB="0" distL="0" distR="0" wp14:anchorId="4F8F21C9" wp14:editId="1F7EED18">
            <wp:extent cx="5953760" cy="2757170"/>
            <wp:effectExtent l="0" t="0" r="2540" b="0"/>
            <wp:docPr id="180545251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76698775" w14:textId="442461CF" w:rsidR="008A6A13" w:rsidRPr="000C35B6" w:rsidRDefault="008A6A13" w:rsidP="008A6A13">
      <w:pPr>
        <w:pStyle w:val="Caption"/>
        <w:rPr>
          <w:rFonts w:cs="Times New Roman"/>
          <w:lang w:val="en-US"/>
        </w:rPr>
      </w:pPr>
      <w:r w:rsidRPr="000C35B6">
        <w:rPr>
          <w:rFonts w:cs="Times New Roman"/>
          <w:lang w:val="en-US"/>
        </w:rPr>
        <w:t xml:space="preserve">Figure S. </w:t>
      </w:r>
      <w:r w:rsidRPr="000C35B6">
        <w:rPr>
          <w:rFonts w:cs="Times New Roman"/>
          <w:lang w:val="en-US"/>
        </w:rPr>
        <w:fldChar w:fldCharType="begin"/>
      </w:r>
      <w:r w:rsidRPr="000C35B6">
        <w:rPr>
          <w:rFonts w:cs="Times New Roman"/>
          <w:lang w:val="en-US"/>
        </w:rPr>
        <w:instrText xml:space="preserve"> SEQ Figure_S. \* ARABIC </w:instrText>
      </w:r>
      <w:r w:rsidRPr="000C35B6">
        <w:rPr>
          <w:rFonts w:cs="Times New Roman"/>
          <w:lang w:val="en-US"/>
        </w:rPr>
        <w:fldChar w:fldCharType="separate"/>
      </w:r>
      <w:r w:rsidR="000C35B6" w:rsidRPr="000C35B6">
        <w:rPr>
          <w:rFonts w:cs="Times New Roman"/>
          <w:lang w:val="en-US"/>
        </w:rPr>
        <w:t>5</w:t>
      </w:r>
      <w:r w:rsidRPr="000C35B6">
        <w:rPr>
          <w:rFonts w:cs="Times New Roman"/>
          <w:lang w:val="en-US"/>
        </w:rPr>
        <w:fldChar w:fldCharType="end"/>
      </w:r>
      <w:r w:rsidRPr="000C35B6">
        <w:rPr>
          <w:rFonts w:cs="Times New Roman"/>
          <w:lang w:val="en-US"/>
        </w:rPr>
        <w:t xml:space="preserve">. CO2 </w:t>
      </w:r>
      <w:proofErr w:type="spellStart"/>
      <w:r w:rsidRPr="000C35B6">
        <w:rPr>
          <w:rFonts w:cs="Times New Roman"/>
          <w:lang w:val="en-US"/>
        </w:rPr>
        <w:t>emissions</w:t>
      </w:r>
      <w:proofErr w:type="spellEnd"/>
      <w:r w:rsidRPr="000C35B6">
        <w:rPr>
          <w:rFonts w:cs="Times New Roman"/>
          <w:lang w:val="en-US"/>
        </w:rPr>
        <w:t xml:space="preserve"> per scenario for </w:t>
      </w:r>
      <w:proofErr w:type="spellStart"/>
      <w:r w:rsidRPr="000C35B6">
        <w:rPr>
          <w:rFonts w:cs="Times New Roman"/>
          <w:lang w:val="en-US"/>
        </w:rPr>
        <w:t>selected</w:t>
      </w:r>
      <w:proofErr w:type="spellEnd"/>
      <w:r w:rsidRPr="000C35B6">
        <w:rPr>
          <w:rFonts w:cs="Times New Roman"/>
          <w:lang w:val="en-US"/>
        </w:rPr>
        <w:t xml:space="preserve"> </w:t>
      </w:r>
      <w:proofErr w:type="spellStart"/>
      <w:r w:rsidRPr="000C35B6">
        <w:rPr>
          <w:rFonts w:cs="Times New Roman"/>
          <w:lang w:val="en-US"/>
        </w:rPr>
        <w:t>years</w:t>
      </w:r>
      <w:proofErr w:type="spellEnd"/>
      <w:r w:rsidRPr="000C35B6">
        <w:rPr>
          <w:rFonts w:cs="Times New Roman"/>
          <w:lang w:val="en-US"/>
        </w:rPr>
        <w:t>.</w:t>
      </w:r>
    </w:p>
    <w:p w14:paraId="497E8CBD" w14:textId="77777777" w:rsidR="008A6A13" w:rsidRDefault="008A6A13" w:rsidP="008A6A13">
      <w:pPr>
        <w:spacing w:line="360" w:lineRule="auto"/>
        <w:jc w:val="both"/>
        <w:rPr>
          <w:rFonts w:cs="Times New Roman"/>
        </w:rPr>
      </w:pPr>
    </w:p>
    <w:p w14:paraId="16EA0475" w14:textId="4771D061" w:rsidR="008A6A13" w:rsidRDefault="008A6A13" w:rsidP="008A6A13">
      <w:pPr>
        <w:rPr>
          <w:lang w:val="en-US"/>
        </w:rPr>
      </w:pPr>
      <w:r>
        <w:rPr>
          <w:noProof/>
          <w:lang w:val="en-US"/>
        </w:rPr>
        <w:drawing>
          <wp:inline distT="0" distB="0" distL="0" distR="0" wp14:anchorId="410FF6D5" wp14:editId="0E680418">
            <wp:extent cx="2935605" cy="2757170"/>
            <wp:effectExtent l="0" t="0" r="0" b="0"/>
            <wp:docPr id="40"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r>
        <w:rPr>
          <w:noProof/>
          <w:lang w:val="en-US"/>
        </w:rPr>
        <w:drawing>
          <wp:inline distT="0" distB="0" distL="0" distR="0" wp14:anchorId="1C7D28EA" wp14:editId="33659564">
            <wp:extent cx="2935605" cy="2757170"/>
            <wp:effectExtent l="0" t="0" r="0" b="0"/>
            <wp:docPr id="41"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2AB9AF28" w14:textId="3384EC1B" w:rsidR="008A6A13" w:rsidRDefault="008A6A13" w:rsidP="008A6A13">
      <w:pPr>
        <w:keepNext/>
        <w:jc w:val="center"/>
        <w:rPr>
          <w:lang w:val="en-GB"/>
        </w:rPr>
      </w:pPr>
      <w:r>
        <w:rPr>
          <w:noProof/>
          <w:lang w:val="en-US"/>
        </w:rPr>
        <w:drawing>
          <wp:inline distT="0" distB="0" distL="0" distR="0" wp14:anchorId="08976331" wp14:editId="56D7E54F">
            <wp:extent cx="1602105" cy="267970"/>
            <wp:effectExtent l="0" t="0" r="0" b="0"/>
            <wp:docPr id="17397206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602105" cy="267970"/>
                    </a:xfrm>
                    <a:prstGeom prst="rect">
                      <a:avLst/>
                    </a:prstGeom>
                    <a:noFill/>
                    <a:ln>
                      <a:noFill/>
                    </a:ln>
                  </pic:spPr>
                </pic:pic>
              </a:graphicData>
            </a:graphic>
          </wp:inline>
        </w:drawing>
      </w:r>
    </w:p>
    <w:p w14:paraId="30816347" w14:textId="3158EDA9" w:rsidR="008A6A13" w:rsidRPr="000C35B6" w:rsidRDefault="008A6A13" w:rsidP="008A6A13">
      <w:pPr>
        <w:pStyle w:val="Caption"/>
        <w:rPr>
          <w:rFonts w:cs="Times New Roman"/>
          <w:lang w:val="en-US"/>
        </w:rPr>
      </w:pPr>
      <w:r w:rsidRPr="000C35B6">
        <w:rPr>
          <w:rFonts w:cs="Times New Roman"/>
          <w:lang w:val="en-US"/>
        </w:rPr>
        <w:t xml:space="preserve">Figure S. </w:t>
      </w:r>
      <w:r w:rsidRPr="000C35B6">
        <w:rPr>
          <w:rFonts w:cs="Times New Roman"/>
          <w:lang w:val="en-US"/>
        </w:rPr>
        <w:fldChar w:fldCharType="begin"/>
      </w:r>
      <w:r w:rsidRPr="000C35B6">
        <w:rPr>
          <w:rFonts w:cs="Times New Roman"/>
          <w:lang w:val="en-US"/>
        </w:rPr>
        <w:instrText xml:space="preserve"> SEQ Figure_S. \* ARABIC </w:instrText>
      </w:r>
      <w:r w:rsidRPr="000C35B6">
        <w:rPr>
          <w:rFonts w:cs="Times New Roman"/>
          <w:lang w:val="en-US"/>
        </w:rPr>
        <w:fldChar w:fldCharType="separate"/>
      </w:r>
      <w:r w:rsidR="000C35B6" w:rsidRPr="000C35B6">
        <w:rPr>
          <w:rFonts w:cs="Times New Roman"/>
          <w:lang w:val="en-US"/>
        </w:rPr>
        <w:t>6</w:t>
      </w:r>
      <w:r w:rsidRPr="000C35B6">
        <w:rPr>
          <w:rFonts w:cs="Times New Roman"/>
          <w:lang w:val="en-US"/>
        </w:rPr>
        <w:fldChar w:fldCharType="end"/>
      </w:r>
      <w:r w:rsidRPr="000C35B6">
        <w:rPr>
          <w:rFonts w:cs="Times New Roman"/>
          <w:lang w:val="en-US"/>
        </w:rPr>
        <w:t>.  CH4 (</w:t>
      </w:r>
      <w:proofErr w:type="spellStart"/>
      <w:r w:rsidRPr="000C35B6">
        <w:rPr>
          <w:rFonts w:cs="Times New Roman"/>
          <w:lang w:val="en-US"/>
        </w:rPr>
        <w:t>left</w:t>
      </w:r>
      <w:proofErr w:type="spellEnd"/>
      <w:r w:rsidRPr="000C35B6">
        <w:rPr>
          <w:rFonts w:cs="Times New Roman"/>
          <w:lang w:val="en-US"/>
        </w:rPr>
        <w:t xml:space="preserve">) and N2O </w:t>
      </w:r>
      <w:proofErr w:type="spellStart"/>
      <w:r w:rsidRPr="000C35B6">
        <w:rPr>
          <w:rFonts w:cs="Times New Roman"/>
          <w:lang w:val="en-US"/>
        </w:rPr>
        <w:t>emissions</w:t>
      </w:r>
      <w:proofErr w:type="spellEnd"/>
      <w:r w:rsidRPr="000C35B6">
        <w:rPr>
          <w:rFonts w:cs="Times New Roman"/>
          <w:lang w:val="en-US"/>
        </w:rPr>
        <w:t xml:space="preserve"> (</w:t>
      </w:r>
      <w:proofErr w:type="spellStart"/>
      <w:r w:rsidRPr="000C35B6">
        <w:rPr>
          <w:rFonts w:cs="Times New Roman"/>
          <w:lang w:val="en-US"/>
        </w:rPr>
        <w:t>right</w:t>
      </w:r>
      <w:proofErr w:type="spellEnd"/>
      <w:r w:rsidRPr="000C35B6">
        <w:rPr>
          <w:rFonts w:cs="Times New Roman"/>
          <w:lang w:val="en-US"/>
        </w:rPr>
        <w:t xml:space="preserve">) per scenario for </w:t>
      </w:r>
      <w:proofErr w:type="spellStart"/>
      <w:r w:rsidRPr="000C35B6">
        <w:rPr>
          <w:rFonts w:cs="Times New Roman"/>
          <w:lang w:val="en-US"/>
        </w:rPr>
        <w:t>selected</w:t>
      </w:r>
      <w:proofErr w:type="spellEnd"/>
      <w:r w:rsidRPr="000C35B6">
        <w:rPr>
          <w:rFonts w:cs="Times New Roman"/>
          <w:lang w:val="en-US"/>
        </w:rPr>
        <w:t xml:space="preserve"> </w:t>
      </w:r>
      <w:proofErr w:type="spellStart"/>
      <w:r w:rsidRPr="000C35B6">
        <w:rPr>
          <w:rFonts w:cs="Times New Roman"/>
          <w:lang w:val="en-US"/>
        </w:rPr>
        <w:t>years</w:t>
      </w:r>
      <w:proofErr w:type="spellEnd"/>
      <w:r w:rsidRPr="000C35B6">
        <w:rPr>
          <w:rFonts w:cs="Times New Roman"/>
          <w:lang w:val="en-US"/>
        </w:rPr>
        <w:t xml:space="preserve"> (</w:t>
      </w:r>
      <w:proofErr w:type="spellStart"/>
      <w:r w:rsidRPr="000C35B6">
        <w:rPr>
          <w:rFonts w:cs="Times New Roman"/>
          <w:lang w:val="en-US"/>
        </w:rPr>
        <w:t>kt</w:t>
      </w:r>
      <w:proofErr w:type="spellEnd"/>
      <w:r w:rsidRPr="000C35B6">
        <w:rPr>
          <w:rFonts w:cs="Times New Roman"/>
          <w:lang w:val="en-US"/>
        </w:rPr>
        <w:t xml:space="preserve"> of CH4 or N2O/</w:t>
      </w:r>
      <w:proofErr w:type="spellStart"/>
      <w:r w:rsidRPr="000C35B6">
        <w:rPr>
          <w:rFonts w:cs="Times New Roman"/>
          <w:lang w:val="en-US"/>
        </w:rPr>
        <w:t>year</w:t>
      </w:r>
      <w:proofErr w:type="spellEnd"/>
      <w:r w:rsidRPr="000C35B6">
        <w:rPr>
          <w:rFonts w:cs="Times New Roman"/>
          <w:lang w:val="en-US"/>
        </w:rPr>
        <w:t>)</w:t>
      </w:r>
    </w:p>
    <w:p w14:paraId="5EC72E73" w14:textId="77777777" w:rsidR="008A6A13" w:rsidRDefault="008A6A13" w:rsidP="008A6A13">
      <w:pPr>
        <w:spacing w:line="360" w:lineRule="auto"/>
        <w:jc w:val="both"/>
        <w:rPr>
          <w:rFonts w:ascii="Times New Roman" w:hAnsi="Times New Roman" w:cs="Times New Roman"/>
        </w:rPr>
      </w:pPr>
    </w:p>
    <w:p w14:paraId="2CA5E0A3" w14:textId="103146FA" w:rsidR="00B03FD3" w:rsidRPr="008A6A13" w:rsidRDefault="00E5561E" w:rsidP="000C35B6">
      <w:pPr>
        <w:pStyle w:val="Caption"/>
        <w:rPr>
          <w:rFonts w:cs="Times New Roman"/>
          <w:lang w:val="en-US"/>
        </w:rPr>
      </w:pPr>
      <w:r>
        <w:rPr>
          <w:rFonts w:cs="Times New Roman"/>
        </w:rPr>
        <w:br w:type="page"/>
      </w:r>
      <w:proofErr w:type="spellStart"/>
      <w:r w:rsidR="000C35B6">
        <w:lastRenderedPageBreak/>
        <w:t>Table</w:t>
      </w:r>
      <w:proofErr w:type="spellEnd"/>
      <w:r w:rsidR="000C35B6">
        <w:t xml:space="preserve"> S. </w:t>
      </w:r>
      <w:fldSimple w:instr=" SEQ Table_S. \* ARABIC ">
        <w:r w:rsidR="000C35B6">
          <w:rPr>
            <w:noProof/>
          </w:rPr>
          <w:t>4</w:t>
        </w:r>
      </w:fldSimple>
      <w:r w:rsidR="000C35B6">
        <w:t xml:space="preserve">. </w:t>
      </w:r>
      <w:proofErr w:type="spellStart"/>
      <w:r w:rsidR="000C35B6">
        <w:t>Table</w:t>
      </w:r>
      <w:proofErr w:type="spellEnd"/>
      <w:r w:rsidR="00B03FD3" w:rsidRPr="00187B43">
        <w:rPr>
          <w:rFonts w:cs="Times New Roman"/>
          <w:lang w:val="en-US"/>
        </w:rPr>
        <w:t xml:space="preserve"> shows the expected yearly electricity consumption per scenario in PJ/y</w:t>
      </w:r>
      <w:r w:rsidR="000C35B6">
        <w:rPr>
          <w:rFonts w:cs="Times New Roman"/>
          <w:lang w:val="en-US"/>
        </w:rPr>
        <w:t>ear</w:t>
      </w:r>
      <w:r w:rsidR="00B03FD3">
        <w:rPr>
          <w:rFonts w:cs="Times New Roman"/>
          <w:lang w:val="en-US"/>
        </w:rPr>
        <w:t>.</w:t>
      </w:r>
    </w:p>
    <w:tbl>
      <w:tblPr>
        <w:tblStyle w:val="TableGrid"/>
        <w:tblW w:w="0" w:type="auto"/>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0"/>
        <w:gridCol w:w="1170"/>
        <w:gridCol w:w="1170"/>
        <w:gridCol w:w="1080"/>
        <w:gridCol w:w="1260"/>
        <w:gridCol w:w="1260"/>
        <w:gridCol w:w="1260"/>
        <w:gridCol w:w="1350"/>
      </w:tblGrid>
      <w:tr w:rsidR="00B03FD3" w:rsidRPr="00524A55" w14:paraId="50B9F5D1" w14:textId="77777777" w:rsidTr="00171BC4">
        <w:trPr>
          <w:trHeight w:val="300"/>
          <w:jc w:val="center"/>
        </w:trPr>
        <w:tc>
          <w:tcPr>
            <w:tcW w:w="720" w:type="dxa"/>
            <w:vMerge w:val="restart"/>
            <w:tcBorders>
              <w:top w:val="single" w:sz="4" w:space="0" w:color="auto"/>
              <w:left w:val="nil"/>
              <w:bottom w:val="single" w:sz="4" w:space="0" w:color="auto"/>
              <w:right w:val="nil"/>
            </w:tcBorders>
            <w:noWrap/>
            <w:vAlign w:val="center"/>
            <w:hideMark/>
          </w:tcPr>
          <w:p w14:paraId="72A79093" w14:textId="77777777" w:rsidR="00B03FD3" w:rsidRPr="00524A55" w:rsidRDefault="00B03FD3" w:rsidP="00171BC4">
            <w:pPr>
              <w:jc w:val="center"/>
              <w:rPr>
                <w:rFonts w:ascii="Times New Roman" w:hAnsi="Times New Roman" w:cs="Times New Roman"/>
                <w:b/>
                <w:lang w:val="en-US"/>
              </w:rPr>
            </w:pPr>
            <w:r w:rsidRPr="00524A55">
              <w:rPr>
                <w:rFonts w:ascii="Times New Roman" w:hAnsi="Times New Roman" w:cs="Times New Roman"/>
                <w:b/>
                <w:lang w:val="en-US"/>
              </w:rPr>
              <w:t>Year</w:t>
            </w:r>
          </w:p>
        </w:tc>
        <w:tc>
          <w:tcPr>
            <w:tcW w:w="8550" w:type="dxa"/>
            <w:gridSpan w:val="7"/>
            <w:tcBorders>
              <w:top w:val="single" w:sz="4" w:space="0" w:color="auto"/>
              <w:left w:val="nil"/>
              <w:bottom w:val="nil"/>
              <w:right w:val="nil"/>
            </w:tcBorders>
            <w:noWrap/>
            <w:vAlign w:val="center"/>
            <w:hideMark/>
          </w:tcPr>
          <w:p w14:paraId="21623C8F" w14:textId="0BF6C41B" w:rsidR="00B03FD3" w:rsidRPr="00524A55" w:rsidRDefault="00B03FD3" w:rsidP="00171BC4">
            <w:pPr>
              <w:jc w:val="center"/>
              <w:rPr>
                <w:rFonts w:ascii="Times New Roman" w:hAnsi="Times New Roman" w:cs="Times New Roman"/>
                <w:b/>
              </w:rPr>
            </w:pPr>
            <w:proofErr w:type="spellStart"/>
            <w:r w:rsidRPr="00524A55">
              <w:rPr>
                <w:rFonts w:ascii="Times New Roman" w:hAnsi="Times New Roman" w:cs="Times New Roman"/>
                <w:b/>
              </w:rPr>
              <w:t>Electricity</w:t>
            </w:r>
            <w:proofErr w:type="spellEnd"/>
            <w:r w:rsidRPr="00524A55">
              <w:rPr>
                <w:rFonts w:ascii="Times New Roman" w:hAnsi="Times New Roman" w:cs="Times New Roman"/>
                <w:b/>
              </w:rPr>
              <w:t xml:space="preserve"> </w:t>
            </w:r>
            <w:proofErr w:type="spellStart"/>
            <w:r w:rsidRPr="00524A55">
              <w:rPr>
                <w:rFonts w:ascii="Times New Roman" w:hAnsi="Times New Roman" w:cs="Times New Roman"/>
                <w:b/>
              </w:rPr>
              <w:t>consumption</w:t>
            </w:r>
            <w:proofErr w:type="spellEnd"/>
            <w:r w:rsidRPr="00524A55">
              <w:rPr>
                <w:rFonts w:ascii="Times New Roman" w:hAnsi="Times New Roman" w:cs="Times New Roman"/>
                <w:b/>
              </w:rPr>
              <w:t xml:space="preserve"> (PJ/</w:t>
            </w:r>
            <w:proofErr w:type="spellStart"/>
            <w:r w:rsidRPr="00524A55">
              <w:rPr>
                <w:rFonts w:ascii="Times New Roman" w:hAnsi="Times New Roman" w:cs="Times New Roman"/>
                <w:b/>
              </w:rPr>
              <w:t>y</w:t>
            </w:r>
            <w:r w:rsidR="000C35B6">
              <w:rPr>
                <w:rFonts w:ascii="Times New Roman" w:hAnsi="Times New Roman" w:cs="Times New Roman"/>
                <w:b/>
              </w:rPr>
              <w:t>ea</w:t>
            </w:r>
            <w:r w:rsidRPr="00524A55">
              <w:rPr>
                <w:rFonts w:ascii="Times New Roman" w:hAnsi="Times New Roman" w:cs="Times New Roman"/>
                <w:b/>
              </w:rPr>
              <w:t>r</w:t>
            </w:r>
            <w:proofErr w:type="spellEnd"/>
            <w:r w:rsidRPr="00524A55">
              <w:rPr>
                <w:rFonts w:ascii="Times New Roman" w:hAnsi="Times New Roman" w:cs="Times New Roman"/>
                <w:b/>
              </w:rPr>
              <w:t>)</w:t>
            </w:r>
          </w:p>
        </w:tc>
      </w:tr>
      <w:tr w:rsidR="00B03FD3" w:rsidRPr="00524A55" w14:paraId="3119F6FE" w14:textId="77777777" w:rsidTr="00171BC4">
        <w:trPr>
          <w:trHeight w:val="300"/>
          <w:jc w:val="center"/>
        </w:trPr>
        <w:tc>
          <w:tcPr>
            <w:tcW w:w="720" w:type="dxa"/>
            <w:vMerge/>
            <w:tcBorders>
              <w:top w:val="single" w:sz="4" w:space="0" w:color="auto"/>
              <w:left w:val="nil"/>
              <w:bottom w:val="single" w:sz="4" w:space="0" w:color="auto"/>
              <w:right w:val="nil"/>
            </w:tcBorders>
            <w:vAlign w:val="center"/>
            <w:hideMark/>
          </w:tcPr>
          <w:p w14:paraId="091831CA" w14:textId="77777777" w:rsidR="00B03FD3" w:rsidRPr="00524A55" w:rsidRDefault="00B03FD3" w:rsidP="00171BC4">
            <w:pPr>
              <w:rPr>
                <w:rFonts w:ascii="Times New Roman" w:hAnsi="Times New Roman" w:cs="Times New Roman"/>
                <w:b/>
                <w:lang w:val="en-US"/>
              </w:rPr>
            </w:pPr>
          </w:p>
        </w:tc>
        <w:tc>
          <w:tcPr>
            <w:tcW w:w="1170" w:type="dxa"/>
            <w:tcBorders>
              <w:top w:val="nil"/>
              <w:left w:val="nil"/>
              <w:bottom w:val="single" w:sz="4" w:space="0" w:color="auto"/>
              <w:right w:val="nil"/>
            </w:tcBorders>
            <w:noWrap/>
            <w:vAlign w:val="center"/>
            <w:hideMark/>
          </w:tcPr>
          <w:p w14:paraId="003AC437" w14:textId="77777777" w:rsidR="00B03FD3" w:rsidRPr="00524A55" w:rsidRDefault="00B03FD3" w:rsidP="00171BC4">
            <w:pPr>
              <w:jc w:val="center"/>
              <w:rPr>
                <w:rFonts w:ascii="Times New Roman" w:hAnsi="Times New Roman" w:cs="Times New Roman"/>
                <w:i/>
              </w:rPr>
            </w:pPr>
            <w:r w:rsidRPr="00524A55">
              <w:rPr>
                <w:rFonts w:ascii="Times New Roman" w:hAnsi="Times New Roman" w:cs="Times New Roman"/>
                <w:i/>
              </w:rPr>
              <w:t>Reference</w:t>
            </w:r>
          </w:p>
        </w:tc>
        <w:tc>
          <w:tcPr>
            <w:tcW w:w="1170" w:type="dxa"/>
            <w:tcBorders>
              <w:top w:val="nil"/>
              <w:left w:val="nil"/>
              <w:bottom w:val="single" w:sz="4" w:space="0" w:color="auto"/>
              <w:right w:val="nil"/>
            </w:tcBorders>
            <w:noWrap/>
            <w:vAlign w:val="center"/>
            <w:hideMark/>
          </w:tcPr>
          <w:p w14:paraId="69861D70" w14:textId="77777777" w:rsidR="00B03FD3" w:rsidRPr="00524A55" w:rsidRDefault="00B03FD3" w:rsidP="00171BC4">
            <w:pPr>
              <w:jc w:val="center"/>
              <w:rPr>
                <w:rFonts w:ascii="Times New Roman" w:hAnsi="Times New Roman" w:cs="Times New Roman"/>
                <w:i/>
              </w:rPr>
            </w:pPr>
            <w:r w:rsidRPr="00524A55">
              <w:rPr>
                <w:rFonts w:ascii="Times New Roman" w:hAnsi="Times New Roman" w:cs="Times New Roman"/>
                <w:i/>
              </w:rPr>
              <w:t>Efficiency</w:t>
            </w:r>
          </w:p>
        </w:tc>
        <w:tc>
          <w:tcPr>
            <w:tcW w:w="1080" w:type="dxa"/>
            <w:tcBorders>
              <w:top w:val="nil"/>
              <w:left w:val="nil"/>
              <w:bottom w:val="single" w:sz="4" w:space="0" w:color="auto"/>
              <w:right w:val="nil"/>
            </w:tcBorders>
            <w:noWrap/>
            <w:vAlign w:val="center"/>
            <w:hideMark/>
          </w:tcPr>
          <w:p w14:paraId="59243904" w14:textId="77777777" w:rsidR="00B03FD3" w:rsidRPr="00524A55" w:rsidRDefault="00B03FD3" w:rsidP="00171BC4">
            <w:pPr>
              <w:jc w:val="center"/>
              <w:rPr>
                <w:rFonts w:ascii="Times New Roman" w:hAnsi="Times New Roman" w:cs="Times New Roman"/>
                <w:i/>
              </w:rPr>
            </w:pPr>
            <w:r w:rsidRPr="00524A55">
              <w:rPr>
                <w:rFonts w:ascii="Times New Roman" w:hAnsi="Times New Roman" w:cs="Times New Roman"/>
                <w:i/>
              </w:rPr>
              <w:t>Tech Costs</w:t>
            </w:r>
          </w:p>
        </w:tc>
        <w:tc>
          <w:tcPr>
            <w:tcW w:w="1260" w:type="dxa"/>
            <w:tcBorders>
              <w:top w:val="nil"/>
              <w:left w:val="nil"/>
              <w:bottom w:val="single" w:sz="4" w:space="0" w:color="auto"/>
              <w:right w:val="nil"/>
            </w:tcBorders>
            <w:noWrap/>
            <w:vAlign w:val="center"/>
            <w:hideMark/>
          </w:tcPr>
          <w:p w14:paraId="5DAC22D2" w14:textId="77777777" w:rsidR="00B03FD3" w:rsidRPr="00524A55" w:rsidRDefault="00B03FD3" w:rsidP="00171BC4">
            <w:pPr>
              <w:jc w:val="center"/>
              <w:rPr>
                <w:rFonts w:ascii="Times New Roman" w:hAnsi="Times New Roman" w:cs="Times New Roman"/>
                <w:i/>
              </w:rPr>
            </w:pPr>
            <w:r w:rsidRPr="00524A55">
              <w:rPr>
                <w:rFonts w:ascii="Times New Roman" w:hAnsi="Times New Roman" w:cs="Times New Roman"/>
                <w:i/>
              </w:rPr>
              <w:t>Fuel Projections</w:t>
            </w:r>
          </w:p>
        </w:tc>
        <w:tc>
          <w:tcPr>
            <w:tcW w:w="1260" w:type="dxa"/>
            <w:tcBorders>
              <w:top w:val="nil"/>
              <w:left w:val="nil"/>
              <w:bottom w:val="single" w:sz="4" w:space="0" w:color="auto"/>
              <w:right w:val="nil"/>
            </w:tcBorders>
            <w:noWrap/>
            <w:vAlign w:val="center"/>
            <w:hideMark/>
          </w:tcPr>
          <w:p w14:paraId="2FC0C05C" w14:textId="77777777" w:rsidR="00B03FD3" w:rsidRPr="00524A55" w:rsidRDefault="00B03FD3" w:rsidP="00171BC4">
            <w:pPr>
              <w:jc w:val="center"/>
              <w:rPr>
                <w:rFonts w:ascii="Times New Roman" w:hAnsi="Times New Roman" w:cs="Times New Roman"/>
                <w:i/>
              </w:rPr>
            </w:pPr>
            <w:r w:rsidRPr="00524A55">
              <w:rPr>
                <w:rFonts w:ascii="Times New Roman" w:hAnsi="Times New Roman" w:cs="Times New Roman"/>
                <w:i/>
              </w:rPr>
              <w:t>Carbon Price</w:t>
            </w:r>
          </w:p>
        </w:tc>
        <w:tc>
          <w:tcPr>
            <w:tcW w:w="1260" w:type="dxa"/>
            <w:tcBorders>
              <w:top w:val="nil"/>
              <w:left w:val="nil"/>
              <w:bottom w:val="single" w:sz="4" w:space="0" w:color="auto"/>
              <w:right w:val="nil"/>
            </w:tcBorders>
            <w:noWrap/>
            <w:vAlign w:val="center"/>
            <w:hideMark/>
          </w:tcPr>
          <w:p w14:paraId="10A05CBF" w14:textId="77777777" w:rsidR="00B03FD3" w:rsidRPr="00524A55" w:rsidRDefault="00B03FD3" w:rsidP="00171BC4">
            <w:pPr>
              <w:jc w:val="center"/>
              <w:rPr>
                <w:rFonts w:ascii="Times New Roman" w:hAnsi="Times New Roman" w:cs="Times New Roman"/>
                <w:i/>
              </w:rPr>
            </w:pPr>
            <w:r w:rsidRPr="00524A55">
              <w:rPr>
                <w:rFonts w:ascii="Times New Roman" w:hAnsi="Times New Roman" w:cs="Times New Roman"/>
                <w:i/>
              </w:rPr>
              <w:t>2040 Ice Ban</w:t>
            </w:r>
          </w:p>
        </w:tc>
        <w:tc>
          <w:tcPr>
            <w:tcW w:w="1350" w:type="dxa"/>
            <w:tcBorders>
              <w:top w:val="nil"/>
              <w:left w:val="nil"/>
              <w:bottom w:val="single" w:sz="4" w:space="0" w:color="auto"/>
              <w:right w:val="nil"/>
            </w:tcBorders>
            <w:noWrap/>
            <w:vAlign w:val="center"/>
            <w:hideMark/>
          </w:tcPr>
          <w:p w14:paraId="7312BE43" w14:textId="77777777" w:rsidR="00B03FD3" w:rsidRPr="00524A55" w:rsidRDefault="00B03FD3" w:rsidP="00171BC4">
            <w:pPr>
              <w:jc w:val="center"/>
              <w:rPr>
                <w:rFonts w:ascii="Times New Roman" w:hAnsi="Times New Roman" w:cs="Times New Roman"/>
                <w:i/>
              </w:rPr>
            </w:pPr>
            <w:r w:rsidRPr="00524A55">
              <w:rPr>
                <w:rFonts w:ascii="Times New Roman" w:hAnsi="Times New Roman" w:cs="Times New Roman"/>
                <w:i/>
              </w:rPr>
              <w:t>2030 Ice Ban</w:t>
            </w:r>
          </w:p>
        </w:tc>
      </w:tr>
      <w:tr w:rsidR="00B03FD3" w:rsidRPr="00524A55" w14:paraId="1FD65E08" w14:textId="77777777" w:rsidTr="00171BC4">
        <w:trPr>
          <w:trHeight w:val="300"/>
          <w:jc w:val="center"/>
        </w:trPr>
        <w:tc>
          <w:tcPr>
            <w:tcW w:w="720" w:type="dxa"/>
            <w:tcBorders>
              <w:top w:val="single" w:sz="4" w:space="0" w:color="auto"/>
              <w:left w:val="nil"/>
              <w:bottom w:val="nil"/>
              <w:right w:val="nil"/>
            </w:tcBorders>
            <w:noWrap/>
            <w:vAlign w:val="center"/>
            <w:hideMark/>
          </w:tcPr>
          <w:p w14:paraId="4C25426B"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rPr>
              <w:t>2020</w:t>
            </w:r>
          </w:p>
        </w:tc>
        <w:tc>
          <w:tcPr>
            <w:tcW w:w="1170" w:type="dxa"/>
            <w:tcBorders>
              <w:top w:val="single" w:sz="4" w:space="0" w:color="auto"/>
              <w:left w:val="nil"/>
              <w:bottom w:val="nil"/>
              <w:right w:val="nil"/>
            </w:tcBorders>
            <w:noWrap/>
            <w:vAlign w:val="center"/>
            <w:hideMark/>
          </w:tcPr>
          <w:p w14:paraId="4C71DC09"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0.1139</w:t>
            </w:r>
          </w:p>
        </w:tc>
        <w:tc>
          <w:tcPr>
            <w:tcW w:w="1170" w:type="dxa"/>
            <w:tcBorders>
              <w:top w:val="single" w:sz="4" w:space="0" w:color="auto"/>
              <w:left w:val="nil"/>
              <w:bottom w:val="nil"/>
              <w:right w:val="nil"/>
            </w:tcBorders>
            <w:noWrap/>
            <w:vAlign w:val="center"/>
            <w:hideMark/>
          </w:tcPr>
          <w:p w14:paraId="471324F4"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0.1139</w:t>
            </w:r>
          </w:p>
        </w:tc>
        <w:tc>
          <w:tcPr>
            <w:tcW w:w="1080" w:type="dxa"/>
            <w:tcBorders>
              <w:top w:val="single" w:sz="4" w:space="0" w:color="auto"/>
              <w:left w:val="nil"/>
              <w:bottom w:val="nil"/>
              <w:right w:val="nil"/>
            </w:tcBorders>
            <w:noWrap/>
            <w:vAlign w:val="center"/>
            <w:hideMark/>
          </w:tcPr>
          <w:p w14:paraId="447D7CC2"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0.1139</w:t>
            </w:r>
          </w:p>
        </w:tc>
        <w:tc>
          <w:tcPr>
            <w:tcW w:w="1260" w:type="dxa"/>
            <w:tcBorders>
              <w:top w:val="single" w:sz="4" w:space="0" w:color="auto"/>
              <w:left w:val="nil"/>
              <w:bottom w:val="nil"/>
              <w:right w:val="nil"/>
            </w:tcBorders>
            <w:noWrap/>
            <w:vAlign w:val="center"/>
            <w:hideMark/>
          </w:tcPr>
          <w:p w14:paraId="1D27E955"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0.1139</w:t>
            </w:r>
          </w:p>
        </w:tc>
        <w:tc>
          <w:tcPr>
            <w:tcW w:w="1260" w:type="dxa"/>
            <w:tcBorders>
              <w:top w:val="single" w:sz="4" w:space="0" w:color="auto"/>
              <w:left w:val="nil"/>
              <w:bottom w:val="nil"/>
              <w:right w:val="nil"/>
            </w:tcBorders>
            <w:noWrap/>
            <w:vAlign w:val="center"/>
            <w:hideMark/>
          </w:tcPr>
          <w:p w14:paraId="1F2F26F7"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0.1139</w:t>
            </w:r>
          </w:p>
        </w:tc>
        <w:tc>
          <w:tcPr>
            <w:tcW w:w="1260" w:type="dxa"/>
            <w:tcBorders>
              <w:top w:val="single" w:sz="4" w:space="0" w:color="auto"/>
              <w:left w:val="nil"/>
              <w:bottom w:val="nil"/>
              <w:right w:val="nil"/>
            </w:tcBorders>
            <w:noWrap/>
            <w:vAlign w:val="center"/>
            <w:hideMark/>
          </w:tcPr>
          <w:p w14:paraId="6EF69756"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0.1139</w:t>
            </w:r>
          </w:p>
        </w:tc>
        <w:tc>
          <w:tcPr>
            <w:tcW w:w="1350" w:type="dxa"/>
            <w:tcBorders>
              <w:top w:val="single" w:sz="4" w:space="0" w:color="auto"/>
              <w:left w:val="nil"/>
              <w:bottom w:val="nil"/>
              <w:right w:val="nil"/>
            </w:tcBorders>
            <w:noWrap/>
            <w:vAlign w:val="center"/>
            <w:hideMark/>
          </w:tcPr>
          <w:p w14:paraId="0518B4A2"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0.1139</w:t>
            </w:r>
          </w:p>
        </w:tc>
      </w:tr>
      <w:tr w:rsidR="00B03FD3" w:rsidRPr="00524A55" w14:paraId="71804A3D" w14:textId="77777777" w:rsidTr="00171BC4">
        <w:trPr>
          <w:trHeight w:val="300"/>
          <w:jc w:val="center"/>
        </w:trPr>
        <w:tc>
          <w:tcPr>
            <w:tcW w:w="720" w:type="dxa"/>
            <w:tcBorders>
              <w:top w:val="nil"/>
              <w:left w:val="nil"/>
              <w:bottom w:val="nil"/>
              <w:right w:val="nil"/>
            </w:tcBorders>
            <w:noWrap/>
            <w:vAlign w:val="center"/>
            <w:hideMark/>
          </w:tcPr>
          <w:p w14:paraId="7DE20EB4"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rPr>
              <w:t>2025</w:t>
            </w:r>
          </w:p>
        </w:tc>
        <w:tc>
          <w:tcPr>
            <w:tcW w:w="1170" w:type="dxa"/>
            <w:tcBorders>
              <w:top w:val="nil"/>
              <w:left w:val="nil"/>
              <w:bottom w:val="nil"/>
              <w:right w:val="nil"/>
            </w:tcBorders>
            <w:noWrap/>
            <w:vAlign w:val="center"/>
            <w:hideMark/>
          </w:tcPr>
          <w:p w14:paraId="645AF943"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0.0831</w:t>
            </w:r>
          </w:p>
        </w:tc>
        <w:tc>
          <w:tcPr>
            <w:tcW w:w="1170" w:type="dxa"/>
            <w:tcBorders>
              <w:top w:val="nil"/>
              <w:left w:val="nil"/>
              <w:bottom w:val="nil"/>
              <w:right w:val="nil"/>
            </w:tcBorders>
            <w:noWrap/>
            <w:vAlign w:val="center"/>
            <w:hideMark/>
          </w:tcPr>
          <w:p w14:paraId="11197282"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0.0831</w:t>
            </w:r>
          </w:p>
        </w:tc>
        <w:tc>
          <w:tcPr>
            <w:tcW w:w="1080" w:type="dxa"/>
            <w:tcBorders>
              <w:top w:val="nil"/>
              <w:left w:val="nil"/>
              <w:bottom w:val="nil"/>
              <w:right w:val="nil"/>
            </w:tcBorders>
            <w:noWrap/>
            <w:vAlign w:val="center"/>
            <w:hideMark/>
          </w:tcPr>
          <w:p w14:paraId="184A9FAC"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0.0831</w:t>
            </w:r>
          </w:p>
        </w:tc>
        <w:tc>
          <w:tcPr>
            <w:tcW w:w="1260" w:type="dxa"/>
            <w:tcBorders>
              <w:top w:val="nil"/>
              <w:left w:val="nil"/>
              <w:bottom w:val="nil"/>
              <w:right w:val="nil"/>
            </w:tcBorders>
            <w:noWrap/>
            <w:vAlign w:val="center"/>
            <w:hideMark/>
          </w:tcPr>
          <w:p w14:paraId="01DC570A"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0.0831</w:t>
            </w:r>
          </w:p>
        </w:tc>
        <w:tc>
          <w:tcPr>
            <w:tcW w:w="1260" w:type="dxa"/>
            <w:tcBorders>
              <w:top w:val="nil"/>
              <w:left w:val="nil"/>
              <w:bottom w:val="nil"/>
              <w:right w:val="nil"/>
            </w:tcBorders>
            <w:noWrap/>
            <w:vAlign w:val="center"/>
            <w:hideMark/>
          </w:tcPr>
          <w:p w14:paraId="7D03CE08"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0.0831</w:t>
            </w:r>
          </w:p>
        </w:tc>
        <w:tc>
          <w:tcPr>
            <w:tcW w:w="1260" w:type="dxa"/>
            <w:tcBorders>
              <w:top w:val="nil"/>
              <w:left w:val="nil"/>
              <w:bottom w:val="nil"/>
              <w:right w:val="nil"/>
            </w:tcBorders>
            <w:noWrap/>
            <w:vAlign w:val="center"/>
            <w:hideMark/>
          </w:tcPr>
          <w:p w14:paraId="1603F9FA"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0.0831</w:t>
            </w:r>
          </w:p>
        </w:tc>
        <w:tc>
          <w:tcPr>
            <w:tcW w:w="1350" w:type="dxa"/>
            <w:tcBorders>
              <w:top w:val="nil"/>
              <w:left w:val="nil"/>
              <w:bottom w:val="nil"/>
              <w:right w:val="nil"/>
            </w:tcBorders>
            <w:noWrap/>
            <w:vAlign w:val="center"/>
            <w:hideMark/>
          </w:tcPr>
          <w:p w14:paraId="3199B9F9"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0.0831</w:t>
            </w:r>
          </w:p>
        </w:tc>
      </w:tr>
      <w:tr w:rsidR="00B03FD3" w:rsidRPr="00524A55" w14:paraId="3E723831" w14:textId="77777777" w:rsidTr="00171BC4">
        <w:trPr>
          <w:trHeight w:val="300"/>
          <w:jc w:val="center"/>
        </w:trPr>
        <w:tc>
          <w:tcPr>
            <w:tcW w:w="720" w:type="dxa"/>
            <w:tcBorders>
              <w:top w:val="nil"/>
              <w:left w:val="nil"/>
              <w:bottom w:val="nil"/>
              <w:right w:val="nil"/>
            </w:tcBorders>
            <w:noWrap/>
            <w:vAlign w:val="center"/>
            <w:hideMark/>
          </w:tcPr>
          <w:p w14:paraId="61ACFC9F"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rPr>
              <w:t>2030</w:t>
            </w:r>
          </w:p>
        </w:tc>
        <w:tc>
          <w:tcPr>
            <w:tcW w:w="1170" w:type="dxa"/>
            <w:tcBorders>
              <w:top w:val="nil"/>
              <w:left w:val="nil"/>
              <w:bottom w:val="nil"/>
              <w:right w:val="nil"/>
            </w:tcBorders>
            <w:noWrap/>
            <w:vAlign w:val="center"/>
            <w:hideMark/>
          </w:tcPr>
          <w:p w14:paraId="44644058"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0.0540</w:t>
            </w:r>
          </w:p>
        </w:tc>
        <w:tc>
          <w:tcPr>
            <w:tcW w:w="1170" w:type="dxa"/>
            <w:tcBorders>
              <w:top w:val="nil"/>
              <w:left w:val="nil"/>
              <w:bottom w:val="nil"/>
              <w:right w:val="nil"/>
            </w:tcBorders>
            <w:noWrap/>
            <w:vAlign w:val="center"/>
            <w:hideMark/>
          </w:tcPr>
          <w:p w14:paraId="55054EFA"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0.0540</w:t>
            </w:r>
          </w:p>
        </w:tc>
        <w:tc>
          <w:tcPr>
            <w:tcW w:w="1080" w:type="dxa"/>
            <w:tcBorders>
              <w:top w:val="nil"/>
              <w:left w:val="nil"/>
              <w:bottom w:val="nil"/>
              <w:right w:val="nil"/>
            </w:tcBorders>
            <w:noWrap/>
            <w:vAlign w:val="center"/>
            <w:hideMark/>
          </w:tcPr>
          <w:p w14:paraId="47B3B2F3"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3.1834</w:t>
            </w:r>
          </w:p>
        </w:tc>
        <w:tc>
          <w:tcPr>
            <w:tcW w:w="1260" w:type="dxa"/>
            <w:tcBorders>
              <w:top w:val="nil"/>
              <w:left w:val="nil"/>
              <w:bottom w:val="nil"/>
              <w:right w:val="nil"/>
            </w:tcBorders>
            <w:noWrap/>
            <w:vAlign w:val="center"/>
            <w:hideMark/>
          </w:tcPr>
          <w:p w14:paraId="53E4DDDB"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3.1834</w:t>
            </w:r>
          </w:p>
        </w:tc>
        <w:tc>
          <w:tcPr>
            <w:tcW w:w="1260" w:type="dxa"/>
            <w:tcBorders>
              <w:top w:val="nil"/>
              <w:left w:val="nil"/>
              <w:bottom w:val="nil"/>
              <w:right w:val="nil"/>
            </w:tcBorders>
            <w:noWrap/>
            <w:vAlign w:val="center"/>
            <w:hideMark/>
          </w:tcPr>
          <w:p w14:paraId="0E2002A3"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3.1834</w:t>
            </w:r>
          </w:p>
        </w:tc>
        <w:tc>
          <w:tcPr>
            <w:tcW w:w="1260" w:type="dxa"/>
            <w:tcBorders>
              <w:top w:val="nil"/>
              <w:left w:val="nil"/>
              <w:bottom w:val="nil"/>
              <w:right w:val="nil"/>
            </w:tcBorders>
            <w:noWrap/>
            <w:vAlign w:val="center"/>
            <w:hideMark/>
          </w:tcPr>
          <w:p w14:paraId="7D11E627"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3.1834</w:t>
            </w:r>
          </w:p>
        </w:tc>
        <w:tc>
          <w:tcPr>
            <w:tcW w:w="1350" w:type="dxa"/>
            <w:tcBorders>
              <w:top w:val="nil"/>
              <w:left w:val="nil"/>
              <w:bottom w:val="nil"/>
              <w:right w:val="nil"/>
            </w:tcBorders>
            <w:noWrap/>
            <w:vAlign w:val="center"/>
            <w:hideMark/>
          </w:tcPr>
          <w:p w14:paraId="32B75630"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3.1834</w:t>
            </w:r>
          </w:p>
        </w:tc>
      </w:tr>
      <w:tr w:rsidR="00B03FD3" w:rsidRPr="00524A55" w14:paraId="703F91D7" w14:textId="77777777" w:rsidTr="00171BC4">
        <w:trPr>
          <w:trHeight w:val="300"/>
          <w:jc w:val="center"/>
        </w:trPr>
        <w:tc>
          <w:tcPr>
            <w:tcW w:w="720" w:type="dxa"/>
            <w:tcBorders>
              <w:top w:val="nil"/>
              <w:left w:val="nil"/>
              <w:bottom w:val="nil"/>
              <w:right w:val="nil"/>
            </w:tcBorders>
            <w:noWrap/>
            <w:vAlign w:val="center"/>
            <w:hideMark/>
          </w:tcPr>
          <w:p w14:paraId="3EE297F4"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rPr>
              <w:t>2035</w:t>
            </w:r>
          </w:p>
        </w:tc>
        <w:tc>
          <w:tcPr>
            <w:tcW w:w="1170" w:type="dxa"/>
            <w:tcBorders>
              <w:top w:val="nil"/>
              <w:left w:val="nil"/>
              <w:bottom w:val="nil"/>
              <w:right w:val="nil"/>
            </w:tcBorders>
            <w:noWrap/>
            <w:vAlign w:val="center"/>
            <w:hideMark/>
          </w:tcPr>
          <w:p w14:paraId="15EC318D"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0</w:t>
            </w:r>
          </w:p>
        </w:tc>
        <w:tc>
          <w:tcPr>
            <w:tcW w:w="1170" w:type="dxa"/>
            <w:tcBorders>
              <w:top w:val="nil"/>
              <w:left w:val="nil"/>
              <w:bottom w:val="nil"/>
              <w:right w:val="nil"/>
            </w:tcBorders>
            <w:noWrap/>
            <w:vAlign w:val="center"/>
            <w:hideMark/>
          </w:tcPr>
          <w:p w14:paraId="2135B3C2"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0</w:t>
            </w:r>
          </w:p>
        </w:tc>
        <w:tc>
          <w:tcPr>
            <w:tcW w:w="1080" w:type="dxa"/>
            <w:tcBorders>
              <w:top w:val="nil"/>
              <w:left w:val="nil"/>
              <w:bottom w:val="nil"/>
              <w:right w:val="nil"/>
            </w:tcBorders>
            <w:noWrap/>
            <w:vAlign w:val="center"/>
            <w:hideMark/>
          </w:tcPr>
          <w:p w14:paraId="243DE289"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14.8623</w:t>
            </w:r>
          </w:p>
        </w:tc>
        <w:tc>
          <w:tcPr>
            <w:tcW w:w="1260" w:type="dxa"/>
            <w:tcBorders>
              <w:top w:val="nil"/>
              <w:left w:val="nil"/>
              <w:bottom w:val="nil"/>
              <w:right w:val="nil"/>
            </w:tcBorders>
            <w:noWrap/>
            <w:vAlign w:val="center"/>
            <w:hideMark/>
          </w:tcPr>
          <w:p w14:paraId="75285910"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14.8623</w:t>
            </w:r>
          </w:p>
        </w:tc>
        <w:tc>
          <w:tcPr>
            <w:tcW w:w="1260" w:type="dxa"/>
            <w:tcBorders>
              <w:top w:val="nil"/>
              <w:left w:val="nil"/>
              <w:bottom w:val="nil"/>
              <w:right w:val="nil"/>
            </w:tcBorders>
            <w:noWrap/>
            <w:vAlign w:val="center"/>
            <w:hideMark/>
          </w:tcPr>
          <w:p w14:paraId="27EDBCF7"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14.8623</w:t>
            </w:r>
          </w:p>
        </w:tc>
        <w:tc>
          <w:tcPr>
            <w:tcW w:w="1260" w:type="dxa"/>
            <w:tcBorders>
              <w:top w:val="nil"/>
              <w:left w:val="nil"/>
              <w:bottom w:val="nil"/>
              <w:right w:val="nil"/>
            </w:tcBorders>
            <w:noWrap/>
            <w:vAlign w:val="center"/>
            <w:hideMark/>
          </w:tcPr>
          <w:p w14:paraId="667716D6"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14.8623</w:t>
            </w:r>
          </w:p>
        </w:tc>
        <w:tc>
          <w:tcPr>
            <w:tcW w:w="1350" w:type="dxa"/>
            <w:tcBorders>
              <w:top w:val="nil"/>
              <w:left w:val="nil"/>
              <w:bottom w:val="nil"/>
              <w:right w:val="nil"/>
            </w:tcBorders>
            <w:noWrap/>
            <w:vAlign w:val="center"/>
            <w:hideMark/>
          </w:tcPr>
          <w:p w14:paraId="01B3F80C"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19.5715</w:t>
            </w:r>
          </w:p>
        </w:tc>
      </w:tr>
      <w:tr w:rsidR="00B03FD3" w:rsidRPr="00524A55" w14:paraId="6630AE73" w14:textId="77777777" w:rsidTr="00171BC4">
        <w:trPr>
          <w:trHeight w:val="300"/>
          <w:jc w:val="center"/>
        </w:trPr>
        <w:tc>
          <w:tcPr>
            <w:tcW w:w="720" w:type="dxa"/>
            <w:tcBorders>
              <w:top w:val="nil"/>
              <w:left w:val="nil"/>
              <w:bottom w:val="nil"/>
              <w:right w:val="nil"/>
            </w:tcBorders>
            <w:noWrap/>
            <w:vAlign w:val="center"/>
            <w:hideMark/>
          </w:tcPr>
          <w:p w14:paraId="51CAC8C3"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rPr>
              <w:t>2040</w:t>
            </w:r>
          </w:p>
        </w:tc>
        <w:tc>
          <w:tcPr>
            <w:tcW w:w="1170" w:type="dxa"/>
            <w:tcBorders>
              <w:top w:val="nil"/>
              <w:left w:val="nil"/>
              <w:bottom w:val="nil"/>
              <w:right w:val="nil"/>
            </w:tcBorders>
            <w:noWrap/>
            <w:vAlign w:val="center"/>
            <w:hideMark/>
          </w:tcPr>
          <w:p w14:paraId="6B84C1B8"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0</w:t>
            </w:r>
          </w:p>
        </w:tc>
        <w:tc>
          <w:tcPr>
            <w:tcW w:w="1170" w:type="dxa"/>
            <w:tcBorders>
              <w:top w:val="nil"/>
              <w:left w:val="nil"/>
              <w:bottom w:val="nil"/>
              <w:right w:val="nil"/>
            </w:tcBorders>
            <w:noWrap/>
            <w:vAlign w:val="center"/>
            <w:hideMark/>
          </w:tcPr>
          <w:p w14:paraId="5F08AAB9"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0</w:t>
            </w:r>
          </w:p>
        </w:tc>
        <w:tc>
          <w:tcPr>
            <w:tcW w:w="1080" w:type="dxa"/>
            <w:tcBorders>
              <w:top w:val="nil"/>
              <w:left w:val="nil"/>
              <w:bottom w:val="nil"/>
              <w:right w:val="nil"/>
            </w:tcBorders>
            <w:noWrap/>
            <w:vAlign w:val="center"/>
            <w:hideMark/>
          </w:tcPr>
          <w:p w14:paraId="6A8A7736"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44.2824</w:t>
            </w:r>
          </w:p>
        </w:tc>
        <w:tc>
          <w:tcPr>
            <w:tcW w:w="1260" w:type="dxa"/>
            <w:tcBorders>
              <w:top w:val="nil"/>
              <w:left w:val="nil"/>
              <w:bottom w:val="nil"/>
              <w:right w:val="nil"/>
            </w:tcBorders>
            <w:noWrap/>
            <w:vAlign w:val="center"/>
            <w:hideMark/>
          </w:tcPr>
          <w:p w14:paraId="5D0C440F"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44.2824</w:t>
            </w:r>
          </w:p>
        </w:tc>
        <w:tc>
          <w:tcPr>
            <w:tcW w:w="1260" w:type="dxa"/>
            <w:tcBorders>
              <w:top w:val="nil"/>
              <w:left w:val="nil"/>
              <w:bottom w:val="nil"/>
              <w:right w:val="nil"/>
            </w:tcBorders>
            <w:noWrap/>
            <w:vAlign w:val="center"/>
            <w:hideMark/>
          </w:tcPr>
          <w:p w14:paraId="3A9BCD70"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44.2824</w:t>
            </w:r>
          </w:p>
        </w:tc>
        <w:tc>
          <w:tcPr>
            <w:tcW w:w="1260" w:type="dxa"/>
            <w:tcBorders>
              <w:top w:val="nil"/>
              <w:left w:val="nil"/>
              <w:bottom w:val="nil"/>
              <w:right w:val="nil"/>
            </w:tcBorders>
            <w:noWrap/>
            <w:vAlign w:val="center"/>
            <w:hideMark/>
          </w:tcPr>
          <w:p w14:paraId="0625214D"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44.2824</w:t>
            </w:r>
          </w:p>
        </w:tc>
        <w:tc>
          <w:tcPr>
            <w:tcW w:w="1350" w:type="dxa"/>
            <w:tcBorders>
              <w:top w:val="nil"/>
              <w:left w:val="nil"/>
              <w:bottom w:val="nil"/>
              <w:right w:val="nil"/>
            </w:tcBorders>
            <w:noWrap/>
            <w:vAlign w:val="center"/>
            <w:hideMark/>
          </w:tcPr>
          <w:p w14:paraId="597B31C1"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48.9916</w:t>
            </w:r>
          </w:p>
        </w:tc>
      </w:tr>
      <w:tr w:rsidR="00B03FD3" w:rsidRPr="00524A55" w14:paraId="77135B32" w14:textId="77777777" w:rsidTr="00171BC4">
        <w:trPr>
          <w:trHeight w:val="300"/>
          <w:jc w:val="center"/>
        </w:trPr>
        <w:tc>
          <w:tcPr>
            <w:tcW w:w="720" w:type="dxa"/>
            <w:tcBorders>
              <w:top w:val="nil"/>
              <w:left w:val="nil"/>
              <w:bottom w:val="nil"/>
              <w:right w:val="nil"/>
            </w:tcBorders>
            <w:noWrap/>
            <w:vAlign w:val="center"/>
            <w:hideMark/>
          </w:tcPr>
          <w:p w14:paraId="74A15CD9"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rPr>
              <w:t>2045</w:t>
            </w:r>
          </w:p>
        </w:tc>
        <w:tc>
          <w:tcPr>
            <w:tcW w:w="1170" w:type="dxa"/>
            <w:tcBorders>
              <w:top w:val="nil"/>
              <w:left w:val="nil"/>
              <w:bottom w:val="nil"/>
              <w:right w:val="nil"/>
            </w:tcBorders>
            <w:noWrap/>
            <w:vAlign w:val="center"/>
            <w:hideMark/>
          </w:tcPr>
          <w:p w14:paraId="6D73E053"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0</w:t>
            </w:r>
          </w:p>
        </w:tc>
        <w:tc>
          <w:tcPr>
            <w:tcW w:w="1170" w:type="dxa"/>
            <w:tcBorders>
              <w:top w:val="nil"/>
              <w:left w:val="nil"/>
              <w:bottom w:val="nil"/>
              <w:right w:val="nil"/>
            </w:tcBorders>
            <w:noWrap/>
            <w:vAlign w:val="center"/>
            <w:hideMark/>
          </w:tcPr>
          <w:p w14:paraId="1171B4C9"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0</w:t>
            </w:r>
          </w:p>
        </w:tc>
        <w:tc>
          <w:tcPr>
            <w:tcW w:w="1080" w:type="dxa"/>
            <w:tcBorders>
              <w:top w:val="nil"/>
              <w:left w:val="nil"/>
              <w:bottom w:val="nil"/>
              <w:right w:val="nil"/>
            </w:tcBorders>
            <w:noWrap/>
            <w:vAlign w:val="center"/>
            <w:hideMark/>
          </w:tcPr>
          <w:p w14:paraId="52313466"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46.7265</w:t>
            </w:r>
          </w:p>
        </w:tc>
        <w:tc>
          <w:tcPr>
            <w:tcW w:w="1260" w:type="dxa"/>
            <w:tcBorders>
              <w:top w:val="nil"/>
              <w:left w:val="nil"/>
              <w:bottom w:val="nil"/>
              <w:right w:val="nil"/>
            </w:tcBorders>
            <w:noWrap/>
            <w:vAlign w:val="center"/>
            <w:hideMark/>
          </w:tcPr>
          <w:p w14:paraId="44B3FB6E"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46.7265</w:t>
            </w:r>
          </w:p>
        </w:tc>
        <w:tc>
          <w:tcPr>
            <w:tcW w:w="1260" w:type="dxa"/>
            <w:tcBorders>
              <w:top w:val="nil"/>
              <w:left w:val="nil"/>
              <w:bottom w:val="nil"/>
              <w:right w:val="nil"/>
            </w:tcBorders>
            <w:noWrap/>
            <w:vAlign w:val="center"/>
            <w:hideMark/>
          </w:tcPr>
          <w:p w14:paraId="47C184A6"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46.7265</w:t>
            </w:r>
          </w:p>
        </w:tc>
        <w:tc>
          <w:tcPr>
            <w:tcW w:w="1260" w:type="dxa"/>
            <w:tcBorders>
              <w:top w:val="nil"/>
              <w:left w:val="nil"/>
              <w:bottom w:val="nil"/>
              <w:right w:val="nil"/>
            </w:tcBorders>
            <w:noWrap/>
            <w:vAlign w:val="center"/>
            <w:hideMark/>
          </w:tcPr>
          <w:p w14:paraId="660ABE67"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46.7265</w:t>
            </w:r>
          </w:p>
        </w:tc>
        <w:tc>
          <w:tcPr>
            <w:tcW w:w="1350" w:type="dxa"/>
            <w:tcBorders>
              <w:top w:val="nil"/>
              <w:left w:val="nil"/>
              <w:bottom w:val="nil"/>
              <w:right w:val="nil"/>
            </w:tcBorders>
            <w:noWrap/>
            <w:vAlign w:val="center"/>
            <w:hideMark/>
          </w:tcPr>
          <w:p w14:paraId="4537570D"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51.4357</w:t>
            </w:r>
          </w:p>
        </w:tc>
      </w:tr>
      <w:tr w:rsidR="00B03FD3" w:rsidRPr="00524A55" w14:paraId="35AA4878" w14:textId="77777777" w:rsidTr="00171BC4">
        <w:trPr>
          <w:trHeight w:val="300"/>
          <w:jc w:val="center"/>
        </w:trPr>
        <w:tc>
          <w:tcPr>
            <w:tcW w:w="720" w:type="dxa"/>
            <w:tcBorders>
              <w:top w:val="nil"/>
              <w:left w:val="nil"/>
              <w:bottom w:val="single" w:sz="4" w:space="0" w:color="auto"/>
              <w:right w:val="nil"/>
            </w:tcBorders>
            <w:noWrap/>
            <w:vAlign w:val="center"/>
            <w:hideMark/>
          </w:tcPr>
          <w:p w14:paraId="3C9E8653"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rPr>
              <w:t>2050</w:t>
            </w:r>
          </w:p>
        </w:tc>
        <w:tc>
          <w:tcPr>
            <w:tcW w:w="1170" w:type="dxa"/>
            <w:tcBorders>
              <w:top w:val="nil"/>
              <w:left w:val="nil"/>
              <w:bottom w:val="single" w:sz="4" w:space="0" w:color="auto"/>
              <w:right w:val="nil"/>
            </w:tcBorders>
            <w:noWrap/>
            <w:vAlign w:val="center"/>
            <w:hideMark/>
          </w:tcPr>
          <w:p w14:paraId="2893ED0E"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0</w:t>
            </w:r>
          </w:p>
        </w:tc>
        <w:tc>
          <w:tcPr>
            <w:tcW w:w="1170" w:type="dxa"/>
            <w:tcBorders>
              <w:top w:val="nil"/>
              <w:left w:val="nil"/>
              <w:bottom w:val="single" w:sz="4" w:space="0" w:color="auto"/>
              <w:right w:val="nil"/>
            </w:tcBorders>
            <w:noWrap/>
            <w:vAlign w:val="center"/>
            <w:hideMark/>
          </w:tcPr>
          <w:p w14:paraId="4DF9EFD4"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0</w:t>
            </w:r>
          </w:p>
        </w:tc>
        <w:tc>
          <w:tcPr>
            <w:tcW w:w="1080" w:type="dxa"/>
            <w:tcBorders>
              <w:top w:val="nil"/>
              <w:left w:val="nil"/>
              <w:bottom w:val="single" w:sz="4" w:space="0" w:color="auto"/>
              <w:right w:val="nil"/>
            </w:tcBorders>
            <w:noWrap/>
            <w:vAlign w:val="center"/>
            <w:hideMark/>
          </w:tcPr>
          <w:p w14:paraId="08726545"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45.2621</w:t>
            </w:r>
          </w:p>
        </w:tc>
        <w:tc>
          <w:tcPr>
            <w:tcW w:w="1260" w:type="dxa"/>
            <w:tcBorders>
              <w:top w:val="nil"/>
              <w:left w:val="nil"/>
              <w:bottom w:val="single" w:sz="4" w:space="0" w:color="auto"/>
              <w:right w:val="nil"/>
            </w:tcBorders>
            <w:noWrap/>
            <w:vAlign w:val="center"/>
            <w:hideMark/>
          </w:tcPr>
          <w:p w14:paraId="27A3C5F6"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45.2621</w:t>
            </w:r>
          </w:p>
        </w:tc>
        <w:tc>
          <w:tcPr>
            <w:tcW w:w="1260" w:type="dxa"/>
            <w:tcBorders>
              <w:top w:val="nil"/>
              <w:left w:val="nil"/>
              <w:bottom w:val="single" w:sz="4" w:space="0" w:color="auto"/>
              <w:right w:val="nil"/>
            </w:tcBorders>
            <w:noWrap/>
            <w:vAlign w:val="center"/>
            <w:hideMark/>
          </w:tcPr>
          <w:p w14:paraId="50EE2331"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45.2621</w:t>
            </w:r>
          </w:p>
        </w:tc>
        <w:tc>
          <w:tcPr>
            <w:tcW w:w="1260" w:type="dxa"/>
            <w:tcBorders>
              <w:top w:val="nil"/>
              <w:left w:val="nil"/>
              <w:bottom w:val="single" w:sz="4" w:space="0" w:color="auto"/>
              <w:right w:val="nil"/>
            </w:tcBorders>
            <w:noWrap/>
            <w:vAlign w:val="center"/>
            <w:hideMark/>
          </w:tcPr>
          <w:p w14:paraId="5AC8EAD0"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45.2621</w:t>
            </w:r>
          </w:p>
        </w:tc>
        <w:tc>
          <w:tcPr>
            <w:tcW w:w="1350" w:type="dxa"/>
            <w:tcBorders>
              <w:top w:val="nil"/>
              <w:left w:val="nil"/>
              <w:bottom w:val="single" w:sz="4" w:space="0" w:color="auto"/>
              <w:right w:val="nil"/>
            </w:tcBorders>
            <w:noWrap/>
            <w:vAlign w:val="center"/>
            <w:hideMark/>
          </w:tcPr>
          <w:p w14:paraId="68E5097F" w14:textId="77777777" w:rsidR="00B03FD3" w:rsidRPr="00524A55" w:rsidRDefault="00B03FD3" w:rsidP="00171BC4">
            <w:pPr>
              <w:jc w:val="center"/>
              <w:rPr>
                <w:rFonts w:ascii="Times New Roman" w:hAnsi="Times New Roman" w:cs="Times New Roman"/>
              </w:rPr>
            </w:pPr>
            <w:r w:rsidRPr="00524A55">
              <w:rPr>
                <w:rFonts w:ascii="Times New Roman" w:hAnsi="Times New Roman" w:cs="Times New Roman"/>
                <w:color w:val="000000"/>
              </w:rPr>
              <w:t>45.2621</w:t>
            </w:r>
          </w:p>
        </w:tc>
      </w:tr>
    </w:tbl>
    <w:p w14:paraId="60AAFCAF" w14:textId="77777777" w:rsidR="00B03FD3" w:rsidRPr="00524A55" w:rsidRDefault="00B03FD3" w:rsidP="00B03FD3">
      <w:pPr>
        <w:rPr>
          <w:rFonts w:ascii="Times New Roman" w:hAnsi="Times New Roman" w:cs="Times New Roman"/>
          <w:lang w:val="en-GB"/>
        </w:rPr>
      </w:pPr>
    </w:p>
    <w:p w14:paraId="2343A262" w14:textId="2813FFA0" w:rsidR="00E5561E" w:rsidRDefault="00E5561E">
      <w:pPr>
        <w:rPr>
          <w:rFonts w:ascii="Times New Roman" w:hAnsi="Times New Roman" w:cs="Times New Roman"/>
        </w:rPr>
      </w:pPr>
    </w:p>
    <w:p w14:paraId="2EC39C7C" w14:textId="77777777" w:rsidR="00E5561E" w:rsidRPr="00960D42" w:rsidRDefault="00E5561E" w:rsidP="00E5561E">
      <w:pPr>
        <w:pStyle w:val="Heading1"/>
        <w:numPr>
          <w:ilvl w:val="0"/>
          <w:numId w:val="0"/>
        </w:numPr>
        <w:spacing w:after="240" w:line="360" w:lineRule="auto"/>
        <w:ind w:left="432" w:hanging="432"/>
        <w:rPr>
          <w:rFonts w:cs="Times New Roman"/>
          <w:sz w:val="22"/>
          <w:szCs w:val="22"/>
          <w:lang w:val="pt-PT"/>
        </w:rPr>
      </w:pPr>
      <w:r w:rsidRPr="00960D42">
        <w:rPr>
          <w:rFonts w:cs="Times New Roman"/>
          <w:sz w:val="22"/>
          <w:szCs w:val="22"/>
          <w:lang w:val="pt-PT"/>
        </w:rPr>
        <w:t>References</w:t>
      </w:r>
    </w:p>
    <w:p w14:paraId="55CFF87A" w14:textId="7FD56666" w:rsidR="002C04B3" w:rsidRPr="002C04B3" w:rsidRDefault="00BB112A" w:rsidP="002C04B3">
      <w:pPr>
        <w:widowControl w:val="0"/>
        <w:autoSpaceDE w:val="0"/>
        <w:autoSpaceDN w:val="0"/>
        <w:adjustRightInd w:val="0"/>
        <w:spacing w:line="240" w:lineRule="auto"/>
        <w:ind w:left="640" w:hanging="640"/>
        <w:rPr>
          <w:rFonts w:ascii="Times New Roman" w:hAnsi="Times New Roman" w:cs="Times New Roman"/>
          <w:noProof/>
          <w:szCs w:val="24"/>
        </w:rPr>
      </w:pPr>
      <w:r>
        <w:rPr>
          <w:rFonts w:ascii="Times New Roman" w:hAnsi="Times New Roman" w:cs="Times New Roman"/>
        </w:rPr>
        <w:fldChar w:fldCharType="begin" w:fldLock="1"/>
      </w:r>
      <w:r>
        <w:rPr>
          <w:rFonts w:ascii="Times New Roman" w:hAnsi="Times New Roman" w:cs="Times New Roman"/>
        </w:rPr>
        <w:instrText xml:space="preserve">ADDIN Mendeley Bibliography CSL_BIBLIOGRAPHY </w:instrText>
      </w:r>
      <w:r>
        <w:rPr>
          <w:rFonts w:ascii="Times New Roman" w:hAnsi="Times New Roman" w:cs="Times New Roman"/>
        </w:rPr>
        <w:fldChar w:fldCharType="separate"/>
      </w:r>
      <w:r w:rsidR="002C04B3" w:rsidRPr="002C04B3">
        <w:rPr>
          <w:rFonts w:ascii="Times New Roman" w:hAnsi="Times New Roman" w:cs="Times New Roman"/>
          <w:noProof/>
          <w:szCs w:val="24"/>
        </w:rPr>
        <w:t>[1]</w:t>
      </w:r>
      <w:r w:rsidR="002C04B3" w:rsidRPr="002C04B3">
        <w:rPr>
          <w:rFonts w:ascii="Times New Roman" w:hAnsi="Times New Roman" w:cs="Times New Roman"/>
          <w:noProof/>
          <w:szCs w:val="24"/>
        </w:rPr>
        <w:tab/>
        <w:t>Ministero delle infrasttrutture e della mobilità sostenibili, “Tabelle recanti i valori orientativi dei costi di esercizio,” 2022.</w:t>
      </w:r>
    </w:p>
    <w:p w14:paraId="267C3A29" w14:textId="77777777" w:rsidR="002C04B3" w:rsidRPr="002C04B3" w:rsidRDefault="002C04B3" w:rsidP="002C04B3">
      <w:pPr>
        <w:widowControl w:val="0"/>
        <w:autoSpaceDE w:val="0"/>
        <w:autoSpaceDN w:val="0"/>
        <w:adjustRightInd w:val="0"/>
        <w:spacing w:line="240" w:lineRule="auto"/>
        <w:ind w:left="640" w:hanging="640"/>
        <w:rPr>
          <w:rFonts w:ascii="Times New Roman" w:hAnsi="Times New Roman" w:cs="Times New Roman"/>
          <w:noProof/>
          <w:szCs w:val="24"/>
        </w:rPr>
      </w:pPr>
      <w:r w:rsidRPr="002C04B3">
        <w:rPr>
          <w:rFonts w:ascii="Times New Roman" w:hAnsi="Times New Roman" w:cs="Times New Roman"/>
          <w:noProof/>
          <w:szCs w:val="24"/>
        </w:rPr>
        <w:t>[2]</w:t>
      </w:r>
      <w:r w:rsidRPr="002C04B3">
        <w:rPr>
          <w:rFonts w:ascii="Times New Roman" w:hAnsi="Times New Roman" w:cs="Times New Roman"/>
          <w:noProof/>
          <w:szCs w:val="24"/>
        </w:rPr>
        <w:tab/>
        <w:t xml:space="preserve">S. Giarola </w:t>
      </w:r>
      <w:r w:rsidRPr="002C04B3">
        <w:rPr>
          <w:rFonts w:ascii="Times New Roman" w:hAnsi="Times New Roman" w:cs="Times New Roman"/>
          <w:i/>
          <w:iCs/>
          <w:noProof/>
          <w:szCs w:val="24"/>
        </w:rPr>
        <w:t>et al.</w:t>
      </w:r>
      <w:r w:rsidRPr="002C04B3">
        <w:rPr>
          <w:rFonts w:ascii="Times New Roman" w:hAnsi="Times New Roman" w:cs="Times New Roman"/>
          <w:noProof/>
          <w:szCs w:val="24"/>
        </w:rPr>
        <w:t xml:space="preserve">, “Challenges in the harmonisation of global integrated assessment models: A comprehensive methodology to reduce model response heterogeneity,” </w:t>
      </w:r>
      <w:r w:rsidRPr="002C04B3">
        <w:rPr>
          <w:rFonts w:ascii="Times New Roman" w:hAnsi="Times New Roman" w:cs="Times New Roman"/>
          <w:i/>
          <w:iCs/>
          <w:noProof/>
          <w:szCs w:val="24"/>
        </w:rPr>
        <w:t>Sci. Total Environ.</w:t>
      </w:r>
      <w:r w:rsidRPr="002C04B3">
        <w:rPr>
          <w:rFonts w:ascii="Times New Roman" w:hAnsi="Times New Roman" w:cs="Times New Roman"/>
          <w:noProof/>
          <w:szCs w:val="24"/>
        </w:rPr>
        <w:t>, vol. 783, 2021, doi: 10.1016/j.scitotenv.2021.146861.</w:t>
      </w:r>
    </w:p>
    <w:p w14:paraId="06D00892" w14:textId="77777777" w:rsidR="002C04B3" w:rsidRPr="002C04B3" w:rsidRDefault="002C04B3" w:rsidP="002C04B3">
      <w:pPr>
        <w:widowControl w:val="0"/>
        <w:autoSpaceDE w:val="0"/>
        <w:autoSpaceDN w:val="0"/>
        <w:adjustRightInd w:val="0"/>
        <w:spacing w:line="240" w:lineRule="auto"/>
        <w:ind w:left="640" w:hanging="640"/>
        <w:rPr>
          <w:rFonts w:ascii="Times New Roman" w:hAnsi="Times New Roman" w:cs="Times New Roman"/>
          <w:noProof/>
          <w:szCs w:val="24"/>
        </w:rPr>
      </w:pPr>
      <w:r w:rsidRPr="002C04B3">
        <w:rPr>
          <w:rFonts w:ascii="Times New Roman" w:hAnsi="Times New Roman" w:cs="Times New Roman"/>
          <w:noProof/>
          <w:szCs w:val="24"/>
        </w:rPr>
        <w:t>[3]</w:t>
      </w:r>
      <w:r w:rsidRPr="002C04B3">
        <w:rPr>
          <w:rFonts w:ascii="Times New Roman" w:hAnsi="Times New Roman" w:cs="Times New Roman"/>
          <w:noProof/>
          <w:szCs w:val="24"/>
        </w:rPr>
        <w:tab/>
        <w:t>M. of the E. and P. of N. R. and the S. and M. of I. and T. Ministry of Economic Development, “INTEGRATED NATIONAL ENERGY AND CLIMATE PLAN,” no. December, 2019.</w:t>
      </w:r>
    </w:p>
    <w:p w14:paraId="666BDE70" w14:textId="3CB75D93" w:rsidR="00BB112A" w:rsidRPr="00524A55" w:rsidRDefault="002C04B3" w:rsidP="00CB6A15">
      <w:pPr>
        <w:widowControl w:val="0"/>
        <w:autoSpaceDE w:val="0"/>
        <w:autoSpaceDN w:val="0"/>
        <w:adjustRightInd w:val="0"/>
        <w:spacing w:line="240" w:lineRule="auto"/>
        <w:ind w:left="640" w:hanging="640"/>
        <w:rPr>
          <w:rFonts w:ascii="Times New Roman" w:hAnsi="Times New Roman" w:cs="Times New Roman"/>
        </w:rPr>
      </w:pPr>
      <w:r w:rsidRPr="002C04B3">
        <w:rPr>
          <w:rFonts w:ascii="Times New Roman" w:hAnsi="Times New Roman" w:cs="Times New Roman"/>
          <w:noProof/>
          <w:szCs w:val="24"/>
        </w:rPr>
        <w:t>[4]</w:t>
      </w:r>
      <w:r w:rsidRPr="002C04B3">
        <w:rPr>
          <w:rFonts w:ascii="Times New Roman" w:hAnsi="Times New Roman" w:cs="Times New Roman"/>
          <w:noProof/>
          <w:szCs w:val="24"/>
        </w:rPr>
        <w:tab/>
      </w:r>
      <w:r w:rsidR="00CB6A15">
        <w:rPr>
          <w:rFonts w:ascii="Times New Roman" w:hAnsi="Times New Roman" w:cs="Times New Roman"/>
          <w:noProof/>
          <w:szCs w:val="24"/>
        </w:rPr>
        <w:t xml:space="preserve">I. </w:t>
      </w:r>
      <w:r w:rsidR="00CB6A15" w:rsidRPr="00CB6A15">
        <w:rPr>
          <w:rFonts w:ascii="Times New Roman" w:hAnsi="Times New Roman" w:cs="Times New Roman"/>
          <w:noProof/>
          <w:szCs w:val="24"/>
        </w:rPr>
        <w:t>Sognnaes </w:t>
      </w:r>
      <w:r w:rsidR="00CB6A15" w:rsidRPr="00CB6A15">
        <w:rPr>
          <w:rFonts w:ascii="Times New Roman" w:hAnsi="Times New Roman" w:cs="Times New Roman"/>
          <w:i/>
          <w:iCs/>
          <w:noProof/>
          <w:szCs w:val="24"/>
        </w:rPr>
        <w:t>et al.</w:t>
      </w:r>
      <w:r w:rsidR="00CB6A15" w:rsidRPr="00CB6A15">
        <w:rPr>
          <w:rFonts w:ascii="Times New Roman" w:hAnsi="Times New Roman" w:cs="Times New Roman"/>
          <w:noProof/>
          <w:szCs w:val="24"/>
        </w:rPr>
        <w:t> A multi-model analysis of long-term emissions and warming implications of current mitigation efforts. </w:t>
      </w:r>
      <w:r w:rsidR="00CB6A15" w:rsidRPr="00CB6A15">
        <w:rPr>
          <w:rFonts w:ascii="Times New Roman" w:hAnsi="Times New Roman" w:cs="Times New Roman"/>
          <w:i/>
          <w:iCs/>
          <w:noProof/>
          <w:szCs w:val="24"/>
        </w:rPr>
        <w:t>Nat. Clim. Chang.</w:t>
      </w:r>
      <w:r w:rsidR="00CB6A15" w:rsidRPr="00CB6A15">
        <w:rPr>
          <w:rFonts w:ascii="Times New Roman" w:hAnsi="Times New Roman" w:cs="Times New Roman"/>
          <w:noProof/>
          <w:szCs w:val="24"/>
        </w:rPr>
        <w:t> </w:t>
      </w:r>
      <w:r w:rsidR="00CB6A15" w:rsidRPr="00CB6A15">
        <w:rPr>
          <w:rFonts w:ascii="Times New Roman" w:hAnsi="Times New Roman" w:cs="Times New Roman"/>
          <w:b/>
          <w:bCs/>
          <w:noProof/>
          <w:szCs w:val="24"/>
        </w:rPr>
        <w:t>11</w:t>
      </w:r>
      <w:r w:rsidR="00CB6A15" w:rsidRPr="00CB6A15">
        <w:rPr>
          <w:rFonts w:ascii="Times New Roman" w:hAnsi="Times New Roman" w:cs="Times New Roman"/>
          <w:noProof/>
          <w:szCs w:val="24"/>
        </w:rPr>
        <w:t>, 1055–1062 (2021). https://doi.org/10.1038/s41558-021-01206-3</w:t>
      </w:r>
      <w:r w:rsidR="00BB112A">
        <w:rPr>
          <w:rFonts w:ascii="Times New Roman" w:hAnsi="Times New Roman" w:cs="Times New Roman"/>
        </w:rPr>
        <w:fldChar w:fldCharType="end"/>
      </w:r>
    </w:p>
    <w:sectPr w:rsidR="00BB112A" w:rsidRPr="00524A5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158AD"/>
    <w:multiLevelType w:val="multilevel"/>
    <w:tmpl w:val="67E8BBAC"/>
    <w:lvl w:ilvl="0">
      <w:start w:val="1"/>
      <w:numFmt w:val="decimal"/>
      <w:pStyle w:val="Heading1"/>
      <w:lvlText w:val="%1"/>
      <w:lvlJc w:val="left"/>
      <w:pPr>
        <w:ind w:left="7362" w:hanging="432"/>
      </w:pPr>
      <w:rPr>
        <w:rFonts w:ascii="Times New Roman" w:hAnsi="Times New Roman" w:cs="Times New Roman"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15520C76"/>
    <w:multiLevelType w:val="hybridMultilevel"/>
    <w:tmpl w:val="3C9C7A6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1A1A33"/>
    <w:multiLevelType w:val="hybridMultilevel"/>
    <w:tmpl w:val="9E86F4EC"/>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576179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88258537">
    <w:abstractNumId w:val="2"/>
  </w:num>
  <w:num w:numId="3" w16cid:durableId="20917303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oNotDisplayPageBoundaries/>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MyMzA1NzW2MDO1MDFV0lEKTi0uzszPAykwrAUAQfnDcSwAAAA="/>
  </w:docVars>
  <w:rsids>
    <w:rsidRoot w:val="00DB77F8"/>
    <w:rsid w:val="000B2C6B"/>
    <w:rsid w:val="000C35B6"/>
    <w:rsid w:val="00187B43"/>
    <w:rsid w:val="001D1B82"/>
    <w:rsid w:val="00250BDB"/>
    <w:rsid w:val="002701B7"/>
    <w:rsid w:val="002A485A"/>
    <w:rsid w:val="002C04B3"/>
    <w:rsid w:val="002F5D65"/>
    <w:rsid w:val="00436A53"/>
    <w:rsid w:val="00436CD9"/>
    <w:rsid w:val="00440849"/>
    <w:rsid w:val="0046043A"/>
    <w:rsid w:val="00524A55"/>
    <w:rsid w:val="00583D3B"/>
    <w:rsid w:val="006852E7"/>
    <w:rsid w:val="006D1DC5"/>
    <w:rsid w:val="00764E74"/>
    <w:rsid w:val="007661F2"/>
    <w:rsid w:val="008A41A6"/>
    <w:rsid w:val="008A6A13"/>
    <w:rsid w:val="008B7774"/>
    <w:rsid w:val="00922D57"/>
    <w:rsid w:val="0093366C"/>
    <w:rsid w:val="00960D42"/>
    <w:rsid w:val="009678DD"/>
    <w:rsid w:val="00A0764B"/>
    <w:rsid w:val="00A27354"/>
    <w:rsid w:val="00AB68D7"/>
    <w:rsid w:val="00B03FD3"/>
    <w:rsid w:val="00B713CA"/>
    <w:rsid w:val="00B76540"/>
    <w:rsid w:val="00BB112A"/>
    <w:rsid w:val="00BB6067"/>
    <w:rsid w:val="00C04F5C"/>
    <w:rsid w:val="00C670E5"/>
    <w:rsid w:val="00CB6A15"/>
    <w:rsid w:val="00D17271"/>
    <w:rsid w:val="00D20363"/>
    <w:rsid w:val="00D47D53"/>
    <w:rsid w:val="00DA0567"/>
    <w:rsid w:val="00DB36E6"/>
    <w:rsid w:val="00DB77F8"/>
    <w:rsid w:val="00E5561E"/>
    <w:rsid w:val="00E62ECF"/>
    <w:rsid w:val="00EF344E"/>
    <w:rsid w:val="00FB1CB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7CF46"/>
  <w15:chartTrackingRefBased/>
  <w15:docId w15:val="{8AA3692C-6563-4891-99C0-604AD072B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6CD9"/>
    <w:pPr>
      <w:keepNext/>
      <w:numPr>
        <w:numId w:val="1"/>
      </w:numPr>
      <w:spacing w:before="240" w:after="0" w:line="256" w:lineRule="auto"/>
      <w:ind w:left="432"/>
      <w:jc w:val="both"/>
      <w:outlineLvl w:val="0"/>
    </w:pPr>
    <w:rPr>
      <w:rFonts w:ascii="Times New Roman" w:eastAsiaTheme="majorEastAsia" w:hAnsi="Times New Roman" w:cstheme="majorBidi"/>
      <w:b/>
      <w:caps/>
      <w:sz w:val="24"/>
      <w:szCs w:val="32"/>
      <w:lang w:val="en-GB"/>
    </w:rPr>
  </w:style>
  <w:style w:type="paragraph" w:styleId="Heading2">
    <w:name w:val="heading 2"/>
    <w:basedOn w:val="Normal"/>
    <w:next w:val="Normal"/>
    <w:link w:val="Heading2Char"/>
    <w:uiPriority w:val="9"/>
    <w:semiHidden/>
    <w:unhideWhenUsed/>
    <w:qFormat/>
    <w:rsid w:val="00436CD9"/>
    <w:pPr>
      <w:keepNext/>
      <w:numPr>
        <w:ilvl w:val="1"/>
        <w:numId w:val="1"/>
      </w:numPr>
      <w:spacing w:before="40" w:after="0" w:line="256" w:lineRule="auto"/>
      <w:outlineLvl w:val="1"/>
    </w:pPr>
    <w:rPr>
      <w:rFonts w:ascii="Times New Roman" w:eastAsiaTheme="majorEastAsia" w:hAnsi="Times New Roman" w:cstheme="majorBidi"/>
      <w:b/>
      <w:bCs/>
      <w:sz w:val="24"/>
      <w:szCs w:val="24"/>
      <w:lang w:val="en-GB"/>
    </w:rPr>
  </w:style>
  <w:style w:type="paragraph" w:styleId="Heading3">
    <w:name w:val="heading 3"/>
    <w:basedOn w:val="Normal"/>
    <w:next w:val="Normal"/>
    <w:link w:val="Heading3Char"/>
    <w:uiPriority w:val="9"/>
    <w:semiHidden/>
    <w:unhideWhenUsed/>
    <w:qFormat/>
    <w:rsid w:val="00436CD9"/>
    <w:pPr>
      <w:keepNext/>
      <w:numPr>
        <w:ilvl w:val="2"/>
        <w:numId w:val="1"/>
      </w:numPr>
      <w:spacing w:before="40" w:after="0" w:line="256" w:lineRule="auto"/>
      <w:outlineLvl w:val="2"/>
    </w:pPr>
    <w:rPr>
      <w:rFonts w:ascii="Times New Roman" w:eastAsiaTheme="majorEastAsia" w:hAnsi="Times New Roman" w:cstheme="majorBidi"/>
      <w:bCs/>
      <w:i/>
      <w:color w:val="000000" w:themeColor="text1"/>
      <w:sz w:val="24"/>
      <w:szCs w:val="24"/>
      <w:lang w:val="en-GB"/>
    </w:rPr>
  </w:style>
  <w:style w:type="paragraph" w:styleId="Heading4">
    <w:name w:val="heading 4"/>
    <w:basedOn w:val="Normal"/>
    <w:next w:val="Normal"/>
    <w:link w:val="Heading4Char"/>
    <w:uiPriority w:val="9"/>
    <w:semiHidden/>
    <w:unhideWhenUsed/>
    <w:qFormat/>
    <w:rsid w:val="00436CD9"/>
    <w:pPr>
      <w:keepNext/>
      <w:numPr>
        <w:ilvl w:val="3"/>
        <w:numId w:val="1"/>
      </w:numPr>
      <w:spacing w:before="40" w:after="0" w:line="256" w:lineRule="auto"/>
      <w:outlineLvl w:val="3"/>
    </w:pPr>
    <w:rPr>
      <w:rFonts w:asciiTheme="majorHAnsi" w:eastAsiaTheme="majorEastAsia" w:hAnsiTheme="majorHAnsi" w:cstheme="majorBidi"/>
      <w:i/>
      <w:iCs/>
      <w:color w:val="2F5496" w:themeColor="accent1" w:themeShade="BF"/>
      <w:lang w:val="en-GB"/>
    </w:rPr>
  </w:style>
  <w:style w:type="paragraph" w:styleId="Heading5">
    <w:name w:val="heading 5"/>
    <w:basedOn w:val="Normal"/>
    <w:next w:val="Normal"/>
    <w:link w:val="Heading5Char"/>
    <w:uiPriority w:val="9"/>
    <w:semiHidden/>
    <w:unhideWhenUsed/>
    <w:qFormat/>
    <w:rsid w:val="00436CD9"/>
    <w:pPr>
      <w:keepNext/>
      <w:numPr>
        <w:ilvl w:val="4"/>
        <w:numId w:val="1"/>
      </w:numPr>
      <w:spacing w:before="40" w:after="0" w:line="256" w:lineRule="auto"/>
      <w:outlineLvl w:val="4"/>
    </w:pPr>
    <w:rPr>
      <w:rFonts w:asciiTheme="majorHAnsi" w:eastAsiaTheme="majorEastAsia" w:hAnsiTheme="majorHAnsi" w:cstheme="majorBidi"/>
      <w:color w:val="2F5496" w:themeColor="accent1" w:themeShade="BF"/>
      <w:lang w:val="en-GB"/>
    </w:rPr>
  </w:style>
  <w:style w:type="paragraph" w:styleId="Heading6">
    <w:name w:val="heading 6"/>
    <w:basedOn w:val="Normal"/>
    <w:next w:val="Normal"/>
    <w:link w:val="Heading6Char"/>
    <w:uiPriority w:val="9"/>
    <w:semiHidden/>
    <w:unhideWhenUsed/>
    <w:qFormat/>
    <w:rsid w:val="00436CD9"/>
    <w:pPr>
      <w:keepNext/>
      <w:numPr>
        <w:ilvl w:val="5"/>
        <w:numId w:val="1"/>
      </w:numPr>
      <w:spacing w:before="40" w:after="0" w:line="256" w:lineRule="auto"/>
      <w:outlineLvl w:val="5"/>
    </w:pPr>
    <w:rPr>
      <w:rFonts w:asciiTheme="majorHAnsi" w:eastAsiaTheme="majorEastAsia" w:hAnsiTheme="majorHAnsi" w:cstheme="majorBidi"/>
      <w:color w:val="1F3763"/>
      <w:lang w:val="en-GB"/>
    </w:rPr>
  </w:style>
  <w:style w:type="paragraph" w:styleId="Heading7">
    <w:name w:val="heading 7"/>
    <w:basedOn w:val="Normal"/>
    <w:next w:val="Normal"/>
    <w:link w:val="Heading7Char"/>
    <w:uiPriority w:val="9"/>
    <w:semiHidden/>
    <w:unhideWhenUsed/>
    <w:qFormat/>
    <w:rsid w:val="00436CD9"/>
    <w:pPr>
      <w:keepNext/>
      <w:numPr>
        <w:ilvl w:val="6"/>
        <w:numId w:val="1"/>
      </w:numPr>
      <w:spacing w:before="40" w:after="0" w:line="256" w:lineRule="auto"/>
      <w:outlineLvl w:val="6"/>
    </w:pPr>
    <w:rPr>
      <w:rFonts w:asciiTheme="majorHAnsi" w:eastAsiaTheme="majorEastAsia" w:hAnsiTheme="majorHAnsi" w:cstheme="majorBidi"/>
      <w:i/>
      <w:iCs/>
      <w:color w:val="1F3763"/>
      <w:lang w:val="en-GB"/>
    </w:rPr>
  </w:style>
  <w:style w:type="paragraph" w:styleId="Heading8">
    <w:name w:val="heading 8"/>
    <w:basedOn w:val="Normal"/>
    <w:next w:val="Normal"/>
    <w:link w:val="Heading8Char"/>
    <w:uiPriority w:val="9"/>
    <w:semiHidden/>
    <w:unhideWhenUsed/>
    <w:qFormat/>
    <w:rsid w:val="00436CD9"/>
    <w:pPr>
      <w:keepNext/>
      <w:numPr>
        <w:ilvl w:val="7"/>
        <w:numId w:val="1"/>
      </w:numPr>
      <w:spacing w:before="40" w:after="0" w:line="256" w:lineRule="auto"/>
      <w:outlineLvl w:val="7"/>
    </w:pPr>
    <w:rPr>
      <w:rFonts w:asciiTheme="majorHAnsi" w:eastAsiaTheme="majorEastAsia" w:hAnsiTheme="majorHAnsi" w:cstheme="majorBidi"/>
      <w:color w:val="272727"/>
      <w:sz w:val="21"/>
      <w:szCs w:val="21"/>
      <w:lang w:val="en-GB"/>
    </w:rPr>
  </w:style>
  <w:style w:type="paragraph" w:styleId="Heading9">
    <w:name w:val="heading 9"/>
    <w:basedOn w:val="Normal"/>
    <w:next w:val="Normal"/>
    <w:link w:val="Heading9Char"/>
    <w:uiPriority w:val="9"/>
    <w:semiHidden/>
    <w:unhideWhenUsed/>
    <w:qFormat/>
    <w:rsid w:val="00436CD9"/>
    <w:pPr>
      <w:keepNext/>
      <w:numPr>
        <w:ilvl w:val="8"/>
        <w:numId w:val="1"/>
      </w:numPr>
      <w:spacing w:before="40" w:after="0" w:line="256" w:lineRule="auto"/>
      <w:outlineLvl w:val="8"/>
    </w:pPr>
    <w:rPr>
      <w:rFonts w:asciiTheme="majorHAnsi" w:eastAsiaTheme="majorEastAsia" w:hAnsiTheme="majorHAnsi" w:cstheme="majorBidi"/>
      <w:i/>
      <w:iCs/>
      <w:color w:val="272727"/>
      <w:sz w:val="21"/>
      <w:szCs w:val="2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B77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B1CB5"/>
    <w:rPr>
      <w:color w:val="808080"/>
    </w:rPr>
  </w:style>
  <w:style w:type="paragraph" w:styleId="BalloonText">
    <w:name w:val="Balloon Text"/>
    <w:basedOn w:val="Normal"/>
    <w:link w:val="BalloonTextChar"/>
    <w:uiPriority w:val="99"/>
    <w:semiHidden/>
    <w:unhideWhenUsed/>
    <w:rsid w:val="00FB1C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1CB5"/>
    <w:rPr>
      <w:rFonts w:ascii="Segoe UI" w:hAnsi="Segoe UI" w:cs="Segoe UI"/>
      <w:sz w:val="18"/>
      <w:szCs w:val="18"/>
    </w:rPr>
  </w:style>
  <w:style w:type="paragraph" w:styleId="Caption">
    <w:name w:val="caption"/>
    <w:basedOn w:val="Normal"/>
    <w:next w:val="Normal"/>
    <w:uiPriority w:val="35"/>
    <w:unhideWhenUsed/>
    <w:qFormat/>
    <w:rsid w:val="00583D3B"/>
    <w:pPr>
      <w:spacing w:after="200" w:line="240" w:lineRule="auto"/>
      <w:jc w:val="both"/>
    </w:pPr>
    <w:rPr>
      <w:rFonts w:ascii="Times New Roman" w:hAnsi="Times New Roman"/>
      <w:i/>
      <w:iCs/>
      <w:sz w:val="18"/>
      <w:szCs w:val="18"/>
    </w:rPr>
  </w:style>
  <w:style w:type="character" w:styleId="CommentReference">
    <w:name w:val="annotation reference"/>
    <w:basedOn w:val="DefaultParagraphFont"/>
    <w:uiPriority w:val="99"/>
    <w:semiHidden/>
    <w:unhideWhenUsed/>
    <w:rsid w:val="00FB1CB5"/>
    <w:rPr>
      <w:sz w:val="16"/>
      <w:szCs w:val="16"/>
    </w:rPr>
  </w:style>
  <w:style w:type="paragraph" w:styleId="CommentText">
    <w:name w:val="annotation text"/>
    <w:basedOn w:val="Normal"/>
    <w:link w:val="CommentTextChar"/>
    <w:uiPriority w:val="99"/>
    <w:semiHidden/>
    <w:unhideWhenUsed/>
    <w:rsid w:val="00D20363"/>
    <w:pPr>
      <w:spacing w:line="240" w:lineRule="auto"/>
    </w:pPr>
    <w:rPr>
      <w:sz w:val="20"/>
      <w:szCs w:val="20"/>
    </w:rPr>
  </w:style>
  <w:style w:type="character" w:customStyle="1" w:styleId="CommentTextChar">
    <w:name w:val="Comment Text Char"/>
    <w:basedOn w:val="DefaultParagraphFont"/>
    <w:link w:val="CommentText"/>
    <w:uiPriority w:val="99"/>
    <w:semiHidden/>
    <w:rsid w:val="00D20363"/>
    <w:rPr>
      <w:sz w:val="20"/>
      <w:szCs w:val="20"/>
    </w:rPr>
  </w:style>
  <w:style w:type="paragraph" w:styleId="CommentSubject">
    <w:name w:val="annotation subject"/>
    <w:basedOn w:val="CommentText"/>
    <w:next w:val="CommentText"/>
    <w:link w:val="CommentSubjectChar"/>
    <w:uiPriority w:val="99"/>
    <w:semiHidden/>
    <w:unhideWhenUsed/>
    <w:rsid w:val="00D20363"/>
    <w:rPr>
      <w:b/>
      <w:bCs/>
    </w:rPr>
  </w:style>
  <w:style w:type="character" w:customStyle="1" w:styleId="CommentSubjectChar">
    <w:name w:val="Comment Subject Char"/>
    <w:basedOn w:val="CommentTextChar"/>
    <w:link w:val="CommentSubject"/>
    <w:uiPriority w:val="99"/>
    <w:semiHidden/>
    <w:rsid w:val="00D20363"/>
    <w:rPr>
      <w:b/>
      <w:bCs/>
      <w:sz w:val="20"/>
      <w:szCs w:val="20"/>
    </w:rPr>
  </w:style>
  <w:style w:type="character" w:customStyle="1" w:styleId="Heading1Char">
    <w:name w:val="Heading 1 Char"/>
    <w:basedOn w:val="DefaultParagraphFont"/>
    <w:link w:val="Heading1"/>
    <w:uiPriority w:val="9"/>
    <w:rsid w:val="00436CD9"/>
    <w:rPr>
      <w:rFonts w:ascii="Times New Roman" w:eastAsiaTheme="majorEastAsia" w:hAnsi="Times New Roman" w:cstheme="majorBidi"/>
      <w:b/>
      <w:caps/>
      <w:sz w:val="24"/>
      <w:szCs w:val="32"/>
      <w:lang w:val="en-GB"/>
    </w:rPr>
  </w:style>
  <w:style w:type="character" w:customStyle="1" w:styleId="Heading2Char">
    <w:name w:val="Heading 2 Char"/>
    <w:basedOn w:val="DefaultParagraphFont"/>
    <w:link w:val="Heading2"/>
    <w:uiPriority w:val="9"/>
    <w:semiHidden/>
    <w:rsid w:val="00436CD9"/>
    <w:rPr>
      <w:rFonts w:ascii="Times New Roman" w:eastAsiaTheme="majorEastAsia" w:hAnsi="Times New Roman" w:cstheme="majorBidi"/>
      <w:b/>
      <w:bCs/>
      <w:sz w:val="24"/>
      <w:szCs w:val="24"/>
      <w:lang w:val="en-GB"/>
    </w:rPr>
  </w:style>
  <w:style w:type="character" w:customStyle="1" w:styleId="Heading3Char">
    <w:name w:val="Heading 3 Char"/>
    <w:basedOn w:val="DefaultParagraphFont"/>
    <w:link w:val="Heading3"/>
    <w:uiPriority w:val="9"/>
    <w:semiHidden/>
    <w:rsid w:val="00436CD9"/>
    <w:rPr>
      <w:rFonts w:ascii="Times New Roman" w:eastAsiaTheme="majorEastAsia" w:hAnsi="Times New Roman" w:cstheme="majorBidi"/>
      <w:bCs/>
      <w:i/>
      <w:color w:val="000000" w:themeColor="text1"/>
      <w:sz w:val="24"/>
      <w:szCs w:val="24"/>
      <w:lang w:val="en-GB"/>
    </w:rPr>
  </w:style>
  <w:style w:type="character" w:customStyle="1" w:styleId="Heading4Char">
    <w:name w:val="Heading 4 Char"/>
    <w:basedOn w:val="DefaultParagraphFont"/>
    <w:link w:val="Heading4"/>
    <w:uiPriority w:val="9"/>
    <w:semiHidden/>
    <w:rsid w:val="00436CD9"/>
    <w:rPr>
      <w:rFonts w:asciiTheme="majorHAnsi" w:eastAsiaTheme="majorEastAsia" w:hAnsiTheme="majorHAnsi"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436CD9"/>
    <w:rPr>
      <w:rFonts w:asciiTheme="majorHAnsi" w:eastAsiaTheme="majorEastAsia" w:hAnsiTheme="majorHAnsi" w:cstheme="majorBidi"/>
      <w:color w:val="2F5496" w:themeColor="accent1" w:themeShade="BF"/>
      <w:lang w:val="en-GB"/>
    </w:rPr>
  </w:style>
  <w:style w:type="character" w:customStyle="1" w:styleId="Heading6Char">
    <w:name w:val="Heading 6 Char"/>
    <w:basedOn w:val="DefaultParagraphFont"/>
    <w:link w:val="Heading6"/>
    <w:uiPriority w:val="9"/>
    <w:semiHidden/>
    <w:rsid w:val="00436CD9"/>
    <w:rPr>
      <w:rFonts w:asciiTheme="majorHAnsi" w:eastAsiaTheme="majorEastAsia" w:hAnsiTheme="majorHAnsi" w:cstheme="majorBidi"/>
      <w:color w:val="1F3763"/>
      <w:lang w:val="en-GB"/>
    </w:rPr>
  </w:style>
  <w:style w:type="character" w:customStyle="1" w:styleId="Heading7Char">
    <w:name w:val="Heading 7 Char"/>
    <w:basedOn w:val="DefaultParagraphFont"/>
    <w:link w:val="Heading7"/>
    <w:uiPriority w:val="9"/>
    <w:semiHidden/>
    <w:rsid w:val="00436CD9"/>
    <w:rPr>
      <w:rFonts w:asciiTheme="majorHAnsi" w:eastAsiaTheme="majorEastAsia" w:hAnsiTheme="majorHAnsi" w:cstheme="majorBidi"/>
      <w:i/>
      <w:iCs/>
      <w:color w:val="1F3763"/>
      <w:lang w:val="en-GB"/>
    </w:rPr>
  </w:style>
  <w:style w:type="character" w:customStyle="1" w:styleId="Heading8Char">
    <w:name w:val="Heading 8 Char"/>
    <w:basedOn w:val="DefaultParagraphFont"/>
    <w:link w:val="Heading8"/>
    <w:uiPriority w:val="9"/>
    <w:semiHidden/>
    <w:rsid w:val="00436CD9"/>
    <w:rPr>
      <w:rFonts w:asciiTheme="majorHAnsi" w:eastAsiaTheme="majorEastAsia" w:hAnsiTheme="majorHAnsi" w:cstheme="majorBidi"/>
      <w:color w:val="272727"/>
      <w:sz w:val="21"/>
      <w:szCs w:val="21"/>
      <w:lang w:val="en-GB"/>
    </w:rPr>
  </w:style>
  <w:style w:type="character" w:customStyle="1" w:styleId="Heading9Char">
    <w:name w:val="Heading 9 Char"/>
    <w:basedOn w:val="DefaultParagraphFont"/>
    <w:link w:val="Heading9"/>
    <w:uiPriority w:val="9"/>
    <w:semiHidden/>
    <w:rsid w:val="00436CD9"/>
    <w:rPr>
      <w:rFonts w:asciiTheme="majorHAnsi" w:eastAsiaTheme="majorEastAsia" w:hAnsiTheme="majorHAnsi" w:cstheme="majorBidi"/>
      <w:i/>
      <w:iCs/>
      <w:color w:val="272727"/>
      <w:sz w:val="21"/>
      <w:szCs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788285">
      <w:bodyDiv w:val="1"/>
      <w:marLeft w:val="0"/>
      <w:marRight w:val="0"/>
      <w:marTop w:val="0"/>
      <w:marBottom w:val="0"/>
      <w:divBdr>
        <w:top w:val="none" w:sz="0" w:space="0" w:color="auto"/>
        <w:left w:val="none" w:sz="0" w:space="0" w:color="auto"/>
        <w:bottom w:val="none" w:sz="0" w:space="0" w:color="auto"/>
        <w:right w:val="none" w:sz="0" w:space="0" w:color="auto"/>
      </w:divBdr>
    </w:div>
    <w:div w:id="685984804">
      <w:bodyDiv w:val="1"/>
      <w:marLeft w:val="0"/>
      <w:marRight w:val="0"/>
      <w:marTop w:val="0"/>
      <w:marBottom w:val="0"/>
      <w:divBdr>
        <w:top w:val="none" w:sz="0" w:space="0" w:color="auto"/>
        <w:left w:val="none" w:sz="0" w:space="0" w:color="auto"/>
        <w:bottom w:val="none" w:sz="0" w:space="0" w:color="auto"/>
        <w:right w:val="none" w:sz="0" w:space="0" w:color="auto"/>
      </w:divBdr>
    </w:div>
    <w:div w:id="974289718">
      <w:bodyDiv w:val="1"/>
      <w:marLeft w:val="0"/>
      <w:marRight w:val="0"/>
      <w:marTop w:val="0"/>
      <w:marBottom w:val="0"/>
      <w:divBdr>
        <w:top w:val="none" w:sz="0" w:space="0" w:color="auto"/>
        <w:left w:val="none" w:sz="0" w:space="0" w:color="auto"/>
        <w:bottom w:val="none" w:sz="0" w:space="0" w:color="auto"/>
        <w:right w:val="none" w:sz="0" w:space="0" w:color="auto"/>
      </w:divBdr>
    </w:div>
    <w:div w:id="1136529617">
      <w:bodyDiv w:val="1"/>
      <w:marLeft w:val="0"/>
      <w:marRight w:val="0"/>
      <w:marTop w:val="0"/>
      <w:marBottom w:val="0"/>
      <w:divBdr>
        <w:top w:val="none" w:sz="0" w:space="0" w:color="auto"/>
        <w:left w:val="none" w:sz="0" w:space="0" w:color="auto"/>
        <w:bottom w:val="none" w:sz="0" w:space="0" w:color="auto"/>
        <w:right w:val="none" w:sz="0" w:space="0" w:color="auto"/>
      </w:divBdr>
    </w:div>
    <w:div w:id="1172525414">
      <w:bodyDiv w:val="1"/>
      <w:marLeft w:val="0"/>
      <w:marRight w:val="0"/>
      <w:marTop w:val="0"/>
      <w:marBottom w:val="0"/>
      <w:divBdr>
        <w:top w:val="none" w:sz="0" w:space="0" w:color="auto"/>
        <w:left w:val="none" w:sz="0" w:space="0" w:color="auto"/>
        <w:bottom w:val="none" w:sz="0" w:space="0" w:color="auto"/>
        <w:right w:val="none" w:sz="0" w:space="0" w:color="auto"/>
      </w:divBdr>
    </w:div>
    <w:div w:id="1201553961">
      <w:bodyDiv w:val="1"/>
      <w:marLeft w:val="0"/>
      <w:marRight w:val="0"/>
      <w:marTop w:val="0"/>
      <w:marBottom w:val="0"/>
      <w:divBdr>
        <w:top w:val="none" w:sz="0" w:space="0" w:color="auto"/>
        <w:left w:val="none" w:sz="0" w:space="0" w:color="auto"/>
        <w:bottom w:val="none" w:sz="0" w:space="0" w:color="auto"/>
        <w:right w:val="none" w:sz="0" w:space="0" w:color="auto"/>
      </w:divBdr>
    </w:div>
    <w:div w:id="1953172452">
      <w:bodyDiv w:val="1"/>
      <w:marLeft w:val="0"/>
      <w:marRight w:val="0"/>
      <w:marTop w:val="0"/>
      <w:marBottom w:val="0"/>
      <w:divBdr>
        <w:top w:val="none" w:sz="0" w:space="0" w:color="auto"/>
        <w:left w:val="none" w:sz="0" w:space="0" w:color="auto"/>
        <w:bottom w:val="none" w:sz="0" w:space="0" w:color="auto"/>
        <w:right w:val="none" w:sz="0" w:space="0" w:color="auto"/>
      </w:divBdr>
    </w:div>
    <w:div w:id="2051369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3.xml"/><Relationship Id="rId18" Type="http://schemas.openxmlformats.org/officeDocument/2006/relationships/image" Target="media/image2.png"/><Relationship Id="rId26" Type="http://schemas.openxmlformats.org/officeDocument/2006/relationships/chart" Target="charts/chart9.xml"/><Relationship Id="rId39" Type="http://schemas.openxmlformats.org/officeDocument/2006/relationships/chart" Target="charts/chart15.xml"/><Relationship Id="rId21" Type="http://schemas.openxmlformats.org/officeDocument/2006/relationships/image" Target="media/image5.png"/><Relationship Id="rId34" Type="http://schemas.openxmlformats.org/officeDocument/2006/relationships/image" Target="media/image11.png"/><Relationship Id="rId42" Type="http://schemas.openxmlformats.org/officeDocument/2006/relationships/chart" Target="charts/chart18.xml"/><Relationship Id="rId47" Type="http://schemas.openxmlformats.org/officeDocument/2006/relationships/image" Target="media/image17.png"/><Relationship Id="rId50" Type="http://schemas.openxmlformats.org/officeDocument/2006/relationships/image" Target="media/image20.png"/><Relationship Id="rId55" Type="http://schemas.openxmlformats.org/officeDocument/2006/relationships/chart" Target="charts/chart2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chart" Target="charts/chart6.xml"/><Relationship Id="rId29" Type="http://schemas.openxmlformats.org/officeDocument/2006/relationships/chart" Target="charts/chart12.xml"/><Relationship Id="rId11" Type="http://schemas.openxmlformats.org/officeDocument/2006/relationships/chart" Target="charts/chart1.xml"/><Relationship Id="rId24" Type="http://schemas.openxmlformats.org/officeDocument/2006/relationships/image" Target="media/image8.png"/><Relationship Id="rId32" Type="http://schemas.openxmlformats.org/officeDocument/2006/relationships/image" Target="media/image9.png"/><Relationship Id="rId37" Type="http://schemas.openxmlformats.org/officeDocument/2006/relationships/image" Target="media/image14.png"/><Relationship Id="rId40" Type="http://schemas.openxmlformats.org/officeDocument/2006/relationships/chart" Target="charts/chart16.xml"/><Relationship Id="rId45" Type="http://schemas.openxmlformats.org/officeDocument/2006/relationships/chart" Target="charts/chart21.xml"/><Relationship Id="rId53" Type="http://schemas.openxmlformats.org/officeDocument/2006/relationships/chart" Target="charts/chart22.xm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image" Target="media/image1.wmf"/><Relationship Id="rId14" Type="http://schemas.openxmlformats.org/officeDocument/2006/relationships/chart" Target="charts/chart4.xml"/><Relationship Id="rId22" Type="http://schemas.openxmlformats.org/officeDocument/2006/relationships/image" Target="media/image6.png"/><Relationship Id="rId27" Type="http://schemas.openxmlformats.org/officeDocument/2006/relationships/chart" Target="charts/chart10.xml"/><Relationship Id="rId30" Type="http://schemas.openxmlformats.org/officeDocument/2006/relationships/chart" Target="charts/chart13.xml"/><Relationship Id="rId35" Type="http://schemas.openxmlformats.org/officeDocument/2006/relationships/image" Target="media/image12.png"/><Relationship Id="rId43" Type="http://schemas.openxmlformats.org/officeDocument/2006/relationships/chart" Target="charts/chart19.xml"/><Relationship Id="rId48" Type="http://schemas.openxmlformats.org/officeDocument/2006/relationships/image" Target="media/image18.png"/><Relationship Id="rId56" Type="http://schemas.openxmlformats.org/officeDocument/2006/relationships/image" Target="media/image23.png"/><Relationship Id="rId8" Type="http://schemas.openxmlformats.org/officeDocument/2006/relationships/webSettings" Target="webSettings.xml"/><Relationship Id="rId51" Type="http://schemas.openxmlformats.org/officeDocument/2006/relationships/image" Target="media/image21.png"/><Relationship Id="rId3" Type="http://schemas.openxmlformats.org/officeDocument/2006/relationships/customXml" Target="../customXml/item3.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chart" Target="charts/chart8.xml"/><Relationship Id="rId33" Type="http://schemas.openxmlformats.org/officeDocument/2006/relationships/image" Target="media/image10.png"/><Relationship Id="rId38" Type="http://schemas.openxmlformats.org/officeDocument/2006/relationships/image" Target="media/image15.png"/><Relationship Id="rId46" Type="http://schemas.openxmlformats.org/officeDocument/2006/relationships/image" Target="media/image16.png"/><Relationship Id="rId20" Type="http://schemas.openxmlformats.org/officeDocument/2006/relationships/image" Target="media/image4.png"/><Relationship Id="rId41" Type="http://schemas.openxmlformats.org/officeDocument/2006/relationships/chart" Target="charts/chart17.xml"/><Relationship Id="rId54" Type="http://schemas.openxmlformats.org/officeDocument/2006/relationships/chart" Target="charts/chart2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chart" Target="charts/chart5.xml"/><Relationship Id="rId23" Type="http://schemas.openxmlformats.org/officeDocument/2006/relationships/image" Target="media/image7.png"/><Relationship Id="rId28" Type="http://schemas.openxmlformats.org/officeDocument/2006/relationships/chart" Target="charts/chart11.xml"/><Relationship Id="rId36" Type="http://schemas.openxmlformats.org/officeDocument/2006/relationships/image" Target="media/image13.png"/><Relationship Id="rId49" Type="http://schemas.openxmlformats.org/officeDocument/2006/relationships/image" Target="media/image19.png"/><Relationship Id="rId57" Type="http://schemas.openxmlformats.org/officeDocument/2006/relationships/fontTable" Target="fontTable.xml"/><Relationship Id="rId10" Type="http://schemas.openxmlformats.org/officeDocument/2006/relationships/oleObject" Target="embeddings/oleObject1.bin"/><Relationship Id="rId31" Type="http://schemas.openxmlformats.org/officeDocument/2006/relationships/chart" Target="charts/chart14.xml"/><Relationship Id="rId44" Type="http://schemas.openxmlformats.org/officeDocument/2006/relationships/chart" Target="charts/chart20.xml"/><Relationship Id="rId52" Type="http://schemas.openxmlformats.org/officeDocument/2006/relationships/image" Target="media/image22.png"/></Relationships>
</file>

<file path=word/charts/_rels/chart1.xml.rels><?xml version="1.0" encoding="UTF-8" standalone="yes"?>
<Relationships xmlns="http://schemas.openxmlformats.org/package/2006/relationships"><Relationship Id="rId1" Type="http://schemas.openxmlformats.org/officeDocument/2006/relationships/oleObject" Target="file:///D:\DOUTORAMENTO\PUBLICA&#199;&#213;ES\JOURNALS\2022%20Mattia%20-%20MUSE%20(Ongoing)\Models%20-%20MUSE\Analysis\1%20-%20Capacity_Chart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DOUTORAMENTO\PUBLICA&#199;&#213;ES\JOURNALS\2022%20Mattia%20-%20MUSE%20(Ongoing)\Models%20-%20MUSE\Analysis\1%20-%20Capacity_Chart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DOUTORAMENTO\PUBLICA&#199;&#213;ES\JOURNALS\2022%20Mattia%20-%20MUSE%20(Ongoing)\Models%20-%20MUSE\Analysis\1%20-%20Capacity_Chart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DOUTORAMENTO\PUBLICA&#199;&#213;ES\JOURNALS\2022%20Mattia%20-%20MUSE%20(Ongoing)\Models%20-%20MUSE\Analysis\1%20-%20Capacity_Charts.xlsx" TargetMode="External"/></Relationships>
</file>

<file path=word/charts/_rels/chart5.xml.rels><?xml version="1.0" encoding="UTF-8" standalone="yes"?>
<Relationships xmlns="http://schemas.openxmlformats.org/package/2006/relationships"><Relationship Id="rId3" Type="http://schemas.openxmlformats.org/officeDocument/2006/relationships/oleObject" Target="file:///D:\DOUTORAMENTO\PUBLICA&#199;&#213;ES\JOURNALS\2022%20Mattia%20-%20MUSE%20(Ongoing)\Models%20-%20MUSE\Analysis\1%20-%20Capacity_Charts.xlsx" TargetMode="External"/><Relationship Id="rId2" Type="http://schemas.microsoft.com/office/2011/relationships/chartColorStyle" Target="colors1.xml"/><Relationship Id="rId1" Type="http://schemas.microsoft.com/office/2011/relationships/chartStyle" Target="style1.xml"/></Relationships>
</file>

<file path=word/charts/_rels/chart6.xml.rels><?xml version="1.0" encoding="UTF-8" standalone="yes"?>
<Relationships xmlns="http://schemas.openxmlformats.org/package/2006/relationships"><Relationship Id="rId1" Type="http://schemas.openxmlformats.org/officeDocument/2006/relationships/oleObject" Target="file:///D:\DOUTORAMENTO\PUBLICA&#199;&#213;ES\JOURNALS\2022%20MUSE%20(Ongoing)\Models%20-%20MUSE\Analysis\1%20-%20Capacity_Charts.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DOUTORAMENTO\PUBLICA&#199;&#213;ES\JOURNALS\2022%20Mattia%20-%20MUSE%20(Ongoing)\Models%20-%20MUSE\Analysis\1%20-%20Capacity_Charts.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D:\DOUTORAMENTO\PUBLICA&#199;&#213;ES\JOURNALS\2022%20Mattia%20-%20MUSE%20(Ongoing)\Models%20-%20MUSE\Analysis\1%20-%20Capacity_Charts.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D:\DOUTORAMENTO\PUBLICA&#199;&#213;ES\JOURNALS\2022%20Mattia%20-%20MUSE%20(Ongoing)\Models%20-%20MUSE\Analysis\1%20-%20Capacity_Charts.xlsx" TargetMode="External"/></Relationships>
</file>

<file path=word/charts/_rels/chart10.xml.rels><?xml version="1.0" encoding="UTF-8" standalone="yes"?>
<Relationships xmlns="http://schemas.openxmlformats.org/package/2006/relationships"><Relationship Id="rId3" Type="http://schemas.openxmlformats.org/officeDocument/2006/relationships/oleObject" Target="file:///D:\DOUTORAMENTO\PUBLICA&#199;&#213;ES\JOURNALS\2022%20Mattia%20-%20MUSE%20(Ongoing)\Models%20-%20MUSE\Analysis\1%20-%20Capacity_Charts.xlsx" TargetMode="External"/><Relationship Id="rId2" Type="http://schemas.microsoft.com/office/2011/relationships/chartColorStyle" Target="colors2.xml"/><Relationship Id="rId1" Type="http://schemas.microsoft.com/office/2011/relationships/chartStyle" Target="style2.xml"/></Relationships>
</file>

<file path=word/charts/_rels/chart11.xml.rels><?xml version="1.0" encoding="UTF-8" standalone="yes"?>
<Relationships xmlns="http://schemas.openxmlformats.org/package/2006/relationships"><Relationship Id="rId1" Type="http://schemas.openxmlformats.org/officeDocument/2006/relationships/oleObject" Target="file:///D:\DOUTORAMENTO\PUBLICA&#199;&#213;ES\JOURNALS\2022%20Mattia%20-%20MUSE%20(Ongoing)\Models%20-%20MUSE\Analysis\1%20-%20Capacity_Charts.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D:\DOUTORAMENTO\PUBLICA&#199;&#213;ES\JOURNALS\2022%20Mattia%20-%20MUSE%20(Ongoing)\Models%20-%20MUSE\Analysis\1%20-%20Capacity_Charts.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D:\DOUTORAMENTO\PUBLICA&#199;&#213;ES\JOURNALS\2022%20Mattia%20-%20MUSE%20(Ongoing)\Models%20-%20MUSE\Analysis\1%20-%20Capacity_Charts.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D:\DOUTORAMENTO\PUBLICA&#199;&#213;ES\JOURNALS\2022%20Mattia%20-%20MUSE%20(Ongoing)\Models%20-%20MUSE\Analysis\1%20-%20Capacity_Charts.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D:\DOUTORAMENTO\PUBLICA&#199;&#213;ES\JOURNALS\2022%20Mattia%20-%20MUSE%20(Ongoing)\Models%20-%20MUSE\Analysis\1%20-%20Capacity_Charts.xlsx" TargetMode="External"/></Relationships>
</file>

<file path=word/charts/_rels/chart16.xml.rels><?xml version="1.0" encoding="UTF-8" standalone="yes"?>
<Relationships xmlns="http://schemas.openxmlformats.org/package/2006/relationships"><Relationship Id="rId3" Type="http://schemas.openxmlformats.org/officeDocument/2006/relationships/oleObject" Target="file:///D:\DOUTORAMENTO\PUBLICA&#199;&#213;ES\JOURNALS\2022%20Mattia%20-%20MUSE%20(Ongoing)\Models%20-%20MUSE\Analysis\1%20-%20Capacity_Charts.xlsx" TargetMode="External"/><Relationship Id="rId2" Type="http://schemas.microsoft.com/office/2011/relationships/chartColorStyle" Target="colors3.xml"/><Relationship Id="rId1" Type="http://schemas.microsoft.com/office/2011/relationships/chartStyle" Target="style3.xml"/></Relationships>
</file>

<file path=word/charts/_rels/chart17.xml.rels><?xml version="1.0" encoding="UTF-8" standalone="yes"?>
<Relationships xmlns="http://schemas.openxmlformats.org/package/2006/relationships"><Relationship Id="rId3" Type="http://schemas.openxmlformats.org/officeDocument/2006/relationships/oleObject" Target="file:///D:\DOUTORAMENTO\PUBLICA&#199;&#213;ES\JOURNALS\2022%20Mattia%20-%20MUSE%20(Ongoing)\Models%20-%20MUSE\Analysis\1%20-%20Capacity_Charts.xlsx" TargetMode="External"/><Relationship Id="rId2" Type="http://schemas.microsoft.com/office/2011/relationships/chartColorStyle" Target="colors4.xml"/><Relationship Id="rId1" Type="http://schemas.microsoft.com/office/2011/relationships/chartStyle" Target="style4.xml"/></Relationships>
</file>

<file path=word/charts/_rels/chart18.xml.rels><?xml version="1.0" encoding="UTF-8" standalone="yes"?>
<Relationships xmlns="http://schemas.openxmlformats.org/package/2006/relationships"><Relationship Id="rId3" Type="http://schemas.openxmlformats.org/officeDocument/2006/relationships/oleObject" Target="file:///D:\DOUTORAMENTO\PUBLICA&#199;&#213;ES\JOURNALS\2022%20Mattia%20-%20MUSE%20(Ongoing)\Models%20-%20MUSE\Analysis\1%20-%20Capacity_Charts.xlsx" TargetMode="External"/><Relationship Id="rId2" Type="http://schemas.microsoft.com/office/2011/relationships/chartColorStyle" Target="colors5.xml"/><Relationship Id="rId1" Type="http://schemas.microsoft.com/office/2011/relationships/chartStyle" Target="style5.xml"/></Relationships>
</file>

<file path=word/charts/_rels/chart19.xml.rels><?xml version="1.0" encoding="UTF-8" standalone="yes"?>
<Relationships xmlns="http://schemas.openxmlformats.org/package/2006/relationships"><Relationship Id="rId3" Type="http://schemas.openxmlformats.org/officeDocument/2006/relationships/oleObject" Target="file:///D:\DOUTORAMENTO\PUBLICA&#199;&#213;ES\JOURNALS\2022%20Mattia%20-%20MUSE%20(Ongoing)\Models%20-%20MUSE\Analysis\1%20-%20Capacity_Charts.xlsx" TargetMode="External"/><Relationship Id="rId2" Type="http://schemas.microsoft.com/office/2011/relationships/chartColorStyle" Target="colors6.xml"/><Relationship Id="rId1" Type="http://schemas.microsoft.com/office/2011/relationships/chartStyle" Target="style6.xml"/></Relationships>
</file>

<file path=word/charts/_rels/chart20.xml.rels><?xml version="1.0" encoding="UTF-8" standalone="yes"?>
<Relationships xmlns="http://schemas.openxmlformats.org/package/2006/relationships"><Relationship Id="rId3" Type="http://schemas.openxmlformats.org/officeDocument/2006/relationships/oleObject" Target="file:///D:\DOUTORAMENTO\PUBLICA&#199;&#213;ES\JOURNALS\2022%20Mattia%20-%20MUSE%20(Ongoing)\Models%20-%20MUSE\Analysis\1%20-%20Capacity_Charts.xlsx" TargetMode="External"/><Relationship Id="rId2" Type="http://schemas.microsoft.com/office/2011/relationships/chartColorStyle" Target="colors7.xml"/><Relationship Id="rId1" Type="http://schemas.microsoft.com/office/2011/relationships/chartStyle" Target="style7.xml"/></Relationships>
</file>

<file path=word/charts/_rels/chart21.xml.rels><?xml version="1.0" encoding="UTF-8" standalone="yes"?>
<Relationships xmlns="http://schemas.openxmlformats.org/package/2006/relationships"><Relationship Id="rId3" Type="http://schemas.openxmlformats.org/officeDocument/2006/relationships/oleObject" Target="file:///D:\DOUTORAMENTO\PUBLICA&#199;&#213;ES\JOURNALS\2022%20Mattia%20-%20MUSE%20(Ongoing)\Models%20-%20MUSE\Analysis\1%20-%20Capacity_Charts.xlsx" TargetMode="External"/><Relationship Id="rId2" Type="http://schemas.microsoft.com/office/2011/relationships/chartColorStyle" Target="colors8.xml"/><Relationship Id="rId1" Type="http://schemas.microsoft.com/office/2011/relationships/chartStyle" Target="style8.xml"/></Relationships>
</file>

<file path=word/charts/_rels/chart22.xml.rels><?xml version="1.0" encoding="UTF-8" standalone="yes"?>
<Relationships xmlns="http://schemas.openxmlformats.org/package/2006/relationships"><Relationship Id="rId3" Type="http://schemas.openxmlformats.org/officeDocument/2006/relationships/oleObject" Target="file:///C:\Users\AlaizeDall'Orsoletta\OneDrive\&#193;rea%20de%20Trabalho\PHD\PUBLICA&#199;&#213;ES\JOURNALS\2022%20ECM%20-%20Mattia%20(Submitted)\Models%20-%20MUSE\Analysis\4b%20-%20Emissions%20(CH4,%20NOX,%20CO2)_Charts.xlsx" TargetMode="External"/><Relationship Id="rId2" Type="http://schemas.microsoft.com/office/2011/relationships/chartColorStyle" Target="colors9.xml"/><Relationship Id="rId1" Type="http://schemas.microsoft.com/office/2011/relationships/chartStyle" Target="style9.xml"/></Relationships>
</file>

<file path=word/charts/_rels/chart23.xml.rels><?xml version="1.0" encoding="UTF-8" standalone="yes"?>
<Relationships xmlns="http://schemas.openxmlformats.org/package/2006/relationships"><Relationship Id="rId3" Type="http://schemas.openxmlformats.org/officeDocument/2006/relationships/oleObject" Target="file:///C:\Users\AlaizeDall'Orsoletta\OneDrive\&#193;rea%20de%20Trabalho\PHD\PUBLICA&#199;&#213;ES\JOURNALS\2022%20ECM%20-%20Mattia%20(Submitted)\Models%20-%20MUSE\Analysis\4b%20-%20Emissions%20(CH4,%20NOX,%20CO2)_Charts.xlsx" TargetMode="External"/><Relationship Id="rId2" Type="http://schemas.microsoft.com/office/2011/relationships/chartColorStyle" Target="colors10.xml"/><Relationship Id="rId1" Type="http://schemas.microsoft.com/office/2011/relationships/chartStyle" Target="style10.xml"/></Relationships>
</file>

<file path=word/charts/_rels/chart24.xml.rels><?xml version="1.0" encoding="UTF-8" standalone="yes"?>
<Relationships xmlns="http://schemas.openxmlformats.org/package/2006/relationships"><Relationship Id="rId3" Type="http://schemas.openxmlformats.org/officeDocument/2006/relationships/oleObject" Target="file:///C:\Users\AlaizeDall'Orsoletta\OneDrive\&#193;rea%20de%20Trabalho\PHD\PUBLICA&#199;&#213;ES\JOURNALS\2022%20ECM%20-%20Mattia%20(Submitted)\Models%20-%20MUSE\Analysis\4b%20-%20Emissions%20(CH4,%20NOX,%20CO2)_Charts.xlsx" TargetMode="External"/><Relationship Id="rId2" Type="http://schemas.microsoft.com/office/2011/relationships/chartColorStyle" Target="colors11.xml"/><Relationship Id="rId1" Type="http://schemas.microsoft.com/office/2011/relationships/chartStyle" Target="style1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00" b="1"/>
            </a:pPr>
            <a:r>
              <a:rPr lang="en-US" sz="900" b="1"/>
              <a:t>Tech Costs</a:t>
            </a:r>
          </a:p>
        </c:rich>
      </c:tx>
      <c:layout>
        <c:manualLayout>
          <c:xMode val="edge"/>
          <c:yMode val="edge"/>
          <c:x val="0.465180324681637"/>
          <c:y val="5.2985067207508153E-2"/>
        </c:manualLayout>
      </c:layout>
      <c:overlay val="0"/>
    </c:title>
    <c:autoTitleDeleted val="0"/>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
        <c:idx val="5"/>
        <c:marker>
          <c:symbol val="none"/>
        </c:marker>
      </c:pivotFmt>
      <c:pivotFmt>
        <c:idx val="6"/>
        <c:marker>
          <c:symbol val="none"/>
        </c:marker>
      </c:pivotFmt>
      <c:pivotFmt>
        <c:idx val="7"/>
        <c:marker>
          <c:symbol val="none"/>
        </c:marker>
      </c:pivotFmt>
      <c:pivotFmt>
        <c:idx val="8"/>
        <c:marker>
          <c:symbol val="none"/>
        </c:marker>
      </c:pivotFmt>
      <c:pivotFmt>
        <c:idx val="9"/>
        <c:marker>
          <c:symbol val="none"/>
        </c:marker>
      </c:pivotFmt>
      <c:pivotFmt>
        <c:idx val="10"/>
        <c:marker>
          <c:symbol val="none"/>
        </c:marker>
      </c:pivotFmt>
      <c:pivotFmt>
        <c:idx val="11"/>
        <c:marker>
          <c:symbol val="none"/>
        </c:marker>
      </c:pivotFmt>
      <c:pivotFmt>
        <c:idx val="12"/>
        <c:marker>
          <c:symbol val="none"/>
        </c:marker>
      </c:pivotFmt>
      <c:pivotFmt>
        <c:idx val="13"/>
        <c:marker>
          <c:symbol val="none"/>
        </c:marker>
      </c:pivotFmt>
      <c:pivotFmt>
        <c:idx val="14"/>
        <c:marker>
          <c:symbol val="none"/>
        </c:marker>
      </c:pivotFmt>
      <c:pivotFmt>
        <c:idx val="15"/>
        <c:marker>
          <c:symbol val="none"/>
        </c:marker>
      </c:pivotFmt>
      <c:pivotFmt>
        <c:idx val="16"/>
        <c:marker>
          <c:symbol val="none"/>
        </c:marker>
      </c:pivotFmt>
      <c:pivotFmt>
        <c:idx val="17"/>
        <c:marker>
          <c:symbol val="none"/>
        </c:marker>
      </c:pivotFmt>
      <c:pivotFmt>
        <c:idx val="18"/>
        <c:marker>
          <c:symbol val="none"/>
        </c:marker>
      </c:pivotFmt>
      <c:pivotFmt>
        <c:idx val="19"/>
        <c:marker>
          <c:symbol val="none"/>
        </c:marker>
      </c:pivotFmt>
      <c:pivotFmt>
        <c:idx val="20"/>
        <c:marker>
          <c:symbol val="none"/>
        </c:marker>
      </c:pivotFmt>
      <c:pivotFmt>
        <c:idx val="21"/>
        <c:marker>
          <c:symbol val="none"/>
        </c:marker>
      </c:pivotFmt>
      <c:pivotFmt>
        <c:idx val="22"/>
        <c:marker>
          <c:symbol val="none"/>
        </c:marker>
      </c:pivotFmt>
      <c:pivotFmt>
        <c:idx val="23"/>
        <c:marker>
          <c:symbol val="none"/>
        </c:marker>
      </c:pivotFmt>
      <c:pivotFmt>
        <c:idx val="24"/>
        <c:marker>
          <c:symbol val="none"/>
        </c:marker>
      </c:pivotFmt>
      <c:pivotFmt>
        <c:idx val="25"/>
        <c:marker>
          <c:symbol val="none"/>
        </c:marker>
      </c:pivotFmt>
      <c:pivotFmt>
        <c:idx val="26"/>
        <c:marker>
          <c:symbol val="none"/>
        </c:marker>
      </c:pivotFmt>
      <c:pivotFmt>
        <c:idx val="27"/>
        <c:marker>
          <c:symbol val="none"/>
        </c:marker>
      </c:pivotFmt>
      <c:pivotFmt>
        <c:idx val="28"/>
        <c:marker>
          <c:symbol val="none"/>
        </c:marker>
      </c:pivotFmt>
      <c:pivotFmt>
        <c:idx val="29"/>
        <c:marker>
          <c:symbol val="none"/>
        </c:marker>
      </c:pivotFmt>
      <c:pivotFmt>
        <c:idx val="30"/>
        <c:marker>
          <c:symbol val="none"/>
        </c:marker>
      </c:pivotFmt>
      <c:pivotFmt>
        <c:idx val="31"/>
        <c:marker>
          <c:symbol val="none"/>
        </c:marker>
      </c:pivotFmt>
      <c:pivotFmt>
        <c:idx val="32"/>
        <c:marker>
          <c:symbol val="none"/>
        </c:marker>
      </c:pivotFmt>
      <c:pivotFmt>
        <c:idx val="33"/>
        <c:marker>
          <c:symbol val="none"/>
        </c:marker>
      </c:pivotFmt>
      <c:pivotFmt>
        <c:idx val="34"/>
        <c:marker>
          <c:symbol val="none"/>
        </c:marker>
      </c:pivotFmt>
      <c:pivotFmt>
        <c:idx val="35"/>
        <c:marker>
          <c:symbol val="none"/>
        </c:marker>
      </c:pivotFmt>
      <c:pivotFmt>
        <c:idx val="36"/>
        <c:marker>
          <c:symbol val="none"/>
        </c:marker>
      </c:pivotFmt>
      <c:pivotFmt>
        <c:idx val="37"/>
        <c:marker>
          <c:symbol val="none"/>
        </c:marker>
      </c:pivotFmt>
      <c:pivotFmt>
        <c:idx val="38"/>
        <c:marker>
          <c:symbol val="none"/>
        </c:marker>
      </c:pivotFmt>
      <c:pivotFmt>
        <c:idx val="39"/>
        <c:marker>
          <c:symbol val="none"/>
        </c:marker>
      </c:pivotFmt>
      <c:pivotFmt>
        <c:idx val="40"/>
        <c:marker>
          <c:symbol val="none"/>
        </c:marker>
      </c:pivotFmt>
      <c:pivotFmt>
        <c:idx val="41"/>
        <c:marker>
          <c:symbol val="none"/>
        </c:marker>
      </c:pivotFmt>
      <c:pivotFmt>
        <c:idx val="42"/>
        <c:marker>
          <c:symbol val="none"/>
        </c:marker>
      </c:pivotFmt>
      <c:pivotFmt>
        <c:idx val="43"/>
        <c:marker>
          <c:symbol val="none"/>
        </c:marker>
      </c:pivotFmt>
      <c:pivotFmt>
        <c:idx val="44"/>
        <c:marker>
          <c:symbol val="none"/>
        </c:marker>
      </c:pivotFmt>
      <c:pivotFmt>
        <c:idx val="45"/>
        <c:marker>
          <c:symbol val="none"/>
        </c:marker>
      </c:pivotFmt>
      <c:pivotFmt>
        <c:idx val="46"/>
        <c:marker>
          <c:symbol val="none"/>
        </c:marker>
      </c:pivotFmt>
      <c:pivotFmt>
        <c:idx val="47"/>
        <c:marker>
          <c:symbol val="none"/>
        </c:marker>
      </c:pivotFmt>
      <c:pivotFmt>
        <c:idx val="48"/>
        <c:marker>
          <c:symbol val="none"/>
        </c:marker>
      </c:pivotFmt>
      <c:pivotFmt>
        <c:idx val="49"/>
        <c:marker>
          <c:symbol val="none"/>
        </c:marker>
      </c:pivotFmt>
      <c:pivotFmt>
        <c:idx val="50"/>
        <c:marker>
          <c:symbol val="none"/>
        </c:marker>
      </c:pivotFmt>
      <c:pivotFmt>
        <c:idx val="51"/>
        <c:marker>
          <c:symbol val="none"/>
        </c:marker>
      </c:pivotFmt>
      <c:pivotFmt>
        <c:idx val="52"/>
        <c:marker>
          <c:symbol val="none"/>
        </c:marker>
      </c:pivotFmt>
      <c:pivotFmt>
        <c:idx val="53"/>
        <c:marker>
          <c:symbol val="none"/>
        </c:marker>
      </c:pivotFmt>
      <c:pivotFmt>
        <c:idx val="54"/>
        <c:marker>
          <c:symbol val="none"/>
        </c:marker>
      </c:pivotFmt>
      <c:pivotFmt>
        <c:idx val="55"/>
        <c:marker>
          <c:symbol val="none"/>
        </c:marker>
      </c:pivotFmt>
    </c:pivotFmts>
    <c:plotArea>
      <c:layout>
        <c:manualLayout>
          <c:layoutTarget val="inner"/>
          <c:xMode val="edge"/>
          <c:yMode val="edge"/>
          <c:x val="0.18318784226045817"/>
          <c:y val="0.15936201233603528"/>
          <c:w val="0.80949483166456027"/>
          <c:h val="0.75078427236630763"/>
        </c:manualLayout>
      </c:layout>
      <c:barChart>
        <c:barDir val="col"/>
        <c:grouping val="clustered"/>
        <c:varyColors val="0"/>
        <c:ser>
          <c:idx val="0"/>
          <c:order val="0"/>
          <c:tx>
            <c:v>Heavy trucks - Battery Electric</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15.096153846153847</c:v>
              </c:pt>
              <c:pt idx="1">
                <c:v>7.8846153846153859</c:v>
              </c:pt>
              <c:pt idx="2">
                <c:v>4.3269230769230766</c:v>
              </c:pt>
              <c:pt idx="3">
                <c:v>0</c:v>
              </c:pt>
              <c:pt idx="4">
                <c:v>0</c:v>
              </c:pt>
              <c:pt idx="5">
                <c:v>0</c:v>
              </c:pt>
              <c:pt idx="6">
                <c:v>0</c:v>
              </c:pt>
            </c:numLit>
          </c:val>
          <c:extLst>
            <c:ext xmlns:c16="http://schemas.microsoft.com/office/drawing/2014/chart" uri="{C3380CC4-5D6E-409C-BE32-E72D297353CC}">
              <c16:uniqueId val="{00000000-DF0C-42E3-A8B4-EDF1971857E6}"/>
            </c:ext>
          </c:extLst>
        </c:ser>
        <c:ser>
          <c:idx val="1"/>
          <c:order val="1"/>
          <c:tx>
            <c:v>Heavy trucks - Conventional diesel</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23407.788461538465</c:v>
              </c:pt>
              <c:pt idx="1">
                <c:v>0</c:v>
              </c:pt>
              <c:pt idx="2">
                <c:v>0</c:v>
              </c:pt>
              <c:pt idx="3">
                <c:v>0</c:v>
              </c:pt>
              <c:pt idx="4">
                <c:v>0</c:v>
              </c:pt>
              <c:pt idx="5">
                <c:v>0</c:v>
              </c:pt>
              <c:pt idx="6">
                <c:v>0</c:v>
              </c:pt>
            </c:numLit>
          </c:val>
          <c:extLst>
            <c:ext xmlns:c16="http://schemas.microsoft.com/office/drawing/2014/chart" uri="{C3380CC4-5D6E-409C-BE32-E72D297353CC}">
              <c16:uniqueId val="{00000001-DF0C-42E3-A8B4-EDF1971857E6}"/>
            </c:ext>
          </c:extLst>
        </c:ser>
        <c:ser>
          <c:idx val="2"/>
          <c:order val="2"/>
          <c:tx>
            <c:v>Heavy trucks - Conventional diesel_High Efficiency</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85835.384615384624</c:v>
              </c:pt>
              <c:pt idx="1">
                <c:v>188964.32692307694</c:v>
              </c:pt>
              <c:pt idx="2">
                <c:v>181229.32692307694</c:v>
              </c:pt>
              <c:pt idx="3">
                <c:v>190597.7884615385</c:v>
              </c:pt>
              <c:pt idx="4">
                <c:v>215107.50000000003</c:v>
              </c:pt>
              <c:pt idx="5">
                <c:v>247746.82692307697</c:v>
              </c:pt>
              <c:pt idx="6">
                <c:v>246688.36538461543</c:v>
              </c:pt>
            </c:numLit>
          </c:val>
          <c:extLst>
            <c:ext xmlns:c16="http://schemas.microsoft.com/office/drawing/2014/chart" uri="{C3380CC4-5D6E-409C-BE32-E72D297353CC}">
              <c16:uniqueId val="{00000002-DF0C-42E3-A8B4-EDF1971857E6}"/>
            </c:ext>
          </c:extLst>
        </c:ser>
        <c:ser>
          <c:idx val="3"/>
          <c:order val="3"/>
          <c:tx>
            <c:v>Heavy trucks - Conventional diesel_Medium Efficiency</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28948.653846153848</c:v>
              </c:pt>
              <c:pt idx="1">
                <c:v>0</c:v>
              </c:pt>
              <c:pt idx="2">
                <c:v>0</c:v>
              </c:pt>
              <c:pt idx="3">
                <c:v>0</c:v>
              </c:pt>
              <c:pt idx="4">
                <c:v>0</c:v>
              </c:pt>
              <c:pt idx="5">
                <c:v>0</c:v>
              </c:pt>
              <c:pt idx="6">
                <c:v>0</c:v>
              </c:pt>
            </c:numLit>
          </c:val>
          <c:extLst>
            <c:ext xmlns:c16="http://schemas.microsoft.com/office/drawing/2014/chart" uri="{C3380CC4-5D6E-409C-BE32-E72D297353CC}">
              <c16:uniqueId val="{00000003-DF0C-42E3-A8B4-EDF1971857E6}"/>
            </c:ext>
          </c:extLst>
        </c:ser>
        <c:ser>
          <c:idx val="4"/>
          <c:order val="4"/>
          <c:tx>
            <c:v>Heavy trucks - Conventional gasoline</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113.94230769230769</c:v>
              </c:pt>
              <c:pt idx="1">
                <c:v>9.3269230769230784</c:v>
              </c:pt>
              <c:pt idx="2">
                <c:v>3.5576923076923084</c:v>
              </c:pt>
              <c:pt idx="3">
                <c:v>0</c:v>
              </c:pt>
              <c:pt idx="4">
                <c:v>0</c:v>
              </c:pt>
              <c:pt idx="5">
                <c:v>0</c:v>
              </c:pt>
              <c:pt idx="6">
                <c:v>0</c:v>
              </c:pt>
            </c:numLit>
          </c:val>
          <c:extLst>
            <c:ext xmlns:c16="http://schemas.microsoft.com/office/drawing/2014/chart" uri="{C3380CC4-5D6E-409C-BE32-E72D297353CC}">
              <c16:uniqueId val="{00000004-DF0C-42E3-A8B4-EDF1971857E6}"/>
            </c:ext>
          </c:extLst>
        </c:ser>
        <c:ser>
          <c:idx val="5"/>
          <c:order val="5"/>
          <c:tx>
            <c:v>Heavy trucks - LPG</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29.423076923076923</c:v>
              </c:pt>
              <c:pt idx="1">
                <c:v>8572.0192307692305</c:v>
              </c:pt>
              <c:pt idx="2">
                <c:v>24741.346153846156</c:v>
              </c:pt>
              <c:pt idx="3">
                <c:v>24737.115384615387</c:v>
              </c:pt>
              <c:pt idx="4">
                <c:v>16177.98076923077</c:v>
              </c:pt>
              <c:pt idx="5">
                <c:v>0</c:v>
              </c:pt>
              <c:pt idx="6">
                <c:v>0</c:v>
              </c:pt>
            </c:numLit>
          </c:val>
          <c:extLst>
            <c:ext xmlns:c16="http://schemas.microsoft.com/office/drawing/2014/chart" uri="{C3380CC4-5D6E-409C-BE32-E72D297353CC}">
              <c16:uniqueId val="{00000005-DF0C-42E3-A8B4-EDF1971857E6}"/>
            </c:ext>
          </c:extLst>
        </c:ser>
        <c:ser>
          <c:idx val="6"/>
          <c:order val="6"/>
          <c:tx>
            <c:v>Heavy trucks - Natural gas</c:v>
          </c:tx>
          <c:spPr>
            <a:solidFill>
              <a:srgbClr val="7030A0"/>
            </a:solidFill>
          </c:spPr>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1761.9230769230771</c:v>
              </c:pt>
              <c:pt idx="1">
                <c:v>1759.7115384615386</c:v>
              </c:pt>
              <c:pt idx="2">
                <c:v>1480.8653846153848</c:v>
              </c:pt>
              <c:pt idx="3">
                <c:v>0</c:v>
              </c:pt>
              <c:pt idx="4">
                <c:v>0</c:v>
              </c:pt>
              <c:pt idx="5">
                <c:v>0</c:v>
              </c:pt>
              <c:pt idx="6">
                <c:v>0</c:v>
              </c:pt>
            </c:numLit>
          </c:val>
          <c:extLst>
            <c:ext xmlns:c16="http://schemas.microsoft.com/office/drawing/2014/chart" uri="{C3380CC4-5D6E-409C-BE32-E72D297353CC}">
              <c16:uniqueId val="{00000006-DF0C-42E3-A8B4-EDF1971857E6}"/>
            </c:ext>
          </c:extLst>
        </c:ser>
        <c:dLbls>
          <c:showLegendKey val="0"/>
          <c:showVal val="0"/>
          <c:showCatName val="0"/>
          <c:showSerName val="0"/>
          <c:showPercent val="0"/>
          <c:showBubbleSize val="0"/>
        </c:dLbls>
        <c:gapWidth val="150"/>
        <c:axId val="324643647"/>
        <c:axId val="324639071"/>
      </c:barChart>
      <c:catAx>
        <c:axId val="324643647"/>
        <c:scaling>
          <c:orientation val="minMax"/>
        </c:scaling>
        <c:delete val="0"/>
        <c:axPos val="b"/>
        <c:numFmt formatCode="General" sourceLinked="1"/>
        <c:majorTickMark val="out"/>
        <c:minorTickMark val="none"/>
        <c:tickLblPos val="nextTo"/>
        <c:txPr>
          <a:bodyPr/>
          <a:lstStyle/>
          <a:p>
            <a:pPr>
              <a:defRPr sz="800"/>
            </a:pPr>
            <a:endParaRPr lang="en-US"/>
          </a:p>
        </c:txPr>
        <c:crossAx val="324639071"/>
        <c:crosses val="autoZero"/>
        <c:auto val="1"/>
        <c:lblAlgn val="ctr"/>
        <c:lblOffset val="100"/>
        <c:tickLblSkip val="2"/>
        <c:noMultiLvlLbl val="0"/>
      </c:catAx>
      <c:valAx>
        <c:axId val="324639071"/>
        <c:scaling>
          <c:orientation val="minMax"/>
        </c:scaling>
        <c:delete val="0"/>
        <c:axPos val="l"/>
        <c:majorGridlines/>
        <c:title>
          <c:tx>
            <c:rich>
              <a:bodyPr/>
              <a:lstStyle/>
              <a:p>
                <a:pPr>
                  <a:defRPr sz="800"/>
                </a:pPr>
                <a:r>
                  <a:rPr lang="en-US" sz="800" b="0" i="0" baseline="0">
                    <a:effectLst/>
                  </a:rPr>
                  <a:t>Number of trucks (Millions)</a:t>
                </a:r>
                <a:endParaRPr lang="en-US" sz="800">
                  <a:effectLst/>
                </a:endParaRPr>
              </a:p>
            </c:rich>
          </c:tx>
          <c:overlay val="0"/>
        </c:title>
        <c:numFmt formatCode="General" sourceLinked="1"/>
        <c:majorTickMark val="out"/>
        <c:minorTickMark val="none"/>
        <c:tickLblPos val="nextTo"/>
        <c:txPr>
          <a:bodyPr/>
          <a:lstStyle/>
          <a:p>
            <a:pPr>
              <a:defRPr sz="800"/>
            </a:pPr>
            <a:endParaRPr lang="en-US"/>
          </a:p>
        </c:txPr>
        <c:crossAx val="324643647"/>
        <c:crosses val="autoZero"/>
        <c:crossBetween val="between"/>
        <c:dispUnits>
          <c:builtInUnit val="millions"/>
        </c:dispUnits>
      </c:valAx>
    </c:plotArea>
    <c:plotVisOnly val="1"/>
    <c:dispBlanksAs val="gap"/>
    <c:showDLblsOverMax val="0"/>
  </c:chart>
  <c:spPr>
    <a:solidFill>
      <a:schemeClr val="bg1"/>
    </a:solidFill>
    <a:ln>
      <a:noFill/>
    </a:ln>
  </c:spPr>
  <c:txPr>
    <a:bodyPr/>
    <a:lstStyle/>
    <a:p>
      <a:pPr>
        <a:defRPr>
          <a:latin typeface="Arial" panose="020B0604020202020204" pitchFamily="34" charset="0"/>
          <a:cs typeface="Arial" panose="020B0604020202020204" pitchFamily="34" charset="0"/>
        </a:defRPr>
      </a:pPr>
      <a:endParaRPr lang="en-US"/>
    </a:p>
  </c:txPr>
  <c:externalData r:id="rId1">
    <c:autoUpdate val="0"/>
  </c:externalData>
  <c:extLst/>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a:defRPr sz="900" b="1"/>
            </a:pPr>
            <a:r>
              <a:rPr lang="en-US" sz="900" b="1"/>
              <a:t>Reference</a:t>
            </a:r>
          </a:p>
        </c:rich>
      </c:tx>
      <c:layout>
        <c:manualLayout>
          <c:xMode val="edge"/>
          <c:yMode val="edge"/>
          <c:x val="0.47705254515599338"/>
          <c:y val="4.7072668431891736E-2"/>
        </c:manualLayout>
      </c:layout>
      <c:overlay val="0"/>
    </c:title>
    <c:autoTitleDeleted val="0"/>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
        <c:idx val="5"/>
        <c:marker>
          <c:symbol val="none"/>
        </c:marker>
      </c:pivotFmt>
      <c:pivotFmt>
        <c:idx val="6"/>
        <c:marker>
          <c:symbol val="none"/>
        </c:marker>
      </c:pivotFmt>
      <c:pivotFmt>
        <c:idx val="7"/>
        <c:marker>
          <c:symbol val="none"/>
        </c:marker>
      </c:pivotFmt>
      <c:pivotFmt>
        <c:idx val="8"/>
        <c:marker>
          <c:symbol val="none"/>
        </c:marker>
      </c:pivotFmt>
      <c:pivotFmt>
        <c:idx val="9"/>
        <c:marker>
          <c:symbol val="none"/>
        </c:marker>
      </c:pivotFmt>
      <c:pivotFmt>
        <c:idx val="10"/>
        <c:marker>
          <c:symbol val="none"/>
        </c:marker>
      </c:pivotFmt>
      <c:pivotFmt>
        <c:idx val="11"/>
        <c:marker>
          <c:symbol val="none"/>
        </c:marker>
      </c:pivotFmt>
      <c:pivotFmt>
        <c:idx val="12"/>
        <c:marker>
          <c:symbol val="none"/>
        </c:marker>
      </c:pivotFmt>
      <c:pivotFmt>
        <c:idx val="13"/>
        <c:marker>
          <c:symbol val="none"/>
        </c:marker>
      </c:pivotFmt>
      <c:pivotFmt>
        <c:idx val="14"/>
        <c:marker>
          <c:symbol val="none"/>
        </c:marker>
      </c:pivotFmt>
      <c:pivotFmt>
        <c:idx val="15"/>
        <c:marker>
          <c:symbol val="none"/>
        </c:marker>
      </c:pivotFmt>
      <c:pivotFmt>
        <c:idx val="16"/>
        <c:marker>
          <c:symbol val="none"/>
        </c:marker>
      </c:pivotFmt>
      <c:pivotFmt>
        <c:idx val="17"/>
        <c:marker>
          <c:symbol val="none"/>
        </c:marker>
      </c:pivotFmt>
      <c:pivotFmt>
        <c:idx val="18"/>
        <c:marker>
          <c:symbol val="none"/>
        </c:marker>
      </c:pivotFmt>
      <c:pivotFmt>
        <c:idx val="19"/>
        <c:marker>
          <c:symbol val="none"/>
        </c:marker>
      </c:pivotFmt>
      <c:pivotFmt>
        <c:idx val="20"/>
        <c:marker>
          <c:symbol val="none"/>
        </c:marker>
      </c:pivotFmt>
      <c:pivotFmt>
        <c:idx val="21"/>
        <c:marker>
          <c:symbol val="none"/>
        </c:marker>
      </c:pivotFmt>
      <c:pivotFmt>
        <c:idx val="22"/>
        <c:marker>
          <c:symbol val="none"/>
        </c:marker>
      </c:pivotFmt>
      <c:pivotFmt>
        <c:idx val="23"/>
        <c:marker>
          <c:symbol val="none"/>
        </c:marker>
      </c:pivotFmt>
      <c:pivotFmt>
        <c:idx val="24"/>
        <c:marker>
          <c:symbol val="none"/>
        </c:marker>
      </c:pivotFmt>
      <c:pivotFmt>
        <c:idx val="25"/>
        <c:marker>
          <c:symbol val="none"/>
        </c:marker>
      </c:pivotFmt>
      <c:pivotFmt>
        <c:idx val="26"/>
        <c:marker>
          <c:symbol val="none"/>
        </c:marker>
      </c:pivotFmt>
      <c:pivotFmt>
        <c:idx val="27"/>
        <c:marker>
          <c:symbol val="none"/>
        </c:marker>
      </c:pivotFmt>
      <c:pivotFmt>
        <c:idx val="28"/>
        <c:marker>
          <c:symbol val="none"/>
        </c:marker>
      </c:pivotFmt>
      <c:pivotFmt>
        <c:idx val="29"/>
        <c:marker>
          <c:symbol val="none"/>
        </c:marker>
      </c:pivotFmt>
      <c:pivotFmt>
        <c:idx val="30"/>
        <c:marker>
          <c:symbol val="none"/>
        </c:marker>
      </c:pivotFmt>
      <c:pivotFmt>
        <c:idx val="31"/>
        <c:marker>
          <c:symbol val="none"/>
        </c:marker>
      </c:pivotFmt>
      <c:pivotFmt>
        <c:idx val="32"/>
        <c:marker>
          <c:symbol val="none"/>
        </c:marker>
      </c:pivotFmt>
      <c:pivotFmt>
        <c:idx val="33"/>
        <c:marker>
          <c:symbol val="none"/>
        </c:marker>
      </c:pivotFmt>
      <c:pivotFmt>
        <c:idx val="34"/>
        <c:marker>
          <c:symbol val="none"/>
        </c:marker>
      </c:pivotFmt>
      <c:pivotFmt>
        <c:idx val="35"/>
        <c:marker>
          <c:symbol val="none"/>
        </c:marker>
      </c:pivotFmt>
      <c:pivotFmt>
        <c:idx val="36"/>
        <c:marker>
          <c:symbol val="none"/>
        </c:marker>
      </c:pivotFmt>
      <c:pivotFmt>
        <c:idx val="37"/>
        <c:marker>
          <c:symbol val="none"/>
        </c:marker>
      </c:pivotFmt>
      <c:pivotFmt>
        <c:idx val="38"/>
        <c:marker>
          <c:symbol val="none"/>
        </c:marker>
      </c:pivotFmt>
      <c:pivotFmt>
        <c:idx val="39"/>
        <c:marker>
          <c:symbol val="none"/>
        </c:marker>
      </c:pivotFmt>
      <c:pivotFmt>
        <c:idx val="40"/>
        <c:marker>
          <c:symbol val="none"/>
        </c:marker>
      </c:pivotFmt>
      <c:pivotFmt>
        <c:idx val="41"/>
        <c:marker>
          <c:symbol val="none"/>
        </c:marker>
      </c:pivotFmt>
      <c:pivotFmt>
        <c:idx val="42"/>
        <c:marker>
          <c:symbol val="none"/>
        </c:marker>
      </c:pivotFmt>
      <c:pivotFmt>
        <c:idx val="43"/>
        <c:marker>
          <c:symbol val="none"/>
        </c:marker>
      </c:pivotFmt>
      <c:pivotFmt>
        <c:idx val="44"/>
        <c:marker>
          <c:symbol val="none"/>
        </c:marker>
      </c:pivotFmt>
      <c:pivotFmt>
        <c:idx val="45"/>
        <c:marker>
          <c:symbol val="none"/>
        </c:marker>
      </c:pivotFmt>
      <c:pivotFmt>
        <c:idx val="46"/>
        <c:marker>
          <c:symbol val="none"/>
        </c:marker>
      </c:pivotFmt>
      <c:pivotFmt>
        <c:idx val="47"/>
        <c:marker>
          <c:symbol val="none"/>
        </c:marker>
      </c:pivotFmt>
      <c:pivotFmt>
        <c:idx val="48"/>
        <c:marker>
          <c:symbol val="none"/>
        </c:marker>
      </c:pivotFmt>
      <c:pivotFmt>
        <c:idx val="49"/>
        <c:marker>
          <c:symbol val="none"/>
        </c:marker>
      </c:pivotFmt>
      <c:pivotFmt>
        <c:idx val="50"/>
        <c:marker>
          <c:symbol val="none"/>
        </c:marker>
      </c:pivotFmt>
      <c:pivotFmt>
        <c:idx val="51"/>
        <c:marker>
          <c:symbol val="none"/>
        </c:marker>
      </c:pivotFmt>
      <c:pivotFmt>
        <c:idx val="52"/>
        <c:marker>
          <c:symbol val="none"/>
        </c:marker>
      </c:pivotFmt>
      <c:pivotFmt>
        <c:idx val="53"/>
        <c:marker>
          <c:symbol val="none"/>
        </c:marker>
      </c:pivotFmt>
      <c:pivotFmt>
        <c:idx val="54"/>
        <c:marker>
          <c:symbol val="none"/>
        </c:marker>
      </c:pivotFmt>
      <c:pivotFmt>
        <c:idx val="55"/>
        <c:marker>
          <c:symbol val="none"/>
        </c:marker>
      </c:pivotFmt>
    </c:pivotFmts>
    <c:plotArea>
      <c:layout>
        <c:manualLayout>
          <c:layoutTarget val="inner"/>
          <c:xMode val="edge"/>
          <c:yMode val="edge"/>
          <c:x val="0.18804933866025364"/>
          <c:y val="0.16431539807524059"/>
          <c:w val="0.80314378806097508"/>
          <c:h val="0.73533265728147623"/>
        </c:manualLayout>
      </c:layout>
      <c:barChart>
        <c:barDir val="col"/>
        <c:grouping val="clustered"/>
        <c:varyColors val="0"/>
        <c:ser>
          <c:idx val="0"/>
          <c:order val="0"/>
          <c:tx>
            <c:v>Heavy trucks - Battery Electric</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15.096153846153847</c:v>
              </c:pt>
              <c:pt idx="1">
                <c:v>7.8846153846153859</c:v>
              </c:pt>
              <c:pt idx="2">
                <c:v>4.3269230769230766</c:v>
              </c:pt>
              <c:pt idx="3">
                <c:v>0</c:v>
              </c:pt>
              <c:pt idx="4">
                <c:v>0</c:v>
              </c:pt>
              <c:pt idx="5">
                <c:v>0</c:v>
              </c:pt>
              <c:pt idx="6">
                <c:v>0</c:v>
              </c:pt>
            </c:numLit>
          </c:val>
          <c:extLst>
            <c:ext xmlns:c16="http://schemas.microsoft.com/office/drawing/2014/chart" uri="{C3380CC4-5D6E-409C-BE32-E72D297353CC}">
              <c16:uniqueId val="{00000000-6762-487A-9823-63FCD5CE9023}"/>
            </c:ext>
          </c:extLst>
        </c:ser>
        <c:ser>
          <c:idx val="1"/>
          <c:order val="1"/>
          <c:tx>
            <c:v>Heavy trucks - Conventional diesel</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23407.788461538465</c:v>
              </c:pt>
              <c:pt idx="1">
                <c:v>0</c:v>
              </c:pt>
              <c:pt idx="2">
                <c:v>0</c:v>
              </c:pt>
              <c:pt idx="3">
                <c:v>0</c:v>
              </c:pt>
              <c:pt idx="4">
                <c:v>0</c:v>
              </c:pt>
              <c:pt idx="5">
                <c:v>0</c:v>
              </c:pt>
              <c:pt idx="6">
                <c:v>0</c:v>
              </c:pt>
            </c:numLit>
          </c:val>
          <c:extLst>
            <c:ext xmlns:c16="http://schemas.microsoft.com/office/drawing/2014/chart" uri="{C3380CC4-5D6E-409C-BE32-E72D297353CC}">
              <c16:uniqueId val="{00000001-6762-487A-9823-63FCD5CE9023}"/>
            </c:ext>
          </c:extLst>
        </c:ser>
        <c:ser>
          <c:idx val="2"/>
          <c:order val="2"/>
          <c:tx>
            <c:v>Heavy trucks - Conventional diesel_High Efficiency</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85835.384615384624</c:v>
              </c:pt>
              <c:pt idx="1">
                <c:v>188964.32692307694</c:v>
              </c:pt>
              <c:pt idx="2">
                <c:v>181229.32692307694</c:v>
              </c:pt>
              <c:pt idx="3">
                <c:v>108363.75000000001</c:v>
              </c:pt>
              <c:pt idx="4">
                <c:v>0</c:v>
              </c:pt>
              <c:pt idx="5">
                <c:v>0</c:v>
              </c:pt>
              <c:pt idx="6">
                <c:v>0</c:v>
              </c:pt>
            </c:numLit>
          </c:val>
          <c:extLst>
            <c:ext xmlns:c16="http://schemas.microsoft.com/office/drawing/2014/chart" uri="{C3380CC4-5D6E-409C-BE32-E72D297353CC}">
              <c16:uniqueId val="{00000002-6762-487A-9823-63FCD5CE9023}"/>
            </c:ext>
          </c:extLst>
        </c:ser>
        <c:ser>
          <c:idx val="3"/>
          <c:order val="3"/>
          <c:tx>
            <c:v>Heavy trucks - Conventional diesel_Medium Efficiency</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28948.653846153848</c:v>
              </c:pt>
              <c:pt idx="1">
                <c:v>0</c:v>
              </c:pt>
              <c:pt idx="2">
                <c:v>0</c:v>
              </c:pt>
              <c:pt idx="3">
                <c:v>0</c:v>
              </c:pt>
              <c:pt idx="4">
                <c:v>0</c:v>
              </c:pt>
              <c:pt idx="5">
                <c:v>0</c:v>
              </c:pt>
              <c:pt idx="6">
                <c:v>0</c:v>
              </c:pt>
            </c:numLit>
          </c:val>
          <c:extLst>
            <c:ext xmlns:c16="http://schemas.microsoft.com/office/drawing/2014/chart" uri="{C3380CC4-5D6E-409C-BE32-E72D297353CC}">
              <c16:uniqueId val="{00000003-6762-487A-9823-63FCD5CE9023}"/>
            </c:ext>
          </c:extLst>
        </c:ser>
        <c:ser>
          <c:idx val="4"/>
          <c:order val="4"/>
          <c:tx>
            <c:v>Heavy trucks - Conventional gasoline</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113.94230769230769</c:v>
              </c:pt>
              <c:pt idx="1">
                <c:v>9.3269230769230784</c:v>
              </c:pt>
              <c:pt idx="2">
                <c:v>3.5576923076923084</c:v>
              </c:pt>
              <c:pt idx="3">
                <c:v>0</c:v>
              </c:pt>
              <c:pt idx="4">
                <c:v>0</c:v>
              </c:pt>
              <c:pt idx="5">
                <c:v>0</c:v>
              </c:pt>
              <c:pt idx="6">
                <c:v>0</c:v>
              </c:pt>
            </c:numLit>
          </c:val>
          <c:extLst>
            <c:ext xmlns:c16="http://schemas.microsoft.com/office/drawing/2014/chart" uri="{C3380CC4-5D6E-409C-BE32-E72D297353CC}">
              <c16:uniqueId val="{00000004-6762-487A-9823-63FCD5CE9023}"/>
            </c:ext>
          </c:extLst>
        </c:ser>
        <c:ser>
          <c:idx val="5"/>
          <c:order val="5"/>
          <c:tx>
            <c:v>Heavy trucks - LPG</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29.423076923076923</c:v>
              </c:pt>
              <c:pt idx="1">
                <c:v>8572.0192307692305</c:v>
              </c:pt>
              <c:pt idx="2">
                <c:v>24741.346153846156</c:v>
              </c:pt>
              <c:pt idx="3">
                <c:v>106971.15384615384</c:v>
              </c:pt>
              <c:pt idx="4">
                <c:v>231285.48076923081</c:v>
              </c:pt>
              <c:pt idx="5">
                <c:v>247746.82692307697</c:v>
              </c:pt>
              <c:pt idx="6">
                <c:v>246688.36538461543</c:v>
              </c:pt>
            </c:numLit>
          </c:val>
          <c:extLst>
            <c:ext xmlns:c16="http://schemas.microsoft.com/office/drawing/2014/chart" uri="{C3380CC4-5D6E-409C-BE32-E72D297353CC}">
              <c16:uniqueId val="{00000005-6762-487A-9823-63FCD5CE9023}"/>
            </c:ext>
          </c:extLst>
        </c:ser>
        <c:ser>
          <c:idx val="6"/>
          <c:order val="6"/>
          <c:tx>
            <c:v>Heavy trucks - Natural gas</c:v>
          </c:tx>
          <c:spPr>
            <a:solidFill>
              <a:srgbClr val="7030A0"/>
            </a:solidFill>
          </c:spPr>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1761.9230769230771</c:v>
              </c:pt>
              <c:pt idx="1">
                <c:v>1759.7115384615386</c:v>
              </c:pt>
              <c:pt idx="2">
                <c:v>1480.8653846153848</c:v>
              </c:pt>
              <c:pt idx="3">
                <c:v>0</c:v>
              </c:pt>
              <c:pt idx="4">
                <c:v>0</c:v>
              </c:pt>
              <c:pt idx="5">
                <c:v>0</c:v>
              </c:pt>
              <c:pt idx="6">
                <c:v>0</c:v>
              </c:pt>
            </c:numLit>
          </c:val>
          <c:extLst>
            <c:ext xmlns:c16="http://schemas.microsoft.com/office/drawing/2014/chart" uri="{C3380CC4-5D6E-409C-BE32-E72D297353CC}">
              <c16:uniqueId val="{00000006-6762-487A-9823-63FCD5CE9023}"/>
            </c:ext>
          </c:extLst>
        </c:ser>
        <c:dLbls>
          <c:showLegendKey val="0"/>
          <c:showVal val="0"/>
          <c:showCatName val="0"/>
          <c:showSerName val="0"/>
          <c:showPercent val="0"/>
          <c:showBubbleSize val="0"/>
        </c:dLbls>
        <c:gapWidth val="150"/>
        <c:axId val="324643647"/>
        <c:axId val="324639071"/>
      </c:barChart>
      <c:catAx>
        <c:axId val="324643647"/>
        <c:scaling>
          <c:orientation val="minMax"/>
        </c:scaling>
        <c:delete val="0"/>
        <c:axPos val="b"/>
        <c:numFmt formatCode="General" sourceLinked="1"/>
        <c:majorTickMark val="out"/>
        <c:minorTickMark val="none"/>
        <c:tickLblPos val="nextTo"/>
        <c:txPr>
          <a:bodyPr/>
          <a:lstStyle/>
          <a:p>
            <a:pPr>
              <a:defRPr sz="800"/>
            </a:pPr>
            <a:endParaRPr lang="en-US"/>
          </a:p>
        </c:txPr>
        <c:crossAx val="324639071"/>
        <c:crosses val="autoZero"/>
        <c:auto val="1"/>
        <c:lblAlgn val="ctr"/>
        <c:lblOffset val="100"/>
        <c:tickLblSkip val="2"/>
        <c:noMultiLvlLbl val="0"/>
      </c:catAx>
      <c:valAx>
        <c:axId val="324639071"/>
        <c:scaling>
          <c:orientation val="minMax"/>
        </c:scaling>
        <c:delete val="0"/>
        <c:axPos val="l"/>
        <c:majorGridlines/>
        <c:numFmt formatCode="General" sourceLinked="1"/>
        <c:majorTickMark val="out"/>
        <c:minorTickMark val="none"/>
        <c:tickLblPos val="nextTo"/>
        <c:txPr>
          <a:bodyPr/>
          <a:lstStyle/>
          <a:p>
            <a:pPr>
              <a:defRPr sz="800"/>
            </a:pPr>
            <a:endParaRPr lang="en-US"/>
          </a:p>
        </c:txPr>
        <c:crossAx val="324643647"/>
        <c:crosses val="autoZero"/>
        <c:crossBetween val="between"/>
        <c:dispUnits>
          <c:builtInUnit val="millions"/>
          <c:dispUnitsLbl>
            <c:layout>
              <c:manualLayout>
                <c:xMode val="edge"/>
                <c:yMode val="edge"/>
                <c:x val="3.5725922190760637E-2"/>
                <c:y val="0.17939783122873101"/>
              </c:manualLayout>
            </c:layout>
            <c:tx>
              <c:rich>
                <a:bodyPr/>
                <a:lstStyle/>
                <a:p>
                  <a:pPr>
                    <a:defRPr sz="800" b="0"/>
                  </a:pPr>
                  <a:r>
                    <a:rPr lang="en-US" sz="800" b="0"/>
                    <a:t>Number of trucks</a:t>
                  </a:r>
                  <a:r>
                    <a:rPr lang="en-US" sz="800" b="0" baseline="0"/>
                    <a:t> (</a:t>
                  </a:r>
                  <a:r>
                    <a:rPr lang="en-US" sz="800" b="0"/>
                    <a:t>Millions)</a:t>
                  </a:r>
                </a:p>
              </c:rich>
            </c:tx>
          </c:dispUnitsLbl>
        </c:dispUnits>
      </c:valAx>
    </c:plotArea>
    <c:plotVisOnly val="1"/>
    <c:dispBlanksAs val="gap"/>
    <c:showDLblsOverMax val="0"/>
  </c:chart>
  <c:spPr>
    <a:solidFill>
      <a:schemeClr val="bg1"/>
    </a:solidFill>
    <a:ln>
      <a:noFill/>
    </a:ln>
  </c:spPr>
  <c:txPr>
    <a:bodyPr/>
    <a:lstStyle/>
    <a:p>
      <a:pPr>
        <a:defRPr>
          <a:latin typeface="Arial" panose="020B0604020202020204" pitchFamily="34" charset="0"/>
          <a:cs typeface="Arial" panose="020B0604020202020204" pitchFamily="34" charset="0"/>
        </a:defRPr>
      </a:pPr>
      <a:endParaRPr lang="en-US"/>
    </a:p>
  </c:txPr>
  <c:externalData r:id="rId1">
    <c:autoUpdate val="0"/>
  </c:externalData>
  <c:extLst/>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00" b="1"/>
            </a:pPr>
            <a:r>
              <a:rPr lang="en-US" sz="900" b="1"/>
              <a:t>Fuel Projections</a:t>
            </a:r>
          </a:p>
        </c:rich>
      </c:tx>
      <c:layout>
        <c:manualLayout>
          <c:xMode val="edge"/>
          <c:yMode val="edge"/>
          <c:x val="0.34234752913950273"/>
          <c:y val="5.8854290940905121E-2"/>
        </c:manualLayout>
      </c:layout>
      <c:overlay val="0"/>
    </c:title>
    <c:autoTitleDeleted val="0"/>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
        <c:idx val="5"/>
        <c:marker>
          <c:symbol val="none"/>
        </c:marker>
      </c:pivotFmt>
      <c:pivotFmt>
        <c:idx val="6"/>
        <c:marker>
          <c:symbol val="none"/>
        </c:marker>
      </c:pivotFmt>
      <c:pivotFmt>
        <c:idx val="7"/>
        <c:marker>
          <c:symbol val="none"/>
        </c:marker>
      </c:pivotFmt>
      <c:pivotFmt>
        <c:idx val="8"/>
        <c:marker>
          <c:symbol val="none"/>
        </c:marker>
      </c:pivotFmt>
      <c:pivotFmt>
        <c:idx val="9"/>
        <c:marker>
          <c:symbol val="none"/>
        </c:marker>
      </c:pivotFmt>
      <c:pivotFmt>
        <c:idx val="10"/>
        <c:marker>
          <c:symbol val="none"/>
        </c:marker>
      </c:pivotFmt>
      <c:pivotFmt>
        <c:idx val="11"/>
        <c:marker>
          <c:symbol val="none"/>
        </c:marker>
      </c:pivotFmt>
      <c:pivotFmt>
        <c:idx val="12"/>
        <c:marker>
          <c:symbol val="none"/>
        </c:marker>
      </c:pivotFmt>
      <c:pivotFmt>
        <c:idx val="13"/>
        <c:marker>
          <c:symbol val="none"/>
        </c:marker>
      </c:pivotFmt>
      <c:pivotFmt>
        <c:idx val="14"/>
        <c:marker>
          <c:symbol val="none"/>
        </c:marker>
      </c:pivotFmt>
      <c:pivotFmt>
        <c:idx val="15"/>
        <c:marker>
          <c:symbol val="none"/>
        </c:marker>
      </c:pivotFmt>
      <c:pivotFmt>
        <c:idx val="16"/>
        <c:marker>
          <c:symbol val="none"/>
        </c:marker>
      </c:pivotFmt>
      <c:pivotFmt>
        <c:idx val="17"/>
        <c:marker>
          <c:symbol val="none"/>
        </c:marker>
      </c:pivotFmt>
      <c:pivotFmt>
        <c:idx val="18"/>
        <c:marker>
          <c:symbol val="none"/>
        </c:marker>
      </c:pivotFmt>
      <c:pivotFmt>
        <c:idx val="19"/>
        <c:marker>
          <c:symbol val="none"/>
        </c:marker>
      </c:pivotFmt>
      <c:pivotFmt>
        <c:idx val="20"/>
        <c:marker>
          <c:symbol val="none"/>
        </c:marker>
      </c:pivotFmt>
      <c:pivotFmt>
        <c:idx val="21"/>
        <c:marker>
          <c:symbol val="none"/>
        </c:marker>
      </c:pivotFmt>
      <c:pivotFmt>
        <c:idx val="22"/>
        <c:marker>
          <c:symbol val="none"/>
        </c:marker>
      </c:pivotFmt>
      <c:pivotFmt>
        <c:idx val="23"/>
        <c:marker>
          <c:symbol val="none"/>
        </c:marker>
      </c:pivotFmt>
      <c:pivotFmt>
        <c:idx val="24"/>
        <c:marker>
          <c:symbol val="none"/>
        </c:marker>
      </c:pivotFmt>
      <c:pivotFmt>
        <c:idx val="25"/>
        <c:marker>
          <c:symbol val="none"/>
        </c:marker>
      </c:pivotFmt>
      <c:pivotFmt>
        <c:idx val="26"/>
        <c:marker>
          <c:symbol val="none"/>
        </c:marker>
      </c:pivotFmt>
      <c:pivotFmt>
        <c:idx val="27"/>
        <c:marker>
          <c:symbol val="none"/>
        </c:marker>
      </c:pivotFmt>
      <c:pivotFmt>
        <c:idx val="28"/>
        <c:marker>
          <c:symbol val="none"/>
        </c:marker>
      </c:pivotFmt>
      <c:pivotFmt>
        <c:idx val="29"/>
        <c:marker>
          <c:symbol val="none"/>
        </c:marker>
      </c:pivotFmt>
      <c:pivotFmt>
        <c:idx val="30"/>
        <c:marker>
          <c:symbol val="none"/>
        </c:marker>
      </c:pivotFmt>
      <c:pivotFmt>
        <c:idx val="31"/>
        <c:marker>
          <c:symbol val="none"/>
        </c:marker>
      </c:pivotFmt>
      <c:pivotFmt>
        <c:idx val="32"/>
        <c:marker>
          <c:symbol val="none"/>
        </c:marker>
      </c:pivotFmt>
      <c:pivotFmt>
        <c:idx val="33"/>
        <c:marker>
          <c:symbol val="none"/>
        </c:marker>
      </c:pivotFmt>
      <c:pivotFmt>
        <c:idx val="34"/>
        <c:marker>
          <c:symbol val="none"/>
        </c:marker>
      </c:pivotFmt>
      <c:pivotFmt>
        <c:idx val="35"/>
        <c:marker>
          <c:symbol val="none"/>
        </c:marker>
      </c:pivotFmt>
      <c:pivotFmt>
        <c:idx val="36"/>
        <c:marker>
          <c:symbol val="none"/>
        </c:marker>
      </c:pivotFmt>
      <c:pivotFmt>
        <c:idx val="37"/>
        <c:marker>
          <c:symbol val="none"/>
        </c:marker>
      </c:pivotFmt>
      <c:pivotFmt>
        <c:idx val="38"/>
        <c:marker>
          <c:symbol val="none"/>
        </c:marker>
      </c:pivotFmt>
      <c:pivotFmt>
        <c:idx val="39"/>
        <c:marker>
          <c:symbol val="none"/>
        </c:marker>
      </c:pivotFmt>
      <c:pivotFmt>
        <c:idx val="40"/>
        <c:marker>
          <c:symbol val="none"/>
        </c:marker>
      </c:pivotFmt>
      <c:pivotFmt>
        <c:idx val="41"/>
        <c:marker>
          <c:symbol val="none"/>
        </c:marker>
      </c:pivotFmt>
      <c:pivotFmt>
        <c:idx val="42"/>
        <c:marker>
          <c:symbol val="none"/>
        </c:marker>
      </c:pivotFmt>
      <c:pivotFmt>
        <c:idx val="43"/>
        <c:marker>
          <c:symbol val="none"/>
        </c:marker>
      </c:pivotFmt>
      <c:pivotFmt>
        <c:idx val="44"/>
        <c:marker>
          <c:symbol val="none"/>
        </c:marker>
      </c:pivotFmt>
      <c:pivotFmt>
        <c:idx val="45"/>
        <c:marker>
          <c:symbol val="none"/>
        </c:marker>
      </c:pivotFmt>
      <c:pivotFmt>
        <c:idx val="46"/>
        <c:marker>
          <c:symbol val="none"/>
        </c:marker>
      </c:pivotFmt>
      <c:pivotFmt>
        <c:idx val="47"/>
        <c:marker>
          <c:symbol val="none"/>
        </c:marker>
      </c:pivotFmt>
      <c:pivotFmt>
        <c:idx val="48"/>
        <c:marker>
          <c:symbol val="none"/>
        </c:marker>
      </c:pivotFmt>
      <c:pivotFmt>
        <c:idx val="49"/>
        <c:marker>
          <c:symbol val="none"/>
        </c:marker>
      </c:pivotFmt>
      <c:pivotFmt>
        <c:idx val="50"/>
        <c:marker>
          <c:symbol val="none"/>
        </c:marker>
      </c:pivotFmt>
      <c:pivotFmt>
        <c:idx val="51"/>
        <c:marker>
          <c:symbol val="none"/>
        </c:marker>
      </c:pivotFmt>
      <c:pivotFmt>
        <c:idx val="52"/>
        <c:marker>
          <c:symbol val="none"/>
        </c:marker>
      </c:pivotFmt>
      <c:pivotFmt>
        <c:idx val="53"/>
        <c:marker>
          <c:symbol val="none"/>
        </c:marker>
      </c:pivotFmt>
      <c:pivotFmt>
        <c:idx val="54"/>
        <c:marker>
          <c:symbol val="none"/>
        </c:marker>
      </c:pivotFmt>
      <c:pivotFmt>
        <c:idx val="55"/>
        <c:marker>
          <c:symbol val="none"/>
        </c:marker>
      </c:pivotFmt>
    </c:pivotFmts>
    <c:plotArea>
      <c:layout>
        <c:manualLayout>
          <c:layoutTarget val="inner"/>
          <c:xMode val="edge"/>
          <c:yMode val="edge"/>
          <c:x val="4.1461349589365842E-2"/>
          <c:y val="0.17113030824060471"/>
          <c:w val="0.93208626139474504"/>
          <c:h val="0.73904241957983619"/>
        </c:manualLayout>
      </c:layout>
      <c:barChart>
        <c:barDir val="col"/>
        <c:grouping val="clustered"/>
        <c:varyColors val="0"/>
        <c:ser>
          <c:idx val="0"/>
          <c:order val="0"/>
          <c:tx>
            <c:v>Heavy trucks - Battery Electric</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15.096153846153847</c:v>
              </c:pt>
              <c:pt idx="1">
                <c:v>7.8846153846153859</c:v>
              </c:pt>
              <c:pt idx="2">
                <c:v>4.3269230769230766</c:v>
              </c:pt>
              <c:pt idx="3">
                <c:v>0</c:v>
              </c:pt>
              <c:pt idx="4">
                <c:v>0</c:v>
              </c:pt>
              <c:pt idx="5">
                <c:v>0</c:v>
              </c:pt>
              <c:pt idx="6">
                <c:v>0</c:v>
              </c:pt>
            </c:numLit>
          </c:val>
          <c:extLst>
            <c:ext xmlns:c16="http://schemas.microsoft.com/office/drawing/2014/chart" uri="{C3380CC4-5D6E-409C-BE32-E72D297353CC}">
              <c16:uniqueId val="{00000000-641A-428F-9C19-289068EB015A}"/>
            </c:ext>
          </c:extLst>
        </c:ser>
        <c:ser>
          <c:idx val="1"/>
          <c:order val="1"/>
          <c:tx>
            <c:v>Heavy trucks - Conventional diesel</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23407.788461538465</c:v>
              </c:pt>
              <c:pt idx="1">
                <c:v>0</c:v>
              </c:pt>
              <c:pt idx="2">
                <c:v>0</c:v>
              </c:pt>
              <c:pt idx="3">
                <c:v>0</c:v>
              </c:pt>
              <c:pt idx="4">
                <c:v>0</c:v>
              </c:pt>
              <c:pt idx="5">
                <c:v>0</c:v>
              </c:pt>
              <c:pt idx="6">
                <c:v>0</c:v>
              </c:pt>
            </c:numLit>
          </c:val>
          <c:extLst>
            <c:ext xmlns:c16="http://schemas.microsoft.com/office/drawing/2014/chart" uri="{C3380CC4-5D6E-409C-BE32-E72D297353CC}">
              <c16:uniqueId val="{00000001-641A-428F-9C19-289068EB015A}"/>
            </c:ext>
          </c:extLst>
        </c:ser>
        <c:ser>
          <c:idx val="2"/>
          <c:order val="2"/>
          <c:tx>
            <c:v>Heavy trucks - Conventional diesel_High Efficiency</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85835.384615384624</c:v>
              </c:pt>
              <c:pt idx="1">
                <c:v>188964.32692307694</c:v>
              </c:pt>
              <c:pt idx="2">
                <c:v>181229.32692307694</c:v>
              </c:pt>
              <c:pt idx="3">
                <c:v>108363.75000000001</c:v>
              </c:pt>
              <c:pt idx="4">
                <c:v>0</c:v>
              </c:pt>
              <c:pt idx="5">
                <c:v>0</c:v>
              </c:pt>
              <c:pt idx="6">
                <c:v>0</c:v>
              </c:pt>
            </c:numLit>
          </c:val>
          <c:extLst>
            <c:ext xmlns:c16="http://schemas.microsoft.com/office/drawing/2014/chart" uri="{C3380CC4-5D6E-409C-BE32-E72D297353CC}">
              <c16:uniqueId val="{00000002-641A-428F-9C19-289068EB015A}"/>
            </c:ext>
          </c:extLst>
        </c:ser>
        <c:ser>
          <c:idx val="3"/>
          <c:order val="3"/>
          <c:tx>
            <c:v>Heavy trucks - Conventional diesel_Medium Efficiency</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28948.653846153848</c:v>
              </c:pt>
              <c:pt idx="1">
                <c:v>0</c:v>
              </c:pt>
              <c:pt idx="2">
                <c:v>0</c:v>
              </c:pt>
              <c:pt idx="3">
                <c:v>0</c:v>
              </c:pt>
              <c:pt idx="4">
                <c:v>0</c:v>
              </c:pt>
              <c:pt idx="5">
                <c:v>0</c:v>
              </c:pt>
              <c:pt idx="6">
                <c:v>0</c:v>
              </c:pt>
            </c:numLit>
          </c:val>
          <c:extLst>
            <c:ext xmlns:c16="http://schemas.microsoft.com/office/drawing/2014/chart" uri="{C3380CC4-5D6E-409C-BE32-E72D297353CC}">
              <c16:uniqueId val="{00000003-641A-428F-9C19-289068EB015A}"/>
            </c:ext>
          </c:extLst>
        </c:ser>
        <c:ser>
          <c:idx val="4"/>
          <c:order val="4"/>
          <c:tx>
            <c:v>Heavy trucks - Conventional gasoline</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113.94230769230769</c:v>
              </c:pt>
              <c:pt idx="1">
                <c:v>9.3269230769230784</c:v>
              </c:pt>
              <c:pt idx="2">
                <c:v>3.5576923076923084</c:v>
              </c:pt>
              <c:pt idx="3">
                <c:v>0</c:v>
              </c:pt>
              <c:pt idx="4">
                <c:v>0</c:v>
              </c:pt>
              <c:pt idx="5">
                <c:v>0</c:v>
              </c:pt>
              <c:pt idx="6">
                <c:v>0</c:v>
              </c:pt>
            </c:numLit>
          </c:val>
          <c:extLst>
            <c:ext xmlns:c16="http://schemas.microsoft.com/office/drawing/2014/chart" uri="{C3380CC4-5D6E-409C-BE32-E72D297353CC}">
              <c16:uniqueId val="{00000004-641A-428F-9C19-289068EB015A}"/>
            </c:ext>
          </c:extLst>
        </c:ser>
        <c:ser>
          <c:idx val="5"/>
          <c:order val="5"/>
          <c:tx>
            <c:v>Heavy trucks - LPG</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29.423076923076923</c:v>
              </c:pt>
              <c:pt idx="1">
                <c:v>8572.0192307692305</c:v>
              </c:pt>
              <c:pt idx="2">
                <c:v>24741.346153846156</c:v>
              </c:pt>
              <c:pt idx="3">
                <c:v>24737.115384615387</c:v>
              </c:pt>
              <c:pt idx="4">
                <c:v>16177.98076923077</c:v>
              </c:pt>
              <c:pt idx="5">
                <c:v>0</c:v>
              </c:pt>
              <c:pt idx="6">
                <c:v>0</c:v>
              </c:pt>
            </c:numLit>
          </c:val>
          <c:extLst>
            <c:ext xmlns:c16="http://schemas.microsoft.com/office/drawing/2014/chart" uri="{C3380CC4-5D6E-409C-BE32-E72D297353CC}">
              <c16:uniqueId val="{00000005-641A-428F-9C19-289068EB015A}"/>
            </c:ext>
          </c:extLst>
        </c:ser>
        <c:ser>
          <c:idx val="6"/>
          <c:order val="6"/>
          <c:tx>
            <c:v>Heavy trucks - Natural gas</c:v>
          </c:tx>
          <c:spPr>
            <a:solidFill>
              <a:srgbClr val="7030A0"/>
            </a:solidFill>
          </c:spPr>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1761.9230769230771</c:v>
              </c:pt>
              <c:pt idx="1">
                <c:v>1759.7115384615386</c:v>
              </c:pt>
              <c:pt idx="2">
                <c:v>1480.8653846153848</c:v>
              </c:pt>
              <c:pt idx="3">
                <c:v>82234.038461538468</c:v>
              </c:pt>
              <c:pt idx="4">
                <c:v>215107.50000000003</c:v>
              </c:pt>
              <c:pt idx="5">
                <c:v>247746.82692307697</c:v>
              </c:pt>
              <c:pt idx="6">
                <c:v>246688.36538461543</c:v>
              </c:pt>
            </c:numLit>
          </c:val>
          <c:extLst>
            <c:ext xmlns:c16="http://schemas.microsoft.com/office/drawing/2014/chart" uri="{C3380CC4-5D6E-409C-BE32-E72D297353CC}">
              <c16:uniqueId val="{00000006-641A-428F-9C19-289068EB015A}"/>
            </c:ext>
          </c:extLst>
        </c:ser>
        <c:dLbls>
          <c:showLegendKey val="0"/>
          <c:showVal val="0"/>
          <c:showCatName val="0"/>
          <c:showSerName val="0"/>
          <c:showPercent val="0"/>
          <c:showBubbleSize val="0"/>
        </c:dLbls>
        <c:gapWidth val="150"/>
        <c:axId val="324643647"/>
        <c:axId val="324639071"/>
      </c:barChart>
      <c:catAx>
        <c:axId val="324643647"/>
        <c:scaling>
          <c:orientation val="minMax"/>
        </c:scaling>
        <c:delete val="0"/>
        <c:axPos val="b"/>
        <c:numFmt formatCode="General" sourceLinked="1"/>
        <c:majorTickMark val="out"/>
        <c:minorTickMark val="none"/>
        <c:tickLblPos val="nextTo"/>
        <c:txPr>
          <a:bodyPr/>
          <a:lstStyle/>
          <a:p>
            <a:pPr>
              <a:defRPr sz="800"/>
            </a:pPr>
            <a:endParaRPr lang="en-US"/>
          </a:p>
        </c:txPr>
        <c:crossAx val="324639071"/>
        <c:crosses val="autoZero"/>
        <c:auto val="1"/>
        <c:lblAlgn val="ctr"/>
        <c:lblOffset val="100"/>
        <c:tickLblSkip val="2"/>
        <c:noMultiLvlLbl val="0"/>
      </c:catAx>
      <c:valAx>
        <c:axId val="324639071"/>
        <c:scaling>
          <c:orientation val="minMax"/>
        </c:scaling>
        <c:delete val="1"/>
        <c:axPos val="l"/>
        <c:majorGridlines>
          <c:spPr>
            <a:ln>
              <a:solidFill>
                <a:srgbClr val="898989"/>
              </a:solidFill>
            </a:ln>
          </c:spPr>
        </c:majorGridlines>
        <c:numFmt formatCode="General" sourceLinked="1"/>
        <c:majorTickMark val="out"/>
        <c:minorTickMark val="none"/>
        <c:tickLblPos val="nextTo"/>
        <c:crossAx val="324643647"/>
        <c:crosses val="autoZero"/>
        <c:crossBetween val="between"/>
        <c:dispUnits>
          <c:builtInUnit val="millions"/>
        </c:dispUnits>
      </c:valAx>
    </c:plotArea>
    <c:plotVisOnly val="1"/>
    <c:dispBlanksAs val="gap"/>
    <c:showDLblsOverMax val="0"/>
  </c:chart>
  <c:spPr>
    <a:solidFill>
      <a:schemeClr val="bg1"/>
    </a:solidFill>
    <a:ln>
      <a:noFill/>
    </a:ln>
  </c:spPr>
  <c:txPr>
    <a:bodyPr/>
    <a:lstStyle/>
    <a:p>
      <a:pPr>
        <a:defRPr>
          <a:latin typeface="Arial" panose="020B0604020202020204" pitchFamily="34" charset="0"/>
          <a:cs typeface="Arial" panose="020B0604020202020204" pitchFamily="34" charset="0"/>
        </a:defRPr>
      </a:pPr>
      <a:endParaRPr lang="en-US"/>
    </a:p>
  </c:txPr>
  <c:externalData r:id="rId1">
    <c:autoUpdate val="0"/>
  </c:externalData>
  <c:extLst/>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00" b="1"/>
            </a:pPr>
            <a:r>
              <a:rPr lang="en-US" sz="900" b="1"/>
              <a:t>2040 ICE Ban</a:t>
            </a:r>
          </a:p>
        </c:rich>
      </c:tx>
      <c:layout>
        <c:manualLayout>
          <c:xMode val="edge"/>
          <c:yMode val="edge"/>
          <c:x val="0.37460612608120553"/>
          <c:y val="5.8854444253914999E-2"/>
        </c:manualLayout>
      </c:layout>
      <c:overlay val="0"/>
    </c:title>
    <c:autoTitleDeleted val="0"/>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
        <c:idx val="5"/>
        <c:marker>
          <c:symbol val="none"/>
        </c:marker>
      </c:pivotFmt>
      <c:pivotFmt>
        <c:idx val="6"/>
        <c:marker>
          <c:symbol val="none"/>
        </c:marker>
      </c:pivotFmt>
      <c:pivotFmt>
        <c:idx val="7"/>
        <c:marker>
          <c:symbol val="none"/>
        </c:marker>
      </c:pivotFmt>
      <c:pivotFmt>
        <c:idx val="8"/>
        <c:marker>
          <c:symbol val="none"/>
        </c:marker>
      </c:pivotFmt>
      <c:pivotFmt>
        <c:idx val="9"/>
        <c:marker>
          <c:symbol val="none"/>
        </c:marker>
      </c:pivotFmt>
      <c:pivotFmt>
        <c:idx val="10"/>
        <c:marker>
          <c:symbol val="none"/>
        </c:marker>
      </c:pivotFmt>
      <c:pivotFmt>
        <c:idx val="11"/>
        <c:marker>
          <c:symbol val="none"/>
        </c:marker>
      </c:pivotFmt>
      <c:pivotFmt>
        <c:idx val="12"/>
        <c:marker>
          <c:symbol val="none"/>
        </c:marker>
      </c:pivotFmt>
      <c:pivotFmt>
        <c:idx val="13"/>
        <c:marker>
          <c:symbol val="none"/>
        </c:marker>
      </c:pivotFmt>
      <c:pivotFmt>
        <c:idx val="14"/>
        <c:marker>
          <c:symbol val="none"/>
        </c:marker>
      </c:pivotFmt>
      <c:pivotFmt>
        <c:idx val="15"/>
        <c:marker>
          <c:symbol val="none"/>
        </c:marker>
      </c:pivotFmt>
      <c:pivotFmt>
        <c:idx val="16"/>
        <c:marker>
          <c:symbol val="none"/>
        </c:marker>
      </c:pivotFmt>
      <c:pivotFmt>
        <c:idx val="17"/>
        <c:marker>
          <c:symbol val="none"/>
        </c:marker>
      </c:pivotFmt>
      <c:pivotFmt>
        <c:idx val="18"/>
        <c:marker>
          <c:symbol val="none"/>
        </c:marker>
      </c:pivotFmt>
      <c:pivotFmt>
        <c:idx val="19"/>
        <c:marker>
          <c:symbol val="none"/>
        </c:marker>
      </c:pivotFmt>
      <c:pivotFmt>
        <c:idx val="20"/>
        <c:marker>
          <c:symbol val="none"/>
        </c:marker>
      </c:pivotFmt>
      <c:pivotFmt>
        <c:idx val="21"/>
        <c:marker>
          <c:symbol val="none"/>
        </c:marker>
      </c:pivotFmt>
      <c:pivotFmt>
        <c:idx val="22"/>
        <c:marker>
          <c:symbol val="none"/>
        </c:marker>
      </c:pivotFmt>
      <c:pivotFmt>
        <c:idx val="23"/>
        <c:marker>
          <c:symbol val="none"/>
        </c:marker>
      </c:pivotFmt>
      <c:pivotFmt>
        <c:idx val="24"/>
        <c:marker>
          <c:symbol val="none"/>
        </c:marker>
      </c:pivotFmt>
      <c:pivotFmt>
        <c:idx val="25"/>
        <c:marker>
          <c:symbol val="none"/>
        </c:marker>
      </c:pivotFmt>
      <c:pivotFmt>
        <c:idx val="26"/>
        <c:marker>
          <c:symbol val="none"/>
        </c:marker>
      </c:pivotFmt>
      <c:pivotFmt>
        <c:idx val="27"/>
        <c:marker>
          <c:symbol val="none"/>
        </c:marker>
      </c:pivotFmt>
      <c:pivotFmt>
        <c:idx val="28"/>
        <c:marker>
          <c:symbol val="none"/>
        </c:marker>
      </c:pivotFmt>
      <c:pivotFmt>
        <c:idx val="29"/>
        <c:marker>
          <c:symbol val="none"/>
        </c:marker>
      </c:pivotFmt>
      <c:pivotFmt>
        <c:idx val="30"/>
        <c:marker>
          <c:symbol val="none"/>
        </c:marker>
      </c:pivotFmt>
      <c:pivotFmt>
        <c:idx val="31"/>
        <c:marker>
          <c:symbol val="none"/>
        </c:marker>
      </c:pivotFmt>
      <c:pivotFmt>
        <c:idx val="32"/>
        <c:marker>
          <c:symbol val="none"/>
        </c:marker>
      </c:pivotFmt>
      <c:pivotFmt>
        <c:idx val="33"/>
        <c:marker>
          <c:symbol val="none"/>
        </c:marker>
      </c:pivotFmt>
      <c:pivotFmt>
        <c:idx val="34"/>
        <c:marker>
          <c:symbol val="none"/>
        </c:marker>
      </c:pivotFmt>
      <c:pivotFmt>
        <c:idx val="35"/>
        <c:marker>
          <c:symbol val="none"/>
        </c:marker>
      </c:pivotFmt>
      <c:pivotFmt>
        <c:idx val="36"/>
        <c:marker>
          <c:symbol val="none"/>
        </c:marker>
      </c:pivotFmt>
      <c:pivotFmt>
        <c:idx val="37"/>
        <c:marker>
          <c:symbol val="none"/>
        </c:marker>
      </c:pivotFmt>
      <c:pivotFmt>
        <c:idx val="38"/>
        <c:marker>
          <c:symbol val="none"/>
        </c:marker>
      </c:pivotFmt>
      <c:pivotFmt>
        <c:idx val="39"/>
        <c:marker>
          <c:symbol val="none"/>
        </c:marker>
      </c:pivotFmt>
      <c:pivotFmt>
        <c:idx val="40"/>
        <c:marker>
          <c:symbol val="none"/>
        </c:marker>
      </c:pivotFmt>
      <c:pivotFmt>
        <c:idx val="41"/>
        <c:marker>
          <c:symbol val="none"/>
        </c:marker>
      </c:pivotFmt>
      <c:pivotFmt>
        <c:idx val="42"/>
        <c:marker>
          <c:symbol val="none"/>
        </c:marker>
      </c:pivotFmt>
      <c:pivotFmt>
        <c:idx val="43"/>
        <c:marker>
          <c:symbol val="none"/>
        </c:marker>
      </c:pivotFmt>
      <c:pivotFmt>
        <c:idx val="44"/>
        <c:marker>
          <c:symbol val="none"/>
        </c:marker>
      </c:pivotFmt>
      <c:pivotFmt>
        <c:idx val="45"/>
        <c:marker>
          <c:symbol val="none"/>
        </c:marker>
      </c:pivotFmt>
      <c:pivotFmt>
        <c:idx val="46"/>
        <c:marker>
          <c:symbol val="none"/>
        </c:marker>
      </c:pivotFmt>
      <c:pivotFmt>
        <c:idx val="47"/>
        <c:marker>
          <c:symbol val="none"/>
        </c:marker>
      </c:pivotFmt>
      <c:pivotFmt>
        <c:idx val="48"/>
        <c:marker>
          <c:symbol val="none"/>
        </c:marker>
      </c:pivotFmt>
      <c:pivotFmt>
        <c:idx val="49"/>
        <c:marker>
          <c:symbol val="none"/>
        </c:marker>
      </c:pivotFmt>
      <c:pivotFmt>
        <c:idx val="50"/>
        <c:marker>
          <c:symbol val="none"/>
        </c:marker>
      </c:pivotFmt>
      <c:pivotFmt>
        <c:idx val="51"/>
        <c:marker>
          <c:symbol val="none"/>
        </c:marker>
      </c:pivotFmt>
      <c:pivotFmt>
        <c:idx val="52"/>
        <c:marker>
          <c:symbol val="none"/>
        </c:marker>
      </c:pivotFmt>
      <c:pivotFmt>
        <c:idx val="53"/>
        <c:marker>
          <c:symbol val="none"/>
        </c:marker>
      </c:pivotFmt>
      <c:pivotFmt>
        <c:idx val="54"/>
        <c:marker>
          <c:symbol val="none"/>
        </c:marker>
      </c:pivotFmt>
      <c:pivotFmt>
        <c:idx val="55"/>
        <c:marker>
          <c:symbol val="none"/>
        </c:marker>
      </c:pivotFmt>
      <c:pivotFmt>
        <c:idx val="56"/>
        <c:marker>
          <c:symbol val="none"/>
        </c:marker>
      </c:pivotFmt>
      <c:pivotFmt>
        <c:idx val="57"/>
        <c:marker>
          <c:symbol val="none"/>
        </c:marker>
      </c:pivotFmt>
      <c:pivotFmt>
        <c:idx val="58"/>
        <c:marker>
          <c:symbol val="none"/>
        </c:marker>
      </c:pivotFmt>
      <c:pivotFmt>
        <c:idx val="59"/>
        <c:marker>
          <c:symbol val="none"/>
        </c:marker>
      </c:pivotFmt>
      <c:pivotFmt>
        <c:idx val="60"/>
        <c:marker>
          <c:symbol val="none"/>
        </c:marker>
      </c:pivotFmt>
      <c:pivotFmt>
        <c:idx val="61"/>
        <c:marker>
          <c:symbol val="none"/>
        </c:marker>
      </c:pivotFmt>
      <c:pivotFmt>
        <c:idx val="62"/>
        <c:marker>
          <c:symbol val="none"/>
        </c:marker>
      </c:pivotFmt>
      <c:pivotFmt>
        <c:idx val="63"/>
        <c:marker>
          <c:symbol val="none"/>
        </c:marker>
      </c:pivotFmt>
      <c:pivotFmt>
        <c:idx val="64"/>
        <c:marker>
          <c:symbol val="none"/>
        </c:marker>
      </c:pivotFmt>
      <c:pivotFmt>
        <c:idx val="65"/>
        <c:marker>
          <c:symbol val="none"/>
        </c:marker>
      </c:pivotFmt>
      <c:pivotFmt>
        <c:idx val="66"/>
        <c:marker>
          <c:symbol val="none"/>
        </c:marker>
      </c:pivotFmt>
      <c:pivotFmt>
        <c:idx val="67"/>
        <c:marker>
          <c:symbol val="none"/>
        </c:marker>
      </c:pivotFmt>
      <c:pivotFmt>
        <c:idx val="68"/>
        <c:marker>
          <c:symbol val="none"/>
        </c:marker>
      </c:pivotFmt>
      <c:pivotFmt>
        <c:idx val="69"/>
        <c:marker>
          <c:symbol val="none"/>
        </c:marker>
      </c:pivotFmt>
      <c:pivotFmt>
        <c:idx val="70"/>
        <c:marker>
          <c:symbol val="none"/>
        </c:marker>
      </c:pivotFmt>
      <c:pivotFmt>
        <c:idx val="71"/>
        <c:marker>
          <c:symbol val="none"/>
        </c:marker>
      </c:pivotFmt>
      <c:pivotFmt>
        <c:idx val="72"/>
        <c:marker>
          <c:symbol val="none"/>
        </c:marker>
      </c:pivotFmt>
      <c:pivotFmt>
        <c:idx val="73"/>
        <c:marker>
          <c:symbol val="none"/>
        </c:marker>
      </c:pivotFmt>
      <c:pivotFmt>
        <c:idx val="74"/>
        <c:marker>
          <c:symbol val="none"/>
        </c:marker>
      </c:pivotFmt>
      <c:pivotFmt>
        <c:idx val="75"/>
        <c:marker>
          <c:symbol val="none"/>
        </c:marker>
      </c:pivotFmt>
      <c:pivotFmt>
        <c:idx val="76"/>
        <c:marker>
          <c:symbol val="none"/>
        </c:marker>
      </c:pivotFmt>
      <c:pivotFmt>
        <c:idx val="77"/>
        <c:marker>
          <c:symbol val="none"/>
        </c:marker>
      </c:pivotFmt>
      <c:pivotFmt>
        <c:idx val="78"/>
        <c:marker>
          <c:symbol val="none"/>
        </c:marker>
      </c:pivotFmt>
      <c:pivotFmt>
        <c:idx val="79"/>
        <c:marker>
          <c:symbol val="none"/>
        </c:marker>
      </c:pivotFmt>
      <c:pivotFmt>
        <c:idx val="80"/>
        <c:marker>
          <c:symbol val="none"/>
        </c:marker>
      </c:pivotFmt>
      <c:pivotFmt>
        <c:idx val="81"/>
        <c:marker>
          <c:symbol val="none"/>
        </c:marker>
      </c:pivotFmt>
      <c:pivotFmt>
        <c:idx val="82"/>
        <c:marker>
          <c:symbol val="none"/>
        </c:marker>
      </c:pivotFmt>
      <c:pivotFmt>
        <c:idx val="83"/>
        <c:marker>
          <c:symbol val="none"/>
        </c:marker>
      </c:pivotFmt>
      <c:pivotFmt>
        <c:idx val="84"/>
        <c:marker>
          <c:symbol val="none"/>
        </c:marker>
      </c:pivotFmt>
      <c:pivotFmt>
        <c:idx val="85"/>
        <c:marker>
          <c:symbol val="none"/>
        </c:marker>
      </c:pivotFmt>
      <c:pivotFmt>
        <c:idx val="86"/>
        <c:marker>
          <c:symbol val="none"/>
        </c:marker>
      </c:pivotFmt>
      <c:pivotFmt>
        <c:idx val="87"/>
        <c:marker>
          <c:symbol val="none"/>
        </c:marker>
      </c:pivotFmt>
      <c:pivotFmt>
        <c:idx val="88"/>
        <c:marker>
          <c:symbol val="none"/>
        </c:marker>
      </c:pivotFmt>
      <c:pivotFmt>
        <c:idx val="89"/>
        <c:marker>
          <c:symbol val="none"/>
        </c:marker>
      </c:pivotFmt>
      <c:pivotFmt>
        <c:idx val="90"/>
        <c:marker>
          <c:symbol val="none"/>
        </c:marker>
      </c:pivotFmt>
    </c:pivotFmts>
    <c:plotArea>
      <c:layout>
        <c:manualLayout>
          <c:layoutTarget val="inner"/>
          <c:xMode val="edge"/>
          <c:yMode val="edge"/>
          <c:x val="5.4641306380238092E-2"/>
          <c:y val="0.17113030824060471"/>
          <c:w val="0.91525633834029319"/>
          <c:h val="0.73904241957983619"/>
        </c:manualLayout>
      </c:layout>
      <c:barChart>
        <c:barDir val="col"/>
        <c:grouping val="clustered"/>
        <c:varyColors val="0"/>
        <c:ser>
          <c:idx val="0"/>
          <c:order val="0"/>
          <c:tx>
            <c:v>Heavy trucks - Battery Electric</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15.096153846153847</c:v>
              </c:pt>
              <c:pt idx="1">
                <c:v>7.8846153846153859</c:v>
              </c:pt>
              <c:pt idx="2">
                <c:v>4.3269230769230766</c:v>
              </c:pt>
              <c:pt idx="3">
                <c:v>0</c:v>
              </c:pt>
              <c:pt idx="4">
                <c:v>0</c:v>
              </c:pt>
              <c:pt idx="5">
                <c:v>0</c:v>
              </c:pt>
              <c:pt idx="6">
                <c:v>0</c:v>
              </c:pt>
            </c:numLit>
          </c:val>
          <c:extLst>
            <c:ext xmlns:c16="http://schemas.microsoft.com/office/drawing/2014/chart" uri="{C3380CC4-5D6E-409C-BE32-E72D297353CC}">
              <c16:uniqueId val="{00000000-79D4-40B8-99C5-D06B505BEF50}"/>
            </c:ext>
          </c:extLst>
        </c:ser>
        <c:ser>
          <c:idx val="1"/>
          <c:order val="1"/>
          <c:tx>
            <c:v>Heavy trucks - Conventional diesel</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23407.788461538465</c:v>
              </c:pt>
              <c:pt idx="1">
                <c:v>0</c:v>
              </c:pt>
              <c:pt idx="2">
                <c:v>0</c:v>
              </c:pt>
              <c:pt idx="3">
                <c:v>0</c:v>
              </c:pt>
              <c:pt idx="4">
                <c:v>0</c:v>
              </c:pt>
              <c:pt idx="5">
                <c:v>0</c:v>
              </c:pt>
              <c:pt idx="6">
                <c:v>0</c:v>
              </c:pt>
            </c:numLit>
          </c:val>
          <c:extLst>
            <c:ext xmlns:c16="http://schemas.microsoft.com/office/drawing/2014/chart" uri="{C3380CC4-5D6E-409C-BE32-E72D297353CC}">
              <c16:uniqueId val="{00000001-79D4-40B8-99C5-D06B505BEF50}"/>
            </c:ext>
          </c:extLst>
        </c:ser>
        <c:ser>
          <c:idx val="2"/>
          <c:order val="2"/>
          <c:tx>
            <c:v>Heavy trucks - Conventional diesel_High Efficiency</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85835.384615384624</c:v>
              </c:pt>
              <c:pt idx="1">
                <c:v>188964.32692307694</c:v>
              </c:pt>
              <c:pt idx="2">
                <c:v>181229.32692307694</c:v>
              </c:pt>
              <c:pt idx="3">
                <c:v>108363.75000000001</c:v>
              </c:pt>
              <c:pt idx="4">
                <c:v>0</c:v>
              </c:pt>
              <c:pt idx="5">
                <c:v>0</c:v>
              </c:pt>
              <c:pt idx="6">
                <c:v>0</c:v>
              </c:pt>
            </c:numLit>
          </c:val>
          <c:extLst>
            <c:ext xmlns:c16="http://schemas.microsoft.com/office/drawing/2014/chart" uri="{C3380CC4-5D6E-409C-BE32-E72D297353CC}">
              <c16:uniqueId val="{00000002-79D4-40B8-99C5-D06B505BEF50}"/>
            </c:ext>
          </c:extLst>
        </c:ser>
        <c:ser>
          <c:idx val="3"/>
          <c:order val="3"/>
          <c:tx>
            <c:v>Heavy trucks - Conventional diesel_Medium Efficiency</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28948.653846153848</c:v>
              </c:pt>
              <c:pt idx="1">
                <c:v>0</c:v>
              </c:pt>
              <c:pt idx="2">
                <c:v>0</c:v>
              </c:pt>
              <c:pt idx="3">
                <c:v>0</c:v>
              </c:pt>
              <c:pt idx="4">
                <c:v>0</c:v>
              </c:pt>
              <c:pt idx="5">
                <c:v>0</c:v>
              </c:pt>
              <c:pt idx="6">
                <c:v>0</c:v>
              </c:pt>
            </c:numLit>
          </c:val>
          <c:extLst>
            <c:ext xmlns:c16="http://schemas.microsoft.com/office/drawing/2014/chart" uri="{C3380CC4-5D6E-409C-BE32-E72D297353CC}">
              <c16:uniqueId val="{00000003-79D4-40B8-99C5-D06B505BEF50}"/>
            </c:ext>
          </c:extLst>
        </c:ser>
        <c:ser>
          <c:idx val="4"/>
          <c:order val="4"/>
          <c:tx>
            <c:v>Heavy trucks - Conventional gasoline</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113.94230769230769</c:v>
              </c:pt>
              <c:pt idx="1">
                <c:v>9.3269230769230784</c:v>
              </c:pt>
              <c:pt idx="2">
                <c:v>3.5576923076923084</c:v>
              </c:pt>
              <c:pt idx="3">
                <c:v>0</c:v>
              </c:pt>
              <c:pt idx="4">
                <c:v>0</c:v>
              </c:pt>
              <c:pt idx="5">
                <c:v>0</c:v>
              </c:pt>
              <c:pt idx="6">
                <c:v>0</c:v>
              </c:pt>
            </c:numLit>
          </c:val>
          <c:extLst>
            <c:ext xmlns:c16="http://schemas.microsoft.com/office/drawing/2014/chart" uri="{C3380CC4-5D6E-409C-BE32-E72D297353CC}">
              <c16:uniqueId val="{00000004-79D4-40B8-99C5-D06B505BEF50}"/>
            </c:ext>
          </c:extLst>
        </c:ser>
        <c:ser>
          <c:idx val="5"/>
          <c:order val="5"/>
          <c:tx>
            <c:v>Heavy trucks - LPG</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29.423076923076923</c:v>
              </c:pt>
              <c:pt idx="1">
                <c:v>8572.0192307692305</c:v>
              </c:pt>
              <c:pt idx="2">
                <c:v>24741.346153846156</c:v>
              </c:pt>
              <c:pt idx="3">
                <c:v>24737.115384615387</c:v>
              </c:pt>
              <c:pt idx="4">
                <c:v>16177.98076923077</c:v>
              </c:pt>
              <c:pt idx="5">
                <c:v>0</c:v>
              </c:pt>
              <c:pt idx="6">
                <c:v>0</c:v>
              </c:pt>
            </c:numLit>
          </c:val>
          <c:extLst>
            <c:ext xmlns:c16="http://schemas.microsoft.com/office/drawing/2014/chart" uri="{C3380CC4-5D6E-409C-BE32-E72D297353CC}">
              <c16:uniqueId val="{00000005-79D4-40B8-99C5-D06B505BEF50}"/>
            </c:ext>
          </c:extLst>
        </c:ser>
        <c:ser>
          <c:idx val="6"/>
          <c:order val="6"/>
          <c:tx>
            <c:v>Heavy trucks - Natural gas</c:v>
          </c:tx>
          <c:spPr>
            <a:solidFill>
              <a:srgbClr val="7030A0"/>
            </a:solidFill>
          </c:spPr>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1761.9230769230771</c:v>
              </c:pt>
              <c:pt idx="1">
                <c:v>1759.7115384615386</c:v>
              </c:pt>
              <c:pt idx="2">
                <c:v>1480.8653846153848</c:v>
              </c:pt>
              <c:pt idx="3">
                <c:v>82234.038461538468</c:v>
              </c:pt>
              <c:pt idx="4">
                <c:v>215107.50000000003</c:v>
              </c:pt>
              <c:pt idx="5">
                <c:v>215107.50000000003</c:v>
              </c:pt>
              <c:pt idx="6">
                <c:v>132873.46153846156</c:v>
              </c:pt>
            </c:numLit>
          </c:val>
          <c:extLst>
            <c:ext xmlns:c16="http://schemas.microsoft.com/office/drawing/2014/chart" uri="{C3380CC4-5D6E-409C-BE32-E72D297353CC}">
              <c16:uniqueId val="{00000006-79D4-40B8-99C5-D06B505BEF50}"/>
            </c:ext>
          </c:extLst>
        </c:ser>
        <c:ser>
          <c:idx val="7"/>
          <c:order val="7"/>
          <c:tx>
            <c:v>Heavy trucks - Hydrogen</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0</c:v>
              </c:pt>
              <c:pt idx="1">
                <c:v>0</c:v>
              </c:pt>
              <c:pt idx="2">
                <c:v>0</c:v>
              </c:pt>
              <c:pt idx="3">
                <c:v>0</c:v>
              </c:pt>
              <c:pt idx="4">
                <c:v>0</c:v>
              </c:pt>
              <c:pt idx="5">
                <c:v>32639.326923076922</c:v>
              </c:pt>
              <c:pt idx="6">
                <c:v>113814.90384615386</c:v>
              </c:pt>
            </c:numLit>
          </c:val>
          <c:extLst>
            <c:ext xmlns:c16="http://schemas.microsoft.com/office/drawing/2014/chart" uri="{C3380CC4-5D6E-409C-BE32-E72D297353CC}">
              <c16:uniqueId val="{00000007-79D4-40B8-99C5-D06B505BEF50}"/>
            </c:ext>
          </c:extLst>
        </c:ser>
        <c:dLbls>
          <c:showLegendKey val="0"/>
          <c:showVal val="0"/>
          <c:showCatName val="0"/>
          <c:showSerName val="0"/>
          <c:showPercent val="0"/>
          <c:showBubbleSize val="0"/>
        </c:dLbls>
        <c:gapWidth val="150"/>
        <c:axId val="324643647"/>
        <c:axId val="324639071"/>
      </c:barChart>
      <c:catAx>
        <c:axId val="324643647"/>
        <c:scaling>
          <c:orientation val="minMax"/>
        </c:scaling>
        <c:delete val="0"/>
        <c:axPos val="b"/>
        <c:numFmt formatCode="General" sourceLinked="1"/>
        <c:majorTickMark val="out"/>
        <c:minorTickMark val="none"/>
        <c:tickLblPos val="nextTo"/>
        <c:txPr>
          <a:bodyPr/>
          <a:lstStyle/>
          <a:p>
            <a:pPr>
              <a:defRPr sz="800"/>
            </a:pPr>
            <a:endParaRPr lang="en-US"/>
          </a:p>
        </c:txPr>
        <c:crossAx val="324639071"/>
        <c:crosses val="autoZero"/>
        <c:auto val="1"/>
        <c:lblAlgn val="ctr"/>
        <c:lblOffset val="100"/>
        <c:tickLblSkip val="2"/>
        <c:noMultiLvlLbl val="0"/>
      </c:catAx>
      <c:valAx>
        <c:axId val="324639071"/>
        <c:scaling>
          <c:orientation val="minMax"/>
          <c:max val="300000"/>
        </c:scaling>
        <c:delete val="1"/>
        <c:axPos val="l"/>
        <c:majorGridlines/>
        <c:numFmt formatCode="General" sourceLinked="1"/>
        <c:majorTickMark val="out"/>
        <c:minorTickMark val="none"/>
        <c:tickLblPos val="nextTo"/>
        <c:crossAx val="324643647"/>
        <c:crosses val="autoZero"/>
        <c:crossBetween val="between"/>
        <c:dispUnits>
          <c:builtInUnit val="millions"/>
        </c:dispUnits>
      </c:valAx>
    </c:plotArea>
    <c:plotVisOnly val="1"/>
    <c:dispBlanksAs val="gap"/>
    <c:showDLblsOverMax val="0"/>
  </c:chart>
  <c:spPr>
    <a:solidFill>
      <a:schemeClr val="bg1"/>
    </a:solidFill>
    <a:ln>
      <a:noFill/>
    </a:ln>
  </c:spPr>
  <c:txPr>
    <a:bodyPr/>
    <a:lstStyle/>
    <a:p>
      <a:pPr>
        <a:defRPr>
          <a:latin typeface="Arial" panose="020B0604020202020204" pitchFamily="34" charset="0"/>
          <a:cs typeface="Arial" panose="020B0604020202020204" pitchFamily="34" charset="0"/>
        </a:defRPr>
      </a:pPr>
      <a:endParaRPr lang="en-US"/>
    </a:p>
  </c:txPr>
  <c:externalData r:id="rId1">
    <c:autoUpdate val="0"/>
  </c:externalData>
  <c:extLst/>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pivotSource>
    <c:name>[1 - Capacity_Charts.xlsx]Pivot - Heavy!PivotTable1</c:name>
    <c:fmtId val="-1"/>
  </c:pivotSource>
  <c:chart>
    <c:title>
      <c:tx>
        <c:rich>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900" b="1"/>
              <a:t>2030 ICE Ban</a:t>
            </a:r>
          </a:p>
        </c:rich>
      </c:tx>
      <c:layout>
        <c:manualLayout>
          <c:xMode val="edge"/>
          <c:yMode val="edge"/>
          <c:x val="0.24209737827715355"/>
          <c:y val="5.2969555968541013E-2"/>
        </c:manualLayout>
      </c:layout>
      <c:overlay val="0"/>
      <c:spPr>
        <a:noFill/>
        <a:ln>
          <a:noFill/>
        </a:ln>
        <a:effectLst/>
      </c:spPr>
      <c:txPr>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pivotFmt>
      <c:pivotFmt>
        <c:idx val="8"/>
        <c:spPr>
          <a:solidFill>
            <a:srgbClr val="97B9E0"/>
          </a:solidFill>
          <a:ln>
            <a:noFill/>
          </a:ln>
          <a:effectLst/>
        </c:spPr>
        <c:marker>
          <c:symbol val="none"/>
        </c:marker>
      </c:pivotFmt>
      <c:pivotFmt>
        <c:idx val="9"/>
        <c:spPr>
          <a:solidFill>
            <a:srgbClr val="5089BC"/>
          </a:solidFill>
          <a:ln>
            <a:noFill/>
          </a:ln>
          <a:effectLst/>
        </c:spPr>
        <c:marker>
          <c:symbol val="none"/>
        </c:marker>
      </c:pivotFmt>
      <c:pivotFmt>
        <c:idx val="10"/>
        <c:spPr>
          <a:solidFill>
            <a:srgbClr val="929292"/>
          </a:solidFill>
          <a:ln>
            <a:noFill/>
          </a:ln>
          <a:effectLst/>
        </c:spPr>
        <c:marker>
          <c:symbol val="none"/>
        </c:marker>
      </c:pivotFmt>
      <c:pivotFmt>
        <c:idx val="11"/>
        <c:spPr>
          <a:solidFill>
            <a:srgbClr val="F1A78A"/>
          </a:solidFill>
          <a:ln>
            <a:noFill/>
          </a:ln>
          <a:effectLst/>
        </c:spPr>
        <c:marker>
          <c:symbol val="none"/>
        </c:marker>
      </c:pivotFmt>
      <c:pivotFmt>
        <c:idx val="12"/>
        <c:spPr>
          <a:solidFill>
            <a:srgbClr val="62993E"/>
          </a:solidFill>
          <a:ln>
            <a:noFill/>
          </a:ln>
          <a:effectLst/>
        </c:spPr>
        <c:marker>
          <c:symbol val="none"/>
        </c:marker>
      </c:pivotFmt>
      <c:pivotFmt>
        <c:idx val="13"/>
        <c:spPr>
          <a:solidFill>
            <a:srgbClr val="3B64AD"/>
          </a:solidFill>
          <a:ln>
            <a:noFill/>
          </a:ln>
          <a:effectLst/>
        </c:spPr>
        <c:marker>
          <c:symbol val="none"/>
        </c:marker>
      </c:pivotFmt>
      <c:pivotFmt>
        <c:idx val="14"/>
        <c:spPr>
          <a:solidFill>
            <a:srgbClr val="D26E2A"/>
          </a:solidFill>
          <a:ln>
            <a:noFill/>
          </a:ln>
          <a:effectLst/>
        </c:spPr>
        <c:marker>
          <c:symbol val="none"/>
        </c:marker>
      </c:pivotFmt>
      <c:pivotFmt>
        <c:idx val="15"/>
        <c:spPr>
          <a:solidFill>
            <a:srgbClr val="E2AA00"/>
          </a:solidFill>
          <a:ln>
            <a:noFill/>
          </a:ln>
          <a:effectLst/>
        </c:spPr>
        <c:marker>
          <c:symbol val="none"/>
        </c:marker>
      </c:pivotFmt>
      <c:pivotFmt>
        <c:idx val="16"/>
        <c:spPr>
          <a:solidFill>
            <a:schemeClr val="accent1"/>
          </a:solidFill>
          <a:ln>
            <a:noFill/>
          </a:ln>
          <a:effectLst/>
        </c:spPr>
        <c:marker>
          <c:symbol val="none"/>
        </c:marker>
      </c:pivotFmt>
      <c:pivotFmt>
        <c:idx val="17"/>
        <c:spPr>
          <a:solidFill>
            <a:schemeClr val="accent1"/>
          </a:solidFill>
          <a:ln>
            <a:noFill/>
          </a:ln>
          <a:effectLst/>
        </c:spPr>
        <c:marker>
          <c:symbol val="none"/>
        </c:marker>
      </c:pivotFmt>
      <c:pivotFmt>
        <c:idx val="18"/>
        <c:spPr>
          <a:solidFill>
            <a:schemeClr val="accent1"/>
          </a:solidFill>
          <a:ln>
            <a:noFill/>
          </a:ln>
          <a:effectLst/>
        </c:spPr>
        <c:marker>
          <c:symbol val="none"/>
        </c:marker>
      </c:pivotFmt>
      <c:pivotFmt>
        <c:idx val="19"/>
        <c:spPr>
          <a:solidFill>
            <a:schemeClr val="accent1"/>
          </a:solidFill>
          <a:ln>
            <a:noFill/>
          </a:ln>
          <a:effectLst/>
        </c:spPr>
        <c:marker>
          <c:symbol val="none"/>
        </c:marker>
      </c:pivotFmt>
      <c:pivotFmt>
        <c:idx val="20"/>
        <c:spPr>
          <a:solidFill>
            <a:schemeClr val="accent1"/>
          </a:solidFill>
          <a:ln>
            <a:noFill/>
          </a:ln>
          <a:effectLst/>
        </c:spPr>
        <c:marker>
          <c:symbol val="none"/>
        </c:marker>
      </c:pivotFmt>
      <c:pivotFmt>
        <c:idx val="21"/>
        <c:spPr>
          <a:solidFill>
            <a:schemeClr val="accent1"/>
          </a:solidFill>
          <a:ln>
            <a:noFill/>
          </a:ln>
          <a:effectLst/>
        </c:spPr>
        <c:marker>
          <c:symbol val="none"/>
        </c:marker>
      </c:pivotFmt>
      <c:pivotFmt>
        <c:idx val="22"/>
        <c:spPr>
          <a:solidFill>
            <a:schemeClr val="accent1"/>
          </a:solidFill>
          <a:ln>
            <a:noFill/>
          </a:ln>
          <a:effectLst/>
        </c:spPr>
        <c:marker>
          <c:symbol val="none"/>
        </c:marker>
      </c:pivotFmt>
      <c:pivotFmt>
        <c:idx val="23"/>
        <c:spPr>
          <a:solidFill>
            <a:schemeClr val="accent1"/>
          </a:solidFill>
          <a:ln>
            <a:noFill/>
          </a:ln>
          <a:effectLst/>
        </c:spPr>
        <c:marker>
          <c:symbol val="none"/>
        </c:marker>
      </c:pivotFmt>
      <c:pivotFmt>
        <c:idx val="24"/>
        <c:spPr>
          <a:solidFill>
            <a:schemeClr val="accent1"/>
          </a:solidFill>
          <a:ln>
            <a:noFill/>
          </a:ln>
          <a:effectLst/>
        </c:spPr>
        <c:marker>
          <c:symbol val="none"/>
        </c:marker>
      </c:pivotFmt>
      <c:pivotFmt>
        <c:idx val="25"/>
        <c:spPr>
          <a:solidFill>
            <a:schemeClr val="accent1"/>
          </a:solidFill>
          <a:ln>
            <a:noFill/>
          </a:ln>
          <a:effectLst/>
        </c:spPr>
        <c:marker>
          <c:symbol val="none"/>
        </c:marker>
      </c:pivotFmt>
      <c:pivotFmt>
        <c:idx val="26"/>
        <c:spPr>
          <a:solidFill>
            <a:schemeClr val="accent1"/>
          </a:solidFill>
          <a:ln>
            <a:noFill/>
          </a:ln>
          <a:effectLst/>
        </c:spPr>
        <c:marker>
          <c:symbol val="none"/>
        </c:marker>
      </c:pivotFmt>
      <c:pivotFmt>
        <c:idx val="27"/>
        <c:spPr>
          <a:solidFill>
            <a:schemeClr val="accent1"/>
          </a:solidFill>
          <a:ln>
            <a:noFill/>
          </a:ln>
          <a:effectLst/>
        </c:spPr>
        <c:marker>
          <c:symbol val="none"/>
        </c:marker>
      </c:pivotFmt>
      <c:pivotFmt>
        <c:idx val="28"/>
        <c:spPr>
          <a:solidFill>
            <a:schemeClr val="accent1"/>
          </a:solidFill>
          <a:ln>
            <a:noFill/>
          </a:ln>
          <a:effectLst/>
        </c:spPr>
        <c:marker>
          <c:symbol val="none"/>
        </c:marker>
      </c:pivotFmt>
      <c:pivotFmt>
        <c:idx val="29"/>
        <c:spPr>
          <a:solidFill>
            <a:schemeClr val="accent1"/>
          </a:solidFill>
          <a:ln>
            <a:noFill/>
          </a:ln>
          <a:effectLst/>
        </c:spPr>
        <c:marker>
          <c:symbol val="none"/>
        </c:marker>
      </c:pivotFmt>
      <c:pivotFmt>
        <c:idx val="30"/>
        <c:spPr>
          <a:solidFill>
            <a:schemeClr val="accent1"/>
          </a:solidFill>
          <a:ln>
            <a:noFill/>
          </a:ln>
          <a:effectLst/>
        </c:spPr>
        <c:marker>
          <c:symbol val="none"/>
        </c:marker>
      </c:pivotFmt>
      <c:pivotFmt>
        <c:idx val="31"/>
        <c:spPr>
          <a:solidFill>
            <a:schemeClr val="accent1"/>
          </a:solidFill>
          <a:ln>
            <a:noFill/>
          </a:ln>
          <a:effectLst/>
        </c:spPr>
        <c:marker>
          <c:symbol val="none"/>
        </c:marker>
      </c:pivotFmt>
      <c:pivotFmt>
        <c:idx val="32"/>
        <c:spPr>
          <a:solidFill>
            <a:schemeClr val="accent1"/>
          </a:solidFill>
          <a:ln>
            <a:noFill/>
          </a:ln>
          <a:effectLst/>
        </c:spPr>
        <c:marker>
          <c:symbol val="none"/>
        </c:marker>
      </c:pivotFmt>
      <c:pivotFmt>
        <c:idx val="33"/>
        <c:spPr>
          <a:solidFill>
            <a:schemeClr val="accent1"/>
          </a:solidFill>
          <a:ln>
            <a:noFill/>
          </a:ln>
          <a:effectLst/>
        </c:spPr>
        <c:marker>
          <c:symbol val="none"/>
        </c:marker>
      </c:pivotFmt>
      <c:pivotFmt>
        <c:idx val="34"/>
        <c:spPr>
          <a:solidFill>
            <a:schemeClr val="accent1"/>
          </a:solidFill>
          <a:ln>
            <a:noFill/>
          </a:ln>
          <a:effectLst/>
        </c:spPr>
        <c:marker>
          <c:symbol val="none"/>
        </c:marker>
      </c:pivotFmt>
      <c:pivotFmt>
        <c:idx val="35"/>
        <c:spPr>
          <a:solidFill>
            <a:schemeClr val="accent1"/>
          </a:solidFill>
          <a:ln>
            <a:noFill/>
          </a:ln>
          <a:effectLst/>
        </c:spPr>
        <c:marker>
          <c:symbol val="none"/>
        </c:marker>
      </c:pivotFmt>
      <c:pivotFmt>
        <c:idx val="36"/>
        <c:spPr>
          <a:solidFill>
            <a:schemeClr val="accent1"/>
          </a:solidFill>
          <a:ln>
            <a:noFill/>
          </a:ln>
          <a:effectLst/>
        </c:spPr>
        <c:marker>
          <c:symbol val="none"/>
        </c:marker>
      </c:pivotFmt>
      <c:pivotFmt>
        <c:idx val="37"/>
        <c:spPr>
          <a:solidFill>
            <a:schemeClr val="accent1"/>
          </a:solidFill>
          <a:ln>
            <a:noFill/>
          </a:ln>
          <a:effectLst/>
        </c:spPr>
        <c:marker>
          <c:symbol val="none"/>
        </c:marker>
      </c:pivotFmt>
      <c:pivotFmt>
        <c:idx val="38"/>
        <c:spPr>
          <a:solidFill>
            <a:schemeClr val="accent1"/>
          </a:solidFill>
          <a:ln>
            <a:noFill/>
          </a:ln>
          <a:effectLst/>
        </c:spPr>
        <c:marker>
          <c:symbol val="none"/>
        </c:marker>
      </c:pivotFmt>
      <c:pivotFmt>
        <c:idx val="39"/>
        <c:spPr>
          <a:solidFill>
            <a:schemeClr val="accent1"/>
          </a:solidFill>
          <a:ln>
            <a:noFill/>
          </a:ln>
          <a:effectLst/>
        </c:spPr>
        <c:marker>
          <c:symbol val="none"/>
        </c:marker>
      </c:pivotFmt>
      <c:pivotFmt>
        <c:idx val="40"/>
        <c:spPr>
          <a:solidFill>
            <a:schemeClr val="accent1"/>
          </a:solidFill>
          <a:ln>
            <a:noFill/>
          </a:ln>
          <a:effectLst/>
        </c:spPr>
        <c:marker>
          <c:symbol val="none"/>
        </c:marker>
      </c:pivotFmt>
      <c:pivotFmt>
        <c:idx val="41"/>
        <c:spPr>
          <a:solidFill>
            <a:schemeClr val="accent1"/>
          </a:solidFill>
          <a:ln>
            <a:noFill/>
          </a:ln>
          <a:effectLst/>
        </c:spPr>
        <c:marker>
          <c:symbol val="none"/>
        </c:marker>
      </c:pivotFmt>
      <c:pivotFmt>
        <c:idx val="42"/>
        <c:spPr>
          <a:solidFill>
            <a:schemeClr val="accent1"/>
          </a:solidFill>
          <a:ln>
            <a:noFill/>
          </a:ln>
          <a:effectLst/>
        </c:spPr>
        <c:marker>
          <c:symbol val="none"/>
        </c:marker>
      </c:pivotFmt>
      <c:pivotFmt>
        <c:idx val="43"/>
        <c:spPr>
          <a:solidFill>
            <a:schemeClr val="accent1"/>
          </a:solidFill>
          <a:ln>
            <a:noFill/>
          </a:ln>
          <a:effectLst/>
        </c:spPr>
        <c:marker>
          <c:symbol val="none"/>
        </c:marker>
      </c:pivotFmt>
      <c:pivotFmt>
        <c:idx val="44"/>
        <c:spPr>
          <a:solidFill>
            <a:schemeClr val="accent1"/>
          </a:solidFill>
          <a:ln>
            <a:noFill/>
          </a:ln>
          <a:effectLst/>
        </c:spPr>
        <c:marker>
          <c:symbol val="none"/>
        </c:marker>
      </c:pivotFmt>
      <c:pivotFmt>
        <c:idx val="45"/>
        <c:spPr>
          <a:solidFill>
            <a:schemeClr val="accent1"/>
          </a:solidFill>
          <a:ln>
            <a:noFill/>
          </a:ln>
          <a:effectLst/>
        </c:spPr>
        <c:marker>
          <c:symbol val="none"/>
        </c:marker>
      </c:pivotFmt>
      <c:pivotFmt>
        <c:idx val="46"/>
        <c:spPr>
          <a:solidFill>
            <a:schemeClr val="accent1"/>
          </a:solidFill>
          <a:ln>
            <a:noFill/>
          </a:ln>
          <a:effectLst/>
        </c:spPr>
        <c:marker>
          <c:symbol val="none"/>
        </c:marker>
      </c:pivotFmt>
      <c:pivotFmt>
        <c:idx val="47"/>
        <c:spPr>
          <a:solidFill>
            <a:schemeClr val="accent1"/>
          </a:solidFill>
          <a:ln>
            <a:noFill/>
          </a:ln>
          <a:effectLst/>
        </c:spPr>
        <c:marker>
          <c:symbol val="none"/>
        </c:marker>
      </c:pivotFmt>
    </c:pivotFmts>
    <c:plotArea>
      <c:layout>
        <c:manualLayout>
          <c:layoutTarget val="inner"/>
          <c:xMode val="edge"/>
          <c:yMode val="edge"/>
          <c:x val="0.10979318596411404"/>
          <c:y val="0.15891701000588582"/>
          <c:w val="0.40318634328012376"/>
          <c:h val="0.67474012040431375"/>
        </c:manualLayout>
      </c:layout>
      <c:barChart>
        <c:barDir val="col"/>
        <c:grouping val="clustered"/>
        <c:varyColors val="0"/>
        <c:ser>
          <c:idx val="0"/>
          <c:order val="0"/>
          <c:tx>
            <c:strRef>
              <c:f>'Pivot - Heavy'!$B$3:$B$4</c:f>
              <c:strCache>
                <c:ptCount val="1"/>
                <c:pt idx="0">
                  <c:v>Battery Electric</c:v>
                </c:pt>
              </c:strCache>
            </c:strRef>
          </c:tx>
          <c:spPr>
            <a:solidFill>
              <a:schemeClr val="accent1"/>
            </a:solidFill>
            <a:ln>
              <a:solidFill>
                <a:schemeClr val="accent1"/>
              </a:solidFill>
            </a:ln>
            <a:effectLst/>
          </c:spPr>
          <c:invertIfNegative val="0"/>
          <c:cat>
            <c:strRef>
              <c:f>'Pivot - Heavy'!$A$5:$A$12</c:f>
              <c:strCache>
                <c:ptCount val="7"/>
                <c:pt idx="0">
                  <c:v>2020</c:v>
                </c:pt>
                <c:pt idx="1">
                  <c:v>2025</c:v>
                </c:pt>
                <c:pt idx="2">
                  <c:v>2030</c:v>
                </c:pt>
                <c:pt idx="3">
                  <c:v>2035</c:v>
                </c:pt>
                <c:pt idx="4">
                  <c:v>2040</c:v>
                </c:pt>
                <c:pt idx="5">
                  <c:v>2045</c:v>
                </c:pt>
                <c:pt idx="6">
                  <c:v>2050</c:v>
                </c:pt>
              </c:strCache>
            </c:strRef>
          </c:cat>
          <c:val>
            <c:numRef>
              <c:f>'Pivot - Heavy'!$B$5:$B$12</c:f>
              <c:numCache>
                <c:formatCode>General</c:formatCode>
                <c:ptCount val="7"/>
                <c:pt idx="0">
                  <c:v>15.096153846153847</c:v>
                </c:pt>
                <c:pt idx="1">
                  <c:v>7.8846153846153859</c:v>
                </c:pt>
                <c:pt idx="2">
                  <c:v>4.3269230769230766</c:v>
                </c:pt>
                <c:pt idx="3">
                  <c:v>8309.711538461539</c:v>
                </c:pt>
                <c:pt idx="4">
                  <c:v>8309.711538461539</c:v>
                </c:pt>
                <c:pt idx="5">
                  <c:v>8309.711538461539</c:v>
                </c:pt>
              </c:numCache>
            </c:numRef>
          </c:val>
          <c:extLst>
            <c:ext xmlns:c16="http://schemas.microsoft.com/office/drawing/2014/chart" uri="{C3380CC4-5D6E-409C-BE32-E72D297353CC}">
              <c16:uniqueId val="{00000000-B5DD-49E9-9FB6-B59629D22745}"/>
            </c:ext>
          </c:extLst>
        </c:ser>
        <c:ser>
          <c:idx val="1"/>
          <c:order val="1"/>
          <c:tx>
            <c:strRef>
              <c:f>'Pivot - Heavy'!$C$3:$C$4</c:f>
              <c:strCache>
                <c:ptCount val="1"/>
                <c:pt idx="0">
                  <c:v>Diesel HE</c:v>
                </c:pt>
              </c:strCache>
            </c:strRef>
          </c:tx>
          <c:spPr>
            <a:solidFill>
              <a:srgbClr val="929292"/>
            </a:solidFill>
            <a:ln>
              <a:solidFill>
                <a:srgbClr val="898989"/>
              </a:solidFill>
            </a:ln>
            <a:effectLst/>
          </c:spPr>
          <c:invertIfNegative val="0"/>
          <c:cat>
            <c:strRef>
              <c:f>'Pivot - Heavy'!$A$5:$A$12</c:f>
              <c:strCache>
                <c:ptCount val="7"/>
                <c:pt idx="0">
                  <c:v>2020</c:v>
                </c:pt>
                <c:pt idx="1">
                  <c:v>2025</c:v>
                </c:pt>
                <c:pt idx="2">
                  <c:v>2030</c:v>
                </c:pt>
                <c:pt idx="3">
                  <c:v>2035</c:v>
                </c:pt>
                <c:pt idx="4">
                  <c:v>2040</c:v>
                </c:pt>
                <c:pt idx="5">
                  <c:v>2045</c:v>
                </c:pt>
                <c:pt idx="6">
                  <c:v>2050</c:v>
                </c:pt>
              </c:strCache>
            </c:strRef>
          </c:cat>
          <c:val>
            <c:numRef>
              <c:f>'Pivot - Heavy'!$C$5:$C$12</c:f>
              <c:numCache>
                <c:formatCode>General</c:formatCode>
                <c:ptCount val="7"/>
                <c:pt idx="0">
                  <c:v>85835.384615384624</c:v>
                </c:pt>
                <c:pt idx="1">
                  <c:v>188964.32692307694</c:v>
                </c:pt>
                <c:pt idx="2">
                  <c:v>181229.32692307694</c:v>
                </c:pt>
                <c:pt idx="3">
                  <c:v>108363.75000000001</c:v>
                </c:pt>
              </c:numCache>
            </c:numRef>
          </c:val>
          <c:extLst>
            <c:ext xmlns:c16="http://schemas.microsoft.com/office/drawing/2014/chart" uri="{C3380CC4-5D6E-409C-BE32-E72D297353CC}">
              <c16:uniqueId val="{00000001-B5DD-49E9-9FB6-B59629D22745}"/>
            </c:ext>
          </c:extLst>
        </c:ser>
        <c:ser>
          <c:idx val="2"/>
          <c:order val="2"/>
          <c:tx>
            <c:strRef>
              <c:f>'Pivot - Heavy'!$D$3:$D$4</c:f>
              <c:strCache>
                <c:ptCount val="1"/>
                <c:pt idx="0">
                  <c:v>Diesel ME</c:v>
                </c:pt>
              </c:strCache>
            </c:strRef>
          </c:tx>
          <c:spPr>
            <a:solidFill>
              <a:srgbClr val="E2AA00"/>
            </a:solidFill>
            <a:ln>
              <a:solidFill>
                <a:schemeClr val="accent4"/>
              </a:solidFill>
            </a:ln>
            <a:effectLst/>
          </c:spPr>
          <c:invertIfNegative val="0"/>
          <c:cat>
            <c:strRef>
              <c:f>'Pivot - Heavy'!$A$5:$A$12</c:f>
              <c:strCache>
                <c:ptCount val="7"/>
                <c:pt idx="0">
                  <c:v>2020</c:v>
                </c:pt>
                <c:pt idx="1">
                  <c:v>2025</c:v>
                </c:pt>
                <c:pt idx="2">
                  <c:v>2030</c:v>
                </c:pt>
                <c:pt idx="3">
                  <c:v>2035</c:v>
                </c:pt>
                <c:pt idx="4">
                  <c:v>2040</c:v>
                </c:pt>
                <c:pt idx="5">
                  <c:v>2045</c:v>
                </c:pt>
                <c:pt idx="6">
                  <c:v>2050</c:v>
                </c:pt>
              </c:strCache>
            </c:strRef>
          </c:cat>
          <c:val>
            <c:numRef>
              <c:f>'Pivot - Heavy'!$D$5:$D$12</c:f>
              <c:numCache>
                <c:formatCode>General</c:formatCode>
                <c:ptCount val="7"/>
                <c:pt idx="0">
                  <c:v>28948.653846153848</c:v>
                </c:pt>
              </c:numCache>
            </c:numRef>
          </c:val>
          <c:extLst>
            <c:ext xmlns:c16="http://schemas.microsoft.com/office/drawing/2014/chart" uri="{C3380CC4-5D6E-409C-BE32-E72D297353CC}">
              <c16:uniqueId val="{00000002-B5DD-49E9-9FB6-B59629D22745}"/>
            </c:ext>
          </c:extLst>
        </c:ser>
        <c:ser>
          <c:idx val="3"/>
          <c:order val="3"/>
          <c:tx>
            <c:strRef>
              <c:f>'Pivot - Heavy'!$E$3:$E$4</c:f>
              <c:strCache>
                <c:ptCount val="1"/>
                <c:pt idx="0">
                  <c:v>Diesel SE</c:v>
                </c:pt>
              </c:strCache>
            </c:strRef>
          </c:tx>
          <c:spPr>
            <a:solidFill>
              <a:srgbClr val="D26E2A"/>
            </a:solidFill>
            <a:ln>
              <a:solidFill>
                <a:schemeClr val="accent2"/>
              </a:solidFill>
            </a:ln>
            <a:effectLst/>
          </c:spPr>
          <c:invertIfNegative val="0"/>
          <c:cat>
            <c:strRef>
              <c:f>'Pivot - Heavy'!$A$5:$A$12</c:f>
              <c:strCache>
                <c:ptCount val="7"/>
                <c:pt idx="0">
                  <c:v>2020</c:v>
                </c:pt>
                <c:pt idx="1">
                  <c:v>2025</c:v>
                </c:pt>
                <c:pt idx="2">
                  <c:v>2030</c:v>
                </c:pt>
                <c:pt idx="3">
                  <c:v>2035</c:v>
                </c:pt>
                <c:pt idx="4">
                  <c:v>2040</c:v>
                </c:pt>
                <c:pt idx="5">
                  <c:v>2045</c:v>
                </c:pt>
                <c:pt idx="6">
                  <c:v>2050</c:v>
                </c:pt>
              </c:strCache>
            </c:strRef>
          </c:cat>
          <c:val>
            <c:numRef>
              <c:f>'Pivot - Heavy'!$E$5:$E$12</c:f>
              <c:numCache>
                <c:formatCode>General</c:formatCode>
                <c:ptCount val="7"/>
                <c:pt idx="0">
                  <c:v>23407.788461538465</c:v>
                </c:pt>
              </c:numCache>
            </c:numRef>
          </c:val>
          <c:extLst>
            <c:ext xmlns:c16="http://schemas.microsoft.com/office/drawing/2014/chart" uri="{C3380CC4-5D6E-409C-BE32-E72D297353CC}">
              <c16:uniqueId val="{00000003-B5DD-49E9-9FB6-B59629D22745}"/>
            </c:ext>
          </c:extLst>
        </c:ser>
        <c:ser>
          <c:idx val="4"/>
          <c:order val="4"/>
          <c:tx>
            <c:strRef>
              <c:f>'Pivot - Heavy'!$F$3:$F$4</c:f>
              <c:strCache>
                <c:ptCount val="1"/>
                <c:pt idx="0">
                  <c:v>Gasoline SE</c:v>
                </c:pt>
              </c:strCache>
            </c:strRef>
          </c:tx>
          <c:spPr>
            <a:solidFill>
              <a:srgbClr val="3B64AD"/>
            </a:solidFill>
            <a:ln>
              <a:solidFill>
                <a:schemeClr val="accent5"/>
              </a:solidFill>
            </a:ln>
            <a:effectLst/>
          </c:spPr>
          <c:invertIfNegative val="0"/>
          <c:cat>
            <c:strRef>
              <c:f>'Pivot - Heavy'!$A$5:$A$12</c:f>
              <c:strCache>
                <c:ptCount val="7"/>
                <c:pt idx="0">
                  <c:v>2020</c:v>
                </c:pt>
                <c:pt idx="1">
                  <c:v>2025</c:v>
                </c:pt>
                <c:pt idx="2">
                  <c:v>2030</c:v>
                </c:pt>
                <c:pt idx="3">
                  <c:v>2035</c:v>
                </c:pt>
                <c:pt idx="4">
                  <c:v>2040</c:v>
                </c:pt>
                <c:pt idx="5">
                  <c:v>2045</c:v>
                </c:pt>
                <c:pt idx="6">
                  <c:v>2050</c:v>
                </c:pt>
              </c:strCache>
            </c:strRef>
          </c:cat>
          <c:val>
            <c:numRef>
              <c:f>'Pivot - Heavy'!$F$5:$F$12</c:f>
              <c:numCache>
                <c:formatCode>General</c:formatCode>
                <c:ptCount val="7"/>
                <c:pt idx="0">
                  <c:v>113.94230769230769</c:v>
                </c:pt>
                <c:pt idx="1">
                  <c:v>9.3269230769230784</c:v>
                </c:pt>
                <c:pt idx="2">
                  <c:v>3.5576923076923084</c:v>
                </c:pt>
              </c:numCache>
            </c:numRef>
          </c:val>
          <c:extLst>
            <c:ext xmlns:c16="http://schemas.microsoft.com/office/drawing/2014/chart" uri="{C3380CC4-5D6E-409C-BE32-E72D297353CC}">
              <c16:uniqueId val="{00000004-B5DD-49E9-9FB6-B59629D22745}"/>
            </c:ext>
          </c:extLst>
        </c:ser>
        <c:ser>
          <c:idx val="5"/>
          <c:order val="5"/>
          <c:tx>
            <c:strRef>
              <c:f>'Pivot - Heavy'!$G$3:$G$4</c:f>
              <c:strCache>
                <c:ptCount val="1"/>
                <c:pt idx="0">
                  <c:v>Hydrogen</c:v>
                </c:pt>
              </c:strCache>
            </c:strRef>
          </c:tx>
          <c:spPr>
            <a:solidFill>
              <a:srgbClr val="F1A78A"/>
            </a:solidFill>
            <a:ln>
              <a:solidFill>
                <a:srgbClr val="F1A78A"/>
              </a:solidFill>
            </a:ln>
            <a:effectLst/>
          </c:spPr>
          <c:invertIfNegative val="0"/>
          <c:cat>
            <c:strRef>
              <c:f>'Pivot - Heavy'!$A$5:$A$12</c:f>
              <c:strCache>
                <c:ptCount val="7"/>
                <c:pt idx="0">
                  <c:v>2020</c:v>
                </c:pt>
                <c:pt idx="1">
                  <c:v>2025</c:v>
                </c:pt>
                <c:pt idx="2">
                  <c:v>2030</c:v>
                </c:pt>
                <c:pt idx="3">
                  <c:v>2035</c:v>
                </c:pt>
                <c:pt idx="4">
                  <c:v>2040</c:v>
                </c:pt>
                <c:pt idx="5">
                  <c:v>2045</c:v>
                </c:pt>
                <c:pt idx="6">
                  <c:v>2050</c:v>
                </c:pt>
              </c:strCache>
            </c:strRef>
          </c:cat>
          <c:val>
            <c:numRef>
              <c:f>'Pivot - Heavy'!$G$5:$G$12</c:f>
              <c:numCache>
                <c:formatCode>General</c:formatCode>
                <c:ptCount val="7"/>
                <c:pt idx="3">
                  <c:v>73924.326923076922</c:v>
                </c:pt>
                <c:pt idx="4">
                  <c:v>206797.7884615385</c:v>
                </c:pt>
                <c:pt idx="5">
                  <c:v>239437.11538461543</c:v>
                </c:pt>
                <c:pt idx="6">
                  <c:v>246688.36538461543</c:v>
                </c:pt>
              </c:numCache>
            </c:numRef>
          </c:val>
          <c:extLst>
            <c:ext xmlns:c16="http://schemas.microsoft.com/office/drawing/2014/chart" uri="{C3380CC4-5D6E-409C-BE32-E72D297353CC}">
              <c16:uniqueId val="{00000005-B5DD-49E9-9FB6-B59629D22745}"/>
            </c:ext>
          </c:extLst>
        </c:ser>
        <c:ser>
          <c:idx val="6"/>
          <c:order val="6"/>
          <c:tx>
            <c:strRef>
              <c:f>'Pivot - Heavy'!$H$3:$H$4</c:f>
              <c:strCache>
                <c:ptCount val="1"/>
                <c:pt idx="0">
                  <c:v>LPG</c:v>
                </c:pt>
              </c:strCache>
            </c:strRef>
          </c:tx>
          <c:spPr>
            <a:solidFill>
              <a:srgbClr val="62993E"/>
            </a:solidFill>
            <a:ln>
              <a:solidFill>
                <a:schemeClr val="accent6"/>
              </a:solidFill>
            </a:ln>
            <a:effectLst/>
          </c:spPr>
          <c:invertIfNegative val="0"/>
          <c:cat>
            <c:strRef>
              <c:f>'Pivot - Heavy'!$A$5:$A$12</c:f>
              <c:strCache>
                <c:ptCount val="7"/>
                <c:pt idx="0">
                  <c:v>2020</c:v>
                </c:pt>
                <c:pt idx="1">
                  <c:v>2025</c:v>
                </c:pt>
                <c:pt idx="2">
                  <c:v>2030</c:v>
                </c:pt>
                <c:pt idx="3">
                  <c:v>2035</c:v>
                </c:pt>
                <c:pt idx="4">
                  <c:v>2040</c:v>
                </c:pt>
                <c:pt idx="5">
                  <c:v>2045</c:v>
                </c:pt>
                <c:pt idx="6">
                  <c:v>2050</c:v>
                </c:pt>
              </c:strCache>
            </c:strRef>
          </c:cat>
          <c:val>
            <c:numRef>
              <c:f>'Pivot - Heavy'!$H$5:$H$12</c:f>
              <c:numCache>
                <c:formatCode>General</c:formatCode>
                <c:ptCount val="7"/>
                <c:pt idx="0">
                  <c:v>29.423076923076923</c:v>
                </c:pt>
                <c:pt idx="1">
                  <c:v>8572.0192307692305</c:v>
                </c:pt>
                <c:pt idx="2">
                  <c:v>24741.346153846156</c:v>
                </c:pt>
                <c:pt idx="3">
                  <c:v>24737.115384615387</c:v>
                </c:pt>
                <c:pt idx="4">
                  <c:v>16177.98076923077</c:v>
                </c:pt>
              </c:numCache>
            </c:numRef>
          </c:val>
          <c:extLst>
            <c:ext xmlns:c16="http://schemas.microsoft.com/office/drawing/2014/chart" uri="{C3380CC4-5D6E-409C-BE32-E72D297353CC}">
              <c16:uniqueId val="{00000006-B5DD-49E9-9FB6-B59629D22745}"/>
            </c:ext>
          </c:extLst>
        </c:ser>
        <c:ser>
          <c:idx val="7"/>
          <c:order val="7"/>
          <c:tx>
            <c:strRef>
              <c:f>'Pivot - Heavy'!$I$3:$I$4</c:f>
              <c:strCache>
                <c:ptCount val="1"/>
                <c:pt idx="0">
                  <c:v>Natural Gas</c:v>
                </c:pt>
              </c:strCache>
            </c:strRef>
          </c:tx>
          <c:spPr>
            <a:solidFill>
              <a:srgbClr val="7030A0"/>
            </a:solidFill>
            <a:ln>
              <a:solidFill>
                <a:srgbClr val="7030A0"/>
              </a:solidFill>
            </a:ln>
            <a:effectLst/>
          </c:spPr>
          <c:invertIfNegative val="0"/>
          <c:cat>
            <c:strRef>
              <c:f>'Pivot - Heavy'!$A$5:$A$12</c:f>
              <c:strCache>
                <c:ptCount val="7"/>
                <c:pt idx="0">
                  <c:v>2020</c:v>
                </c:pt>
                <c:pt idx="1">
                  <c:v>2025</c:v>
                </c:pt>
                <c:pt idx="2">
                  <c:v>2030</c:v>
                </c:pt>
                <c:pt idx="3">
                  <c:v>2035</c:v>
                </c:pt>
                <c:pt idx="4">
                  <c:v>2040</c:v>
                </c:pt>
                <c:pt idx="5">
                  <c:v>2045</c:v>
                </c:pt>
                <c:pt idx="6">
                  <c:v>2050</c:v>
                </c:pt>
              </c:strCache>
            </c:strRef>
          </c:cat>
          <c:val>
            <c:numRef>
              <c:f>'Pivot - Heavy'!$I$5:$I$12</c:f>
              <c:numCache>
                <c:formatCode>General</c:formatCode>
                <c:ptCount val="7"/>
                <c:pt idx="0">
                  <c:v>1761.9230769230771</c:v>
                </c:pt>
                <c:pt idx="1">
                  <c:v>1759.7115384615386</c:v>
                </c:pt>
                <c:pt idx="2">
                  <c:v>1480.8653846153848</c:v>
                </c:pt>
              </c:numCache>
            </c:numRef>
          </c:val>
          <c:extLst>
            <c:ext xmlns:c16="http://schemas.microsoft.com/office/drawing/2014/chart" uri="{C3380CC4-5D6E-409C-BE32-E72D297353CC}">
              <c16:uniqueId val="{00000007-B5DD-49E9-9FB6-B59629D22745}"/>
            </c:ext>
          </c:extLst>
        </c:ser>
        <c:dLbls>
          <c:showLegendKey val="0"/>
          <c:showVal val="0"/>
          <c:showCatName val="0"/>
          <c:showSerName val="0"/>
          <c:showPercent val="0"/>
          <c:showBubbleSize val="0"/>
        </c:dLbls>
        <c:gapWidth val="150"/>
        <c:axId val="129055744"/>
        <c:axId val="129050752"/>
      </c:barChart>
      <c:catAx>
        <c:axId val="129055744"/>
        <c:scaling>
          <c:orientation val="minMax"/>
        </c:scaling>
        <c:delete val="0"/>
        <c:axPos val="b"/>
        <c:numFmt formatCode="General" sourceLinked="1"/>
        <c:majorTickMark val="none"/>
        <c:minorTickMark val="out"/>
        <c:tickLblPos val="nextTo"/>
        <c:spPr>
          <a:noFill/>
          <a:ln w="6350" cap="flat" cmpd="sng" algn="ctr">
            <a:solidFill>
              <a:srgbClr val="898989"/>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29050752"/>
        <c:crosses val="autoZero"/>
        <c:auto val="1"/>
        <c:lblAlgn val="ctr"/>
        <c:lblOffset val="100"/>
        <c:tickLblSkip val="2"/>
        <c:noMultiLvlLbl val="0"/>
      </c:catAx>
      <c:valAx>
        <c:axId val="129050752"/>
        <c:scaling>
          <c:orientation val="minMax"/>
        </c:scaling>
        <c:delete val="0"/>
        <c:axPos val="l"/>
        <c:majorGridlines>
          <c:spPr>
            <a:ln w="6350" cap="flat" cmpd="sng" algn="ctr">
              <a:solidFill>
                <a:srgbClr val="898989"/>
              </a:solidFill>
              <a:round/>
            </a:ln>
            <a:effectLst/>
          </c:spPr>
        </c:majorGridlines>
        <c:numFmt formatCode="General" sourceLinked="1"/>
        <c:majorTickMark val="out"/>
        <c:minorTickMark val="none"/>
        <c:tickLblPos val="nextTo"/>
        <c:spPr>
          <a:noFill/>
          <a:ln w="6350">
            <a:solidFill>
              <a:srgbClr val="898989"/>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29055744"/>
        <c:crosses val="autoZero"/>
        <c:crossBetween val="between"/>
        <c:dispUnits>
          <c:builtInUnit val="millions"/>
          <c:dispUnitsLbl>
            <c:layout>
              <c:manualLayout>
                <c:xMode val="edge"/>
                <c:yMode val="edge"/>
                <c:x val="2.9962546816479401E-2"/>
                <c:y val="0.12948793407886994"/>
              </c:manualLayout>
            </c:layout>
            <c:tx>
              <c:rich>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900"/>
                    <a:t>Number of trucks</a:t>
                  </a:r>
                  <a:r>
                    <a:rPr lang="en-US" sz="900" baseline="0"/>
                    <a:t> </a:t>
                  </a:r>
                  <a:r>
                    <a:rPr lang="en-US" sz="900"/>
                    <a:t>(Millions)</a:t>
                  </a:r>
                </a:p>
              </c:rich>
            </c:tx>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ispUnitsLbl>
        </c:dispUnits>
      </c:valAx>
      <c:spPr>
        <a:solidFill>
          <a:schemeClr val="bg1"/>
        </a:solidFill>
        <a:ln>
          <a:noFill/>
        </a:ln>
        <a:effectLst/>
      </c:spPr>
    </c:plotArea>
    <c:legend>
      <c:legendPos val="r"/>
      <c:layout>
        <c:manualLayout>
          <c:xMode val="edge"/>
          <c:yMode val="edge"/>
          <c:x val="0.59830133592851453"/>
          <c:y val="0.23503589420363064"/>
          <c:w val="0.38289185761892125"/>
          <c:h val="0.55638796327622086"/>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00" b="1"/>
            </a:pPr>
            <a:r>
              <a:rPr lang="en-US" sz="900" b="1" i="0" u="none" strike="noStrike" baseline="0">
                <a:effectLst/>
              </a:rPr>
              <a:t>Efficiency</a:t>
            </a:r>
            <a:endParaRPr lang="en-US" sz="900" b="1"/>
          </a:p>
        </c:rich>
      </c:tx>
      <c:layout>
        <c:manualLayout>
          <c:xMode val="edge"/>
          <c:yMode val="edge"/>
          <c:x val="0.39131917986058196"/>
          <c:y val="3.7877793684880298E-2"/>
        </c:manualLayout>
      </c:layout>
      <c:overlay val="0"/>
    </c:title>
    <c:autoTitleDeleted val="0"/>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
        <c:idx val="5"/>
        <c:marker>
          <c:symbol val="none"/>
        </c:marker>
      </c:pivotFmt>
      <c:pivotFmt>
        <c:idx val="6"/>
        <c:marker>
          <c:symbol val="none"/>
        </c:marker>
      </c:pivotFmt>
      <c:pivotFmt>
        <c:idx val="7"/>
        <c:marker>
          <c:symbol val="none"/>
        </c:marker>
      </c:pivotFmt>
      <c:pivotFmt>
        <c:idx val="8"/>
        <c:marker>
          <c:symbol val="none"/>
        </c:marker>
      </c:pivotFmt>
      <c:pivotFmt>
        <c:idx val="9"/>
        <c:marker>
          <c:symbol val="none"/>
        </c:marker>
      </c:pivotFmt>
      <c:pivotFmt>
        <c:idx val="10"/>
        <c:marker>
          <c:symbol val="none"/>
        </c:marker>
      </c:pivotFmt>
      <c:pivotFmt>
        <c:idx val="11"/>
        <c:marker>
          <c:symbol val="none"/>
        </c:marker>
      </c:pivotFmt>
      <c:pivotFmt>
        <c:idx val="12"/>
        <c:marker>
          <c:symbol val="none"/>
        </c:marker>
      </c:pivotFmt>
      <c:pivotFmt>
        <c:idx val="13"/>
        <c:marker>
          <c:symbol val="none"/>
        </c:marker>
      </c:pivotFmt>
      <c:pivotFmt>
        <c:idx val="14"/>
        <c:marker>
          <c:symbol val="none"/>
        </c:marker>
      </c:pivotFmt>
      <c:pivotFmt>
        <c:idx val="15"/>
        <c:marker>
          <c:symbol val="none"/>
        </c:marker>
      </c:pivotFmt>
      <c:pivotFmt>
        <c:idx val="16"/>
        <c:marker>
          <c:symbol val="none"/>
        </c:marker>
      </c:pivotFmt>
      <c:pivotFmt>
        <c:idx val="17"/>
        <c:marker>
          <c:symbol val="none"/>
        </c:marker>
      </c:pivotFmt>
      <c:pivotFmt>
        <c:idx val="18"/>
        <c:marker>
          <c:symbol val="none"/>
        </c:marker>
      </c:pivotFmt>
      <c:pivotFmt>
        <c:idx val="19"/>
        <c:marker>
          <c:symbol val="none"/>
        </c:marker>
      </c:pivotFmt>
      <c:pivotFmt>
        <c:idx val="20"/>
        <c:marker>
          <c:symbol val="none"/>
        </c:marker>
      </c:pivotFmt>
      <c:pivotFmt>
        <c:idx val="21"/>
        <c:marker>
          <c:symbol val="none"/>
        </c:marker>
      </c:pivotFmt>
      <c:pivotFmt>
        <c:idx val="22"/>
        <c:marker>
          <c:symbol val="none"/>
        </c:marker>
      </c:pivotFmt>
      <c:pivotFmt>
        <c:idx val="23"/>
        <c:marker>
          <c:symbol val="none"/>
        </c:marker>
      </c:pivotFmt>
      <c:pivotFmt>
        <c:idx val="24"/>
        <c:marker>
          <c:symbol val="none"/>
        </c:marker>
      </c:pivotFmt>
      <c:pivotFmt>
        <c:idx val="25"/>
        <c:marker>
          <c:symbol val="none"/>
        </c:marker>
      </c:pivotFmt>
      <c:pivotFmt>
        <c:idx val="26"/>
        <c:marker>
          <c:symbol val="none"/>
        </c:marker>
      </c:pivotFmt>
      <c:pivotFmt>
        <c:idx val="27"/>
        <c:marker>
          <c:symbol val="none"/>
        </c:marker>
      </c:pivotFmt>
      <c:pivotFmt>
        <c:idx val="28"/>
        <c:marker>
          <c:symbol val="none"/>
        </c:marker>
      </c:pivotFmt>
      <c:pivotFmt>
        <c:idx val="29"/>
        <c:marker>
          <c:symbol val="none"/>
        </c:marker>
      </c:pivotFmt>
      <c:pivotFmt>
        <c:idx val="30"/>
        <c:marker>
          <c:symbol val="none"/>
        </c:marker>
      </c:pivotFmt>
      <c:pivotFmt>
        <c:idx val="31"/>
        <c:marker>
          <c:symbol val="none"/>
        </c:marker>
      </c:pivotFmt>
      <c:pivotFmt>
        <c:idx val="32"/>
        <c:marker>
          <c:symbol val="none"/>
        </c:marker>
      </c:pivotFmt>
      <c:pivotFmt>
        <c:idx val="33"/>
        <c:marker>
          <c:symbol val="none"/>
        </c:marker>
      </c:pivotFmt>
      <c:pivotFmt>
        <c:idx val="34"/>
        <c:marker>
          <c:symbol val="none"/>
        </c:marker>
      </c:pivotFmt>
      <c:pivotFmt>
        <c:idx val="35"/>
        <c:marker>
          <c:symbol val="none"/>
        </c:marker>
      </c:pivotFmt>
      <c:pivotFmt>
        <c:idx val="36"/>
        <c:marker>
          <c:symbol val="none"/>
        </c:marker>
      </c:pivotFmt>
      <c:pivotFmt>
        <c:idx val="37"/>
        <c:marker>
          <c:symbol val="none"/>
        </c:marker>
      </c:pivotFmt>
      <c:pivotFmt>
        <c:idx val="38"/>
        <c:marker>
          <c:symbol val="none"/>
        </c:marker>
      </c:pivotFmt>
      <c:pivotFmt>
        <c:idx val="39"/>
        <c:marker>
          <c:symbol val="none"/>
        </c:marker>
      </c:pivotFmt>
      <c:pivotFmt>
        <c:idx val="40"/>
        <c:marker>
          <c:symbol val="none"/>
        </c:marker>
      </c:pivotFmt>
      <c:pivotFmt>
        <c:idx val="41"/>
        <c:marker>
          <c:symbol val="none"/>
        </c:marker>
      </c:pivotFmt>
      <c:pivotFmt>
        <c:idx val="42"/>
        <c:marker>
          <c:symbol val="none"/>
        </c:marker>
      </c:pivotFmt>
      <c:pivotFmt>
        <c:idx val="43"/>
        <c:marker>
          <c:symbol val="none"/>
        </c:marker>
      </c:pivotFmt>
      <c:pivotFmt>
        <c:idx val="44"/>
        <c:marker>
          <c:symbol val="none"/>
        </c:marker>
      </c:pivotFmt>
      <c:pivotFmt>
        <c:idx val="45"/>
        <c:marker>
          <c:symbol val="none"/>
        </c:marker>
      </c:pivotFmt>
      <c:pivotFmt>
        <c:idx val="46"/>
        <c:marker>
          <c:symbol val="none"/>
        </c:marker>
      </c:pivotFmt>
      <c:pivotFmt>
        <c:idx val="47"/>
        <c:marker>
          <c:symbol val="none"/>
        </c:marker>
      </c:pivotFmt>
      <c:pivotFmt>
        <c:idx val="48"/>
        <c:marker>
          <c:symbol val="none"/>
        </c:marker>
      </c:pivotFmt>
      <c:pivotFmt>
        <c:idx val="49"/>
        <c:marker>
          <c:symbol val="none"/>
        </c:marker>
      </c:pivotFmt>
      <c:pivotFmt>
        <c:idx val="50"/>
        <c:marker>
          <c:symbol val="none"/>
        </c:marker>
      </c:pivotFmt>
      <c:pivotFmt>
        <c:idx val="51"/>
        <c:marker>
          <c:symbol val="none"/>
        </c:marker>
      </c:pivotFmt>
      <c:pivotFmt>
        <c:idx val="52"/>
        <c:marker>
          <c:symbol val="none"/>
        </c:marker>
      </c:pivotFmt>
      <c:pivotFmt>
        <c:idx val="53"/>
        <c:marker>
          <c:symbol val="none"/>
        </c:marker>
      </c:pivotFmt>
      <c:pivotFmt>
        <c:idx val="54"/>
        <c:marker>
          <c:symbol val="none"/>
        </c:marker>
      </c:pivotFmt>
      <c:pivotFmt>
        <c:idx val="55"/>
        <c:marker>
          <c:symbol val="none"/>
        </c:marker>
      </c:pivotFmt>
    </c:pivotFmts>
    <c:plotArea>
      <c:layout>
        <c:manualLayout>
          <c:layoutTarget val="inner"/>
          <c:xMode val="edge"/>
          <c:yMode val="edge"/>
          <c:x val="4.1455705133632489E-2"/>
          <c:y val="0.16371440785810865"/>
          <c:w val="0.93216598933197869"/>
          <c:h val="0.73993676926747798"/>
        </c:manualLayout>
      </c:layout>
      <c:barChart>
        <c:barDir val="col"/>
        <c:grouping val="clustered"/>
        <c:varyColors val="0"/>
        <c:ser>
          <c:idx val="0"/>
          <c:order val="0"/>
          <c:tx>
            <c:v>Heavy trucks - Battery Electric</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15.096153846153847</c:v>
              </c:pt>
              <c:pt idx="1">
                <c:v>7.8846153846153859</c:v>
              </c:pt>
              <c:pt idx="2">
                <c:v>4.3269230769230766</c:v>
              </c:pt>
              <c:pt idx="3">
                <c:v>0</c:v>
              </c:pt>
              <c:pt idx="4">
                <c:v>0</c:v>
              </c:pt>
              <c:pt idx="5">
                <c:v>0</c:v>
              </c:pt>
              <c:pt idx="6">
                <c:v>0</c:v>
              </c:pt>
            </c:numLit>
          </c:val>
          <c:extLst>
            <c:ext xmlns:c16="http://schemas.microsoft.com/office/drawing/2014/chart" uri="{C3380CC4-5D6E-409C-BE32-E72D297353CC}">
              <c16:uniqueId val="{00000000-E87F-4A44-96F8-44F1A0BE7DB1}"/>
            </c:ext>
          </c:extLst>
        </c:ser>
        <c:ser>
          <c:idx val="1"/>
          <c:order val="1"/>
          <c:tx>
            <c:v>Heavy trucks - Conventional diesel</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23407.788461538465</c:v>
              </c:pt>
              <c:pt idx="1">
                <c:v>0</c:v>
              </c:pt>
              <c:pt idx="2">
                <c:v>0</c:v>
              </c:pt>
              <c:pt idx="3">
                <c:v>0</c:v>
              </c:pt>
              <c:pt idx="4">
                <c:v>0</c:v>
              </c:pt>
              <c:pt idx="5">
                <c:v>0</c:v>
              </c:pt>
              <c:pt idx="6">
                <c:v>0</c:v>
              </c:pt>
            </c:numLit>
          </c:val>
          <c:extLst>
            <c:ext xmlns:c16="http://schemas.microsoft.com/office/drawing/2014/chart" uri="{C3380CC4-5D6E-409C-BE32-E72D297353CC}">
              <c16:uniqueId val="{00000001-E87F-4A44-96F8-44F1A0BE7DB1}"/>
            </c:ext>
          </c:extLst>
        </c:ser>
        <c:ser>
          <c:idx val="2"/>
          <c:order val="2"/>
          <c:tx>
            <c:v>Heavy trucks - Conventional diesel_High Efficiency</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85835.384615384624</c:v>
              </c:pt>
              <c:pt idx="1">
                <c:v>188964.32692307694</c:v>
              </c:pt>
              <c:pt idx="2">
                <c:v>181229.32692307694</c:v>
              </c:pt>
              <c:pt idx="3">
                <c:v>108363.75000000001</c:v>
              </c:pt>
              <c:pt idx="4">
                <c:v>0</c:v>
              </c:pt>
              <c:pt idx="5">
                <c:v>0</c:v>
              </c:pt>
              <c:pt idx="6">
                <c:v>0</c:v>
              </c:pt>
            </c:numLit>
          </c:val>
          <c:extLst>
            <c:ext xmlns:c16="http://schemas.microsoft.com/office/drawing/2014/chart" uri="{C3380CC4-5D6E-409C-BE32-E72D297353CC}">
              <c16:uniqueId val="{00000002-E87F-4A44-96F8-44F1A0BE7DB1}"/>
            </c:ext>
          </c:extLst>
        </c:ser>
        <c:ser>
          <c:idx val="3"/>
          <c:order val="3"/>
          <c:tx>
            <c:v>Heavy trucks - Conventional diesel_Medium Efficiency</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28948.653846153848</c:v>
              </c:pt>
              <c:pt idx="1">
                <c:v>0</c:v>
              </c:pt>
              <c:pt idx="2">
                <c:v>0</c:v>
              </c:pt>
              <c:pt idx="3">
                <c:v>0</c:v>
              </c:pt>
              <c:pt idx="4">
                <c:v>0</c:v>
              </c:pt>
              <c:pt idx="5">
                <c:v>0</c:v>
              </c:pt>
              <c:pt idx="6">
                <c:v>0</c:v>
              </c:pt>
            </c:numLit>
          </c:val>
          <c:extLst>
            <c:ext xmlns:c16="http://schemas.microsoft.com/office/drawing/2014/chart" uri="{C3380CC4-5D6E-409C-BE32-E72D297353CC}">
              <c16:uniqueId val="{00000003-E87F-4A44-96F8-44F1A0BE7DB1}"/>
            </c:ext>
          </c:extLst>
        </c:ser>
        <c:ser>
          <c:idx val="4"/>
          <c:order val="4"/>
          <c:tx>
            <c:v>Heavy trucks - Conventional gasoline</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113.94230769230769</c:v>
              </c:pt>
              <c:pt idx="1">
                <c:v>9.3269230769230784</c:v>
              </c:pt>
              <c:pt idx="2">
                <c:v>3.5576923076923084</c:v>
              </c:pt>
              <c:pt idx="3">
                <c:v>0</c:v>
              </c:pt>
              <c:pt idx="4">
                <c:v>0</c:v>
              </c:pt>
              <c:pt idx="5">
                <c:v>0</c:v>
              </c:pt>
              <c:pt idx="6">
                <c:v>0</c:v>
              </c:pt>
            </c:numLit>
          </c:val>
          <c:extLst>
            <c:ext xmlns:c16="http://schemas.microsoft.com/office/drawing/2014/chart" uri="{C3380CC4-5D6E-409C-BE32-E72D297353CC}">
              <c16:uniqueId val="{00000004-E87F-4A44-96F8-44F1A0BE7DB1}"/>
            </c:ext>
          </c:extLst>
        </c:ser>
        <c:ser>
          <c:idx val="5"/>
          <c:order val="5"/>
          <c:tx>
            <c:v>Heavy trucks - LPG</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29.423076923076923</c:v>
              </c:pt>
              <c:pt idx="1">
                <c:v>8572.0192307692305</c:v>
              </c:pt>
              <c:pt idx="2">
                <c:v>24741.346153846156</c:v>
              </c:pt>
              <c:pt idx="3">
                <c:v>106971.15384615384</c:v>
              </c:pt>
              <c:pt idx="4">
                <c:v>231285.48076923081</c:v>
              </c:pt>
              <c:pt idx="5">
                <c:v>247746.82692307697</c:v>
              </c:pt>
              <c:pt idx="6">
                <c:v>246688.36538461543</c:v>
              </c:pt>
            </c:numLit>
          </c:val>
          <c:extLst>
            <c:ext xmlns:c16="http://schemas.microsoft.com/office/drawing/2014/chart" uri="{C3380CC4-5D6E-409C-BE32-E72D297353CC}">
              <c16:uniqueId val="{00000005-E87F-4A44-96F8-44F1A0BE7DB1}"/>
            </c:ext>
          </c:extLst>
        </c:ser>
        <c:ser>
          <c:idx val="6"/>
          <c:order val="6"/>
          <c:tx>
            <c:v>Heavy trucks - Natural gas</c:v>
          </c:tx>
          <c:spPr>
            <a:solidFill>
              <a:srgbClr val="7030A0"/>
            </a:solidFill>
          </c:spPr>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1761.9230769230771</c:v>
              </c:pt>
              <c:pt idx="1">
                <c:v>1759.7115384615386</c:v>
              </c:pt>
              <c:pt idx="2">
                <c:v>1480.8653846153848</c:v>
              </c:pt>
              <c:pt idx="3">
                <c:v>0</c:v>
              </c:pt>
              <c:pt idx="4">
                <c:v>0</c:v>
              </c:pt>
              <c:pt idx="5">
                <c:v>0</c:v>
              </c:pt>
              <c:pt idx="6">
                <c:v>0</c:v>
              </c:pt>
            </c:numLit>
          </c:val>
          <c:extLst>
            <c:ext xmlns:c16="http://schemas.microsoft.com/office/drawing/2014/chart" uri="{C3380CC4-5D6E-409C-BE32-E72D297353CC}">
              <c16:uniqueId val="{00000006-E87F-4A44-96F8-44F1A0BE7DB1}"/>
            </c:ext>
          </c:extLst>
        </c:ser>
        <c:dLbls>
          <c:showLegendKey val="0"/>
          <c:showVal val="0"/>
          <c:showCatName val="0"/>
          <c:showSerName val="0"/>
          <c:showPercent val="0"/>
          <c:showBubbleSize val="0"/>
        </c:dLbls>
        <c:gapWidth val="150"/>
        <c:axId val="324643647"/>
        <c:axId val="324639071"/>
      </c:barChart>
      <c:catAx>
        <c:axId val="324643647"/>
        <c:scaling>
          <c:orientation val="minMax"/>
        </c:scaling>
        <c:delete val="0"/>
        <c:axPos val="b"/>
        <c:numFmt formatCode="General" sourceLinked="1"/>
        <c:majorTickMark val="out"/>
        <c:minorTickMark val="none"/>
        <c:tickLblPos val="nextTo"/>
        <c:txPr>
          <a:bodyPr/>
          <a:lstStyle/>
          <a:p>
            <a:pPr>
              <a:defRPr sz="800"/>
            </a:pPr>
            <a:endParaRPr lang="en-US"/>
          </a:p>
        </c:txPr>
        <c:crossAx val="324639071"/>
        <c:crosses val="autoZero"/>
        <c:auto val="1"/>
        <c:lblAlgn val="ctr"/>
        <c:lblOffset val="100"/>
        <c:tickLblSkip val="2"/>
        <c:noMultiLvlLbl val="0"/>
      </c:catAx>
      <c:valAx>
        <c:axId val="324639071"/>
        <c:scaling>
          <c:orientation val="minMax"/>
        </c:scaling>
        <c:delete val="1"/>
        <c:axPos val="l"/>
        <c:majorGridlines/>
        <c:numFmt formatCode="General" sourceLinked="1"/>
        <c:majorTickMark val="out"/>
        <c:minorTickMark val="none"/>
        <c:tickLblPos val="nextTo"/>
        <c:crossAx val="324643647"/>
        <c:crosses val="autoZero"/>
        <c:crossBetween val="between"/>
        <c:dispUnits>
          <c:builtInUnit val="millions"/>
        </c:dispUnits>
      </c:valAx>
    </c:plotArea>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en-US"/>
    </a:p>
  </c:txPr>
  <c:externalData r:id="rId1">
    <c:autoUpdate val="0"/>
  </c:externalData>
  <c:extLst/>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00" b="1"/>
            </a:pPr>
            <a:r>
              <a:rPr lang="en-US" sz="900" b="1"/>
              <a:t>Carbon Price</a:t>
            </a:r>
          </a:p>
        </c:rich>
      </c:tx>
      <c:layout>
        <c:manualLayout>
          <c:xMode val="edge"/>
          <c:yMode val="edge"/>
          <c:x val="0.45883493040871431"/>
          <c:y val="5.885815185403178E-2"/>
        </c:manualLayout>
      </c:layout>
      <c:overlay val="0"/>
    </c:title>
    <c:autoTitleDeleted val="0"/>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
        <c:idx val="5"/>
        <c:marker>
          <c:symbol val="none"/>
        </c:marker>
      </c:pivotFmt>
      <c:pivotFmt>
        <c:idx val="6"/>
        <c:marker>
          <c:symbol val="none"/>
        </c:marker>
      </c:pivotFmt>
      <c:pivotFmt>
        <c:idx val="7"/>
        <c:marker>
          <c:symbol val="none"/>
        </c:marker>
      </c:pivotFmt>
      <c:pivotFmt>
        <c:idx val="8"/>
        <c:marker>
          <c:symbol val="none"/>
        </c:marker>
      </c:pivotFmt>
      <c:pivotFmt>
        <c:idx val="9"/>
        <c:marker>
          <c:symbol val="none"/>
        </c:marker>
      </c:pivotFmt>
      <c:pivotFmt>
        <c:idx val="10"/>
        <c:marker>
          <c:symbol val="none"/>
        </c:marker>
      </c:pivotFmt>
      <c:pivotFmt>
        <c:idx val="11"/>
        <c:marker>
          <c:symbol val="none"/>
        </c:marker>
      </c:pivotFmt>
      <c:pivotFmt>
        <c:idx val="12"/>
        <c:marker>
          <c:symbol val="none"/>
        </c:marker>
      </c:pivotFmt>
      <c:pivotFmt>
        <c:idx val="13"/>
        <c:marker>
          <c:symbol val="none"/>
        </c:marker>
      </c:pivotFmt>
      <c:pivotFmt>
        <c:idx val="14"/>
        <c:marker>
          <c:symbol val="none"/>
        </c:marker>
      </c:pivotFmt>
      <c:pivotFmt>
        <c:idx val="15"/>
        <c:marker>
          <c:symbol val="none"/>
        </c:marker>
      </c:pivotFmt>
      <c:pivotFmt>
        <c:idx val="16"/>
        <c:marker>
          <c:symbol val="none"/>
        </c:marker>
      </c:pivotFmt>
      <c:pivotFmt>
        <c:idx val="17"/>
        <c:marker>
          <c:symbol val="none"/>
        </c:marker>
      </c:pivotFmt>
      <c:pivotFmt>
        <c:idx val="18"/>
        <c:marker>
          <c:symbol val="none"/>
        </c:marker>
      </c:pivotFmt>
      <c:pivotFmt>
        <c:idx val="19"/>
        <c:marker>
          <c:symbol val="none"/>
        </c:marker>
      </c:pivotFmt>
      <c:pivotFmt>
        <c:idx val="20"/>
        <c:marker>
          <c:symbol val="none"/>
        </c:marker>
      </c:pivotFmt>
      <c:pivotFmt>
        <c:idx val="21"/>
        <c:marker>
          <c:symbol val="none"/>
        </c:marker>
      </c:pivotFmt>
      <c:pivotFmt>
        <c:idx val="22"/>
        <c:marker>
          <c:symbol val="none"/>
        </c:marker>
      </c:pivotFmt>
      <c:pivotFmt>
        <c:idx val="23"/>
        <c:marker>
          <c:symbol val="none"/>
        </c:marker>
      </c:pivotFmt>
      <c:pivotFmt>
        <c:idx val="24"/>
        <c:marker>
          <c:symbol val="none"/>
        </c:marker>
      </c:pivotFmt>
      <c:pivotFmt>
        <c:idx val="25"/>
        <c:marker>
          <c:symbol val="none"/>
        </c:marker>
      </c:pivotFmt>
      <c:pivotFmt>
        <c:idx val="26"/>
        <c:marker>
          <c:symbol val="none"/>
        </c:marker>
      </c:pivotFmt>
      <c:pivotFmt>
        <c:idx val="27"/>
        <c:marker>
          <c:symbol val="none"/>
        </c:marker>
      </c:pivotFmt>
      <c:pivotFmt>
        <c:idx val="28"/>
        <c:marker>
          <c:symbol val="none"/>
        </c:marker>
      </c:pivotFmt>
      <c:pivotFmt>
        <c:idx val="29"/>
        <c:marker>
          <c:symbol val="none"/>
        </c:marker>
      </c:pivotFmt>
      <c:pivotFmt>
        <c:idx val="30"/>
        <c:marker>
          <c:symbol val="none"/>
        </c:marker>
      </c:pivotFmt>
      <c:pivotFmt>
        <c:idx val="31"/>
        <c:marker>
          <c:symbol val="none"/>
        </c:marker>
      </c:pivotFmt>
      <c:pivotFmt>
        <c:idx val="32"/>
        <c:marker>
          <c:symbol val="none"/>
        </c:marker>
      </c:pivotFmt>
      <c:pivotFmt>
        <c:idx val="33"/>
        <c:marker>
          <c:symbol val="none"/>
        </c:marker>
      </c:pivotFmt>
      <c:pivotFmt>
        <c:idx val="34"/>
        <c:marker>
          <c:symbol val="none"/>
        </c:marker>
      </c:pivotFmt>
      <c:pivotFmt>
        <c:idx val="35"/>
        <c:marker>
          <c:symbol val="none"/>
        </c:marker>
      </c:pivotFmt>
      <c:pivotFmt>
        <c:idx val="36"/>
        <c:marker>
          <c:symbol val="none"/>
        </c:marker>
      </c:pivotFmt>
      <c:pivotFmt>
        <c:idx val="37"/>
        <c:marker>
          <c:symbol val="none"/>
        </c:marker>
      </c:pivotFmt>
      <c:pivotFmt>
        <c:idx val="38"/>
        <c:marker>
          <c:symbol val="none"/>
        </c:marker>
      </c:pivotFmt>
      <c:pivotFmt>
        <c:idx val="39"/>
        <c:marker>
          <c:symbol val="none"/>
        </c:marker>
      </c:pivotFmt>
      <c:pivotFmt>
        <c:idx val="40"/>
        <c:marker>
          <c:symbol val="none"/>
        </c:marker>
      </c:pivotFmt>
      <c:pivotFmt>
        <c:idx val="41"/>
        <c:marker>
          <c:symbol val="none"/>
        </c:marker>
      </c:pivotFmt>
      <c:pivotFmt>
        <c:idx val="42"/>
        <c:marker>
          <c:symbol val="none"/>
        </c:marker>
      </c:pivotFmt>
      <c:pivotFmt>
        <c:idx val="43"/>
        <c:marker>
          <c:symbol val="none"/>
        </c:marker>
      </c:pivotFmt>
      <c:pivotFmt>
        <c:idx val="44"/>
        <c:marker>
          <c:symbol val="none"/>
        </c:marker>
      </c:pivotFmt>
      <c:pivotFmt>
        <c:idx val="45"/>
        <c:marker>
          <c:symbol val="none"/>
        </c:marker>
      </c:pivotFmt>
      <c:pivotFmt>
        <c:idx val="46"/>
        <c:marker>
          <c:symbol val="none"/>
        </c:marker>
      </c:pivotFmt>
      <c:pivotFmt>
        <c:idx val="47"/>
        <c:marker>
          <c:symbol val="none"/>
        </c:marker>
      </c:pivotFmt>
      <c:pivotFmt>
        <c:idx val="48"/>
        <c:marker>
          <c:symbol val="none"/>
        </c:marker>
      </c:pivotFmt>
      <c:pivotFmt>
        <c:idx val="49"/>
        <c:marker>
          <c:symbol val="none"/>
        </c:marker>
      </c:pivotFmt>
      <c:pivotFmt>
        <c:idx val="50"/>
        <c:marker>
          <c:symbol val="none"/>
        </c:marker>
      </c:pivotFmt>
      <c:pivotFmt>
        <c:idx val="51"/>
        <c:marker>
          <c:symbol val="none"/>
        </c:marker>
      </c:pivotFmt>
      <c:pivotFmt>
        <c:idx val="52"/>
        <c:marker>
          <c:symbol val="none"/>
        </c:marker>
      </c:pivotFmt>
      <c:pivotFmt>
        <c:idx val="53"/>
        <c:marker>
          <c:symbol val="none"/>
        </c:marker>
      </c:pivotFmt>
      <c:pivotFmt>
        <c:idx val="54"/>
        <c:marker>
          <c:symbol val="none"/>
        </c:marker>
      </c:pivotFmt>
      <c:pivotFmt>
        <c:idx val="55"/>
        <c:marker>
          <c:symbol val="none"/>
        </c:marker>
      </c:pivotFmt>
    </c:pivotFmts>
    <c:plotArea>
      <c:layout>
        <c:manualLayout>
          <c:layoutTarget val="inner"/>
          <c:xMode val="edge"/>
          <c:yMode val="edge"/>
          <c:x val="0.18615519269255099"/>
          <c:y val="0.17113030824060471"/>
          <c:w val="0.80847196853629377"/>
          <c:h val="0.73315660439443309"/>
        </c:manualLayout>
      </c:layout>
      <c:barChart>
        <c:barDir val="col"/>
        <c:grouping val="clustered"/>
        <c:varyColors val="0"/>
        <c:ser>
          <c:idx val="0"/>
          <c:order val="0"/>
          <c:tx>
            <c:v>Heavy trucks - Battery Electric</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15.096153846153847</c:v>
              </c:pt>
              <c:pt idx="1">
                <c:v>7.8846153846153859</c:v>
              </c:pt>
              <c:pt idx="2">
                <c:v>4.3269230769230766</c:v>
              </c:pt>
              <c:pt idx="3">
                <c:v>0</c:v>
              </c:pt>
              <c:pt idx="4">
                <c:v>0</c:v>
              </c:pt>
              <c:pt idx="5">
                <c:v>0</c:v>
              </c:pt>
              <c:pt idx="6">
                <c:v>0</c:v>
              </c:pt>
            </c:numLit>
          </c:val>
          <c:extLst>
            <c:ext xmlns:c16="http://schemas.microsoft.com/office/drawing/2014/chart" uri="{C3380CC4-5D6E-409C-BE32-E72D297353CC}">
              <c16:uniqueId val="{00000000-24BC-42F9-A449-FB72E1BD8BFD}"/>
            </c:ext>
          </c:extLst>
        </c:ser>
        <c:ser>
          <c:idx val="1"/>
          <c:order val="1"/>
          <c:tx>
            <c:v>Heavy trucks - Conventional diesel</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23407.788461538465</c:v>
              </c:pt>
              <c:pt idx="1">
                <c:v>0</c:v>
              </c:pt>
              <c:pt idx="2">
                <c:v>0</c:v>
              </c:pt>
              <c:pt idx="3">
                <c:v>0</c:v>
              </c:pt>
              <c:pt idx="4">
                <c:v>0</c:v>
              </c:pt>
              <c:pt idx="5">
                <c:v>0</c:v>
              </c:pt>
              <c:pt idx="6">
                <c:v>0</c:v>
              </c:pt>
            </c:numLit>
          </c:val>
          <c:extLst>
            <c:ext xmlns:c16="http://schemas.microsoft.com/office/drawing/2014/chart" uri="{C3380CC4-5D6E-409C-BE32-E72D297353CC}">
              <c16:uniqueId val="{00000001-24BC-42F9-A449-FB72E1BD8BFD}"/>
            </c:ext>
          </c:extLst>
        </c:ser>
        <c:ser>
          <c:idx val="2"/>
          <c:order val="2"/>
          <c:tx>
            <c:v>Heavy trucks - Conventional diesel_High Efficiency</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85835.384615384624</c:v>
              </c:pt>
              <c:pt idx="1">
                <c:v>188964.32692307694</c:v>
              </c:pt>
              <c:pt idx="2">
                <c:v>181229.32692307694</c:v>
              </c:pt>
              <c:pt idx="3">
                <c:v>108363.75000000001</c:v>
              </c:pt>
              <c:pt idx="4">
                <c:v>0</c:v>
              </c:pt>
              <c:pt idx="5">
                <c:v>0</c:v>
              </c:pt>
              <c:pt idx="6">
                <c:v>0</c:v>
              </c:pt>
            </c:numLit>
          </c:val>
          <c:extLst>
            <c:ext xmlns:c16="http://schemas.microsoft.com/office/drawing/2014/chart" uri="{C3380CC4-5D6E-409C-BE32-E72D297353CC}">
              <c16:uniqueId val="{00000002-24BC-42F9-A449-FB72E1BD8BFD}"/>
            </c:ext>
          </c:extLst>
        </c:ser>
        <c:ser>
          <c:idx val="3"/>
          <c:order val="3"/>
          <c:tx>
            <c:v>Heavy trucks - Conventional diesel_Medium Efficiency</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28948.653846153848</c:v>
              </c:pt>
              <c:pt idx="1">
                <c:v>0</c:v>
              </c:pt>
              <c:pt idx="2">
                <c:v>0</c:v>
              </c:pt>
              <c:pt idx="3">
                <c:v>0</c:v>
              </c:pt>
              <c:pt idx="4">
                <c:v>0</c:v>
              </c:pt>
              <c:pt idx="5">
                <c:v>0</c:v>
              </c:pt>
              <c:pt idx="6">
                <c:v>0</c:v>
              </c:pt>
            </c:numLit>
          </c:val>
          <c:extLst>
            <c:ext xmlns:c16="http://schemas.microsoft.com/office/drawing/2014/chart" uri="{C3380CC4-5D6E-409C-BE32-E72D297353CC}">
              <c16:uniqueId val="{00000003-24BC-42F9-A449-FB72E1BD8BFD}"/>
            </c:ext>
          </c:extLst>
        </c:ser>
        <c:ser>
          <c:idx val="4"/>
          <c:order val="4"/>
          <c:tx>
            <c:v>Heavy trucks - Conventional gasoline</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113.94230769230769</c:v>
              </c:pt>
              <c:pt idx="1">
                <c:v>9.3269230769230784</c:v>
              </c:pt>
              <c:pt idx="2">
                <c:v>3.5576923076923084</c:v>
              </c:pt>
              <c:pt idx="3">
                <c:v>0</c:v>
              </c:pt>
              <c:pt idx="4">
                <c:v>0</c:v>
              </c:pt>
              <c:pt idx="5">
                <c:v>0</c:v>
              </c:pt>
              <c:pt idx="6">
                <c:v>0</c:v>
              </c:pt>
            </c:numLit>
          </c:val>
          <c:extLst>
            <c:ext xmlns:c16="http://schemas.microsoft.com/office/drawing/2014/chart" uri="{C3380CC4-5D6E-409C-BE32-E72D297353CC}">
              <c16:uniqueId val="{00000004-24BC-42F9-A449-FB72E1BD8BFD}"/>
            </c:ext>
          </c:extLst>
        </c:ser>
        <c:ser>
          <c:idx val="5"/>
          <c:order val="5"/>
          <c:tx>
            <c:v>Heavy trucks - LPG</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29.423076923076923</c:v>
              </c:pt>
              <c:pt idx="1">
                <c:v>8572.0192307692305</c:v>
              </c:pt>
              <c:pt idx="2">
                <c:v>24741.346153846156</c:v>
              </c:pt>
              <c:pt idx="3">
                <c:v>24737.115384615387</c:v>
              </c:pt>
              <c:pt idx="4">
                <c:v>16177.98076923077</c:v>
              </c:pt>
              <c:pt idx="5">
                <c:v>0</c:v>
              </c:pt>
              <c:pt idx="6">
                <c:v>0</c:v>
              </c:pt>
            </c:numLit>
          </c:val>
          <c:extLst>
            <c:ext xmlns:c16="http://schemas.microsoft.com/office/drawing/2014/chart" uri="{C3380CC4-5D6E-409C-BE32-E72D297353CC}">
              <c16:uniqueId val="{00000005-24BC-42F9-A449-FB72E1BD8BFD}"/>
            </c:ext>
          </c:extLst>
        </c:ser>
        <c:ser>
          <c:idx val="6"/>
          <c:order val="6"/>
          <c:tx>
            <c:v>Heavy trucks - Natural gas</c:v>
          </c:tx>
          <c:spPr>
            <a:solidFill>
              <a:srgbClr val="7030A0"/>
            </a:solidFill>
          </c:spPr>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1761.9230769230771</c:v>
              </c:pt>
              <c:pt idx="1">
                <c:v>1759.7115384615386</c:v>
              </c:pt>
              <c:pt idx="2">
                <c:v>1480.8653846153848</c:v>
              </c:pt>
              <c:pt idx="3">
                <c:v>82234.038461538468</c:v>
              </c:pt>
              <c:pt idx="4">
                <c:v>215107.50000000003</c:v>
              </c:pt>
              <c:pt idx="5">
                <c:v>247746.82692307697</c:v>
              </c:pt>
              <c:pt idx="6">
                <c:v>246688.36538461543</c:v>
              </c:pt>
            </c:numLit>
          </c:val>
          <c:extLst>
            <c:ext xmlns:c16="http://schemas.microsoft.com/office/drawing/2014/chart" uri="{C3380CC4-5D6E-409C-BE32-E72D297353CC}">
              <c16:uniqueId val="{00000006-24BC-42F9-A449-FB72E1BD8BFD}"/>
            </c:ext>
          </c:extLst>
        </c:ser>
        <c:dLbls>
          <c:showLegendKey val="0"/>
          <c:showVal val="0"/>
          <c:showCatName val="0"/>
          <c:showSerName val="0"/>
          <c:showPercent val="0"/>
          <c:showBubbleSize val="0"/>
        </c:dLbls>
        <c:gapWidth val="150"/>
        <c:axId val="324643647"/>
        <c:axId val="324639071"/>
      </c:barChart>
      <c:catAx>
        <c:axId val="324643647"/>
        <c:scaling>
          <c:orientation val="minMax"/>
        </c:scaling>
        <c:delete val="0"/>
        <c:axPos val="b"/>
        <c:numFmt formatCode="General" sourceLinked="1"/>
        <c:majorTickMark val="out"/>
        <c:minorTickMark val="none"/>
        <c:tickLblPos val="nextTo"/>
        <c:txPr>
          <a:bodyPr/>
          <a:lstStyle/>
          <a:p>
            <a:pPr>
              <a:defRPr sz="800"/>
            </a:pPr>
            <a:endParaRPr lang="en-US"/>
          </a:p>
        </c:txPr>
        <c:crossAx val="324639071"/>
        <c:crosses val="autoZero"/>
        <c:auto val="1"/>
        <c:lblAlgn val="ctr"/>
        <c:lblOffset val="100"/>
        <c:tickLblSkip val="2"/>
        <c:noMultiLvlLbl val="0"/>
      </c:catAx>
      <c:valAx>
        <c:axId val="324639071"/>
        <c:scaling>
          <c:orientation val="minMax"/>
        </c:scaling>
        <c:delete val="0"/>
        <c:axPos val="l"/>
        <c:majorGridlines>
          <c:spPr>
            <a:ln>
              <a:solidFill>
                <a:srgbClr val="898989"/>
              </a:solidFill>
            </a:ln>
          </c:spPr>
        </c:majorGridlines>
        <c:numFmt formatCode="General" sourceLinked="1"/>
        <c:majorTickMark val="out"/>
        <c:minorTickMark val="none"/>
        <c:tickLblPos val="nextTo"/>
        <c:txPr>
          <a:bodyPr/>
          <a:lstStyle/>
          <a:p>
            <a:pPr>
              <a:defRPr sz="800"/>
            </a:pPr>
            <a:endParaRPr lang="en-US"/>
          </a:p>
        </c:txPr>
        <c:crossAx val="324643647"/>
        <c:crosses val="autoZero"/>
        <c:crossBetween val="between"/>
        <c:dispUnits>
          <c:builtInUnit val="millions"/>
          <c:dispUnitsLbl>
            <c:layout>
              <c:manualLayout>
                <c:xMode val="edge"/>
                <c:yMode val="edge"/>
                <c:x val="4.1093075816724882E-2"/>
                <c:y val="0.24764590565084602"/>
              </c:manualLayout>
            </c:layout>
            <c:tx>
              <c:rich>
                <a:bodyPr/>
                <a:lstStyle/>
                <a:p>
                  <a:pPr>
                    <a:defRPr sz="800" b="0"/>
                  </a:pPr>
                  <a:r>
                    <a:rPr lang="en-US" sz="800" b="0"/>
                    <a:t>Number of trucks (Millions)</a:t>
                  </a:r>
                </a:p>
              </c:rich>
            </c:tx>
          </c:dispUnitsLbl>
        </c:dispUnits>
      </c:valAx>
    </c:plotArea>
    <c:plotVisOnly val="1"/>
    <c:dispBlanksAs val="gap"/>
    <c:showDLblsOverMax val="0"/>
  </c:chart>
  <c:spPr>
    <a:solidFill>
      <a:schemeClr val="bg1"/>
    </a:solidFill>
    <a:ln>
      <a:noFill/>
    </a:ln>
  </c:spPr>
  <c:txPr>
    <a:bodyPr/>
    <a:lstStyle/>
    <a:p>
      <a:pPr>
        <a:defRPr>
          <a:latin typeface="Arial" panose="020B0604020202020204" pitchFamily="34" charset="0"/>
          <a:cs typeface="Arial" panose="020B0604020202020204" pitchFamily="34" charset="0"/>
        </a:defRPr>
      </a:pPr>
      <a:endParaRPr lang="en-US"/>
    </a:p>
  </c:txPr>
  <c:externalData r:id="rId1">
    <c:autoUpdate val="0"/>
  </c:externalData>
  <c:extLst/>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00" b="1"/>
            </a:pPr>
            <a:r>
              <a:rPr lang="en-US" sz="900" b="1"/>
              <a:t>Reference</a:t>
            </a:r>
          </a:p>
        </c:rich>
      </c:tx>
      <c:layout>
        <c:manualLayout>
          <c:xMode val="edge"/>
          <c:yMode val="edge"/>
          <c:x val="0.45367752326413746"/>
          <c:y val="5.2970651395848244E-2"/>
        </c:manualLayout>
      </c:layout>
      <c:overlay val="0"/>
    </c:title>
    <c:autoTitleDeleted val="0"/>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
        <c:idx val="5"/>
        <c:marker>
          <c:symbol val="none"/>
        </c:marker>
      </c:pivotFmt>
      <c:pivotFmt>
        <c:idx val="6"/>
        <c:marker>
          <c:symbol val="none"/>
        </c:marker>
      </c:pivotFmt>
      <c:pivotFmt>
        <c:idx val="7"/>
        <c:marker>
          <c:symbol val="none"/>
        </c:marker>
      </c:pivotFmt>
      <c:pivotFmt>
        <c:idx val="8"/>
        <c:marker>
          <c:symbol val="none"/>
        </c:marker>
      </c:pivotFmt>
      <c:pivotFmt>
        <c:idx val="9"/>
        <c:marker>
          <c:symbol val="none"/>
        </c:marker>
      </c:pivotFmt>
      <c:pivotFmt>
        <c:idx val="10"/>
        <c:marker>
          <c:symbol val="none"/>
        </c:marker>
      </c:pivotFmt>
      <c:pivotFmt>
        <c:idx val="11"/>
        <c:marker>
          <c:symbol val="none"/>
        </c:marker>
      </c:pivotFmt>
      <c:pivotFmt>
        <c:idx val="12"/>
        <c:marker>
          <c:symbol val="none"/>
        </c:marker>
      </c:pivotFmt>
      <c:pivotFmt>
        <c:idx val="13"/>
        <c:marker>
          <c:symbol val="none"/>
        </c:marker>
      </c:pivotFmt>
      <c:pivotFmt>
        <c:idx val="14"/>
        <c:marker>
          <c:symbol val="none"/>
        </c:marker>
      </c:pivotFmt>
      <c:pivotFmt>
        <c:idx val="15"/>
        <c:marker>
          <c:symbol val="none"/>
        </c:marker>
      </c:pivotFmt>
      <c:pivotFmt>
        <c:idx val="16"/>
        <c:marker>
          <c:symbol val="none"/>
        </c:marker>
      </c:pivotFmt>
      <c:pivotFmt>
        <c:idx val="17"/>
        <c:marker>
          <c:symbol val="none"/>
        </c:marker>
      </c:pivotFmt>
      <c:pivotFmt>
        <c:idx val="18"/>
        <c:marker>
          <c:symbol val="none"/>
        </c:marker>
      </c:pivotFmt>
      <c:pivotFmt>
        <c:idx val="19"/>
        <c:marker>
          <c:symbol val="none"/>
        </c:marker>
      </c:pivotFmt>
      <c:pivotFmt>
        <c:idx val="20"/>
        <c:marker>
          <c:symbol val="none"/>
        </c:marker>
      </c:pivotFmt>
      <c:pivotFmt>
        <c:idx val="21"/>
        <c:marker>
          <c:symbol val="none"/>
        </c:marker>
      </c:pivotFmt>
      <c:pivotFmt>
        <c:idx val="22"/>
        <c:marker>
          <c:symbol val="none"/>
        </c:marker>
      </c:pivotFmt>
      <c:pivotFmt>
        <c:idx val="23"/>
        <c:marker>
          <c:symbol val="none"/>
        </c:marker>
      </c:pivotFmt>
      <c:pivotFmt>
        <c:idx val="24"/>
        <c:marker>
          <c:symbol val="none"/>
        </c:marker>
      </c:pivotFmt>
      <c:pivotFmt>
        <c:idx val="25"/>
        <c:marker>
          <c:symbol val="none"/>
        </c:marker>
      </c:pivotFmt>
      <c:pivotFmt>
        <c:idx val="26"/>
        <c:marker>
          <c:symbol val="none"/>
        </c:marker>
      </c:pivotFmt>
      <c:pivotFmt>
        <c:idx val="27"/>
        <c:marker>
          <c:symbol val="none"/>
        </c:marker>
      </c:pivotFmt>
      <c:pivotFmt>
        <c:idx val="28"/>
        <c:marker>
          <c:symbol val="none"/>
        </c:marker>
      </c:pivotFmt>
      <c:pivotFmt>
        <c:idx val="29"/>
        <c:marker>
          <c:symbol val="none"/>
        </c:marker>
      </c:pivotFmt>
      <c:pivotFmt>
        <c:idx val="30"/>
        <c:marker>
          <c:symbol val="none"/>
        </c:marker>
      </c:pivotFmt>
      <c:pivotFmt>
        <c:idx val="31"/>
        <c:marker>
          <c:symbol val="none"/>
        </c:marker>
      </c:pivotFmt>
      <c:pivotFmt>
        <c:idx val="32"/>
        <c:marker>
          <c:symbol val="none"/>
        </c:marker>
      </c:pivotFmt>
      <c:pivotFmt>
        <c:idx val="33"/>
        <c:marker>
          <c:symbol val="none"/>
        </c:marker>
      </c:pivotFmt>
      <c:pivotFmt>
        <c:idx val="34"/>
        <c:marker>
          <c:symbol val="none"/>
        </c:marker>
      </c:pivotFmt>
      <c:pivotFmt>
        <c:idx val="35"/>
        <c:marker>
          <c:symbol val="none"/>
        </c:marker>
      </c:pivotFmt>
      <c:pivotFmt>
        <c:idx val="36"/>
        <c:marker>
          <c:symbol val="none"/>
        </c:marker>
      </c:pivotFmt>
      <c:pivotFmt>
        <c:idx val="37"/>
        <c:marker>
          <c:symbol val="none"/>
        </c:marker>
      </c:pivotFmt>
      <c:pivotFmt>
        <c:idx val="38"/>
        <c:marker>
          <c:symbol val="none"/>
        </c:marker>
      </c:pivotFmt>
      <c:pivotFmt>
        <c:idx val="39"/>
        <c:marker>
          <c:symbol val="none"/>
        </c:marker>
      </c:pivotFmt>
      <c:pivotFmt>
        <c:idx val="40"/>
        <c:marker>
          <c:symbol val="none"/>
        </c:marker>
      </c:pivotFmt>
      <c:pivotFmt>
        <c:idx val="41"/>
        <c:marker>
          <c:symbol val="none"/>
        </c:marker>
      </c:pivotFmt>
      <c:pivotFmt>
        <c:idx val="42"/>
        <c:marker>
          <c:symbol val="none"/>
        </c:marker>
      </c:pivotFmt>
      <c:pivotFmt>
        <c:idx val="43"/>
        <c:marker>
          <c:symbol val="none"/>
        </c:marker>
      </c:pivotFmt>
      <c:pivotFmt>
        <c:idx val="44"/>
        <c:marker>
          <c:symbol val="none"/>
        </c:marker>
      </c:pivotFmt>
      <c:pivotFmt>
        <c:idx val="45"/>
        <c:marker>
          <c:symbol val="none"/>
        </c:marker>
      </c:pivotFmt>
      <c:pivotFmt>
        <c:idx val="46"/>
        <c:marker>
          <c:symbol val="none"/>
        </c:marker>
      </c:pivotFmt>
      <c:pivotFmt>
        <c:idx val="47"/>
        <c:marker>
          <c:symbol val="none"/>
        </c:marker>
      </c:pivotFmt>
      <c:pivotFmt>
        <c:idx val="48"/>
        <c:marker>
          <c:symbol val="none"/>
        </c:marker>
      </c:pivotFmt>
      <c:pivotFmt>
        <c:idx val="49"/>
        <c:marker>
          <c:symbol val="none"/>
        </c:marker>
      </c:pivotFmt>
      <c:pivotFmt>
        <c:idx val="50"/>
        <c:marker>
          <c:symbol val="none"/>
        </c:marker>
      </c:pivotFmt>
      <c:pivotFmt>
        <c:idx val="51"/>
        <c:marker>
          <c:symbol val="none"/>
        </c:marker>
      </c:pivotFmt>
      <c:pivotFmt>
        <c:idx val="52"/>
        <c:marker>
          <c:symbol val="none"/>
        </c:marker>
      </c:pivotFmt>
      <c:pivotFmt>
        <c:idx val="53"/>
        <c:marker>
          <c:symbol val="none"/>
        </c:marker>
      </c:pivotFmt>
      <c:pivotFmt>
        <c:idx val="54"/>
        <c:marker>
          <c:symbol val="none"/>
        </c:marker>
      </c:pivotFmt>
      <c:pivotFmt>
        <c:idx val="55"/>
        <c:marker>
          <c:symbol val="none"/>
        </c:marker>
      </c:pivotFmt>
    </c:pivotFmts>
    <c:plotArea>
      <c:layout>
        <c:manualLayout>
          <c:layoutTarget val="inner"/>
          <c:xMode val="edge"/>
          <c:yMode val="edge"/>
          <c:x val="0.15143154362741845"/>
          <c:y val="0.15935867786979835"/>
          <c:w val="0.84370012460563637"/>
          <c:h val="0.72138497402362667"/>
        </c:manualLayout>
      </c:layout>
      <c:barChart>
        <c:barDir val="col"/>
        <c:grouping val="clustered"/>
        <c:varyColors val="0"/>
        <c:ser>
          <c:idx val="0"/>
          <c:order val="0"/>
          <c:tx>
            <c:v>Medium trucks - Battery Electric (BEV)</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1156.5891472868218</c:v>
              </c:pt>
              <c:pt idx="1">
                <c:v>809.30232558139551</c:v>
              </c:pt>
              <c:pt idx="2">
                <c:v>524.03100775193798</c:v>
              </c:pt>
              <c:pt idx="3">
                <c:v>0</c:v>
              </c:pt>
              <c:pt idx="4">
                <c:v>0</c:v>
              </c:pt>
              <c:pt idx="5">
                <c:v>0</c:v>
              </c:pt>
              <c:pt idx="6">
                <c:v>0</c:v>
              </c:pt>
            </c:numLit>
          </c:val>
          <c:extLst>
            <c:ext xmlns:c16="http://schemas.microsoft.com/office/drawing/2014/chart" uri="{C3380CC4-5D6E-409C-BE32-E72D297353CC}">
              <c16:uniqueId val="{00000000-BB02-4F05-B79E-D3BFDD4BF1AB}"/>
            </c:ext>
          </c:extLst>
        </c:ser>
        <c:ser>
          <c:idx val="1"/>
          <c:order val="1"/>
          <c:tx>
            <c:v>Medium trucks - Conventional Diesel</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297325.58139534883</c:v>
              </c:pt>
              <c:pt idx="1">
                <c:v>0</c:v>
              </c:pt>
              <c:pt idx="2">
                <c:v>0</c:v>
              </c:pt>
              <c:pt idx="3">
                <c:v>0</c:v>
              </c:pt>
              <c:pt idx="4">
                <c:v>0</c:v>
              </c:pt>
              <c:pt idx="5">
                <c:v>0</c:v>
              </c:pt>
              <c:pt idx="6">
                <c:v>0</c:v>
              </c:pt>
            </c:numLit>
          </c:val>
          <c:extLst>
            <c:ext xmlns:c16="http://schemas.microsoft.com/office/drawing/2014/chart" uri="{C3380CC4-5D6E-409C-BE32-E72D297353CC}">
              <c16:uniqueId val="{00000001-BB02-4F05-B79E-D3BFDD4BF1AB}"/>
            </c:ext>
          </c:extLst>
        </c:ser>
        <c:ser>
          <c:idx val="2"/>
          <c:order val="2"/>
          <c:tx>
            <c:v>Medium trucks - Conventional Diesel_High Efficency</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255126.35658914727</c:v>
              </c:pt>
              <c:pt idx="1">
                <c:v>233987.59689922482</c:v>
              </c:pt>
              <c:pt idx="2">
                <c:v>208245.73643410855</c:v>
              </c:pt>
              <c:pt idx="3">
                <c:v>0</c:v>
              </c:pt>
              <c:pt idx="4">
                <c:v>0</c:v>
              </c:pt>
              <c:pt idx="5">
                <c:v>0</c:v>
              </c:pt>
              <c:pt idx="6">
                <c:v>0</c:v>
              </c:pt>
            </c:numLit>
          </c:val>
          <c:extLst>
            <c:ext xmlns:c16="http://schemas.microsoft.com/office/drawing/2014/chart" uri="{C3380CC4-5D6E-409C-BE32-E72D297353CC}">
              <c16:uniqueId val="{00000002-BB02-4F05-B79E-D3BFDD4BF1AB}"/>
            </c:ext>
          </c:extLst>
        </c:ser>
        <c:ser>
          <c:idx val="3"/>
          <c:order val="3"/>
          <c:tx>
            <c:v>Medium trucks - Conventional Diesel_Medium Efficiency</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301312.40310077521</c:v>
              </c:pt>
              <c:pt idx="1">
                <c:v>0</c:v>
              </c:pt>
              <c:pt idx="2">
                <c:v>0</c:v>
              </c:pt>
              <c:pt idx="3">
                <c:v>0</c:v>
              </c:pt>
              <c:pt idx="4">
                <c:v>0</c:v>
              </c:pt>
              <c:pt idx="5">
                <c:v>0</c:v>
              </c:pt>
              <c:pt idx="6">
                <c:v>0</c:v>
              </c:pt>
            </c:numLit>
          </c:val>
          <c:extLst>
            <c:ext xmlns:c16="http://schemas.microsoft.com/office/drawing/2014/chart" uri="{C3380CC4-5D6E-409C-BE32-E72D297353CC}">
              <c16:uniqueId val="{00000003-BB02-4F05-B79E-D3BFDD4BF1AB}"/>
            </c:ext>
          </c:extLst>
        </c:ser>
        <c:ser>
          <c:idx val="4"/>
          <c:order val="4"/>
          <c:tx>
            <c:v>Medium trucks - Conventional Gasoline</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37886.821705426359</c:v>
              </c:pt>
              <c:pt idx="1">
                <c:v>7483.7209302325591</c:v>
              </c:pt>
              <c:pt idx="2">
                <c:v>6791.4728682170544</c:v>
              </c:pt>
              <c:pt idx="3">
                <c:v>0</c:v>
              </c:pt>
              <c:pt idx="4">
                <c:v>0</c:v>
              </c:pt>
              <c:pt idx="5">
                <c:v>0</c:v>
              </c:pt>
              <c:pt idx="6">
                <c:v>0</c:v>
              </c:pt>
            </c:numLit>
          </c:val>
          <c:extLst>
            <c:ext xmlns:c16="http://schemas.microsoft.com/office/drawing/2014/chart" uri="{C3380CC4-5D6E-409C-BE32-E72D297353CC}">
              <c16:uniqueId val="{00000004-BB02-4F05-B79E-D3BFDD4BF1AB}"/>
            </c:ext>
          </c:extLst>
        </c:ser>
        <c:ser>
          <c:idx val="5"/>
          <c:order val="5"/>
          <c:tx>
            <c:v>Medium trucks - LPG</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10589.922480620156</c:v>
              </c:pt>
              <c:pt idx="1">
                <c:v>4813.9534883720935</c:v>
              </c:pt>
              <c:pt idx="2">
                <c:v>2462.015503875969</c:v>
              </c:pt>
              <c:pt idx="3">
                <c:v>0</c:v>
              </c:pt>
              <c:pt idx="4">
                <c:v>0</c:v>
              </c:pt>
              <c:pt idx="5">
                <c:v>0</c:v>
              </c:pt>
              <c:pt idx="6">
                <c:v>0</c:v>
              </c:pt>
            </c:numLit>
          </c:val>
          <c:extLst>
            <c:ext xmlns:c16="http://schemas.microsoft.com/office/drawing/2014/chart" uri="{C3380CC4-5D6E-409C-BE32-E72D297353CC}">
              <c16:uniqueId val="{00000005-BB02-4F05-B79E-D3BFDD4BF1AB}"/>
            </c:ext>
          </c:extLst>
        </c:ser>
        <c:ser>
          <c:idx val="6"/>
          <c:order val="6"/>
          <c:tx>
            <c:v>Medium trucks - Natural gas</c:v>
          </c:tx>
          <c:spPr>
            <a:solidFill>
              <a:srgbClr val="7030A0"/>
            </a:solidFill>
          </c:spPr>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16859.689922480622</c:v>
              </c:pt>
              <c:pt idx="1">
                <c:v>865002.32558139542</c:v>
              </c:pt>
              <c:pt idx="2">
                <c:v>939600</c:v>
              </c:pt>
              <c:pt idx="3">
                <c:v>1201637.2093023257</c:v>
              </c:pt>
              <c:pt idx="4">
                <c:v>1290765.8914728684</c:v>
              </c:pt>
              <c:pt idx="5">
                <c:v>1382751.9379844964</c:v>
              </c:pt>
              <c:pt idx="6">
                <c:v>1376863.5658914731</c:v>
              </c:pt>
            </c:numLit>
          </c:val>
          <c:extLst>
            <c:ext xmlns:c16="http://schemas.microsoft.com/office/drawing/2014/chart" uri="{C3380CC4-5D6E-409C-BE32-E72D297353CC}">
              <c16:uniqueId val="{00000006-BB02-4F05-B79E-D3BFDD4BF1AB}"/>
            </c:ext>
          </c:extLst>
        </c:ser>
        <c:dLbls>
          <c:showLegendKey val="0"/>
          <c:showVal val="0"/>
          <c:showCatName val="0"/>
          <c:showSerName val="0"/>
          <c:showPercent val="0"/>
          <c:showBubbleSize val="0"/>
        </c:dLbls>
        <c:gapWidth val="150"/>
        <c:axId val="324643647"/>
        <c:axId val="324639071"/>
      </c:barChart>
      <c:catAx>
        <c:axId val="324643647"/>
        <c:scaling>
          <c:orientation val="minMax"/>
        </c:scaling>
        <c:delete val="0"/>
        <c:axPos val="b"/>
        <c:numFmt formatCode="General" sourceLinked="1"/>
        <c:majorTickMark val="out"/>
        <c:minorTickMark val="none"/>
        <c:tickLblPos val="nextTo"/>
        <c:txPr>
          <a:bodyPr/>
          <a:lstStyle/>
          <a:p>
            <a:pPr>
              <a:defRPr sz="800"/>
            </a:pPr>
            <a:endParaRPr lang="en-US"/>
          </a:p>
        </c:txPr>
        <c:crossAx val="324639071"/>
        <c:crosses val="autoZero"/>
        <c:auto val="1"/>
        <c:lblAlgn val="ctr"/>
        <c:lblOffset val="100"/>
        <c:tickLblSkip val="2"/>
        <c:noMultiLvlLbl val="0"/>
      </c:catAx>
      <c:valAx>
        <c:axId val="324639071"/>
        <c:scaling>
          <c:orientation val="minMax"/>
          <c:max val="1400000"/>
        </c:scaling>
        <c:delete val="0"/>
        <c:axPos val="l"/>
        <c:majorGridlines/>
        <c:numFmt formatCode="General" sourceLinked="1"/>
        <c:majorTickMark val="out"/>
        <c:minorTickMark val="none"/>
        <c:tickLblPos val="nextTo"/>
        <c:txPr>
          <a:bodyPr/>
          <a:lstStyle/>
          <a:p>
            <a:pPr>
              <a:defRPr sz="800"/>
            </a:pPr>
            <a:endParaRPr lang="en-US"/>
          </a:p>
        </c:txPr>
        <c:crossAx val="324643647"/>
        <c:crosses val="autoZero"/>
        <c:crossBetween val="between"/>
        <c:dispUnits>
          <c:builtInUnit val="millions"/>
          <c:dispUnitsLbl>
            <c:layout>
              <c:manualLayout>
                <c:xMode val="edge"/>
                <c:yMode val="edge"/>
                <c:x val="2.0546537908362441E-2"/>
                <c:y val="0.18878775379681428"/>
              </c:manualLayout>
            </c:layout>
            <c:tx>
              <c:rich>
                <a:bodyPr/>
                <a:lstStyle/>
                <a:p>
                  <a:pPr>
                    <a:defRPr sz="800" b="0"/>
                  </a:pPr>
                  <a:r>
                    <a:rPr lang="en-US" sz="800" b="0"/>
                    <a:t>Number of trucks</a:t>
                  </a:r>
                  <a:r>
                    <a:rPr lang="en-US" sz="800" b="0" baseline="0"/>
                    <a:t> </a:t>
                  </a:r>
                  <a:r>
                    <a:rPr lang="en-US" sz="800" b="0"/>
                    <a:t>(Millions)</a:t>
                  </a:r>
                </a:p>
              </c:rich>
            </c:tx>
          </c:dispUnitsLbl>
        </c:dispUnits>
      </c:valAx>
    </c:plotArea>
    <c:plotVisOnly val="1"/>
    <c:dispBlanksAs val="gap"/>
    <c:showDLblsOverMax val="0"/>
  </c:chart>
  <c:spPr>
    <a:solidFill>
      <a:schemeClr val="bg1"/>
    </a:solidFill>
    <a:ln>
      <a:noFill/>
    </a:ln>
  </c:spPr>
  <c:txPr>
    <a:bodyPr/>
    <a:lstStyle/>
    <a:p>
      <a:pPr>
        <a:defRPr>
          <a:latin typeface="Arial" panose="020B0604020202020204" pitchFamily="34" charset="0"/>
          <a:cs typeface="Arial" panose="020B0604020202020204" pitchFamily="34" charset="0"/>
        </a:defRPr>
      </a:pPr>
      <a:endParaRPr lang="en-US"/>
    </a:p>
  </c:txPr>
  <c:externalData r:id="rId1">
    <c:autoUpdate val="0"/>
  </c:externalData>
  <c:extLst/>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00" b="1"/>
            </a:pPr>
            <a:r>
              <a:rPr lang="en-US" sz="900" b="1"/>
              <a:t>2040 ICE Ban</a:t>
            </a:r>
          </a:p>
        </c:rich>
      </c:tx>
      <c:layout>
        <c:manualLayout>
          <c:xMode val="edge"/>
          <c:yMode val="edge"/>
          <c:x val="0.4016401207178093"/>
          <c:y val="2.3542014634534317E-2"/>
        </c:manualLayout>
      </c:layout>
      <c:overlay val="0"/>
    </c:title>
    <c:autoTitleDeleted val="0"/>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
        <c:idx val="5"/>
        <c:marker>
          <c:symbol val="none"/>
        </c:marker>
      </c:pivotFmt>
      <c:pivotFmt>
        <c:idx val="6"/>
        <c:marker>
          <c:symbol val="none"/>
        </c:marker>
      </c:pivotFmt>
      <c:pivotFmt>
        <c:idx val="7"/>
        <c:marker>
          <c:symbol val="none"/>
        </c:marker>
      </c:pivotFmt>
      <c:pivotFmt>
        <c:idx val="8"/>
        <c:marker>
          <c:symbol val="none"/>
        </c:marker>
      </c:pivotFmt>
      <c:pivotFmt>
        <c:idx val="9"/>
        <c:marker>
          <c:symbol val="none"/>
        </c:marker>
      </c:pivotFmt>
      <c:pivotFmt>
        <c:idx val="10"/>
        <c:marker>
          <c:symbol val="none"/>
        </c:marker>
      </c:pivotFmt>
      <c:pivotFmt>
        <c:idx val="11"/>
        <c:marker>
          <c:symbol val="none"/>
        </c:marker>
      </c:pivotFmt>
      <c:pivotFmt>
        <c:idx val="12"/>
        <c:marker>
          <c:symbol val="none"/>
        </c:marker>
      </c:pivotFmt>
      <c:pivotFmt>
        <c:idx val="13"/>
        <c:marker>
          <c:symbol val="none"/>
        </c:marker>
      </c:pivotFmt>
      <c:pivotFmt>
        <c:idx val="14"/>
        <c:marker>
          <c:symbol val="none"/>
        </c:marker>
      </c:pivotFmt>
      <c:pivotFmt>
        <c:idx val="15"/>
        <c:marker>
          <c:symbol val="none"/>
        </c:marker>
      </c:pivotFmt>
      <c:pivotFmt>
        <c:idx val="16"/>
        <c:marker>
          <c:symbol val="none"/>
        </c:marker>
      </c:pivotFmt>
      <c:pivotFmt>
        <c:idx val="17"/>
        <c:marker>
          <c:symbol val="none"/>
        </c:marker>
      </c:pivotFmt>
      <c:pivotFmt>
        <c:idx val="18"/>
        <c:marker>
          <c:symbol val="none"/>
        </c:marker>
      </c:pivotFmt>
      <c:pivotFmt>
        <c:idx val="19"/>
        <c:marker>
          <c:symbol val="none"/>
        </c:marker>
      </c:pivotFmt>
      <c:pivotFmt>
        <c:idx val="20"/>
        <c:marker>
          <c:symbol val="none"/>
        </c:marker>
      </c:pivotFmt>
      <c:pivotFmt>
        <c:idx val="21"/>
        <c:marker>
          <c:symbol val="none"/>
        </c:marker>
      </c:pivotFmt>
      <c:pivotFmt>
        <c:idx val="22"/>
        <c:marker>
          <c:symbol val="none"/>
        </c:marker>
      </c:pivotFmt>
      <c:pivotFmt>
        <c:idx val="23"/>
        <c:marker>
          <c:symbol val="none"/>
        </c:marker>
      </c:pivotFmt>
      <c:pivotFmt>
        <c:idx val="24"/>
        <c:marker>
          <c:symbol val="none"/>
        </c:marker>
      </c:pivotFmt>
      <c:pivotFmt>
        <c:idx val="25"/>
        <c:marker>
          <c:symbol val="none"/>
        </c:marker>
      </c:pivotFmt>
      <c:pivotFmt>
        <c:idx val="26"/>
        <c:marker>
          <c:symbol val="none"/>
        </c:marker>
      </c:pivotFmt>
      <c:pivotFmt>
        <c:idx val="27"/>
        <c:marker>
          <c:symbol val="none"/>
        </c:marker>
      </c:pivotFmt>
      <c:pivotFmt>
        <c:idx val="28"/>
        <c:marker>
          <c:symbol val="none"/>
        </c:marker>
      </c:pivotFmt>
      <c:pivotFmt>
        <c:idx val="29"/>
        <c:marker>
          <c:symbol val="none"/>
        </c:marker>
      </c:pivotFmt>
      <c:pivotFmt>
        <c:idx val="30"/>
        <c:marker>
          <c:symbol val="none"/>
        </c:marker>
      </c:pivotFmt>
      <c:pivotFmt>
        <c:idx val="31"/>
        <c:marker>
          <c:symbol val="none"/>
        </c:marker>
      </c:pivotFmt>
      <c:pivotFmt>
        <c:idx val="32"/>
        <c:marker>
          <c:symbol val="none"/>
        </c:marker>
      </c:pivotFmt>
      <c:pivotFmt>
        <c:idx val="33"/>
        <c:marker>
          <c:symbol val="none"/>
        </c:marker>
      </c:pivotFmt>
      <c:pivotFmt>
        <c:idx val="34"/>
        <c:marker>
          <c:symbol val="none"/>
        </c:marker>
      </c:pivotFmt>
      <c:pivotFmt>
        <c:idx val="35"/>
        <c:marker>
          <c:symbol val="none"/>
        </c:marker>
      </c:pivotFmt>
      <c:pivotFmt>
        <c:idx val="36"/>
        <c:marker>
          <c:symbol val="none"/>
        </c:marker>
      </c:pivotFmt>
      <c:pivotFmt>
        <c:idx val="37"/>
        <c:marker>
          <c:symbol val="none"/>
        </c:marker>
      </c:pivotFmt>
      <c:pivotFmt>
        <c:idx val="38"/>
        <c:marker>
          <c:symbol val="none"/>
        </c:marker>
      </c:pivotFmt>
      <c:pivotFmt>
        <c:idx val="39"/>
        <c:marker>
          <c:symbol val="none"/>
        </c:marker>
      </c:pivotFmt>
      <c:pivotFmt>
        <c:idx val="40"/>
        <c:marker>
          <c:symbol val="none"/>
        </c:marker>
      </c:pivotFmt>
      <c:pivotFmt>
        <c:idx val="41"/>
        <c:marker>
          <c:symbol val="none"/>
        </c:marker>
      </c:pivotFmt>
      <c:pivotFmt>
        <c:idx val="42"/>
        <c:marker>
          <c:symbol val="none"/>
        </c:marker>
      </c:pivotFmt>
      <c:pivotFmt>
        <c:idx val="43"/>
        <c:marker>
          <c:symbol val="none"/>
        </c:marker>
      </c:pivotFmt>
      <c:pivotFmt>
        <c:idx val="44"/>
        <c:marker>
          <c:symbol val="none"/>
        </c:marker>
      </c:pivotFmt>
      <c:pivotFmt>
        <c:idx val="45"/>
        <c:marker>
          <c:symbol val="none"/>
        </c:marker>
      </c:pivotFmt>
      <c:pivotFmt>
        <c:idx val="46"/>
        <c:marker>
          <c:symbol val="none"/>
        </c:marker>
      </c:pivotFmt>
      <c:pivotFmt>
        <c:idx val="47"/>
        <c:marker>
          <c:symbol val="none"/>
        </c:marker>
      </c:pivotFmt>
      <c:pivotFmt>
        <c:idx val="48"/>
        <c:marker>
          <c:symbol val="none"/>
        </c:marker>
      </c:pivotFmt>
      <c:pivotFmt>
        <c:idx val="49"/>
        <c:marker>
          <c:symbol val="none"/>
        </c:marker>
      </c:pivotFmt>
      <c:pivotFmt>
        <c:idx val="50"/>
        <c:marker>
          <c:symbol val="none"/>
        </c:marker>
      </c:pivotFmt>
      <c:pivotFmt>
        <c:idx val="51"/>
        <c:marker>
          <c:symbol val="none"/>
        </c:marker>
      </c:pivotFmt>
      <c:pivotFmt>
        <c:idx val="52"/>
        <c:marker>
          <c:symbol val="none"/>
        </c:marker>
      </c:pivotFmt>
      <c:pivotFmt>
        <c:idx val="53"/>
        <c:marker>
          <c:symbol val="none"/>
        </c:marker>
      </c:pivotFmt>
      <c:pivotFmt>
        <c:idx val="54"/>
        <c:marker>
          <c:symbol val="none"/>
        </c:marker>
      </c:pivotFmt>
      <c:pivotFmt>
        <c:idx val="55"/>
        <c:marker>
          <c:symbol val="none"/>
        </c:marker>
      </c:pivotFmt>
      <c:pivotFmt>
        <c:idx val="56"/>
        <c:marker>
          <c:symbol val="none"/>
        </c:marker>
      </c:pivotFmt>
      <c:pivotFmt>
        <c:idx val="57"/>
        <c:marker>
          <c:symbol val="none"/>
        </c:marker>
      </c:pivotFmt>
      <c:pivotFmt>
        <c:idx val="58"/>
        <c:marker>
          <c:symbol val="none"/>
        </c:marker>
      </c:pivotFmt>
      <c:pivotFmt>
        <c:idx val="59"/>
        <c:marker>
          <c:symbol val="none"/>
        </c:marker>
      </c:pivotFmt>
      <c:pivotFmt>
        <c:idx val="60"/>
        <c:marker>
          <c:symbol val="none"/>
        </c:marker>
      </c:pivotFmt>
      <c:pivotFmt>
        <c:idx val="61"/>
        <c:marker>
          <c:symbol val="none"/>
        </c:marker>
      </c:pivotFmt>
      <c:pivotFmt>
        <c:idx val="62"/>
        <c:marker>
          <c:symbol val="none"/>
        </c:marker>
      </c:pivotFmt>
      <c:pivotFmt>
        <c:idx val="63"/>
        <c:marker>
          <c:symbol val="none"/>
        </c:marker>
      </c:pivotFmt>
      <c:pivotFmt>
        <c:idx val="64"/>
        <c:marker>
          <c:symbol val="none"/>
        </c:marker>
      </c:pivotFmt>
      <c:pivotFmt>
        <c:idx val="65"/>
        <c:marker>
          <c:symbol val="none"/>
        </c:marker>
      </c:pivotFmt>
      <c:pivotFmt>
        <c:idx val="66"/>
        <c:marker>
          <c:symbol val="none"/>
        </c:marker>
      </c:pivotFmt>
      <c:pivotFmt>
        <c:idx val="67"/>
        <c:marker>
          <c:symbol val="none"/>
        </c:marker>
      </c:pivotFmt>
      <c:pivotFmt>
        <c:idx val="68"/>
        <c:marker>
          <c:symbol val="none"/>
        </c:marker>
      </c:pivotFmt>
      <c:pivotFmt>
        <c:idx val="69"/>
        <c:marker>
          <c:symbol val="none"/>
        </c:marker>
      </c:pivotFmt>
      <c:pivotFmt>
        <c:idx val="70"/>
        <c:marker>
          <c:symbol val="none"/>
        </c:marker>
      </c:pivotFmt>
      <c:pivotFmt>
        <c:idx val="71"/>
        <c:marker>
          <c:symbol val="none"/>
        </c:marker>
      </c:pivotFmt>
      <c:pivotFmt>
        <c:idx val="72"/>
        <c:marker>
          <c:symbol val="none"/>
        </c:marker>
      </c:pivotFmt>
      <c:pivotFmt>
        <c:idx val="73"/>
        <c:marker>
          <c:symbol val="none"/>
        </c:marker>
      </c:pivotFmt>
      <c:pivotFmt>
        <c:idx val="74"/>
        <c:marker>
          <c:symbol val="none"/>
        </c:marker>
      </c:pivotFmt>
      <c:pivotFmt>
        <c:idx val="75"/>
        <c:marker>
          <c:symbol val="none"/>
        </c:marker>
      </c:pivotFmt>
      <c:pivotFmt>
        <c:idx val="76"/>
        <c:marker>
          <c:symbol val="none"/>
        </c:marker>
      </c:pivotFmt>
      <c:pivotFmt>
        <c:idx val="77"/>
        <c:marker>
          <c:symbol val="none"/>
        </c:marker>
      </c:pivotFmt>
      <c:pivotFmt>
        <c:idx val="78"/>
        <c:marker>
          <c:symbol val="none"/>
        </c:marker>
      </c:pivotFmt>
      <c:pivotFmt>
        <c:idx val="79"/>
        <c:marker>
          <c:symbol val="none"/>
        </c:marker>
      </c:pivotFmt>
      <c:pivotFmt>
        <c:idx val="80"/>
        <c:marker>
          <c:symbol val="none"/>
        </c:marker>
      </c:pivotFmt>
      <c:pivotFmt>
        <c:idx val="81"/>
        <c:marker>
          <c:symbol val="none"/>
        </c:marker>
      </c:pivotFmt>
      <c:pivotFmt>
        <c:idx val="82"/>
        <c:marker>
          <c:symbol val="none"/>
        </c:marker>
      </c:pivotFmt>
      <c:pivotFmt>
        <c:idx val="83"/>
        <c:marker>
          <c:symbol val="none"/>
        </c:marker>
      </c:pivotFmt>
      <c:pivotFmt>
        <c:idx val="84"/>
        <c:marker>
          <c:symbol val="none"/>
        </c:marker>
      </c:pivotFmt>
      <c:pivotFmt>
        <c:idx val="85"/>
        <c:marker>
          <c:symbol val="none"/>
        </c:marker>
      </c:pivotFmt>
      <c:pivotFmt>
        <c:idx val="86"/>
        <c:marker>
          <c:symbol val="none"/>
        </c:marker>
      </c:pivotFmt>
      <c:pivotFmt>
        <c:idx val="87"/>
        <c:marker>
          <c:symbol val="none"/>
        </c:marker>
      </c:pivotFmt>
      <c:pivotFmt>
        <c:idx val="88"/>
        <c:marker>
          <c:symbol val="none"/>
        </c:marker>
      </c:pivotFmt>
      <c:pivotFmt>
        <c:idx val="89"/>
        <c:marker>
          <c:symbol val="none"/>
        </c:marker>
      </c:pivotFmt>
      <c:pivotFmt>
        <c:idx val="90"/>
        <c:marker>
          <c:symbol val="none"/>
        </c:marker>
      </c:pivotFmt>
    </c:pivotFmts>
    <c:plotArea>
      <c:layout>
        <c:manualLayout>
          <c:layoutTarget val="inner"/>
          <c:xMode val="edge"/>
          <c:yMode val="edge"/>
          <c:x val="0.11875370417407502"/>
          <c:y val="0.16364698085487989"/>
          <c:w val="0.81994716458488293"/>
          <c:h val="0.72111601019233551"/>
        </c:manualLayout>
      </c:layout>
      <c:barChart>
        <c:barDir val="col"/>
        <c:grouping val="clustered"/>
        <c:varyColors val="0"/>
        <c:ser>
          <c:idx val="0"/>
          <c:order val="0"/>
          <c:tx>
            <c:v>Medium trucks - Battery Electric (BEV)</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1156.5891472868218</c:v>
              </c:pt>
              <c:pt idx="1">
                <c:v>809.30232558139551</c:v>
              </c:pt>
              <c:pt idx="2">
                <c:v>524.03100775193798</c:v>
              </c:pt>
              <c:pt idx="3">
                <c:v>0</c:v>
              </c:pt>
              <c:pt idx="4">
                <c:v>0</c:v>
              </c:pt>
              <c:pt idx="5">
                <c:v>0</c:v>
              </c:pt>
              <c:pt idx="6">
                <c:v>0</c:v>
              </c:pt>
            </c:numLit>
          </c:val>
          <c:extLst>
            <c:ext xmlns:c16="http://schemas.microsoft.com/office/drawing/2014/chart" uri="{C3380CC4-5D6E-409C-BE32-E72D297353CC}">
              <c16:uniqueId val="{00000000-279C-452A-82D9-E022B91FE659}"/>
            </c:ext>
          </c:extLst>
        </c:ser>
        <c:ser>
          <c:idx val="1"/>
          <c:order val="1"/>
          <c:tx>
            <c:v>Medium trucks - Conventional Diesel</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297325.58139534883</c:v>
              </c:pt>
              <c:pt idx="1">
                <c:v>0</c:v>
              </c:pt>
              <c:pt idx="2">
                <c:v>0</c:v>
              </c:pt>
              <c:pt idx="3">
                <c:v>0</c:v>
              </c:pt>
              <c:pt idx="4">
                <c:v>0</c:v>
              </c:pt>
              <c:pt idx="5">
                <c:v>0</c:v>
              </c:pt>
              <c:pt idx="6">
                <c:v>0</c:v>
              </c:pt>
            </c:numLit>
          </c:val>
          <c:extLst>
            <c:ext xmlns:c16="http://schemas.microsoft.com/office/drawing/2014/chart" uri="{C3380CC4-5D6E-409C-BE32-E72D297353CC}">
              <c16:uniqueId val="{00000001-279C-452A-82D9-E022B91FE659}"/>
            </c:ext>
          </c:extLst>
        </c:ser>
        <c:ser>
          <c:idx val="2"/>
          <c:order val="2"/>
          <c:tx>
            <c:v>Medium trucks - Conventional Diesel_High Efficency</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255126.35658914727</c:v>
              </c:pt>
              <c:pt idx="1">
                <c:v>233987.59689922482</c:v>
              </c:pt>
              <c:pt idx="2">
                <c:v>208245.73643410855</c:v>
              </c:pt>
              <c:pt idx="3">
                <c:v>0</c:v>
              </c:pt>
              <c:pt idx="4">
                <c:v>0</c:v>
              </c:pt>
              <c:pt idx="5">
                <c:v>0</c:v>
              </c:pt>
              <c:pt idx="6">
                <c:v>0</c:v>
              </c:pt>
            </c:numLit>
          </c:val>
          <c:extLst>
            <c:ext xmlns:c16="http://schemas.microsoft.com/office/drawing/2014/chart" uri="{C3380CC4-5D6E-409C-BE32-E72D297353CC}">
              <c16:uniqueId val="{00000002-279C-452A-82D9-E022B91FE659}"/>
            </c:ext>
          </c:extLst>
        </c:ser>
        <c:ser>
          <c:idx val="3"/>
          <c:order val="3"/>
          <c:tx>
            <c:v>Medium trucks - Conventional Diesel_Medium Efficiency</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301312.40310077521</c:v>
              </c:pt>
              <c:pt idx="1">
                <c:v>0</c:v>
              </c:pt>
              <c:pt idx="2">
                <c:v>0</c:v>
              </c:pt>
              <c:pt idx="3">
                <c:v>0</c:v>
              </c:pt>
              <c:pt idx="4">
                <c:v>0</c:v>
              </c:pt>
              <c:pt idx="5">
                <c:v>0</c:v>
              </c:pt>
              <c:pt idx="6">
                <c:v>0</c:v>
              </c:pt>
            </c:numLit>
          </c:val>
          <c:extLst>
            <c:ext xmlns:c16="http://schemas.microsoft.com/office/drawing/2014/chart" uri="{C3380CC4-5D6E-409C-BE32-E72D297353CC}">
              <c16:uniqueId val="{00000003-279C-452A-82D9-E022B91FE659}"/>
            </c:ext>
          </c:extLst>
        </c:ser>
        <c:ser>
          <c:idx val="4"/>
          <c:order val="4"/>
          <c:tx>
            <c:v>Medium trucks - Conventional Gasoline</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37886.821705426359</c:v>
              </c:pt>
              <c:pt idx="1">
                <c:v>7483.7209302325591</c:v>
              </c:pt>
              <c:pt idx="2">
                <c:v>6791.4728682170544</c:v>
              </c:pt>
              <c:pt idx="3">
                <c:v>0</c:v>
              </c:pt>
              <c:pt idx="4">
                <c:v>0</c:v>
              </c:pt>
              <c:pt idx="5">
                <c:v>0</c:v>
              </c:pt>
              <c:pt idx="6">
                <c:v>0</c:v>
              </c:pt>
            </c:numLit>
          </c:val>
          <c:extLst>
            <c:ext xmlns:c16="http://schemas.microsoft.com/office/drawing/2014/chart" uri="{C3380CC4-5D6E-409C-BE32-E72D297353CC}">
              <c16:uniqueId val="{00000004-279C-452A-82D9-E022B91FE659}"/>
            </c:ext>
          </c:extLst>
        </c:ser>
        <c:ser>
          <c:idx val="5"/>
          <c:order val="5"/>
          <c:tx>
            <c:v>Medium trucks - LPG</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10589.922480620156</c:v>
              </c:pt>
              <c:pt idx="1">
                <c:v>4813.9534883720935</c:v>
              </c:pt>
              <c:pt idx="2">
                <c:v>2462.015503875969</c:v>
              </c:pt>
              <c:pt idx="3">
                <c:v>0</c:v>
              </c:pt>
              <c:pt idx="4">
                <c:v>0</c:v>
              </c:pt>
              <c:pt idx="5">
                <c:v>0</c:v>
              </c:pt>
              <c:pt idx="6">
                <c:v>0</c:v>
              </c:pt>
            </c:numLit>
          </c:val>
          <c:extLst>
            <c:ext xmlns:c16="http://schemas.microsoft.com/office/drawing/2014/chart" uri="{C3380CC4-5D6E-409C-BE32-E72D297353CC}">
              <c16:uniqueId val="{00000005-279C-452A-82D9-E022B91FE659}"/>
            </c:ext>
          </c:extLst>
        </c:ser>
        <c:ser>
          <c:idx val="6"/>
          <c:order val="6"/>
          <c:tx>
            <c:v>Medium trucks - Natural gas</c:v>
          </c:tx>
          <c:spPr>
            <a:solidFill>
              <a:srgbClr val="7030A0"/>
            </a:solidFill>
          </c:spPr>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16859.689922480622</c:v>
              </c:pt>
              <c:pt idx="1">
                <c:v>865002.32558139542</c:v>
              </c:pt>
              <c:pt idx="2">
                <c:v>939600</c:v>
              </c:pt>
              <c:pt idx="3">
                <c:v>1201637.2093023257</c:v>
              </c:pt>
              <c:pt idx="4">
                <c:v>1290765.8914728684</c:v>
              </c:pt>
              <c:pt idx="5">
                <c:v>1211723.2558139537</c:v>
              </c:pt>
              <c:pt idx="6">
                <c:v>944162.7906976745</c:v>
              </c:pt>
            </c:numLit>
          </c:val>
          <c:extLst>
            <c:ext xmlns:c16="http://schemas.microsoft.com/office/drawing/2014/chart" uri="{C3380CC4-5D6E-409C-BE32-E72D297353CC}">
              <c16:uniqueId val="{00000006-279C-452A-82D9-E022B91FE659}"/>
            </c:ext>
          </c:extLst>
        </c:ser>
        <c:ser>
          <c:idx val="7"/>
          <c:order val="7"/>
          <c:tx>
            <c:v>Medium Trucks - Hydrogen</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0</c:v>
              </c:pt>
              <c:pt idx="1">
                <c:v>0</c:v>
              </c:pt>
              <c:pt idx="2">
                <c:v>0</c:v>
              </c:pt>
              <c:pt idx="3">
                <c:v>0</c:v>
              </c:pt>
              <c:pt idx="4">
                <c:v>0</c:v>
              </c:pt>
              <c:pt idx="5">
                <c:v>171028.68217054266</c:v>
              </c:pt>
              <c:pt idx="6">
                <c:v>432700.77519379847</c:v>
              </c:pt>
            </c:numLit>
          </c:val>
          <c:extLst>
            <c:ext xmlns:c16="http://schemas.microsoft.com/office/drawing/2014/chart" uri="{C3380CC4-5D6E-409C-BE32-E72D297353CC}">
              <c16:uniqueId val="{00000007-279C-452A-82D9-E022B91FE659}"/>
            </c:ext>
          </c:extLst>
        </c:ser>
        <c:dLbls>
          <c:showLegendKey val="0"/>
          <c:showVal val="0"/>
          <c:showCatName val="0"/>
          <c:showSerName val="0"/>
          <c:showPercent val="0"/>
          <c:showBubbleSize val="0"/>
        </c:dLbls>
        <c:gapWidth val="150"/>
        <c:axId val="324643647"/>
        <c:axId val="324639071"/>
      </c:barChart>
      <c:catAx>
        <c:axId val="324643647"/>
        <c:scaling>
          <c:orientation val="minMax"/>
        </c:scaling>
        <c:delete val="0"/>
        <c:axPos val="b"/>
        <c:numFmt formatCode="General" sourceLinked="1"/>
        <c:majorTickMark val="out"/>
        <c:minorTickMark val="none"/>
        <c:tickLblPos val="nextTo"/>
        <c:txPr>
          <a:bodyPr/>
          <a:lstStyle/>
          <a:p>
            <a:pPr>
              <a:defRPr sz="800"/>
            </a:pPr>
            <a:endParaRPr lang="en-US"/>
          </a:p>
        </c:txPr>
        <c:crossAx val="324639071"/>
        <c:crosses val="autoZero"/>
        <c:auto val="1"/>
        <c:lblAlgn val="ctr"/>
        <c:lblOffset val="100"/>
        <c:tickLblSkip val="2"/>
        <c:noMultiLvlLbl val="0"/>
      </c:catAx>
      <c:valAx>
        <c:axId val="324639071"/>
        <c:scaling>
          <c:orientation val="minMax"/>
          <c:max val="1400000"/>
        </c:scaling>
        <c:delete val="1"/>
        <c:axPos val="l"/>
        <c:majorGridlines/>
        <c:numFmt formatCode="General" sourceLinked="1"/>
        <c:majorTickMark val="out"/>
        <c:minorTickMark val="none"/>
        <c:tickLblPos val="nextTo"/>
        <c:crossAx val="324643647"/>
        <c:crosses val="autoZero"/>
        <c:crossBetween val="between"/>
        <c:dispUnits>
          <c:builtInUnit val="millions"/>
        </c:dispUnits>
      </c:valAx>
    </c:plotArea>
    <c:plotVisOnly val="1"/>
    <c:dispBlanksAs val="gap"/>
    <c:showDLblsOverMax val="0"/>
  </c:chart>
  <c:spPr>
    <a:solidFill>
      <a:schemeClr val="bg1"/>
    </a:solidFill>
    <a:ln>
      <a:noFill/>
    </a:ln>
  </c:spPr>
  <c:txPr>
    <a:bodyPr/>
    <a:lstStyle/>
    <a:p>
      <a:pPr>
        <a:defRPr>
          <a:latin typeface="Arial" panose="020B0604020202020204" pitchFamily="34" charset="0"/>
          <a:cs typeface="Arial" panose="020B0604020202020204" pitchFamily="34" charset="0"/>
        </a:defRPr>
      </a:pPr>
      <a:endParaRPr lang="en-US"/>
    </a:p>
  </c:txPr>
  <c:externalData r:id="rId1">
    <c:autoUpdate val="0"/>
  </c:externalData>
  <c:extLst/>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pivotSource>
    <c:name>[1 - Capacity_Charts.xlsx]Pivot - Medium!PivotTable2</c:name>
    <c:fmtId val="-1"/>
  </c:pivotSource>
  <c:chart>
    <c:title>
      <c:tx>
        <c:rich>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900" b="1"/>
              <a:t>2030 ICE Ban</a:t>
            </a:r>
          </a:p>
        </c:rich>
      </c:tx>
      <c:layout>
        <c:manualLayout>
          <c:xMode val="edge"/>
          <c:yMode val="edge"/>
          <c:x val="0.22969008681607106"/>
          <c:y val="7.0627928424779746E-2"/>
        </c:manualLayout>
      </c:layout>
      <c:overlay val="0"/>
      <c:spPr>
        <a:noFill/>
        <a:ln>
          <a:noFill/>
        </a:ln>
        <a:effectLst/>
      </c:spPr>
      <c:txPr>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pivotFmt>
      <c:pivotFmt>
        <c:idx val="8"/>
        <c:spPr>
          <a:solidFill>
            <a:schemeClr val="accent1"/>
          </a:solidFill>
          <a:ln>
            <a:noFill/>
          </a:ln>
          <a:effectLst/>
        </c:spPr>
        <c:marker>
          <c:symbol val="none"/>
        </c:marker>
      </c:pivotFmt>
      <c:pivotFmt>
        <c:idx val="9"/>
        <c:spPr>
          <a:solidFill>
            <a:schemeClr val="accent1"/>
          </a:solidFill>
          <a:ln>
            <a:noFill/>
          </a:ln>
          <a:effectLst/>
        </c:spPr>
        <c:marker>
          <c:symbol val="none"/>
        </c:marker>
      </c:pivotFmt>
      <c:pivotFmt>
        <c:idx val="10"/>
        <c:spPr>
          <a:solidFill>
            <a:schemeClr val="accent1"/>
          </a:solidFill>
          <a:ln>
            <a:noFill/>
          </a:ln>
          <a:effectLst/>
        </c:spPr>
        <c:marker>
          <c:symbol val="none"/>
        </c:marker>
      </c:pivotFmt>
      <c:pivotFmt>
        <c:idx val="11"/>
        <c:spPr>
          <a:solidFill>
            <a:schemeClr val="accent1"/>
          </a:solidFill>
          <a:ln>
            <a:noFill/>
          </a:ln>
          <a:effectLst/>
        </c:spPr>
        <c:marker>
          <c:symbol val="none"/>
        </c:marker>
      </c:pivotFmt>
      <c:pivotFmt>
        <c:idx val="12"/>
        <c:spPr>
          <a:solidFill>
            <a:schemeClr val="accent1"/>
          </a:solidFill>
          <a:ln>
            <a:noFill/>
          </a:ln>
          <a:effectLst/>
        </c:spPr>
        <c:marker>
          <c:symbol val="none"/>
        </c:marker>
      </c:pivotFmt>
      <c:pivotFmt>
        <c:idx val="13"/>
        <c:spPr>
          <a:solidFill>
            <a:schemeClr val="accent1"/>
          </a:solidFill>
          <a:ln>
            <a:noFill/>
          </a:ln>
          <a:effectLst/>
        </c:spPr>
        <c:marker>
          <c:symbol val="none"/>
        </c:marker>
      </c:pivotFmt>
      <c:pivotFmt>
        <c:idx val="14"/>
        <c:spPr>
          <a:solidFill>
            <a:schemeClr val="accent1"/>
          </a:solidFill>
          <a:ln>
            <a:noFill/>
          </a:ln>
          <a:effectLst/>
        </c:spPr>
        <c:marker>
          <c:symbol val="none"/>
        </c:marker>
      </c:pivotFmt>
      <c:pivotFmt>
        <c:idx val="15"/>
        <c:spPr>
          <a:solidFill>
            <a:schemeClr val="accent1"/>
          </a:solidFill>
          <a:ln>
            <a:noFill/>
          </a:ln>
          <a:effectLst/>
        </c:spPr>
        <c:marker>
          <c:symbol val="none"/>
        </c:marker>
      </c:pivotFmt>
      <c:pivotFmt>
        <c:idx val="16"/>
        <c:spPr>
          <a:solidFill>
            <a:srgbClr val="5089BC"/>
          </a:solidFill>
          <a:ln>
            <a:noFill/>
          </a:ln>
          <a:effectLst/>
        </c:spPr>
        <c:marker>
          <c:symbol val="none"/>
        </c:marker>
      </c:pivotFmt>
      <c:pivotFmt>
        <c:idx val="17"/>
        <c:spPr>
          <a:solidFill>
            <a:srgbClr val="D26E2A"/>
          </a:solidFill>
          <a:ln>
            <a:noFill/>
          </a:ln>
          <a:effectLst/>
        </c:spPr>
        <c:marker>
          <c:symbol val="none"/>
        </c:marker>
      </c:pivotFmt>
      <c:pivotFmt>
        <c:idx val="18"/>
        <c:spPr>
          <a:solidFill>
            <a:srgbClr val="929292"/>
          </a:solidFill>
          <a:ln>
            <a:noFill/>
          </a:ln>
          <a:effectLst/>
        </c:spPr>
        <c:marker>
          <c:symbol val="none"/>
        </c:marker>
      </c:pivotFmt>
      <c:pivotFmt>
        <c:idx val="19"/>
        <c:spPr>
          <a:solidFill>
            <a:srgbClr val="E2AA00"/>
          </a:solidFill>
          <a:ln>
            <a:noFill/>
          </a:ln>
          <a:effectLst/>
        </c:spPr>
        <c:marker>
          <c:symbol val="none"/>
        </c:marker>
      </c:pivotFmt>
      <c:pivotFmt>
        <c:idx val="20"/>
        <c:spPr>
          <a:solidFill>
            <a:srgbClr val="3B64AD"/>
          </a:solidFill>
          <a:ln>
            <a:noFill/>
          </a:ln>
          <a:effectLst/>
        </c:spPr>
        <c:marker>
          <c:symbol val="none"/>
        </c:marker>
      </c:pivotFmt>
      <c:pivotFmt>
        <c:idx val="21"/>
        <c:spPr>
          <a:solidFill>
            <a:srgbClr val="F1A78A"/>
          </a:solidFill>
          <a:ln>
            <a:noFill/>
          </a:ln>
          <a:effectLst/>
        </c:spPr>
        <c:marker>
          <c:symbol val="none"/>
        </c:marker>
      </c:pivotFmt>
      <c:pivotFmt>
        <c:idx val="22"/>
        <c:spPr>
          <a:solidFill>
            <a:srgbClr val="62993E"/>
          </a:solidFill>
          <a:ln>
            <a:noFill/>
          </a:ln>
          <a:effectLst/>
        </c:spPr>
        <c:marker>
          <c:symbol val="none"/>
        </c:marker>
      </c:pivotFmt>
      <c:pivotFmt>
        <c:idx val="23"/>
        <c:spPr>
          <a:solidFill>
            <a:srgbClr val="97B9E0"/>
          </a:solidFill>
          <a:ln>
            <a:noFill/>
          </a:ln>
          <a:effectLst/>
        </c:spPr>
        <c:marker>
          <c:symbol val="none"/>
        </c:marker>
      </c:pivotFmt>
      <c:pivotFmt>
        <c:idx val="24"/>
        <c:spPr>
          <a:solidFill>
            <a:schemeClr val="accent1"/>
          </a:solidFill>
          <a:ln>
            <a:noFill/>
          </a:ln>
          <a:effectLst/>
        </c:spPr>
        <c:marker>
          <c:symbol val="none"/>
        </c:marker>
      </c:pivotFmt>
      <c:pivotFmt>
        <c:idx val="25"/>
        <c:spPr>
          <a:solidFill>
            <a:schemeClr val="accent1"/>
          </a:solidFill>
          <a:ln>
            <a:noFill/>
          </a:ln>
          <a:effectLst/>
        </c:spPr>
        <c:marker>
          <c:symbol val="none"/>
        </c:marker>
      </c:pivotFmt>
      <c:pivotFmt>
        <c:idx val="26"/>
        <c:spPr>
          <a:solidFill>
            <a:schemeClr val="accent1"/>
          </a:solidFill>
          <a:ln>
            <a:noFill/>
          </a:ln>
          <a:effectLst/>
        </c:spPr>
        <c:marker>
          <c:symbol val="none"/>
        </c:marker>
      </c:pivotFmt>
      <c:pivotFmt>
        <c:idx val="27"/>
        <c:spPr>
          <a:solidFill>
            <a:schemeClr val="accent1"/>
          </a:solidFill>
          <a:ln>
            <a:noFill/>
          </a:ln>
          <a:effectLst/>
        </c:spPr>
        <c:marker>
          <c:symbol val="none"/>
        </c:marker>
      </c:pivotFmt>
      <c:pivotFmt>
        <c:idx val="28"/>
        <c:spPr>
          <a:solidFill>
            <a:schemeClr val="accent1"/>
          </a:solidFill>
          <a:ln>
            <a:noFill/>
          </a:ln>
          <a:effectLst/>
        </c:spPr>
        <c:marker>
          <c:symbol val="none"/>
        </c:marker>
      </c:pivotFmt>
      <c:pivotFmt>
        <c:idx val="29"/>
        <c:spPr>
          <a:solidFill>
            <a:schemeClr val="accent1"/>
          </a:solidFill>
          <a:ln>
            <a:noFill/>
          </a:ln>
          <a:effectLst/>
        </c:spPr>
        <c:marker>
          <c:symbol val="none"/>
        </c:marker>
      </c:pivotFmt>
      <c:pivotFmt>
        <c:idx val="30"/>
        <c:spPr>
          <a:solidFill>
            <a:schemeClr val="accent1"/>
          </a:solidFill>
          <a:ln>
            <a:noFill/>
          </a:ln>
          <a:effectLst/>
        </c:spPr>
        <c:marker>
          <c:symbol val="none"/>
        </c:marker>
      </c:pivotFmt>
      <c:pivotFmt>
        <c:idx val="31"/>
        <c:spPr>
          <a:solidFill>
            <a:schemeClr val="accent1"/>
          </a:solidFill>
          <a:ln>
            <a:noFill/>
          </a:ln>
          <a:effectLst/>
        </c:spPr>
        <c:marker>
          <c:symbol val="none"/>
        </c:marker>
      </c:pivotFmt>
      <c:pivotFmt>
        <c:idx val="32"/>
        <c:spPr>
          <a:solidFill>
            <a:schemeClr val="accent1"/>
          </a:solidFill>
          <a:ln>
            <a:noFill/>
          </a:ln>
          <a:effectLst/>
        </c:spPr>
        <c:marker>
          <c:symbol val="none"/>
        </c:marker>
      </c:pivotFmt>
      <c:pivotFmt>
        <c:idx val="33"/>
        <c:spPr>
          <a:solidFill>
            <a:schemeClr val="accent1"/>
          </a:solidFill>
          <a:ln>
            <a:noFill/>
          </a:ln>
          <a:effectLst/>
        </c:spPr>
        <c:marker>
          <c:symbol val="none"/>
        </c:marker>
      </c:pivotFmt>
      <c:pivotFmt>
        <c:idx val="34"/>
        <c:spPr>
          <a:solidFill>
            <a:schemeClr val="accent1"/>
          </a:solidFill>
          <a:ln>
            <a:noFill/>
          </a:ln>
          <a:effectLst/>
        </c:spPr>
        <c:marker>
          <c:symbol val="none"/>
        </c:marker>
      </c:pivotFmt>
      <c:pivotFmt>
        <c:idx val="35"/>
        <c:spPr>
          <a:solidFill>
            <a:schemeClr val="accent1"/>
          </a:solidFill>
          <a:ln>
            <a:noFill/>
          </a:ln>
          <a:effectLst/>
        </c:spPr>
        <c:marker>
          <c:symbol val="none"/>
        </c:marker>
      </c:pivotFmt>
      <c:pivotFmt>
        <c:idx val="36"/>
        <c:spPr>
          <a:solidFill>
            <a:schemeClr val="accent1"/>
          </a:solidFill>
          <a:ln>
            <a:noFill/>
          </a:ln>
          <a:effectLst/>
        </c:spPr>
        <c:marker>
          <c:symbol val="none"/>
        </c:marker>
      </c:pivotFmt>
      <c:pivotFmt>
        <c:idx val="37"/>
        <c:spPr>
          <a:solidFill>
            <a:schemeClr val="accent1"/>
          </a:solidFill>
          <a:ln>
            <a:noFill/>
          </a:ln>
          <a:effectLst/>
        </c:spPr>
        <c:marker>
          <c:symbol val="none"/>
        </c:marker>
      </c:pivotFmt>
      <c:pivotFmt>
        <c:idx val="38"/>
        <c:spPr>
          <a:solidFill>
            <a:schemeClr val="accent1"/>
          </a:solidFill>
          <a:ln>
            <a:noFill/>
          </a:ln>
          <a:effectLst/>
        </c:spPr>
        <c:marker>
          <c:symbol val="none"/>
        </c:marker>
      </c:pivotFmt>
      <c:pivotFmt>
        <c:idx val="39"/>
        <c:spPr>
          <a:solidFill>
            <a:schemeClr val="accent1"/>
          </a:solidFill>
          <a:ln>
            <a:noFill/>
          </a:ln>
          <a:effectLst/>
        </c:spPr>
        <c:marker>
          <c:symbol val="none"/>
        </c:marker>
      </c:pivotFmt>
      <c:pivotFmt>
        <c:idx val="40"/>
        <c:spPr>
          <a:solidFill>
            <a:schemeClr val="accent1"/>
          </a:solidFill>
          <a:ln>
            <a:noFill/>
          </a:ln>
          <a:effectLst/>
        </c:spPr>
        <c:marker>
          <c:symbol val="none"/>
        </c:marker>
      </c:pivotFmt>
      <c:pivotFmt>
        <c:idx val="41"/>
        <c:spPr>
          <a:solidFill>
            <a:schemeClr val="accent1"/>
          </a:solidFill>
          <a:ln>
            <a:noFill/>
          </a:ln>
          <a:effectLst/>
        </c:spPr>
        <c:marker>
          <c:symbol val="none"/>
        </c:marker>
      </c:pivotFmt>
      <c:pivotFmt>
        <c:idx val="42"/>
        <c:spPr>
          <a:solidFill>
            <a:schemeClr val="accent1"/>
          </a:solidFill>
          <a:ln>
            <a:noFill/>
          </a:ln>
          <a:effectLst/>
        </c:spPr>
        <c:marker>
          <c:symbol val="none"/>
        </c:marker>
      </c:pivotFmt>
      <c:pivotFmt>
        <c:idx val="43"/>
        <c:spPr>
          <a:solidFill>
            <a:schemeClr val="accent1"/>
          </a:solidFill>
          <a:ln>
            <a:noFill/>
          </a:ln>
          <a:effectLst/>
        </c:spPr>
        <c:marker>
          <c:symbol val="none"/>
        </c:marker>
      </c:pivotFmt>
      <c:pivotFmt>
        <c:idx val="44"/>
        <c:spPr>
          <a:solidFill>
            <a:schemeClr val="accent1"/>
          </a:solidFill>
          <a:ln>
            <a:noFill/>
          </a:ln>
          <a:effectLst/>
        </c:spPr>
        <c:marker>
          <c:symbol val="none"/>
        </c:marker>
      </c:pivotFmt>
      <c:pivotFmt>
        <c:idx val="45"/>
        <c:spPr>
          <a:solidFill>
            <a:schemeClr val="accent1"/>
          </a:solidFill>
          <a:ln>
            <a:noFill/>
          </a:ln>
          <a:effectLst/>
        </c:spPr>
        <c:marker>
          <c:symbol val="none"/>
        </c:marker>
      </c:pivotFmt>
      <c:pivotFmt>
        <c:idx val="46"/>
        <c:spPr>
          <a:solidFill>
            <a:schemeClr val="accent1"/>
          </a:solidFill>
          <a:ln>
            <a:noFill/>
          </a:ln>
          <a:effectLst/>
        </c:spPr>
        <c:marker>
          <c:symbol val="none"/>
        </c:marker>
      </c:pivotFmt>
      <c:pivotFmt>
        <c:idx val="47"/>
        <c:spPr>
          <a:solidFill>
            <a:schemeClr val="accent1"/>
          </a:solidFill>
          <a:ln>
            <a:noFill/>
          </a:ln>
          <a:effectLst/>
        </c:spPr>
        <c:marker>
          <c:symbol val="none"/>
        </c:marker>
      </c:pivotFmt>
      <c:pivotFmt>
        <c:idx val="48"/>
        <c:spPr>
          <a:solidFill>
            <a:schemeClr val="accent1"/>
          </a:solidFill>
          <a:ln>
            <a:noFill/>
          </a:ln>
          <a:effectLst/>
        </c:spPr>
        <c:marker>
          <c:symbol val="none"/>
        </c:marker>
      </c:pivotFmt>
      <c:pivotFmt>
        <c:idx val="49"/>
        <c:spPr>
          <a:solidFill>
            <a:schemeClr val="accent1"/>
          </a:solidFill>
          <a:ln>
            <a:noFill/>
          </a:ln>
          <a:effectLst/>
        </c:spPr>
        <c:marker>
          <c:symbol val="none"/>
        </c:marker>
      </c:pivotFmt>
      <c:pivotFmt>
        <c:idx val="50"/>
        <c:spPr>
          <a:solidFill>
            <a:schemeClr val="accent1"/>
          </a:solidFill>
          <a:ln>
            <a:noFill/>
          </a:ln>
          <a:effectLst/>
        </c:spPr>
        <c:marker>
          <c:symbol val="none"/>
        </c:marker>
      </c:pivotFmt>
      <c:pivotFmt>
        <c:idx val="51"/>
        <c:spPr>
          <a:solidFill>
            <a:schemeClr val="accent1"/>
          </a:solidFill>
          <a:ln>
            <a:noFill/>
          </a:ln>
          <a:effectLst/>
        </c:spPr>
        <c:marker>
          <c:symbol val="none"/>
        </c:marker>
      </c:pivotFmt>
      <c:pivotFmt>
        <c:idx val="52"/>
        <c:spPr>
          <a:solidFill>
            <a:schemeClr val="accent1"/>
          </a:solidFill>
          <a:ln>
            <a:noFill/>
          </a:ln>
          <a:effectLst/>
        </c:spPr>
        <c:marker>
          <c:symbol val="none"/>
        </c:marker>
      </c:pivotFmt>
      <c:pivotFmt>
        <c:idx val="53"/>
        <c:spPr>
          <a:solidFill>
            <a:schemeClr val="accent1"/>
          </a:solidFill>
          <a:ln>
            <a:noFill/>
          </a:ln>
          <a:effectLst/>
        </c:spPr>
        <c:marker>
          <c:symbol val="none"/>
        </c:marker>
      </c:pivotFmt>
      <c:pivotFmt>
        <c:idx val="54"/>
        <c:spPr>
          <a:solidFill>
            <a:schemeClr val="accent1"/>
          </a:solidFill>
          <a:ln>
            <a:noFill/>
          </a:ln>
          <a:effectLst/>
        </c:spPr>
        <c:marker>
          <c:symbol val="none"/>
        </c:marker>
      </c:pivotFmt>
      <c:pivotFmt>
        <c:idx val="55"/>
        <c:spPr>
          <a:solidFill>
            <a:schemeClr val="accent1"/>
          </a:solidFill>
          <a:ln>
            <a:noFill/>
          </a:ln>
          <a:effectLst/>
        </c:spPr>
        <c:marker>
          <c:symbol val="none"/>
        </c:marker>
      </c:pivotFmt>
      <c:pivotFmt>
        <c:idx val="56"/>
        <c:spPr>
          <a:solidFill>
            <a:schemeClr val="accent1"/>
          </a:solidFill>
          <a:ln>
            <a:noFill/>
          </a:ln>
          <a:effectLst/>
        </c:spPr>
        <c:marker>
          <c:symbol val="none"/>
        </c:marker>
      </c:pivotFmt>
      <c:pivotFmt>
        <c:idx val="57"/>
        <c:spPr>
          <a:solidFill>
            <a:schemeClr val="accent1"/>
          </a:solidFill>
          <a:ln>
            <a:noFill/>
          </a:ln>
          <a:effectLst/>
        </c:spPr>
        <c:marker>
          <c:symbol val="none"/>
        </c:marker>
      </c:pivotFmt>
      <c:pivotFmt>
        <c:idx val="58"/>
        <c:spPr>
          <a:solidFill>
            <a:schemeClr val="accent1"/>
          </a:solidFill>
          <a:ln>
            <a:noFill/>
          </a:ln>
          <a:effectLst/>
        </c:spPr>
        <c:marker>
          <c:symbol val="none"/>
        </c:marker>
      </c:pivotFmt>
      <c:pivotFmt>
        <c:idx val="59"/>
        <c:spPr>
          <a:solidFill>
            <a:schemeClr val="accent1"/>
          </a:solidFill>
          <a:ln>
            <a:noFill/>
          </a:ln>
          <a:effectLst/>
        </c:spPr>
        <c:marker>
          <c:symbol val="none"/>
        </c:marker>
      </c:pivotFmt>
      <c:pivotFmt>
        <c:idx val="60"/>
        <c:spPr>
          <a:solidFill>
            <a:schemeClr val="accent1"/>
          </a:solidFill>
          <a:ln>
            <a:noFill/>
          </a:ln>
          <a:effectLst/>
        </c:spPr>
        <c:marker>
          <c:symbol val="none"/>
        </c:marker>
      </c:pivotFmt>
      <c:pivotFmt>
        <c:idx val="61"/>
        <c:spPr>
          <a:solidFill>
            <a:schemeClr val="accent1"/>
          </a:solidFill>
          <a:ln>
            <a:noFill/>
          </a:ln>
          <a:effectLst/>
        </c:spPr>
        <c:marker>
          <c:symbol val="none"/>
        </c:marker>
      </c:pivotFmt>
      <c:pivotFmt>
        <c:idx val="62"/>
        <c:spPr>
          <a:solidFill>
            <a:schemeClr val="accent1"/>
          </a:solidFill>
          <a:ln>
            <a:noFill/>
          </a:ln>
          <a:effectLst/>
        </c:spPr>
        <c:marker>
          <c:symbol val="none"/>
        </c:marker>
      </c:pivotFmt>
      <c:pivotFmt>
        <c:idx val="63"/>
        <c:spPr>
          <a:solidFill>
            <a:schemeClr val="accent1"/>
          </a:solidFill>
          <a:ln>
            <a:noFill/>
          </a:ln>
          <a:effectLst/>
        </c:spPr>
        <c:marker>
          <c:symbol val="none"/>
        </c:marker>
      </c:pivotFmt>
      <c:pivotFmt>
        <c:idx val="64"/>
        <c:spPr>
          <a:solidFill>
            <a:schemeClr val="accent1"/>
          </a:solidFill>
          <a:ln>
            <a:noFill/>
          </a:ln>
          <a:effectLst/>
        </c:spPr>
        <c:marker>
          <c:symbol val="none"/>
        </c:marker>
      </c:pivotFmt>
    </c:pivotFmts>
    <c:plotArea>
      <c:layout>
        <c:manualLayout>
          <c:layoutTarget val="inner"/>
          <c:xMode val="edge"/>
          <c:yMode val="edge"/>
          <c:x val="9.3698431926778389E-2"/>
          <c:y val="0.17860529352606674"/>
          <c:w val="0.42540345918298672"/>
          <c:h val="0.70213835836735827"/>
        </c:manualLayout>
      </c:layout>
      <c:barChart>
        <c:barDir val="col"/>
        <c:grouping val="clustered"/>
        <c:varyColors val="0"/>
        <c:ser>
          <c:idx val="0"/>
          <c:order val="0"/>
          <c:tx>
            <c:strRef>
              <c:f>'Pivot - Medium'!$B$3:$B$4</c:f>
              <c:strCache>
                <c:ptCount val="1"/>
                <c:pt idx="0">
                  <c:v>Battery Electric </c:v>
                </c:pt>
              </c:strCache>
            </c:strRef>
          </c:tx>
          <c:spPr>
            <a:solidFill>
              <a:schemeClr val="accent1"/>
            </a:solidFill>
            <a:ln>
              <a:noFill/>
            </a:ln>
            <a:effectLst/>
          </c:spPr>
          <c:invertIfNegative val="0"/>
          <c:cat>
            <c:strRef>
              <c:f>'Pivot - Medium'!$A$5:$A$12</c:f>
              <c:strCache>
                <c:ptCount val="7"/>
                <c:pt idx="0">
                  <c:v>2020</c:v>
                </c:pt>
                <c:pt idx="1">
                  <c:v>2025</c:v>
                </c:pt>
                <c:pt idx="2">
                  <c:v>2030</c:v>
                </c:pt>
                <c:pt idx="3">
                  <c:v>2035</c:v>
                </c:pt>
                <c:pt idx="4">
                  <c:v>2040</c:v>
                </c:pt>
                <c:pt idx="5">
                  <c:v>2045</c:v>
                </c:pt>
                <c:pt idx="6">
                  <c:v>2050</c:v>
                </c:pt>
              </c:strCache>
            </c:strRef>
          </c:cat>
          <c:val>
            <c:numRef>
              <c:f>'Pivot - Medium'!$B$5:$B$12</c:f>
              <c:numCache>
                <c:formatCode>General</c:formatCode>
                <c:ptCount val="7"/>
                <c:pt idx="0">
                  <c:v>1156.5891472868218</c:v>
                </c:pt>
                <c:pt idx="1">
                  <c:v>809.30232558139551</c:v>
                </c:pt>
                <c:pt idx="2">
                  <c:v>524.03100775193798</c:v>
                </c:pt>
                <c:pt idx="3">
                  <c:v>96963.56589147287</c:v>
                </c:pt>
                <c:pt idx="4">
                  <c:v>96963.56589147287</c:v>
                </c:pt>
                <c:pt idx="5">
                  <c:v>96963.56589147287</c:v>
                </c:pt>
              </c:numCache>
            </c:numRef>
          </c:val>
          <c:extLst>
            <c:ext xmlns:c16="http://schemas.microsoft.com/office/drawing/2014/chart" uri="{C3380CC4-5D6E-409C-BE32-E72D297353CC}">
              <c16:uniqueId val="{00000000-6E3B-4EFF-9C2E-FC28F7AD8750}"/>
            </c:ext>
          </c:extLst>
        </c:ser>
        <c:ser>
          <c:idx val="1"/>
          <c:order val="1"/>
          <c:tx>
            <c:strRef>
              <c:f>'Pivot - Medium'!$C$3:$C$4</c:f>
              <c:strCache>
                <c:ptCount val="1"/>
                <c:pt idx="0">
                  <c:v>Diesel HE</c:v>
                </c:pt>
              </c:strCache>
            </c:strRef>
          </c:tx>
          <c:spPr>
            <a:solidFill>
              <a:srgbClr val="929292"/>
            </a:solidFill>
            <a:ln>
              <a:noFill/>
            </a:ln>
            <a:effectLst/>
          </c:spPr>
          <c:invertIfNegative val="0"/>
          <c:cat>
            <c:strRef>
              <c:f>'Pivot - Medium'!$A$5:$A$12</c:f>
              <c:strCache>
                <c:ptCount val="7"/>
                <c:pt idx="0">
                  <c:v>2020</c:v>
                </c:pt>
                <c:pt idx="1">
                  <c:v>2025</c:v>
                </c:pt>
                <c:pt idx="2">
                  <c:v>2030</c:v>
                </c:pt>
                <c:pt idx="3">
                  <c:v>2035</c:v>
                </c:pt>
                <c:pt idx="4">
                  <c:v>2040</c:v>
                </c:pt>
                <c:pt idx="5">
                  <c:v>2045</c:v>
                </c:pt>
                <c:pt idx="6">
                  <c:v>2050</c:v>
                </c:pt>
              </c:strCache>
            </c:strRef>
          </c:cat>
          <c:val>
            <c:numRef>
              <c:f>'Pivot - Medium'!$C$5:$C$12</c:f>
              <c:numCache>
                <c:formatCode>General</c:formatCode>
                <c:ptCount val="7"/>
                <c:pt idx="0">
                  <c:v>255126.35658914727</c:v>
                </c:pt>
                <c:pt idx="1">
                  <c:v>233987.59689922482</c:v>
                </c:pt>
                <c:pt idx="2">
                  <c:v>208245.73643410855</c:v>
                </c:pt>
              </c:numCache>
            </c:numRef>
          </c:val>
          <c:extLst>
            <c:ext xmlns:c16="http://schemas.microsoft.com/office/drawing/2014/chart" uri="{C3380CC4-5D6E-409C-BE32-E72D297353CC}">
              <c16:uniqueId val="{00000001-6E3B-4EFF-9C2E-FC28F7AD8750}"/>
            </c:ext>
          </c:extLst>
        </c:ser>
        <c:ser>
          <c:idx val="2"/>
          <c:order val="2"/>
          <c:tx>
            <c:strRef>
              <c:f>'Pivot - Medium'!$D$3:$D$4</c:f>
              <c:strCache>
                <c:ptCount val="1"/>
                <c:pt idx="0">
                  <c:v>Diesel ME</c:v>
                </c:pt>
              </c:strCache>
            </c:strRef>
          </c:tx>
          <c:spPr>
            <a:solidFill>
              <a:srgbClr val="E2AA00"/>
            </a:solidFill>
            <a:ln>
              <a:noFill/>
            </a:ln>
            <a:effectLst/>
          </c:spPr>
          <c:invertIfNegative val="0"/>
          <c:cat>
            <c:strRef>
              <c:f>'Pivot - Medium'!$A$5:$A$12</c:f>
              <c:strCache>
                <c:ptCount val="7"/>
                <c:pt idx="0">
                  <c:v>2020</c:v>
                </c:pt>
                <c:pt idx="1">
                  <c:v>2025</c:v>
                </c:pt>
                <c:pt idx="2">
                  <c:v>2030</c:v>
                </c:pt>
                <c:pt idx="3">
                  <c:v>2035</c:v>
                </c:pt>
                <c:pt idx="4">
                  <c:v>2040</c:v>
                </c:pt>
                <c:pt idx="5">
                  <c:v>2045</c:v>
                </c:pt>
                <c:pt idx="6">
                  <c:v>2050</c:v>
                </c:pt>
              </c:strCache>
            </c:strRef>
          </c:cat>
          <c:val>
            <c:numRef>
              <c:f>'Pivot - Medium'!$D$5:$D$12</c:f>
              <c:numCache>
                <c:formatCode>General</c:formatCode>
                <c:ptCount val="7"/>
                <c:pt idx="0">
                  <c:v>301312.40310077521</c:v>
                </c:pt>
              </c:numCache>
            </c:numRef>
          </c:val>
          <c:extLst>
            <c:ext xmlns:c16="http://schemas.microsoft.com/office/drawing/2014/chart" uri="{C3380CC4-5D6E-409C-BE32-E72D297353CC}">
              <c16:uniqueId val="{00000002-6E3B-4EFF-9C2E-FC28F7AD8750}"/>
            </c:ext>
          </c:extLst>
        </c:ser>
        <c:ser>
          <c:idx val="3"/>
          <c:order val="3"/>
          <c:tx>
            <c:strRef>
              <c:f>'Pivot - Medium'!$E$3:$E$4</c:f>
              <c:strCache>
                <c:ptCount val="1"/>
                <c:pt idx="0">
                  <c:v>Diesel SE</c:v>
                </c:pt>
              </c:strCache>
            </c:strRef>
          </c:tx>
          <c:spPr>
            <a:solidFill>
              <a:srgbClr val="D26E2A"/>
            </a:solidFill>
            <a:ln>
              <a:noFill/>
            </a:ln>
            <a:effectLst/>
          </c:spPr>
          <c:invertIfNegative val="0"/>
          <c:cat>
            <c:strRef>
              <c:f>'Pivot - Medium'!$A$5:$A$12</c:f>
              <c:strCache>
                <c:ptCount val="7"/>
                <c:pt idx="0">
                  <c:v>2020</c:v>
                </c:pt>
                <c:pt idx="1">
                  <c:v>2025</c:v>
                </c:pt>
                <c:pt idx="2">
                  <c:v>2030</c:v>
                </c:pt>
                <c:pt idx="3">
                  <c:v>2035</c:v>
                </c:pt>
                <c:pt idx="4">
                  <c:v>2040</c:v>
                </c:pt>
                <c:pt idx="5">
                  <c:v>2045</c:v>
                </c:pt>
                <c:pt idx="6">
                  <c:v>2050</c:v>
                </c:pt>
              </c:strCache>
            </c:strRef>
          </c:cat>
          <c:val>
            <c:numRef>
              <c:f>'Pivot - Medium'!$E$5:$E$12</c:f>
              <c:numCache>
                <c:formatCode>General</c:formatCode>
                <c:ptCount val="7"/>
                <c:pt idx="0">
                  <c:v>297325.58139534883</c:v>
                </c:pt>
              </c:numCache>
            </c:numRef>
          </c:val>
          <c:extLst>
            <c:ext xmlns:c16="http://schemas.microsoft.com/office/drawing/2014/chart" uri="{C3380CC4-5D6E-409C-BE32-E72D297353CC}">
              <c16:uniqueId val="{00000003-6E3B-4EFF-9C2E-FC28F7AD8750}"/>
            </c:ext>
          </c:extLst>
        </c:ser>
        <c:ser>
          <c:idx val="4"/>
          <c:order val="4"/>
          <c:tx>
            <c:strRef>
              <c:f>'Pivot - Medium'!$F$3:$F$4</c:f>
              <c:strCache>
                <c:ptCount val="1"/>
                <c:pt idx="0">
                  <c:v>Gasoline SE</c:v>
                </c:pt>
              </c:strCache>
            </c:strRef>
          </c:tx>
          <c:spPr>
            <a:solidFill>
              <a:srgbClr val="3B64AD"/>
            </a:solidFill>
            <a:ln>
              <a:noFill/>
            </a:ln>
            <a:effectLst/>
          </c:spPr>
          <c:invertIfNegative val="0"/>
          <c:cat>
            <c:strRef>
              <c:f>'Pivot - Medium'!$A$5:$A$12</c:f>
              <c:strCache>
                <c:ptCount val="7"/>
                <c:pt idx="0">
                  <c:v>2020</c:v>
                </c:pt>
                <c:pt idx="1">
                  <c:v>2025</c:v>
                </c:pt>
                <c:pt idx="2">
                  <c:v>2030</c:v>
                </c:pt>
                <c:pt idx="3">
                  <c:v>2035</c:v>
                </c:pt>
                <c:pt idx="4">
                  <c:v>2040</c:v>
                </c:pt>
                <c:pt idx="5">
                  <c:v>2045</c:v>
                </c:pt>
                <c:pt idx="6">
                  <c:v>2050</c:v>
                </c:pt>
              </c:strCache>
            </c:strRef>
          </c:cat>
          <c:val>
            <c:numRef>
              <c:f>'Pivot - Medium'!$F$5:$F$12</c:f>
              <c:numCache>
                <c:formatCode>General</c:formatCode>
                <c:ptCount val="7"/>
                <c:pt idx="0">
                  <c:v>37886.821705426359</c:v>
                </c:pt>
                <c:pt idx="1">
                  <c:v>7483.7209302325591</c:v>
                </c:pt>
                <c:pt idx="2">
                  <c:v>6791.4728682170544</c:v>
                </c:pt>
              </c:numCache>
            </c:numRef>
          </c:val>
          <c:extLst>
            <c:ext xmlns:c16="http://schemas.microsoft.com/office/drawing/2014/chart" uri="{C3380CC4-5D6E-409C-BE32-E72D297353CC}">
              <c16:uniqueId val="{00000004-6E3B-4EFF-9C2E-FC28F7AD8750}"/>
            </c:ext>
          </c:extLst>
        </c:ser>
        <c:ser>
          <c:idx val="5"/>
          <c:order val="5"/>
          <c:tx>
            <c:strRef>
              <c:f>'Pivot - Medium'!$G$3:$G$4</c:f>
              <c:strCache>
                <c:ptCount val="1"/>
                <c:pt idx="0">
                  <c:v>Hydrogen</c:v>
                </c:pt>
              </c:strCache>
            </c:strRef>
          </c:tx>
          <c:spPr>
            <a:solidFill>
              <a:srgbClr val="F1A78A"/>
            </a:solidFill>
            <a:ln>
              <a:noFill/>
            </a:ln>
            <a:effectLst/>
          </c:spPr>
          <c:invertIfNegative val="0"/>
          <c:cat>
            <c:strRef>
              <c:f>'Pivot - Medium'!$A$5:$A$12</c:f>
              <c:strCache>
                <c:ptCount val="7"/>
                <c:pt idx="0">
                  <c:v>2020</c:v>
                </c:pt>
                <c:pt idx="1">
                  <c:v>2025</c:v>
                </c:pt>
                <c:pt idx="2">
                  <c:v>2030</c:v>
                </c:pt>
                <c:pt idx="3">
                  <c:v>2035</c:v>
                </c:pt>
                <c:pt idx="4">
                  <c:v>2040</c:v>
                </c:pt>
                <c:pt idx="5">
                  <c:v>2045</c:v>
                </c:pt>
                <c:pt idx="6">
                  <c:v>2050</c:v>
                </c:pt>
              </c:strCache>
            </c:strRef>
          </c:cat>
          <c:val>
            <c:numRef>
              <c:f>'Pivot - Medium'!$G$5:$G$12</c:f>
              <c:numCache>
                <c:formatCode>General</c:formatCode>
                <c:ptCount val="7"/>
                <c:pt idx="3">
                  <c:v>170596.89922480623</c:v>
                </c:pt>
                <c:pt idx="4">
                  <c:v>1114759.6899224808</c:v>
                </c:pt>
                <c:pt idx="5">
                  <c:v>1285788.3720930233</c:v>
                </c:pt>
                <c:pt idx="6">
                  <c:v>1376863.5658914731</c:v>
                </c:pt>
              </c:numCache>
            </c:numRef>
          </c:val>
          <c:extLst>
            <c:ext xmlns:c16="http://schemas.microsoft.com/office/drawing/2014/chart" uri="{C3380CC4-5D6E-409C-BE32-E72D297353CC}">
              <c16:uniqueId val="{00000005-6E3B-4EFF-9C2E-FC28F7AD8750}"/>
            </c:ext>
          </c:extLst>
        </c:ser>
        <c:ser>
          <c:idx val="6"/>
          <c:order val="6"/>
          <c:tx>
            <c:strRef>
              <c:f>'Pivot - Medium'!$H$3:$H$4</c:f>
              <c:strCache>
                <c:ptCount val="1"/>
                <c:pt idx="0">
                  <c:v>LPG</c:v>
                </c:pt>
              </c:strCache>
            </c:strRef>
          </c:tx>
          <c:spPr>
            <a:solidFill>
              <a:srgbClr val="62993E"/>
            </a:solidFill>
            <a:ln>
              <a:noFill/>
            </a:ln>
            <a:effectLst/>
          </c:spPr>
          <c:invertIfNegative val="0"/>
          <c:cat>
            <c:strRef>
              <c:f>'Pivot - Medium'!$A$5:$A$12</c:f>
              <c:strCache>
                <c:ptCount val="7"/>
                <c:pt idx="0">
                  <c:v>2020</c:v>
                </c:pt>
                <c:pt idx="1">
                  <c:v>2025</c:v>
                </c:pt>
                <c:pt idx="2">
                  <c:v>2030</c:v>
                </c:pt>
                <c:pt idx="3">
                  <c:v>2035</c:v>
                </c:pt>
                <c:pt idx="4">
                  <c:v>2040</c:v>
                </c:pt>
                <c:pt idx="5">
                  <c:v>2045</c:v>
                </c:pt>
                <c:pt idx="6">
                  <c:v>2050</c:v>
                </c:pt>
              </c:strCache>
            </c:strRef>
          </c:cat>
          <c:val>
            <c:numRef>
              <c:f>'Pivot - Medium'!$H$5:$H$12</c:f>
              <c:numCache>
                <c:formatCode>General</c:formatCode>
                <c:ptCount val="7"/>
                <c:pt idx="0">
                  <c:v>10589.922480620156</c:v>
                </c:pt>
                <c:pt idx="1">
                  <c:v>4813.9534883720935</c:v>
                </c:pt>
                <c:pt idx="2">
                  <c:v>2462.015503875969</c:v>
                </c:pt>
              </c:numCache>
            </c:numRef>
          </c:val>
          <c:extLst>
            <c:ext xmlns:c16="http://schemas.microsoft.com/office/drawing/2014/chart" uri="{C3380CC4-5D6E-409C-BE32-E72D297353CC}">
              <c16:uniqueId val="{00000006-6E3B-4EFF-9C2E-FC28F7AD8750}"/>
            </c:ext>
          </c:extLst>
        </c:ser>
        <c:ser>
          <c:idx val="7"/>
          <c:order val="7"/>
          <c:tx>
            <c:strRef>
              <c:f>'Pivot - Medium'!$I$3:$I$4</c:f>
              <c:strCache>
                <c:ptCount val="1"/>
                <c:pt idx="0">
                  <c:v>Natural Gas</c:v>
                </c:pt>
              </c:strCache>
            </c:strRef>
          </c:tx>
          <c:spPr>
            <a:solidFill>
              <a:srgbClr val="7030A0"/>
            </a:solidFill>
            <a:ln>
              <a:noFill/>
            </a:ln>
            <a:effectLst/>
          </c:spPr>
          <c:invertIfNegative val="0"/>
          <c:cat>
            <c:strRef>
              <c:f>'Pivot - Medium'!$A$5:$A$12</c:f>
              <c:strCache>
                <c:ptCount val="7"/>
                <c:pt idx="0">
                  <c:v>2020</c:v>
                </c:pt>
                <c:pt idx="1">
                  <c:v>2025</c:v>
                </c:pt>
                <c:pt idx="2">
                  <c:v>2030</c:v>
                </c:pt>
                <c:pt idx="3">
                  <c:v>2035</c:v>
                </c:pt>
                <c:pt idx="4">
                  <c:v>2040</c:v>
                </c:pt>
                <c:pt idx="5">
                  <c:v>2045</c:v>
                </c:pt>
                <c:pt idx="6">
                  <c:v>2050</c:v>
                </c:pt>
              </c:strCache>
            </c:strRef>
          </c:cat>
          <c:val>
            <c:numRef>
              <c:f>'Pivot - Medium'!$I$5:$I$12</c:f>
              <c:numCache>
                <c:formatCode>General</c:formatCode>
                <c:ptCount val="7"/>
                <c:pt idx="0">
                  <c:v>16859.689922480622</c:v>
                </c:pt>
                <c:pt idx="1">
                  <c:v>865002.32558139542</c:v>
                </c:pt>
                <c:pt idx="2">
                  <c:v>939600</c:v>
                </c:pt>
                <c:pt idx="3">
                  <c:v>934076.74418604653</c:v>
                </c:pt>
                <c:pt idx="4">
                  <c:v>79042.635658914733</c:v>
                </c:pt>
              </c:numCache>
            </c:numRef>
          </c:val>
          <c:extLst>
            <c:ext xmlns:c16="http://schemas.microsoft.com/office/drawing/2014/chart" uri="{C3380CC4-5D6E-409C-BE32-E72D297353CC}">
              <c16:uniqueId val="{00000007-6E3B-4EFF-9C2E-FC28F7AD8750}"/>
            </c:ext>
          </c:extLst>
        </c:ser>
        <c:dLbls>
          <c:showLegendKey val="0"/>
          <c:showVal val="0"/>
          <c:showCatName val="0"/>
          <c:showSerName val="0"/>
          <c:showPercent val="0"/>
          <c:showBubbleSize val="0"/>
        </c:dLbls>
        <c:gapWidth val="150"/>
        <c:axId val="407146176"/>
        <c:axId val="407130784"/>
      </c:barChart>
      <c:catAx>
        <c:axId val="407146176"/>
        <c:scaling>
          <c:orientation val="minMax"/>
        </c:scaling>
        <c:delete val="0"/>
        <c:axPos val="b"/>
        <c:numFmt formatCode="General" sourceLinked="1"/>
        <c:majorTickMark val="none"/>
        <c:minorTickMark val="out"/>
        <c:tickLblPos val="nextTo"/>
        <c:spPr>
          <a:noFill/>
          <a:ln w="6350" cap="flat" cmpd="sng" algn="ctr">
            <a:solidFill>
              <a:srgbClr val="898989"/>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07130784"/>
        <c:crosses val="autoZero"/>
        <c:auto val="1"/>
        <c:lblAlgn val="ctr"/>
        <c:lblOffset val="100"/>
        <c:tickLblSkip val="2"/>
        <c:noMultiLvlLbl val="0"/>
      </c:catAx>
      <c:valAx>
        <c:axId val="407130784"/>
        <c:scaling>
          <c:orientation val="minMax"/>
          <c:max val="1400000"/>
        </c:scaling>
        <c:delete val="0"/>
        <c:axPos val="l"/>
        <c:majorGridlines>
          <c:spPr>
            <a:ln w="6350" cap="flat" cmpd="sng" algn="ctr">
              <a:solidFill>
                <a:srgbClr val="898989"/>
              </a:solidFill>
              <a:round/>
            </a:ln>
            <a:effectLst/>
          </c:spPr>
        </c:majorGridlines>
        <c:numFmt formatCode="General" sourceLinked="1"/>
        <c:majorTickMark val="out"/>
        <c:minorTickMark val="none"/>
        <c:tickLblPos val="nextTo"/>
        <c:spPr>
          <a:noFill/>
          <a:ln w="6350">
            <a:solidFill>
              <a:srgbClr val="898989"/>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07146176"/>
        <c:crosses val="autoZero"/>
        <c:crossBetween val="between"/>
        <c:dispUnits>
          <c:builtInUnit val="millions"/>
          <c:dispUnitsLbl>
            <c:layout>
              <c:manualLayout>
                <c:xMode val="edge"/>
                <c:yMode val="edge"/>
                <c:x val="1.0683760683760684E-2"/>
                <c:y val="0.20803436945308265"/>
              </c:manualLayout>
            </c:layout>
            <c:tx>
              <c:rich>
                <a:bodyPr rot="-54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800"/>
                    <a:t>Number of trucks (Millions)</a:t>
                  </a:r>
                </a:p>
              </c:rich>
            </c:tx>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ispUnitsLbl>
        </c:dispUnits>
      </c:valAx>
      <c:spPr>
        <a:solidFill>
          <a:schemeClr val="bg1"/>
        </a:solidFill>
        <a:ln>
          <a:noFill/>
        </a:ln>
        <a:effectLst/>
      </c:spPr>
    </c:plotArea>
    <c:legend>
      <c:legendPos val="r"/>
      <c:layout>
        <c:manualLayout>
          <c:xMode val="edge"/>
          <c:yMode val="edge"/>
          <c:x val="0.59434702873679257"/>
          <c:y val="0.292708540920319"/>
          <c:w val="0.34796066357089978"/>
          <c:h val="0.42479689303110213"/>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00" b="1"/>
            </a:pPr>
            <a:r>
              <a:rPr lang="en-US" sz="900" b="1"/>
              <a:t>Efficiency</a:t>
            </a:r>
          </a:p>
        </c:rich>
      </c:tx>
      <c:layout>
        <c:manualLayout>
          <c:xMode val="edge"/>
          <c:yMode val="edge"/>
          <c:x val="0.41125821812989988"/>
          <c:y val="5.5534677483496386E-2"/>
        </c:manualLayout>
      </c:layout>
      <c:overlay val="0"/>
    </c:title>
    <c:autoTitleDeleted val="0"/>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
        <c:idx val="5"/>
        <c:marker>
          <c:symbol val="none"/>
        </c:marker>
      </c:pivotFmt>
      <c:pivotFmt>
        <c:idx val="6"/>
        <c:marker>
          <c:symbol val="none"/>
        </c:marker>
      </c:pivotFmt>
      <c:pivotFmt>
        <c:idx val="7"/>
        <c:marker>
          <c:symbol val="none"/>
        </c:marker>
      </c:pivotFmt>
      <c:pivotFmt>
        <c:idx val="8"/>
        <c:marker>
          <c:symbol val="none"/>
        </c:marker>
      </c:pivotFmt>
      <c:pivotFmt>
        <c:idx val="9"/>
        <c:marker>
          <c:symbol val="none"/>
        </c:marker>
      </c:pivotFmt>
      <c:pivotFmt>
        <c:idx val="10"/>
        <c:marker>
          <c:symbol val="none"/>
        </c:marker>
      </c:pivotFmt>
      <c:pivotFmt>
        <c:idx val="11"/>
        <c:marker>
          <c:symbol val="none"/>
        </c:marker>
      </c:pivotFmt>
      <c:pivotFmt>
        <c:idx val="12"/>
        <c:marker>
          <c:symbol val="none"/>
        </c:marker>
      </c:pivotFmt>
      <c:pivotFmt>
        <c:idx val="13"/>
        <c:marker>
          <c:symbol val="none"/>
        </c:marker>
      </c:pivotFmt>
      <c:pivotFmt>
        <c:idx val="14"/>
        <c:marker>
          <c:symbol val="none"/>
        </c:marker>
      </c:pivotFmt>
      <c:pivotFmt>
        <c:idx val="15"/>
        <c:marker>
          <c:symbol val="none"/>
        </c:marker>
      </c:pivotFmt>
      <c:pivotFmt>
        <c:idx val="16"/>
        <c:marker>
          <c:symbol val="none"/>
        </c:marker>
      </c:pivotFmt>
      <c:pivotFmt>
        <c:idx val="17"/>
        <c:marker>
          <c:symbol val="none"/>
        </c:marker>
      </c:pivotFmt>
      <c:pivotFmt>
        <c:idx val="18"/>
        <c:marker>
          <c:symbol val="none"/>
        </c:marker>
      </c:pivotFmt>
      <c:pivotFmt>
        <c:idx val="19"/>
        <c:marker>
          <c:symbol val="none"/>
        </c:marker>
      </c:pivotFmt>
      <c:pivotFmt>
        <c:idx val="20"/>
        <c:marker>
          <c:symbol val="none"/>
        </c:marker>
      </c:pivotFmt>
      <c:pivotFmt>
        <c:idx val="21"/>
        <c:marker>
          <c:symbol val="none"/>
        </c:marker>
      </c:pivotFmt>
      <c:pivotFmt>
        <c:idx val="22"/>
        <c:marker>
          <c:symbol val="none"/>
        </c:marker>
      </c:pivotFmt>
      <c:pivotFmt>
        <c:idx val="23"/>
        <c:marker>
          <c:symbol val="none"/>
        </c:marker>
      </c:pivotFmt>
      <c:pivotFmt>
        <c:idx val="24"/>
        <c:marker>
          <c:symbol val="none"/>
        </c:marker>
      </c:pivotFmt>
      <c:pivotFmt>
        <c:idx val="25"/>
        <c:marker>
          <c:symbol val="none"/>
        </c:marker>
      </c:pivotFmt>
      <c:pivotFmt>
        <c:idx val="26"/>
        <c:marker>
          <c:symbol val="none"/>
        </c:marker>
      </c:pivotFmt>
      <c:pivotFmt>
        <c:idx val="27"/>
        <c:marker>
          <c:symbol val="none"/>
        </c:marker>
      </c:pivotFmt>
      <c:pivotFmt>
        <c:idx val="28"/>
        <c:marker>
          <c:symbol val="none"/>
        </c:marker>
      </c:pivotFmt>
      <c:pivotFmt>
        <c:idx val="29"/>
        <c:marker>
          <c:symbol val="none"/>
        </c:marker>
      </c:pivotFmt>
      <c:pivotFmt>
        <c:idx val="30"/>
        <c:marker>
          <c:symbol val="none"/>
        </c:marker>
      </c:pivotFmt>
      <c:pivotFmt>
        <c:idx val="31"/>
        <c:marker>
          <c:symbol val="none"/>
        </c:marker>
      </c:pivotFmt>
      <c:pivotFmt>
        <c:idx val="32"/>
        <c:marker>
          <c:symbol val="none"/>
        </c:marker>
      </c:pivotFmt>
      <c:pivotFmt>
        <c:idx val="33"/>
        <c:marker>
          <c:symbol val="none"/>
        </c:marker>
      </c:pivotFmt>
      <c:pivotFmt>
        <c:idx val="34"/>
        <c:marker>
          <c:symbol val="none"/>
        </c:marker>
      </c:pivotFmt>
      <c:pivotFmt>
        <c:idx val="35"/>
        <c:marker>
          <c:symbol val="none"/>
        </c:marker>
      </c:pivotFmt>
      <c:pivotFmt>
        <c:idx val="36"/>
        <c:marker>
          <c:symbol val="none"/>
        </c:marker>
      </c:pivotFmt>
      <c:pivotFmt>
        <c:idx val="37"/>
        <c:marker>
          <c:symbol val="none"/>
        </c:marker>
      </c:pivotFmt>
      <c:pivotFmt>
        <c:idx val="38"/>
        <c:marker>
          <c:symbol val="none"/>
        </c:marker>
      </c:pivotFmt>
      <c:pivotFmt>
        <c:idx val="39"/>
        <c:marker>
          <c:symbol val="none"/>
        </c:marker>
      </c:pivotFmt>
      <c:pivotFmt>
        <c:idx val="40"/>
        <c:marker>
          <c:symbol val="none"/>
        </c:marker>
      </c:pivotFmt>
      <c:pivotFmt>
        <c:idx val="41"/>
        <c:marker>
          <c:symbol val="none"/>
        </c:marker>
      </c:pivotFmt>
      <c:pivotFmt>
        <c:idx val="42"/>
        <c:marker>
          <c:symbol val="none"/>
        </c:marker>
      </c:pivotFmt>
      <c:pivotFmt>
        <c:idx val="43"/>
        <c:marker>
          <c:symbol val="none"/>
        </c:marker>
      </c:pivotFmt>
      <c:pivotFmt>
        <c:idx val="44"/>
        <c:marker>
          <c:symbol val="none"/>
        </c:marker>
      </c:pivotFmt>
      <c:pivotFmt>
        <c:idx val="45"/>
        <c:marker>
          <c:symbol val="none"/>
        </c:marker>
      </c:pivotFmt>
      <c:pivotFmt>
        <c:idx val="46"/>
        <c:marker>
          <c:symbol val="none"/>
        </c:marker>
      </c:pivotFmt>
      <c:pivotFmt>
        <c:idx val="47"/>
        <c:marker>
          <c:symbol val="none"/>
        </c:marker>
      </c:pivotFmt>
      <c:pivotFmt>
        <c:idx val="48"/>
        <c:marker>
          <c:symbol val="none"/>
        </c:marker>
      </c:pivotFmt>
      <c:pivotFmt>
        <c:idx val="49"/>
        <c:marker>
          <c:symbol val="none"/>
        </c:marker>
      </c:pivotFmt>
      <c:pivotFmt>
        <c:idx val="50"/>
        <c:marker>
          <c:symbol val="none"/>
        </c:marker>
      </c:pivotFmt>
      <c:pivotFmt>
        <c:idx val="51"/>
        <c:marker>
          <c:symbol val="none"/>
        </c:marker>
      </c:pivotFmt>
      <c:pivotFmt>
        <c:idx val="52"/>
        <c:marker>
          <c:symbol val="none"/>
        </c:marker>
      </c:pivotFmt>
      <c:pivotFmt>
        <c:idx val="53"/>
        <c:marker>
          <c:symbol val="none"/>
        </c:marker>
      </c:pivotFmt>
      <c:pivotFmt>
        <c:idx val="54"/>
        <c:marker>
          <c:symbol val="none"/>
        </c:marker>
      </c:pivotFmt>
      <c:pivotFmt>
        <c:idx val="55"/>
        <c:marker>
          <c:symbol val="none"/>
        </c:marker>
      </c:pivotFmt>
    </c:pivotFmts>
    <c:plotArea>
      <c:layout>
        <c:manualLayout>
          <c:layoutTarget val="inner"/>
          <c:xMode val="edge"/>
          <c:yMode val="edge"/>
          <c:x val="9.6717834513110099E-2"/>
          <c:y val="0.15935867786979835"/>
          <c:w val="0.83504632943609336"/>
          <c:h val="0.72138497402362667"/>
        </c:manualLayout>
      </c:layout>
      <c:barChart>
        <c:barDir val="col"/>
        <c:grouping val="clustered"/>
        <c:varyColors val="0"/>
        <c:ser>
          <c:idx val="0"/>
          <c:order val="0"/>
          <c:tx>
            <c:v>Medium trucks - Battery Electric (BEV)</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1156.5891472868218</c:v>
              </c:pt>
              <c:pt idx="1">
                <c:v>809.30232558139551</c:v>
              </c:pt>
              <c:pt idx="2">
                <c:v>524.03100775193798</c:v>
              </c:pt>
              <c:pt idx="3">
                <c:v>0</c:v>
              </c:pt>
              <c:pt idx="4">
                <c:v>0</c:v>
              </c:pt>
              <c:pt idx="5">
                <c:v>0</c:v>
              </c:pt>
              <c:pt idx="6">
                <c:v>0</c:v>
              </c:pt>
            </c:numLit>
          </c:val>
          <c:extLst>
            <c:ext xmlns:c16="http://schemas.microsoft.com/office/drawing/2014/chart" uri="{C3380CC4-5D6E-409C-BE32-E72D297353CC}">
              <c16:uniqueId val="{00000000-8B9F-4EA7-8522-E5A2D257AEBD}"/>
            </c:ext>
          </c:extLst>
        </c:ser>
        <c:ser>
          <c:idx val="1"/>
          <c:order val="1"/>
          <c:tx>
            <c:v>Medium trucks - Conventional Diesel</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297325.58139534883</c:v>
              </c:pt>
              <c:pt idx="1">
                <c:v>0</c:v>
              </c:pt>
              <c:pt idx="2">
                <c:v>0</c:v>
              </c:pt>
              <c:pt idx="3">
                <c:v>0</c:v>
              </c:pt>
              <c:pt idx="4">
                <c:v>0</c:v>
              </c:pt>
              <c:pt idx="5">
                <c:v>0</c:v>
              </c:pt>
              <c:pt idx="6">
                <c:v>0</c:v>
              </c:pt>
            </c:numLit>
          </c:val>
          <c:extLst>
            <c:ext xmlns:c16="http://schemas.microsoft.com/office/drawing/2014/chart" uri="{C3380CC4-5D6E-409C-BE32-E72D297353CC}">
              <c16:uniqueId val="{00000001-8B9F-4EA7-8522-E5A2D257AEBD}"/>
            </c:ext>
          </c:extLst>
        </c:ser>
        <c:ser>
          <c:idx val="2"/>
          <c:order val="2"/>
          <c:tx>
            <c:v>Medium trucks - Conventional Diesel_High Efficency</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255126.35658914727</c:v>
              </c:pt>
              <c:pt idx="1">
                <c:v>233987.59689922482</c:v>
              </c:pt>
              <c:pt idx="2">
                <c:v>208245.73643410855</c:v>
              </c:pt>
              <c:pt idx="3">
                <c:v>0</c:v>
              </c:pt>
              <c:pt idx="4">
                <c:v>0</c:v>
              </c:pt>
              <c:pt idx="5">
                <c:v>0</c:v>
              </c:pt>
              <c:pt idx="6">
                <c:v>0</c:v>
              </c:pt>
            </c:numLit>
          </c:val>
          <c:extLst>
            <c:ext xmlns:c16="http://schemas.microsoft.com/office/drawing/2014/chart" uri="{C3380CC4-5D6E-409C-BE32-E72D297353CC}">
              <c16:uniqueId val="{00000002-8B9F-4EA7-8522-E5A2D257AEBD}"/>
            </c:ext>
          </c:extLst>
        </c:ser>
        <c:ser>
          <c:idx val="3"/>
          <c:order val="3"/>
          <c:tx>
            <c:v>Medium trucks - Conventional Diesel_Medium Efficiency</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301312.40310077521</c:v>
              </c:pt>
              <c:pt idx="1">
                <c:v>0</c:v>
              </c:pt>
              <c:pt idx="2">
                <c:v>0</c:v>
              </c:pt>
              <c:pt idx="3">
                <c:v>0</c:v>
              </c:pt>
              <c:pt idx="4">
                <c:v>0</c:v>
              </c:pt>
              <c:pt idx="5">
                <c:v>0</c:v>
              </c:pt>
              <c:pt idx="6">
                <c:v>0</c:v>
              </c:pt>
            </c:numLit>
          </c:val>
          <c:extLst>
            <c:ext xmlns:c16="http://schemas.microsoft.com/office/drawing/2014/chart" uri="{C3380CC4-5D6E-409C-BE32-E72D297353CC}">
              <c16:uniqueId val="{00000003-8B9F-4EA7-8522-E5A2D257AEBD}"/>
            </c:ext>
          </c:extLst>
        </c:ser>
        <c:ser>
          <c:idx val="4"/>
          <c:order val="4"/>
          <c:tx>
            <c:v>Medium trucks - Conventional Gasoline</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37886.821705426359</c:v>
              </c:pt>
              <c:pt idx="1">
                <c:v>7483.7209302325591</c:v>
              </c:pt>
              <c:pt idx="2">
                <c:v>6791.4728682170544</c:v>
              </c:pt>
              <c:pt idx="3">
                <c:v>0</c:v>
              </c:pt>
              <c:pt idx="4">
                <c:v>0</c:v>
              </c:pt>
              <c:pt idx="5">
                <c:v>0</c:v>
              </c:pt>
              <c:pt idx="6">
                <c:v>0</c:v>
              </c:pt>
            </c:numLit>
          </c:val>
          <c:extLst>
            <c:ext xmlns:c16="http://schemas.microsoft.com/office/drawing/2014/chart" uri="{C3380CC4-5D6E-409C-BE32-E72D297353CC}">
              <c16:uniqueId val="{00000004-8B9F-4EA7-8522-E5A2D257AEBD}"/>
            </c:ext>
          </c:extLst>
        </c:ser>
        <c:ser>
          <c:idx val="5"/>
          <c:order val="5"/>
          <c:tx>
            <c:v>Medium trucks - LPG</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10589.922480620156</c:v>
              </c:pt>
              <c:pt idx="1">
                <c:v>4813.9534883720935</c:v>
              </c:pt>
              <c:pt idx="2">
                <c:v>2462.015503875969</c:v>
              </c:pt>
              <c:pt idx="3">
                <c:v>0</c:v>
              </c:pt>
              <c:pt idx="4">
                <c:v>0</c:v>
              </c:pt>
              <c:pt idx="5">
                <c:v>0</c:v>
              </c:pt>
              <c:pt idx="6">
                <c:v>0</c:v>
              </c:pt>
            </c:numLit>
          </c:val>
          <c:extLst>
            <c:ext xmlns:c16="http://schemas.microsoft.com/office/drawing/2014/chart" uri="{C3380CC4-5D6E-409C-BE32-E72D297353CC}">
              <c16:uniqueId val="{00000005-8B9F-4EA7-8522-E5A2D257AEBD}"/>
            </c:ext>
          </c:extLst>
        </c:ser>
        <c:ser>
          <c:idx val="6"/>
          <c:order val="6"/>
          <c:tx>
            <c:v>Medium trucks - Natural gas</c:v>
          </c:tx>
          <c:spPr>
            <a:solidFill>
              <a:srgbClr val="7030A0"/>
            </a:solidFill>
          </c:spPr>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16859.689922480622</c:v>
              </c:pt>
              <c:pt idx="1">
                <c:v>865002.32558139542</c:v>
              </c:pt>
              <c:pt idx="2">
                <c:v>939600</c:v>
              </c:pt>
              <c:pt idx="3">
                <c:v>1201637.2093023257</c:v>
              </c:pt>
              <c:pt idx="4">
                <c:v>1290765.8914728684</c:v>
              </c:pt>
              <c:pt idx="5">
                <c:v>1382751.9379844964</c:v>
              </c:pt>
              <c:pt idx="6">
                <c:v>1376863.5658914731</c:v>
              </c:pt>
            </c:numLit>
          </c:val>
          <c:extLst>
            <c:ext xmlns:c16="http://schemas.microsoft.com/office/drawing/2014/chart" uri="{C3380CC4-5D6E-409C-BE32-E72D297353CC}">
              <c16:uniqueId val="{00000006-8B9F-4EA7-8522-E5A2D257AEBD}"/>
            </c:ext>
          </c:extLst>
        </c:ser>
        <c:dLbls>
          <c:showLegendKey val="0"/>
          <c:showVal val="0"/>
          <c:showCatName val="0"/>
          <c:showSerName val="0"/>
          <c:showPercent val="0"/>
          <c:showBubbleSize val="0"/>
        </c:dLbls>
        <c:gapWidth val="150"/>
        <c:axId val="324643647"/>
        <c:axId val="324639071"/>
      </c:barChart>
      <c:catAx>
        <c:axId val="324643647"/>
        <c:scaling>
          <c:orientation val="minMax"/>
        </c:scaling>
        <c:delete val="0"/>
        <c:axPos val="b"/>
        <c:numFmt formatCode="General" sourceLinked="1"/>
        <c:majorTickMark val="out"/>
        <c:minorTickMark val="none"/>
        <c:tickLblPos val="nextTo"/>
        <c:txPr>
          <a:bodyPr/>
          <a:lstStyle/>
          <a:p>
            <a:pPr>
              <a:defRPr sz="800"/>
            </a:pPr>
            <a:endParaRPr lang="en-US"/>
          </a:p>
        </c:txPr>
        <c:crossAx val="324639071"/>
        <c:crosses val="autoZero"/>
        <c:auto val="1"/>
        <c:lblAlgn val="ctr"/>
        <c:lblOffset val="100"/>
        <c:tickLblSkip val="2"/>
        <c:noMultiLvlLbl val="0"/>
      </c:catAx>
      <c:valAx>
        <c:axId val="324639071"/>
        <c:scaling>
          <c:orientation val="minMax"/>
          <c:max val="1400000"/>
        </c:scaling>
        <c:delete val="1"/>
        <c:axPos val="l"/>
        <c:majorGridlines/>
        <c:numFmt formatCode="General" sourceLinked="1"/>
        <c:majorTickMark val="out"/>
        <c:minorTickMark val="none"/>
        <c:tickLblPos val="nextTo"/>
        <c:crossAx val="324643647"/>
        <c:crosses val="autoZero"/>
        <c:crossBetween val="between"/>
        <c:dispUnits>
          <c:builtInUnit val="millions"/>
        </c:dispUnits>
      </c:valAx>
    </c:plotArea>
    <c:plotVisOnly val="1"/>
    <c:dispBlanksAs val="gap"/>
    <c:showDLblsOverMax val="0"/>
  </c:chart>
  <c:spPr>
    <a:solidFill>
      <a:schemeClr val="bg1"/>
    </a:solidFill>
    <a:ln>
      <a:noFill/>
    </a:ln>
  </c:spPr>
  <c:txPr>
    <a:bodyPr/>
    <a:lstStyle/>
    <a:p>
      <a:pPr>
        <a:defRPr>
          <a:latin typeface="Arial" panose="020B0604020202020204" pitchFamily="34" charset="0"/>
          <a:cs typeface="Arial" panose="020B0604020202020204" pitchFamily="34" charset="0"/>
        </a:defRPr>
      </a:pPr>
      <a:endParaRPr lang="en-US"/>
    </a:p>
  </c:txPr>
  <c:externalData r:id="rId1">
    <c:autoUpdate val="0"/>
  </c:externalData>
  <c:extLst/>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00" b="1"/>
            </a:pPr>
            <a:r>
              <a:rPr lang="en-US" sz="900" b="1"/>
              <a:t>Tech Costs</a:t>
            </a:r>
          </a:p>
        </c:rich>
      </c:tx>
      <c:layout>
        <c:manualLayout>
          <c:xMode val="edge"/>
          <c:yMode val="edge"/>
          <c:x val="0.43888690050107371"/>
          <c:y val="1.7656883798616081E-2"/>
        </c:manualLayout>
      </c:layout>
      <c:overlay val="0"/>
    </c:title>
    <c:autoTitleDeleted val="0"/>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
        <c:idx val="5"/>
        <c:marker>
          <c:symbol val="none"/>
        </c:marker>
      </c:pivotFmt>
      <c:pivotFmt>
        <c:idx val="6"/>
        <c:marker>
          <c:symbol val="none"/>
        </c:marker>
      </c:pivotFmt>
      <c:pivotFmt>
        <c:idx val="7"/>
        <c:marker>
          <c:symbol val="none"/>
        </c:marker>
      </c:pivotFmt>
      <c:pivotFmt>
        <c:idx val="8"/>
        <c:marker>
          <c:symbol val="none"/>
        </c:marker>
      </c:pivotFmt>
      <c:pivotFmt>
        <c:idx val="9"/>
        <c:marker>
          <c:symbol val="none"/>
        </c:marker>
      </c:pivotFmt>
      <c:pivotFmt>
        <c:idx val="10"/>
        <c:marker>
          <c:symbol val="none"/>
        </c:marker>
      </c:pivotFmt>
      <c:pivotFmt>
        <c:idx val="11"/>
        <c:marker>
          <c:symbol val="none"/>
        </c:marker>
      </c:pivotFmt>
      <c:pivotFmt>
        <c:idx val="12"/>
        <c:marker>
          <c:symbol val="none"/>
        </c:marker>
      </c:pivotFmt>
      <c:pivotFmt>
        <c:idx val="13"/>
        <c:marker>
          <c:symbol val="none"/>
        </c:marker>
      </c:pivotFmt>
      <c:pivotFmt>
        <c:idx val="14"/>
        <c:marker>
          <c:symbol val="none"/>
        </c:marker>
      </c:pivotFmt>
      <c:pivotFmt>
        <c:idx val="15"/>
        <c:marker>
          <c:symbol val="none"/>
        </c:marker>
      </c:pivotFmt>
      <c:pivotFmt>
        <c:idx val="16"/>
        <c:marker>
          <c:symbol val="none"/>
        </c:marker>
      </c:pivotFmt>
      <c:pivotFmt>
        <c:idx val="17"/>
        <c:marker>
          <c:symbol val="none"/>
        </c:marker>
      </c:pivotFmt>
      <c:pivotFmt>
        <c:idx val="18"/>
        <c:marker>
          <c:symbol val="none"/>
        </c:marker>
      </c:pivotFmt>
      <c:pivotFmt>
        <c:idx val="19"/>
        <c:marker>
          <c:symbol val="none"/>
        </c:marker>
      </c:pivotFmt>
      <c:pivotFmt>
        <c:idx val="20"/>
        <c:marker>
          <c:symbol val="none"/>
        </c:marker>
      </c:pivotFmt>
      <c:pivotFmt>
        <c:idx val="21"/>
        <c:marker>
          <c:symbol val="none"/>
        </c:marker>
      </c:pivotFmt>
      <c:pivotFmt>
        <c:idx val="22"/>
        <c:marker>
          <c:symbol val="none"/>
        </c:marker>
      </c:pivotFmt>
      <c:pivotFmt>
        <c:idx val="23"/>
        <c:marker>
          <c:symbol val="none"/>
        </c:marker>
      </c:pivotFmt>
      <c:pivotFmt>
        <c:idx val="24"/>
        <c:marker>
          <c:symbol val="none"/>
        </c:marker>
      </c:pivotFmt>
      <c:pivotFmt>
        <c:idx val="25"/>
        <c:marker>
          <c:symbol val="none"/>
        </c:marker>
      </c:pivotFmt>
      <c:pivotFmt>
        <c:idx val="26"/>
        <c:marker>
          <c:symbol val="none"/>
        </c:marker>
      </c:pivotFmt>
      <c:pivotFmt>
        <c:idx val="27"/>
        <c:marker>
          <c:symbol val="none"/>
        </c:marker>
      </c:pivotFmt>
      <c:pivotFmt>
        <c:idx val="28"/>
        <c:marker>
          <c:symbol val="none"/>
        </c:marker>
      </c:pivotFmt>
      <c:pivotFmt>
        <c:idx val="29"/>
        <c:marker>
          <c:symbol val="none"/>
        </c:marker>
      </c:pivotFmt>
      <c:pivotFmt>
        <c:idx val="30"/>
        <c:marker>
          <c:symbol val="none"/>
        </c:marker>
      </c:pivotFmt>
      <c:pivotFmt>
        <c:idx val="31"/>
        <c:marker>
          <c:symbol val="none"/>
        </c:marker>
      </c:pivotFmt>
      <c:pivotFmt>
        <c:idx val="32"/>
        <c:marker>
          <c:symbol val="none"/>
        </c:marker>
      </c:pivotFmt>
      <c:pivotFmt>
        <c:idx val="33"/>
        <c:marker>
          <c:symbol val="none"/>
        </c:marker>
      </c:pivotFmt>
      <c:pivotFmt>
        <c:idx val="34"/>
        <c:marker>
          <c:symbol val="none"/>
        </c:marker>
      </c:pivotFmt>
      <c:pivotFmt>
        <c:idx val="35"/>
        <c:marker>
          <c:symbol val="none"/>
        </c:marker>
      </c:pivotFmt>
      <c:pivotFmt>
        <c:idx val="36"/>
        <c:marker>
          <c:symbol val="none"/>
        </c:marker>
      </c:pivotFmt>
      <c:pivotFmt>
        <c:idx val="37"/>
        <c:marker>
          <c:symbol val="none"/>
        </c:marker>
      </c:pivotFmt>
      <c:pivotFmt>
        <c:idx val="38"/>
        <c:marker>
          <c:symbol val="none"/>
        </c:marker>
      </c:pivotFmt>
      <c:pivotFmt>
        <c:idx val="39"/>
        <c:marker>
          <c:symbol val="none"/>
        </c:marker>
      </c:pivotFmt>
      <c:pivotFmt>
        <c:idx val="40"/>
        <c:marker>
          <c:symbol val="none"/>
        </c:marker>
      </c:pivotFmt>
      <c:pivotFmt>
        <c:idx val="41"/>
        <c:marker>
          <c:symbol val="none"/>
        </c:marker>
      </c:pivotFmt>
      <c:pivotFmt>
        <c:idx val="42"/>
        <c:marker>
          <c:symbol val="none"/>
        </c:marker>
      </c:pivotFmt>
      <c:pivotFmt>
        <c:idx val="43"/>
        <c:marker>
          <c:symbol val="none"/>
        </c:marker>
      </c:pivotFmt>
      <c:pivotFmt>
        <c:idx val="44"/>
        <c:marker>
          <c:symbol val="none"/>
        </c:marker>
      </c:pivotFmt>
      <c:pivotFmt>
        <c:idx val="45"/>
        <c:marker>
          <c:symbol val="none"/>
        </c:marker>
      </c:pivotFmt>
      <c:pivotFmt>
        <c:idx val="46"/>
        <c:marker>
          <c:symbol val="none"/>
        </c:marker>
      </c:pivotFmt>
      <c:pivotFmt>
        <c:idx val="47"/>
        <c:marker>
          <c:symbol val="none"/>
        </c:marker>
      </c:pivotFmt>
      <c:pivotFmt>
        <c:idx val="48"/>
        <c:marker>
          <c:symbol val="none"/>
        </c:marker>
      </c:pivotFmt>
      <c:pivotFmt>
        <c:idx val="49"/>
        <c:marker>
          <c:symbol val="none"/>
        </c:marker>
      </c:pivotFmt>
      <c:pivotFmt>
        <c:idx val="50"/>
        <c:marker>
          <c:symbol val="none"/>
        </c:marker>
      </c:pivotFmt>
      <c:pivotFmt>
        <c:idx val="51"/>
        <c:marker>
          <c:symbol val="none"/>
        </c:marker>
      </c:pivotFmt>
      <c:pivotFmt>
        <c:idx val="52"/>
        <c:marker>
          <c:symbol val="none"/>
        </c:marker>
      </c:pivotFmt>
      <c:pivotFmt>
        <c:idx val="53"/>
        <c:marker>
          <c:symbol val="none"/>
        </c:marker>
      </c:pivotFmt>
      <c:pivotFmt>
        <c:idx val="54"/>
        <c:marker>
          <c:symbol val="none"/>
        </c:marker>
      </c:pivotFmt>
      <c:pivotFmt>
        <c:idx val="55"/>
        <c:marker>
          <c:symbol val="none"/>
        </c:marker>
      </c:pivotFmt>
    </c:pivotFmts>
    <c:plotArea>
      <c:layout>
        <c:manualLayout>
          <c:layoutTarget val="inner"/>
          <c:xMode val="edge"/>
          <c:yMode val="edge"/>
          <c:x val="0.15143154362741845"/>
          <c:y val="0.15935867786979835"/>
          <c:w val="0.84370012460563637"/>
          <c:h val="0.72138497402362667"/>
        </c:manualLayout>
      </c:layout>
      <c:barChart>
        <c:barDir val="col"/>
        <c:grouping val="clustered"/>
        <c:varyColors val="0"/>
        <c:ser>
          <c:idx val="0"/>
          <c:order val="0"/>
          <c:tx>
            <c:v>Medium trucks - Battery Electric (BEV)</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1156.5891472868218</c:v>
              </c:pt>
              <c:pt idx="1">
                <c:v>809.30232558139551</c:v>
              </c:pt>
              <c:pt idx="2">
                <c:v>524.03100775193798</c:v>
              </c:pt>
              <c:pt idx="3">
                <c:v>0</c:v>
              </c:pt>
              <c:pt idx="4">
                <c:v>0</c:v>
              </c:pt>
              <c:pt idx="5">
                <c:v>0</c:v>
              </c:pt>
              <c:pt idx="6">
                <c:v>0</c:v>
              </c:pt>
            </c:numLit>
          </c:val>
          <c:extLst>
            <c:ext xmlns:c16="http://schemas.microsoft.com/office/drawing/2014/chart" uri="{C3380CC4-5D6E-409C-BE32-E72D297353CC}">
              <c16:uniqueId val="{00000000-3194-4F17-B938-2A4206930294}"/>
            </c:ext>
          </c:extLst>
        </c:ser>
        <c:ser>
          <c:idx val="1"/>
          <c:order val="1"/>
          <c:tx>
            <c:v>Medium trucks - Conventional Diesel</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297325.58139534883</c:v>
              </c:pt>
              <c:pt idx="1">
                <c:v>0</c:v>
              </c:pt>
              <c:pt idx="2">
                <c:v>0</c:v>
              </c:pt>
              <c:pt idx="3">
                <c:v>0</c:v>
              </c:pt>
              <c:pt idx="4">
                <c:v>0</c:v>
              </c:pt>
              <c:pt idx="5">
                <c:v>0</c:v>
              </c:pt>
              <c:pt idx="6">
                <c:v>0</c:v>
              </c:pt>
            </c:numLit>
          </c:val>
          <c:extLst>
            <c:ext xmlns:c16="http://schemas.microsoft.com/office/drawing/2014/chart" uri="{C3380CC4-5D6E-409C-BE32-E72D297353CC}">
              <c16:uniqueId val="{00000001-3194-4F17-B938-2A4206930294}"/>
            </c:ext>
          </c:extLst>
        </c:ser>
        <c:ser>
          <c:idx val="2"/>
          <c:order val="2"/>
          <c:tx>
            <c:v>Medium trucks - Conventional Diesel_High Efficency</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255126.35658914727</c:v>
              </c:pt>
              <c:pt idx="1">
                <c:v>233987.59689922482</c:v>
              </c:pt>
              <c:pt idx="2">
                <c:v>208245.73643410855</c:v>
              </c:pt>
              <c:pt idx="3">
                <c:v>0</c:v>
              </c:pt>
              <c:pt idx="4">
                <c:v>0</c:v>
              </c:pt>
              <c:pt idx="5">
                <c:v>0</c:v>
              </c:pt>
              <c:pt idx="6">
                <c:v>0</c:v>
              </c:pt>
            </c:numLit>
          </c:val>
          <c:extLst>
            <c:ext xmlns:c16="http://schemas.microsoft.com/office/drawing/2014/chart" uri="{C3380CC4-5D6E-409C-BE32-E72D297353CC}">
              <c16:uniqueId val="{00000002-3194-4F17-B938-2A4206930294}"/>
            </c:ext>
          </c:extLst>
        </c:ser>
        <c:ser>
          <c:idx val="3"/>
          <c:order val="3"/>
          <c:tx>
            <c:v>Medium trucks - Conventional Diesel_Medium Efficiency</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301312.40310077521</c:v>
              </c:pt>
              <c:pt idx="1">
                <c:v>0</c:v>
              </c:pt>
              <c:pt idx="2">
                <c:v>0</c:v>
              </c:pt>
              <c:pt idx="3">
                <c:v>0</c:v>
              </c:pt>
              <c:pt idx="4">
                <c:v>0</c:v>
              </c:pt>
              <c:pt idx="5">
                <c:v>0</c:v>
              </c:pt>
              <c:pt idx="6">
                <c:v>0</c:v>
              </c:pt>
            </c:numLit>
          </c:val>
          <c:extLst>
            <c:ext xmlns:c16="http://schemas.microsoft.com/office/drawing/2014/chart" uri="{C3380CC4-5D6E-409C-BE32-E72D297353CC}">
              <c16:uniqueId val="{00000003-3194-4F17-B938-2A4206930294}"/>
            </c:ext>
          </c:extLst>
        </c:ser>
        <c:ser>
          <c:idx val="4"/>
          <c:order val="4"/>
          <c:tx>
            <c:v>Medium trucks - Conventional Gasoline</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37886.821705426359</c:v>
              </c:pt>
              <c:pt idx="1">
                <c:v>7483.7209302325591</c:v>
              </c:pt>
              <c:pt idx="2">
                <c:v>6791.4728682170544</c:v>
              </c:pt>
              <c:pt idx="3">
                <c:v>0</c:v>
              </c:pt>
              <c:pt idx="4">
                <c:v>0</c:v>
              </c:pt>
              <c:pt idx="5">
                <c:v>0</c:v>
              </c:pt>
              <c:pt idx="6">
                <c:v>0</c:v>
              </c:pt>
            </c:numLit>
          </c:val>
          <c:extLst>
            <c:ext xmlns:c16="http://schemas.microsoft.com/office/drawing/2014/chart" uri="{C3380CC4-5D6E-409C-BE32-E72D297353CC}">
              <c16:uniqueId val="{00000004-3194-4F17-B938-2A4206930294}"/>
            </c:ext>
          </c:extLst>
        </c:ser>
        <c:ser>
          <c:idx val="5"/>
          <c:order val="5"/>
          <c:tx>
            <c:v>Medium trucks - LPG</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10589.922480620156</c:v>
              </c:pt>
              <c:pt idx="1">
                <c:v>4813.9534883720935</c:v>
              </c:pt>
              <c:pt idx="2">
                <c:v>2462.015503875969</c:v>
              </c:pt>
              <c:pt idx="3">
                <c:v>0</c:v>
              </c:pt>
              <c:pt idx="4">
                <c:v>0</c:v>
              </c:pt>
              <c:pt idx="5">
                <c:v>0</c:v>
              </c:pt>
              <c:pt idx="6">
                <c:v>0</c:v>
              </c:pt>
            </c:numLit>
          </c:val>
          <c:extLst>
            <c:ext xmlns:c16="http://schemas.microsoft.com/office/drawing/2014/chart" uri="{C3380CC4-5D6E-409C-BE32-E72D297353CC}">
              <c16:uniqueId val="{00000005-3194-4F17-B938-2A4206930294}"/>
            </c:ext>
          </c:extLst>
        </c:ser>
        <c:ser>
          <c:idx val="6"/>
          <c:order val="6"/>
          <c:tx>
            <c:v>Medium trucks - Natural gas</c:v>
          </c:tx>
          <c:spPr>
            <a:solidFill>
              <a:srgbClr val="7030A0"/>
            </a:solidFill>
          </c:spPr>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16859.689922480622</c:v>
              </c:pt>
              <c:pt idx="1">
                <c:v>865002.32558139542</c:v>
              </c:pt>
              <c:pt idx="2">
                <c:v>939600</c:v>
              </c:pt>
              <c:pt idx="3">
                <c:v>1201637.2093023257</c:v>
              </c:pt>
              <c:pt idx="4">
                <c:v>1290765.8914728684</c:v>
              </c:pt>
              <c:pt idx="5">
                <c:v>1382751.9379844964</c:v>
              </c:pt>
              <c:pt idx="6">
                <c:v>1376863.5658914731</c:v>
              </c:pt>
            </c:numLit>
          </c:val>
          <c:extLst>
            <c:ext xmlns:c16="http://schemas.microsoft.com/office/drawing/2014/chart" uri="{C3380CC4-5D6E-409C-BE32-E72D297353CC}">
              <c16:uniqueId val="{00000006-3194-4F17-B938-2A4206930294}"/>
            </c:ext>
          </c:extLst>
        </c:ser>
        <c:dLbls>
          <c:showLegendKey val="0"/>
          <c:showVal val="0"/>
          <c:showCatName val="0"/>
          <c:showSerName val="0"/>
          <c:showPercent val="0"/>
          <c:showBubbleSize val="0"/>
        </c:dLbls>
        <c:gapWidth val="150"/>
        <c:axId val="324643647"/>
        <c:axId val="324639071"/>
      </c:barChart>
      <c:catAx>
        <c:axId val="324643647"/>
        <c:scaling>
          <c:orientation val="minMax"/>
        </c:scaling>
        <c:delete val="0"/>
        <c:axPos val="b"/>
        <c:numFmt formatCode="General" sourceLinked="1"/>
        <c:majorTickMark val="out"/>
        <c:minorTickMark val="none"/>
        <c:tickLblPos val="nextTo"/>
        <c:txPr>
          <a:bodyPr/>
          <a:lstStyle/>
          <a:p>
            <a:pPr>
              <a:defRPr sz="800"/>
            </a:pPr>
            <a:endParaRPr lang="en-US"/>
          </a:p>
        </c:txPr>
        <c:crossAx val="324639071"/>
        <c:crosses val="autoZero"/>
        <c:auto val="1"/>
        <c:lblAlgn val="ctr"/>
        <c:lblOffset val="100"/>
        <c:tickLblSkip val="2"/>
        <c:noMultiLvlLbl val="0"/>
      </c:catAx>
      <c:valAx>
        <c:axId val="324639071"/>
        <c:scaling>
          <c:orientation val="minMax"/>
          <c:max val="1400000"/>
        </c:scaling>
        <c:delete val="0"/>
        <c:axPos val="l"/>
        <c:majorGridlines/>
        <c:numFmt formatCode="General" sourceLinked="1"/>
        <c:majorTickMark val="out"/>
        <c:minorTickMark val="none"/>
        <c:tickLblPos val="nextTo"/>
        <c:txPr>
          <a:bodyPr/>
          <a:lstStyle/>
          <a:p>
            <a:pPr>
              <a:defRPr sz="800"/>
            </a:pPr>
            <a:endParaRPr lang="en-US"/>
          </a:p>
        </c:txPr>
        <c:crossAx val="324643647"/>
        <c:crosses val="autoZero"/>
        <c:crossBetween val="between"/>
        <c:dispUnits>
          <c:builtInUnit val="millions"/>
          <c:dispUnitsLbl>
            <c:layout>
              <c:manualLayout>
                <c:xMode val="edge"/>
                <c:yMode val="edge"/>
                <c:x val="2.0546537908362441E-2"/>
                <c:y val="0.18878775379681428"/>
              </c:manualLayout>
            </c:layout>
            <c:tx>
              <c:rich>
                <a:bodyPr/>
                <a:lstStyle/>
                <a:p>
                  <a:pPr>
                    <a:defRPr sz="800" b="0"/>
                  </a:pPr>
                  <a:r>
                    <a:rPr lang="en-US" sz="800" b="0"/>
                    <a:t>Number of trucks</a:t>
                  </a:r>
                  <a:r>
                    <a:rPr lang="en-US" sz="800" b="0" baseline="0"/>
                    <a:t> </a:t>
                  </a:r>
                  <a:r>
                    <a:rPr lang="en-US" sz="800" b="0"/>
                    <a:t>(Millions)</a:t>
                  </a:r>
                </a:p>
              </c:rich>
            </c:tx>
          </c:dispUnitsLbl>
        </c:dispUnits>
      </c:valAx>
    </c:plotArea>
    <c:plotVisOnly val="1"/>
    <c:dispBlanksAs val="gap"/>
    <c:showDLblsOverMax val="0"/>
  </c:chart>
  <c:spPr>
    <a:solidFill>
      <a:schemeClr val="bg1"/>
    </a:solidFill>
    <a:ln>
      <a:noFill/>
    </a:ln>
  </c:spPr>
  <c:txPr>
    <a:bodyPr/>
    <a:lstStyle/>
    <a:p>
      <a:pPr>
        <a:defRPr>
          <a:latin typeface="Arial" panose="020B0604020202020204" pitchFamily="34" charset="0"/>
          <a:cs typeface="Arial" panose="020B0604020202020204" pitchFamily="34" charset="0"/>
        </a:defRPr>
      </a:pPr>
      <a:endParaRPr lang="en-US"/>
    </a:p>
  </c:txPr>
  <c:externalData r:id="rId1">
    <c:autoUpdate val="0"/>
  </c:externalData>
  <c:extLst/>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00" b="1"/>
            </a:pPr>
            <a:r>
              <a:rPr lang="en-US" sz="900" b="1"/>
              <a:t>Fuel Projections</a:t>
            </a:r>
          </a:p>
        </c:rich>
      </c:tx>
      <c:layout>
        <c:manualLayout>
          <c:xMode val="edge"/>
          <c:yMode val="edge"/>
          <c:x val="0.35733099514710609"/>
          <c:y val="1.7656386701662294E-2"/>
        </c:manualLayout>
      </c:layout>
      <c:overlay val="0"/>
    </c:title>
    <c:autoTitleDeleted val="0"/>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
        <c:idx val="5"/>
        <c:marker>
          <c:symbol val="none"/>
        </c:marker>
      </c:pivotFmt>
      <c:pivotFmt>
        <c:idx val="6"/>
        <c:marker>
          <c:symbol val="none"/>
        </c:marker>
      </c:pivotFmt>
      <c:pivotFmt>
        <c:idx val="7"/>
        <c:marker>
          <c:symbol val="none"/>
        </c:marker>
      </c:pivotFmt>
      <c:pivotFmt>
        <c:idx val="8"/>
        <c:marker>
          <c:symbol val="none"/>
        </c:marker>
      </c:pivotFmt>
      <c:pivotFmt>
        <c:idx val="9"/>
        <c:marker>
          <c:symbol val="none"/>
        </c:marker>
      </c:pivotFmt>
      <c:pivotFmt>
        <c:idx val="10"/>
        <c:marker>
          <c:symbol val="none"/>
        </c:marker>
      </c:pivotFmt>
      <c:pivotFmt>
        <c:idx val="11"/>
        <c:marker>
          <c:symbol val="none"/>
        </c:marker>
      </c:pivotFmt>
      <c:pivotFmt>
        <c:idx val="12"/>
        <c:marker>
          <c:symbol val="none"/>
        </c:marker>
      </c:pivotFmt>
      <c:pivotFmt>
        <c:idx val="13"/>
        <c:marker>
          <c:symbol val="none"/>
        </c:marker>
      </c:pivotFmt>
      <c:pivotFmt>
        <c:idx val="14"/>
        <c:marker>
          <c:symbol val="none"/>
        </c:marker>
      </c:pivotFmt>
      <c:pivotFmt>
        <c:idx val="15"/>
        <c:marker>
          <c:symbol val="none"/>
        </c:marker>
      </c:pivotFmt>
      <c:pivotFmt>
        <c:idx val="16"/>
        <c:marker>
          <c:symbol val="none"/>
        </c:marker>
      </c:pivotFmt>
      <c:pivotFmt>
        <c:idx val="17"/>
        <c:marker>
          <c:symbol val="none"/>
        </c:marker>
      </c:pivotFmt>
      <c:pivotFmt>
        <c:idx val="18"/>
        <c:marker>
          <c:symbol val="none"/>
        </c:marker>
      </c:pivotFmt>
      <c:pivotFmt>
        <c:idx val="19"/>
        <c:marker>
          <c:symbol val="none"/>
        </c:marker>
      </c:pivotFmt>
      <c:pivotFmt>
        <c:idx val="20"/>
        <c:marker>
          <c:symbol val="none"/>
        </c:marker>
      </c:pivotFmt>
      <c:pivotFmt>
        <c:idx val="21"/>
        <c:marker>
          <c:symbol val="none"/>
        </c:marker>
      </c:pivotFmt>
      <c:pivotFmt>
        <c:idx val="22"/>
        <c:marker>
          <c:symbol val="none"/>
        </c:marker>
      </c:pivotFmt>
      <c:pivotFmt>
        <c:idx val="23"/>
        <c:marker>
          <c:symbol val="none"/>
        </c:marker>
      </c:pivotFmt>
      <c:pivotFmt>
        <c:idx val="24"/>
        <c:marker>
          <c:symbol val="none"/>
        </c:marker>
      </c:pivotFmt>
      <c:pivotFmt>
        <c:idx val="25"/>
        <c:marker>
          <c:symbol val="none"/>
        </c:marker>
      </c:pivotFmt>
      <c:pivotFmt>
        <c:idx val="26"/>
        <c:marker>
          <c:symbol val="none"/>
        </c:marker>
      </c:pivotFmt>
      <c:pivotFmt>
        <c:idx val="27"/>
        <c:marker>
          <c:symbol val="none"/>
        </c:marker>
      </c:pivotFmt>
      <c:pivotFmt>
        <c:idx val="28"/>
        <c:marker>
          <c:symbol val="none"/>
        </c:marker>
      </c:pivotFmt>
      <c:pivotFmt>
        <c:idx val="29"/>
        <c:marker>
          <c:symbol val="none"/>
        </c:marker>
      </c:pivotFmt>
      <c:pivotFmt>
        <c:idx val="30"/>
        <c:marker>
          <c:symbol val="none"/>
        </c:marker>
      </c:pivotFmt>
      <c:pivotFmt>
        <c:idx val="31"/>
        <c:marker>
          <c:symbol val="none"/>
        </c:marker>
      </c:pivotFmt>
      <c:pivotFmt>
        <c:idx val="32"/>
        <c:marker>
          <c:symbol val="none"/>
        </c:marker>
      </c:pivotFmt>
      <c:pivotFmt>
        <c:idx val="33"/>
        <c:marker>
          <c:symbol val="none"/>
        </c:marker>
      </c:pivotFmt>
      <c:pivotFmt>
        <c:idx val="34"/>
        <c:marker>
          <c:symbol val="none"/>
        </c:marker>
      </c:pivotFmt>
      <c:pivotFmt>
        <c:idx val="35"/>
        <c:marker>
          <c:symbol val="none"/>
        </c:marker>
      </c:pivotFmt>
      <c:pivotFmt>
        <c:idx val="36"/>
        <c:marker>
          <c:symbol val="none"/>
        </c:marker>
      </c:pivotFmt>
      <c:pivotFmt>
        <c:idx val="37"/>
        <c:marker>
          <c:symbol val="none"/>
        </c:marker>
      </c:pivotFmt>
      <c:pivotFmt>
        <c:idx val="38"/>
        <c:marker>
          <c:symbol val="none"/>
        </c:marker>
      </c:pivotFmt>
      <c:pivotFmt>
        <c:idx val="39"/>
        <c:marker>
          <c:symbol val="none"/>
        </c:marker>
      </c:pivotFmt>
      <c:pivotFmt>
        <c:idx val="40"/>
        <c:marker>
          <c:symbol val="none"/>
        </c:marker>
      </c:pivotFmt>
      <c:pivotFmt>
        <c:idx val="41"/>
        <c:marker>
          <c:symbol val="none"/>
        </c:marker>
      </c:pivotFmt>
      <c:pivotFmt>
        <c:idx val="42"/>
        <c:marker>
          <c:symbol val="none"/>
        </c:marker>
      </c:pivotFmt>
      <c:pivotFmt>
        <c:idx val="43"/>
        <c:marker>
          <c:symbol val="none"/>
        </c:marker>
      </c:pivotFmt>
      <c:pivotFmt>
        <c:idx val="44"/>
        <c:marker>
          <c:symbol val="none"/>
        </c:marker>
      </c:pivotFmt>
      <c:pivotFmt>
        <c:idx val="45"/>
        <c:marker>
          <c:symbol val="none"/>
        </c:marker>
      </c:pivotFmt>
      <c:pivotFmt>
        <c:idx val="46"/>
        <c:marker>
          <c:symbol val="none"/>
        </c:marker>
      </c:pivotFmt>
      <c:pivotFmt>
        <c:idx val="47"/>
        <c:marker>
          <c:symbol val="none"/>
        </c:marker>
      </c:pivotFmt>
      <c:pivotFmt>
        <c:idx val="48"/>
        <c:marker>
          <c:symbol val="none"/>
        </c:marker>
      </c:pivotFmt>
      <c:pivotFmt>
        <c:idx val="49"/>
        <c:marker>
          <c:symbol val="none"/>
        </c:marker>
      </c:pivotFmt>
      <c:pivotFmt>
        <c:idx val="50"/>
        <c:marker>
          <c:symbol val="none"/>
        </c:marker>
      </c:pivotFmt>
      <c:pivotFmt>
        <c:idx val="51"/>
        <c:marker>
          <c:symbol val="none"/>
        </c:marker>
      </c:pivotFmt>
      <c:pivotFmt>
        <c:idx val="52"/>
        <c:marker>
          <c:symbol val="none"/>
        </c:marker>
      </c:pivotFmt>
      <c:pivotFmt>
        <c:idx val="53"/>
        <c:marker>
          <c:symbol val="none"/>
        </c:marker>
      </c:pivotFmt>
      <c:pivotFmt>
        <c:idx val="54"/>
        <c:marker>
          <c:symbol val="none"/>
        </c:marker>
      </c:pivotFmt>
      <c:pivotFmt>
        <c:idx val="55"/>
        <c:marker>
          <c:symbol val="none"/>
        </c:marker>
      </c:pivotFmt>
    </c:pivotFmts>
    <c:plotArea>
      <c:layout>
        <c:manualLayout>
          <c:layoutTarget val="inner"/>
          <c:xMode val="edge"/>
          <c:yMode val="edge"/>
          <c:x val="0.10092658872186432"/>
          <c:y val="0.14438727829475861"/>
          <c:w val="0.83625450346821306"/>
          <c:h val="0.72138497402362667"/>
        </c:manualLayout>
      </c:layout>
      <c:barChart>
        <c:barDir val="col"/>
        <c:grouping val="clustered"/>
        <c:varyColors val="0"/>
        <c:ser>
          <c:idx val="0"/>
          <c:order val="0"/>
          <c:tx>
            <c:v>Medium trucks - Battery Electric (BEV)</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1156.5891472868218</c:v>
              </c:pt>
              <c:pt idx="1">
                <c:v>809.30232558139551</c:v>
              </c:pt>
              <c:pt idx="2">
                <c:v>524.03100775193798</c:v>
              </c:pt>
              <c:pt idx="3">
                <c:v>0</c:v>
              </c:pt>
              <c:pt idx="4">
                <c:v>0</c:v>
              </c:pt>
              <c:pt idx="5">
                <c:v>0</c:v>
              </c:pt>
              <c:pt idx="6">
                <c:v>0</c:v>
              </c:pt>
            </c:numLit>
          </c:val>
          <c:extLst>
            <c:ext xmlns:c16="http://schemas.microsoft.com/office/drawing/2014/chart" uri="{C3380CC4-5D6E-409C-BE32-E72D297353CC}">
              <c16:uniqueId val="{00000000-BEBB-4D01-BE05-415227F37544}"/>
            </c:ext>
          </c:extLst>
        </c:ser>
        <c:ser>
          <c:idx val="1"/>
          <c:order val="1"/>
          <c:tx>
            <c:v>Medium trucks - Conventional Diesel</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297325.58139534883</c:v>
              </c:pt>
              <c:pt idx="1">
                <c:v>0</c:v>
              </c:pt>
              <c:pt idx="2">
                <c:v>0</c:v>
              </c:pt>
              <c:pt idx="3">
                <c:v>0</c:v>
              </c:pt>
              <c:pt idx="4">
                <c:v>0</c:v>
              </c:pt>
              <c:pt idx="5">
                <c:v>0</c:v>
              </c:pt>
              <c:pt idx="6">
                <c:v>0</c:v>
              </c:pt>
            </c:numLit>
          </c:val>
          <c:extLst>
            <c:ext xmlns:c16="http://schemas.microsoft.com/office/drawing/2014/chart" uri="{C3380CC4-5D6E-409C-BE32-E72D297353CC}">
              <c16:uniqueId val="{00000001-BEBB-4D01-BE05-415227F37544}"/>
            </c:ext>
          </c:extLst>
        </c:ser>
        <c:ser>
          <c:idx val="2"/>
          <c:order val="2"/>
          <c:tx>
            <c:v>Medium trucks - Conventional Diesel_High Efficency</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255126.35658914727</c:v>
              </c:pt>
              <c:pt idx="1">
                <c:v>233987.59689922482</c:v>
              </c:pt>
              <c:pt idx="2">
                <c:v>208245.73643410855</c:v>
              </c:pt>
              <c:pt idx="3">
                <c:v>0</c:v>
              </c:pt>
              <c:pt idx="4">
                <c:v>0</c:v>
              </c:pt>
              <c:pt idx="5">
                <c:v>0</c:v>
              </c:pt>
              <c:pt idx="6">
                <c:v>0</c:v>
              </c:pt>
            </c:numLit>
          </c:val>
          <c:extLst>
            <c:ext xmlns:c16="http://schemas.microsoft.com/office/drawing/2014/chart" uri="{C3380CC4-5D6E-409C-BE32-E72D297353CC}">
              <c16:uniqueId val="{00000002-BEBB-4D01-BE05-415227F37544}"/>
            </c:ext>
          </c:extLst>
        </c:ser>
        <c:ser>
          <c:idx val="3"/>
          <c:order val="3"/>
          <c:tx>
            <c:v>Medium trucks - Conventional Diesel_Medium Efficiency</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301312.40310077521</c:v>
              </c:pt>
              <c:pt idx="1">
                <c:v>0</c:v>
              </c:pt>
              <c:pt idx="2">
                <c:v>0</c:v>
              </c:pt>
              <c:pt idx="3">
                <c:v>0</c:v>
              </c:pt>
              <c:pt idx="4">
                <c:v>0</c:v>
              </c:pt>
              <c:pt idx="5">
                <c:v>0</c:v>
              </c:pt>
              <c:pt idx="6">
                <c:v>0</c:v>
              </c:pt>
            </c:numLit>
          </c:val>
          <c:extLst>
            <c:ext xmlns:c16="http://schemas.microsoft.com/office/drawing/2014/chart" uri="{C3380CC4-5D6E-409C-BE32-E72D297353CC}">
              <c16:uniqueId val="{00000003-BEBB-4D01-BE05-415227F37544}"/>
            </c:ext>
          </c:extLst>
        </c:ser>
        <c:ser>
          <c:idx val="4"/>
          <c:order val="4"/>
          <c:tx>
            <c:v>Medium trucks - Conventional Gasoline</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37886.821705426359</c:v>
              </c:pt>
              <c:pt idx="1">
                <c:v>7483.7209302325591</c:v>
              </c:pt>
              <c:pt idx="2">
                <c:v>6791.4728682170544</c:v>
              </c:pt>
              <c:pt idx="3">
                <c:v>0</c:v>
              </c:pt>
              <c:pt idx="4">
                <c:v>0</c:v>
              </c:pt>
              <c:pt idx="5">
                <c:v>0</c:v>
              </c:pt>
              <c:pt idx="6">
                <c:v>0</c:v>
              </c:pt>
            </c:numLit>
          </c:val>
          <c:extLst>
            <c:ext xmlns:c16="http://schemas.microsoft.com/office/drawing/2014/chart" uri="{C3380CC4-5D6E-409C-BE32-E72D297353CC}">
              <c16:uniqueId val="{00000004-BEBB-4D01-BE05-415227F37544}"/>
            </c:ext>
          </c:extLst>
        </c:ser>
        <c:ser>
          <c:idx val="5"/>
          <c:order val="5"/>
          <c:tx>
            <c:v>Medium trucks - LPG</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10589.922480620156</c:v>
              </c:pt>
              <c:pt idx="1">
                <c:v>4813.9534883720935</c:v>
              </c:pt>
              <c:pt idx="2">
                <c:v>2462.015503875969</c:v>
              </c:pt>
              <c:pt idx="3">
                <c:v>0</c:v>
              </c:pt>
              <c:pt idx="4">
                <c:v>0</c:v>
              </c:pt>
              <c:pt idx="5">
                <c:v>0</c:v>
              </c:pt>
              <c:pt idx="6">
                <c:v>0</c:v>
              </c:pt>
            </c:numLit>
          </c:val>
          <c:extLst>
            <c:ext xmlns:c16="http://schemas.microsoft.com/office/drawing/2014/chart" uri="{C3380CC4-5D6E-409C-BE32-E72D297353CC}">
              <c16:uniqueId val="{00000005-BEBB-4D01-BE05-415227F37544}"/>
            </c:ext>
          </c:extLst>
        </c:ser>
        <c:ser>
          <c:idx val="6"/>
          <c:order val="6"/>
          <c:tx>
            <c:v>Medium trucks - Natural gas</c:v>
          </c:tx>
          <c:spPr>
            <a:solidFill>
              <a:srgbClr val="7030A0"/>
            </a:solidFill>
          </c:spPr>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16859.689922480622</c:v>
              </c:pt>
              <c:pt idx="1">
                <c:v>865002.32558139542</c:v>
              </c:pt>
              <c:pt idx="2">
                <c:v>939600</c:v>
              </c:pt>
              <c:pt idx="3">
                <c:v>1201637.2093023257</c:v>
              </c:pt>
              <c:pt idx="4">
                <c:v>1290765.8914728684</c:v>
              </c:pt>
              <c:pt idx="5">
                <c:v>1382751.9379844964</c:v>
              </c:pt>
              <c:pt idx="6">
                <c:v>1376863.5658914731</c:v>
              </c:pt>
            </c:numLit>
          </c:val>
          <c:extLst>
            <c:ext xmlns:c16="http://schemas.microsoft.com/office/drawing/2014/chart" uri="{C3380CC4-5D6E-409C-BE32-E72D297353CC}">
              <c16:uniqueId val="{00000006-BEBB-4D01-BE05-415227F37544}"/>
            </c:ext>
          </c:extLst>
        </c:ser>
        <c:dLbls>
          <c:showLegendKey val="0"/>
          <c:showVal val="0"/>
          <c:showCatName val="0"/>
          <c:showSerName val="0"/>
          <c:showPercent val="0"/>
          <c:showBubbleSize val="0"/>
        </c:dLbls>
        <c:gapWidth val="150"/>
        <c:axId val="324643647"/>
        <c:axId val="324639071"/>
      </c:barChart>
      <c:catAx>
        <c:axId val="324643647"/>
        <c:scaling>
          <c:orientation val="minMax"/>
        </c:scaling>
        <c:delete val="0"/>
        <c:axPos val="b"/>
        <c:numFmt formatCode="General" sourceLinked="1"/>
        <c:majorTickMark val="out"/>
        <c:minorTickMark val="none"/>
        <c:tickLblPos val="nextTo"/>
        <c:txPr>
          <a:bodyPr/>
          <a:lstStyle/>
          <a:p>
            <a:pPr>
              <a:defRPr sz="800"/>
            </a:pPr>
            <a:endParaRPr lang="en-US"/>
          </a:p>
        </c:txPr>
        <c:crossAx val="324639071"/>
        <c:crosses val="autoZero"/>
        <c:auto val="1"/>
        <c:lblAlgn val="ctr"/>
        <c:lblOffset val="100"/>
        <c:tickLblSkip val="2"/>
        <c:noMultiLvlLbl val="0"/>
      </c:catAx>
      <c:valAx>
        <c:axId val="324639071"/>
        <c:scaling>
          <c:orientation val="minMax"/>
          <c:max val="1400000"/>
        </c:scaling>
        <c:delete val="1"/>
        <c:axPos val="l"/>
        <c:majorGridlines/>
        <c:numFmt formatCode="General" sourceLinked="1"/>
        <c:majorTickMark val="out"/>
        <c:minorTickMark val="none"/>
        <c:tickLblPos val="nextTo"/>
        <c:crossAx val="324643647"/>
        <c:crosses val="autoZero"/>
        <c:crossBetween val="between"/>
        <c:dispUnits>
          <c:builtInUnit val="millions"/>
        </c:dispUnits>
      </c:valAx>
    </c:plotArea>
    <c:plotVisOnly val="1"/>
    <c:dispBlanksAs val="gap"/>
    <c:showDLblsOverMax val="0"/>
  </c:chart>
  <c:spPr>
    <a:solidFill>
      <a:schemeClr val="bg1"/>
    </a:solidFill>
    <a:ln>
      <a:noFill/>
    </a:ln>
  </c:spPr>
  <c:txPr>
    <a:bodyPr/>
    <a:lstStyle/>
    <a:p>
      <a:pPr>
        <a:defRPr>
          <a:latin typeface="Arial" panose="020B0604020202020204" pitchFamily="34" charset="0"/>
          <a:cs typeface="Arial" panose="020B0604020202020204" pitchFamily="34" charset="0"/>
        </a:defRPr>
      </a:pPr>
      <a:endParaRPr lang="en-US"/>
    </a:p>
  </c:txPr>
  <c:externalData r:id="rId1">
    <c:autoUpdate val="0"/>
  </c:externalData>
  <c:extLst/>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00" b="1"/>
            </a:pPr>
            <a:r>
              <a:rPr lang="en-US" sz="900" b="1"/>
              <a:t>Carbon Price</a:t>
            </a:r>
          </a:p>
        </c:rich>
      </c:tx>
      <c:layout>
        <c:manualLayout>
          <c:xMode val="edge"/>
          <c:yMode val="edge"/>
          <c:x val="0.42169099127760545"/>
          <c:y val="5.5536168774357748E-2"/>
        </c:manualLayout>
      </c:layout>
      <c:overlay val="0"/>
    </c:title>
    <c:autoTitleDeleted val="0"/>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
        <c:idx val="5"/>
        <c:marker>
          <c:symbol val="none"/>
        </c:marker>
      </c:pivotFmt>
      <c:pivotFmt>
        <c:idx val="6"/>
        <c:marker>
          <c:symbol val="none"/>
        </c:marker>
      </c:pivotFmt>
      <c:pivotFmt>
        <c:idx val="7"/>
        <c:marker>
          <c:symbol val="none"/>
        </c:marker>
      </c:pivotFmt>
      <c:pivotFmt>
        <c:idx val="8"/>
        <c:marker>
          <c:symbol val="none"/>
        </c:marker>
      </c:pivotFmt>
      <c:pivotFmt>
        <c:idx val="9"/>
        <c:marker>
          <c:symbol val="none"/>
        </c:marker>
      </c:pivotFmt>
      <c:pivotFmt>
        <c:idx val="10"/>
        <c:marker>
          <c:symbol val="none"/>
        </c:marker>
      </c:pivotFmt>
      <c:pivotFmt>
        <c:idx val="11"/>
        <c:marker>
          <c:symbol val="none"/>
        </c:marker>
      </c:pivotFmt>
      <c:pivotFmt>
        <c:idx val="12"/>
        <c:marker>
          <c:symbol val="none"/>
        </c:marker>
      </c:pivotFmt>
      <c:pivotFmt>
        <c:idx val="13"/>
        <c:marker>
          <c:symbol val="none"/>
        </c:marker>
      </c:pivotFmt>
      <c:pivotFmt>
        <c:idx val="14"/>
        <c:marker>
          <c:symbol val="none"/>
        </c:marker>
      </c:pivotFmt>
      <c:pivotFmt>
        <c:idx val="15"/>
        <c:marker>
          <c:symbol val="none"/>
        </c:marker>
      </c:pivotFmt>
      <c:pivotFmt>
        <c:idx val="16"/>
        <c:marker>
          <c:symbol val="none"/>
        </c:marker>
      </c:pivotFmt>
      <c:pivotFmt>
        <c:idx val="17"/>
        <c:marker>
          <c:symbol val="none"/>
        </c:marker>
      </c:pivotFmt>
      <c:pivotFmt>
        <c:idx val="18"/>
        <c:marker>
          <c:symbol val="none"/>
        </c:marker>
      </c:pivotFmt>
      <c:pivotFmt>
        <c:idx val="19"/>
        <c:marker>
          <c:symbol val="none"/>
        </c:marker>
      </c:pivotFmt>
      <c:pivotFmt>
        <c:idx val="20"/>
        <c:marker>
          <c:symbol val="none"/>
        </c:marker>
      </c:pivotFmt>
      <c:pivotFmt>
        <c:idx val="21"/>
        <c:marker>
          <c:symbol val="none"/>
        </c:marker>
      </c:pivotFmt>
      <c:pivotFmt>
        <c:idx val="22"/>
        <c:marker>
          <c:symbol val="none"/>
        </c:marker>
      </c:pivotFmt>
      <c:pivotFmt>
        <c:idx val="23"/>
        <c:marker>
          <c:symbol val="none"/>
        </c:marker>
      </c:pivotFmt>
      <c:pivotFmt>
        <c:idx val="24"/>
        <c:marker>
          <c:symbol val="none"/>
        </c:marker>
      </c:pivotFmt>
      <c:pivotFmt>
        <c:idx val="25"/>
        <c:marker>
          <c:symbol val="none"/>
        </c:marker>
      </c:pivotFmt>
      <c:pivotFmt>
        <c:idx val="26"/>
        <c:marker>
          <c:symbol val="none"/>
        </c:marker>
      </c:pivotFmt>
      <c:pivotFmt>
        <c:idx val="27"/>
        <c:marker>
          <c:symbol val="none"/>
        </c:marker>
      </c:pivotFmt>
      <c:pivotFmt>
        <c:idx val="28"/>
        <c:marker>
          <c:symbol val="none"/>
        </c:marker>
      </c:pivotFmt>
      <c:pivotFmt>
        <c:idx val="29"/>
        <c:marker>
          <c:symbol val="none"/>
        </c:marker>
      </c:pivotFmt>
      <c:pivotFmt>
        <c:idx val="30"/>
        <c:marker>
          <c:symbol val="none"/>
        </c:marker>
      </c:pivotFmt>
      <c:pivotFmt>
        <c:idx val="31"/>
        <c:marker>
          <c:symbol val="none"/>
        </c:marker>
      </c:pivotFmt>
      <c:pivotFmt>
        <c:idx val="32"/>
        <c:marker>
          <c:symbol val="none"/>
        </c:marker>
      </c:pivotFmt>
      <c:pivotFmt>
        <c:idx val="33"/>
        <c:marker>
          <c:symbol val="none"/>
        </c:marker>
      </c:pivotFmt>
      <c:pivotFmt>
        <c:idx val="34"/>
        <c:marker>
          <c:symbol val="none"/>
        </c:marker>
      </c:pivotFmt>
      <c:pivotFmt>
        <c:idx val="35"/>
        <c:marker>
          <c:symbol val="none"/>
        </c:marker>
      </c:pivotFmt>
      <c:pivotFmt>
        <c:idx val="36"/>
        <c:marker>
          <c:symbol val="none"/>
        </c:marker>
      </c:pivotFmt>
      <c:pivotFmt>
        <c:idx val="37"/>
        <c:marker>
          <c:symbol val="none"/>
        </c:marker>
      </c:pivotFmt>
      <c:pivotFmt>
        <c:idx val="38"/>
        <c:marker>
          <c:symbol val="none"/>
        </c:marker>
      </c:pivotFmt>
      <c:pivotFmt>
        <c:idx val="39"/>
        <c:marker>
          <c:symbol val="none"/>
        </c:marker>
      </c:pivotFmt>
      <c:pivotFmt>
        <c:idx val="40"/>
        <c:marker>
          <c:symbol val="none"/>
        </c:marker>
      </c:pivotFmt>
      <c:pivotFmt>
        <c:idx val="41"/>
        <c:marker>
          <c:symbol val="none"/>
        </c:marker>
      </c:pivotFmt>
      <c:pivotFmt>
        <c:idx val="42"/>
        <c:marker>
          <c:symbol val="none"/>
        </c:marker>
      </c:pivotFmt>
      <c:pivotFmt>
        <c:idx val="43"/>
        <c:marker>
          <c:symbol val="none"/>
        </c:marker>
      </c:pivotFmt>
      <c:pivotFmt>
        <c:idx val="44"/>
        <c:marker>
          <c:symbol val="none"/>
        </c:marker>
      </c:pivotFmt>
      <c:pivotFmt>
        <c:idx val="45"/>
        <c:marker>
          <c:symbol val="none"/>
        </c:marker>
      </c:pivotFmt>
      <c:pivotFmt>
        <c:idx val="46"/>
        <c:marker>
          <c:symbol val="none"/>
        </c:marker>
      </c:pivotFmt>
      <c:pivotFmt>
        <c:idx val="47"/>
        <c:marker>
          <c:symbol val="none"/>
        </c:marker>
      </c:pivotFmt>
      <c:pivotFmt>
        <c:idx val="48"/>
        <c:marker>
          <c:symbol val="none"/>
        </c:marker>
      </c:pivotFmt>
      <c:pivotFmt>
        <c:idx val="49"/>
        <c:marker>
          <c:symbol val="none"/>
        </c:marker>
      </c:pivotFmt>
      <c:pivotFmt>
        <c:idx val="50"/>
        <c:marker>
          <c:symbol val="none"/>
        </c:marker>
      </c:pivotFmt>
      <c:pivotFmt>
        <c:idx val="51"/>
        <c:marker>
          <c:symbol val="none"/>
        </c:marker>
      </c:pivotFmt>
      <c:pivotFmt>
        <c:idx val="52"/>
        <c:marker>
          <c:symbol val="none"/>
        </c:marker>
      </c:pivotFmt>
      <c:pivotFmt>
        <c:idx val="53"/>
        <c:marker>
          <c:symbol val="none"/>
        </c:marker>
      </c:pivotFmt>
      <c:pivotFmt>
        <c:idx val="54"/>
        <c:marker>
          <c:symbol val="none"/>
        </c:marker>
      </c:pivotFmt>
      <c:pivotFmt>
        <c:idx val="55"/>
        <c:marker>
          <c:symbol val="none"/>
        </c:marker>
      </c:pivotFmt>
    </c:pivotFmts>
    <c:plotArea>
      <c:layout>
        <c:manualLayout>
          <c:layoutTarget val="inner"/>
          <c:xMode val="edge"/>
          <c:yMode val="edge"/>
          <c:x val="0.15143154362741845"/>
          <c:y val="0.15935867786979835"/>
          <c:w val="0.84370012460563637"/>
          <c:h val="0.72138497402362667"/>
        </c:manualLayout>
      </c:layout>
      <c:barChart>
        <c:barDir val="col"/>
        <c:grouping val="clustered"/>
        <c:varyColors val="0"/>
        <c:ser>
          <c:idx val="0"/>
          <c:order val="0"/>
          <c:tx>
            <c:v>Medium trucks - Battery Electric (BEV)</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1156.5891472868218</c:v>
              </c:pt>
              <c:pt idx="1">
                <c:v>809.30232558139551</c:v>
              </c:pt>
              <c:pt idx="2">
                <c:v>524.03100775193798</c:v>
              </c:pt>
              <c:pt idx="3">
                <c:v>0</c:v>
              </c:pt>
              <c:pt idx="4">
                <c:v>0</c:v>
              </c:pt>
              <c:pt idx="5">
                <c:v>0</c:v>
              </c:pt>
              <c:pt idx="6">
                <c:v>0</c:v>
              </c:pt>
            </c:numLit>
          </c:val>
          <c:extLst>
            <c:ext xmlns:c16="http://schemas.microsoft.com/office/drawing/2014/chart" uri="{C3380CC4-5D6E-409C-BE32-E72D297353CC}">
              <c16:uniqueId val="{00000000-6011-40A3-A084-F6929551C660}"/>
            </c:ext>
          </c:extLst>
        </c:ser>
        <c:ser>
          <c:idx val="1"/>
          <c:order val="1"/>
          <c:tx>
            <c:v>Medium trucks - Conventional Diesel</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297325.58139534883</c:v>
              </c:pt>
              <c:pt idx="1">
                <c:v>0</c:v>
              </c:pt>
              <c:pt idx="2">
                <c:v>0</c:v>
              </c:pt>
              <c:pt idx="3">
                <c:v>0</c:v>
              </c:pt>
              <c:pt idx="4">
                <c:v>0</c:v>
              </c:pt>
              <c:pt idx="5">
                <c:v>0</c:v>
              </c:pt>
              <c:pt idx="6">
                <c:v>0</c:v>
              </c:pt>
            </c:numLit>
          </c:val>
          <c:extLst>
            <c:ext xmlns:c16="http://schemas.microsoft.com/office/drawing/2014/chart" uri="{C3380CC4-5D6E-409C-BE32-E72D297353CC}">
              <c16:uniqueId val="{00000001-6011-40A3-A084-F6929551C660}"/>
            </c:ext>
          </c:extLst>
        </c:ser>
        <c:ser>
          <c:idx val="2"/>
          <c:order val="2"/>
          <c:tx>
            <c:v>Medium trucks - Conventional Diesel_High Efficency</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255126.35658914727</c:v>
              </c:pt>
              <c:pt idx="1">
                <c:v>233987.59689922482</c:v>
              </c:pt>
              <c:pt idx="2">
                <c:v>208245.73643410855</c:v>
              </c:pt>
              <c:pt idx="3">
                <c:v>0</c:v>
              </c:pt>
              <c:pt idx="4">
                <c:v>0</c:v>
              </c:pt>
              <c:pt idx="5">
                <c:v>0</c:v>
              </c:pt>
              <c:pt idx="6">
                <c:v>0</c:v>
              </c:pt>
            </c:numLit>
          </c:val>
          <c:extLst>
            <c:ext xmlns:c16="http://schemas.microsoft.com/office/drawing/2014/chart" uri="{C3380CC4-5D6E-409C-BE32-E72D297353CC}">
              <c16:uniqueId val="{00000002-6011-40A3-A084-F6929551C660}"/>
            </c:ext>
          </c:extLst>
        </c:ser>
        <c:ser>
          <c:idx val="3"/>
          <c:order val="3"/>
          <c:tx>
            <c:v>Medium trucks - Conventional Diesel_Medium Efficiency</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301312.40310077521</c:v>
              </c:pt>
              <c:pt idx="1">
                <c:v>0</c:v>
              </c:pt>
              <c:pt idx="2">
                <c:v>0</c:v>
              </c:pt>
              <c:pt idx="3">
                <c:v>0</c:v>
              </c:pt>
              <c:pt idx="4">
                <c:v>0</c:v>
              </c:pt>
              <c:pt idx="5">
                <c:v>0</c:v>
              </c:pt>
              <c:pt idx="6">
                <c:v>0</c:v>
              </c:pt>
            </c:numLit>
          </c:val>
          <c:extLst>
            <c:ext xmlns:c16="http://schemas.microsoft.com/office/drawing/2014/chart" uri="{C3380CC4-5D6E-409C-BE32-E72D297353CC}">
              <c16:uniqueId val="{00000003-6011-40A3-A084-F6929551C660}"/>
            </c:ext>
          </c:extLst>
        </c:ser>
        <c:ser>
          <c:idx val="4"/>
          <c:order val="4"/>
          <c:tx>
            <c:v>Medium trucks - Conventional Gasoline</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37886.821705426359</c:v>
              </c:pt>
              <c:pt idx="1">
                <c:v>7483.7209302325591</c:v>
              </c:pt>
              <c:pt idx="2">
                <c:v>6791.4728682170544</c:v>
              </c:pt>
              <c:pt idx="3">
                <c:v>0</c:v>
              </c:pt>
              <c:pt idx="4">
                <c:v>0</c:v>
              </c:pt>
              <c:pt idx="5">
                <c:v>0</c:v>
              </c:pt>
              <c:pt idx="6">
                <c:v>0</c:v>
              </c:pt>
            </c:numLit>
          </c:val>
          <c:extLst>
            <c:ext xmlns:c16="http://schemas.microsoft.com/office/drawing/2014/chart" uri="{C3380CC4-5D6E-409C-BE32-E72D297353CC}">
              <c16:uniqueId val="{00000004-6011-40A3-A084-F6929551C660}"/>
            </c:ext>
          </c:extLst>
        </c:ser>
        <c:ser>
          <c:idx val="5"/>
          <c:order val="5"/>
          <c:tx>
            <c:v>Medium trucks - LPG</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10589.922480620156</c:v>
              </c:pt>
              <c:pt idx="1">
                <c:v>4813.9534883720935</c:v>
              </c:pt>
              <c:pt idx="2">
                <c:v>2462.015503875969</c:v>
              </c:pt>
              <c:pt idx="3">
                <c:v>0</c:v>
              </c:pt>
              <c:pt idx="4">
                <c:v>0</c:v>
              </c:pt>
              <c:pt idx="5">
                <c:v>0</c:v>
              </c:pt>
              <c:pt idx="6">
                <c:v>0</c:v>
              </c:pt>
            </c:numLit>
          </c:val>
          <c:extLst>
            <c:ext xmlns:c16="http://schemas.microsoft.com/office/drawing/2014/chart" uri="{C3380CC4-5D6E-409C-BE32-E72D297353CC}">
              <c16:uniqueId val="{00000005-6011-40A3-A084-F6929551C660}"/>
            </c:ext>
          </c:extLst>
        </c:ser>
        <c:ser>
          <c:idx val="6"/>
          <c:order val="6"/>
          <c:tx>
            <c:v>Medium trucks - Natural gas</c:v>
          </c:tx>
          <c:spPr>
            <a:solidFill>
              <a:srgbClr val="7030A0"/>
            </a:solidFill>
          </c:spPr>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16859.689922480622</c:v>
              </c:pt>
              <c:pt idx="1">
                <c:v>865002.32558139542</c:v>
              </c:pt>
              <c:pt idx="2">
                <c:v>939600</c:v>
              </c:pt>
              <c:pt idx="3">
                <c:v>1201637.2093023257</c:v>
              </c:pt>
              <c:pt idx="4">
                <c:v>1290765.8914728684</c:v>
              </c:pt>
              <c:pt idx="5">
                <c:v>1382751.9379844964</c:v>
              </c:pt>
              <c:pt idx="6">
                <c:v>1376863.5658914731</c:v>
              </c:pt>
            </c:numLit>
          </c:val>
          <c:extLst>
            <c:ext xmlns:c16="http://schemas.microsoft.com/office/drawing/2014/chart" uri="{C3380CC4-5D6E-409C-BE32-E72D297353CC}">
              <c16:uniqueId val="{00000006-6011-40A3-A084-F6929551C660}"/>
            </c:ext>
          </c:extLst>
        </c:ser>
        <c:dLbls>
          <c:showLegendKey val="0"/>
          <c:showVal val="0"/>
          <c:showCatName val="0"/>
          <c:showSerName val="0"/>
          <c:showPercent val="0"/>
          <c:showBubbleSize val="0"/>
        </c:dLbls>
        <c:gapWidth val="150"/>
        <c:axId val="324643647"/>
        <c:axId val="324639071"/>
      </c:barChart>
      <c:catAx>
        <c:axId val="324643647"/>
        <c:scaling>
          <c:orientation val="minMax"/>
        </c:scaling>
        <c:delete val="0"/>
        <c:axPos val="b"/>
        <c:numFmt formatCode="General" sourceLinked="1"/>
        <c:majorTickMark val="out"/>
        <c:minorTickMark val="none"/>
        <c:tickLblPos val="nextTo"/>
        <c:txPr>
          <a:bodyPr/>
          <a:lstStyle/>
          <a:p>
            <a:pPr>
              <a:defRPr sz="800"/>
            </a:pPr>
            <a:endParaRPr lang="en-US"/>
          </a:p>
        </c:txPr>
        <c:crossAx val="324639071"/>
        <c:crosses val="autoZero"/>
        <c:auto val="1"/>
        <c:lblAlgn val="ctr"/>
        <c:lblOffset val="100"/>
        <c:tickLblSkip val="2"/>
        <c:noMultiLvlLbl val="0"/>
      </c:catAx>
      <c:valAx>
        <c:axId val="324639071"/>
        <c:scaling>
          <c:orientation val="minMax"/>
          <c:max val="1400000"/>
        </c:scaling>
        <c:delete val="0"/>
        <c:axPos val="l"/>
        <c:majorGridlines/>
        <c:numFmt formatCode="General" sourceLinked="1"/>
        <c:majorTickMark val="out"/>
        <c:minorTickMark val="none"/>
        <c:tickLblPos val="nextTo"/>
        <c:txPr>
          <a:bodyPr/>
          <a:lstStyle/>
          <a:p>
            <a:pPr>
              <a:defRPr sz="800"/>
            </a:pPr>
            <a:endParaRPr lang="en-US"/>
          </a:p>
        </c:txPr>
        <c:crossAx val="324643647"/>
        <c:crosses val="autoZero"/>
        <c:crossBetween val="between"/>
        <c:dispUnits>
          <c:builtInUnit val="millions"/>
          <c:dispUnitsLbl>
            <c:layout>
              <c:manualLayout>
                <c:xMode val="edge"/>
                <c:yMode val="edge"/>
                <c:x val="2.0546537908362441E-2"/>
                <c:y val="0.18878775379681428"/>
              </c:manualLayout>
            </c:layout>
            <c:tx>
              <c:rich>
                <a:bodyPr/>
                <a:lstStyle/>
                <a:p>
                  <a:pPr>
                    <a:defRPr sz="800" b="0"/>
                  </a:pPr>
                  <a:r>
                    <a:rPr lang="en-US" sz="800" b="0"/>
                    <a:t>Number of trucks</a:t>
                  </a:r>
                  <a:r>
                    <a:rPr lang="en-US" sz="800" b="0" baseline="0"/>
                    <a:t> </a:t>
                  </a:r>
                  <a:r>
                    <a:rPr lang="en-US" sz="800" b="0"/>
                    <a:t>(Millions)</a:t>
                  </a:r>
                </a:p>
              </c:rich>
            </c:tx>
          </c:dispUnitsLbl>
        </c:dispUnits>
      </c:valAx>
    </c:plotArea>
    <c:plotVisOnly val="1"/>
    <c:dispBlanksAs val="gap"/>
    <c:showDLblsOverMax val="0"/>
  </c:chart>
  <c:spPr>
    <a:solidFill>
      <a:schemeClr val="bg1"/>
    </a:solidFill>
    <a:ln>
      <a:noFill/>
    </a:ln>
  </c:spPr>
  <c:txPr>
    <a:bodyPr/>
    <a:lstStyle/>
    <a:p>
      <a:pPr>
        <a:defRPr>
          <a:latin typeface="Arial" panose="020B0604020202020204" pitchFamily="34" charset="0"/>
          <a:cs typeface="Arial" panose="020B0604020202020204" pitchFamily="34" charset="0"/>
        </a:defRPr>
      </a:pPr>
      <a:endParaRPr lang="en-US"/>
    </a:p>
  </c:txPr>
  <c:externalData r:id="rId1">
    <c:autoUpdate val="0"/>
  </c:externalData>
  <c:extLst/>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00" b="1"/>
            </a:pPr>
            <a:r>
              <a:rPr lang="en-US" sz="900" b="1"/>
              <a:t>Reference</a:t>
            </a:r>
          </a:p>
        </c:rich>
      </c:tx>
      <c:layout>
        <c:manualLayout>
          <c:xMode val="edge"/>
          <c:yMode val="edge"/>
          <c:x val="0.46231135960282571"/>
          <c:y val="2.9428636761313926E-2"/>
        </c:manualLayout>
      </c:layout>
      <c:overlay val="0"/>
    </c:title>
    <c:autoTitleDeleted val="0"/>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
        <c:idx val="5"/>
        <c:marker>
          <c:symbol val="none"/>
        </c:marker>
      </c:pivotFmt>
      <c:pivotFmt>
        <c:idx val="6"/>
        <c:marker>
          <c:symbol val="none"/>
        </c:marker>
      </c:pivotFmt>
      <c:pivotFmt>
        <c:idx val="7"/>
        <c:marker>
          <c:symbol val="none"/>
        </c:marker>
      </c:pivotFmt>
      <c:pivotFmt>
        <c:idx val="8"/>
        <c:marker>
          <c:symbol val="none"/>
        </c:marker>
      </c:pivotFmt>
      <c:pivotFmt>
        <c:idx val="9"/>
        <c:marker>
          <c:symbol val="none"/>
        </c:marker>
      </c:pivotFmt>
      <c:pivotFmt>
        <c:idx val="10"/>
        <c:marker>
          <c:symbol val="none"/>
        </c:marker>
      </c:pivotFmt>
      <c:pivotFmt>
        <c:idx val="11"/>
        <c:marker>
          <c:symbol val="none"/>
        </c:marker>
      </c:pivotFmt>
      <c:pivotFmt>
        <c:idx val="12"/>
        <c:marker>
          <c:symbol val="none"/>
        </c:marker>
      </c:pivotFmt>
      <c:pivotFmt>
        <c:idx val="13"/>
        <c:marker>
          <c:symbol val="none"/>
        </c:marker>
      </c:pivotFmt>
      <c:pivotFmt>
        <c:idx val="14"/>
        <c:marker>
          <c:symbol val="none"/>
        </c:marker>
      </c:pivotFmt>
      <c:pivotFmt>
        <c:idx val="15"/>
        <c:marker>
          <c:symbol val="none"/>
        </c:marker>
      </c:pivotFmt>
      <c:pivotFmt>
        <c:idx val="16"/>
        <c:marker>
          <c:symbol val="none"/>
        </c:marker>
      </c:pivotFmt>
      <c:pivotFmt>
        <c:idx val="17"/>
        <c:marker>
          <c:symbol val="none"/>
        </c:marker>
      </c:pivotFmt>
      <c:pivotFmt>
        <c:idx val="18"/>
        <c:marker>
          <c:symbol val="none"/>
        </c:marker>
      </c:pivotFmt>
      <c:pivotFmt>
        <c:idx val="19"/>
        <c:marker>
          <c:symbol val="none"/>
        </c:marker>
      </c:pivotFmt>
      <c:pivotFmt>
        <c:idx val="20"/>
        <c:marker>
          <c:symbol val="none"/>
        </c:marker>
      </c:pivotFmt>
      <c:pivotFmt>
        <c:idx val="21"/>
        <c:marker>
          <c:symbol val="none"/>
        </c:marker>
      </c:pivotFmt>
      <c:pivotFmt>
        <c:idx val="22"/>
        <c:marker>
          <c:symbol val="none"/>
        </c:marker>
      </c:pivotFmt>
      <c:pivotFmt>
        <c:idx val="23"/>
        <c:marker>
          <c:symbol val="none"/>
        </c:marker>
      </c:pivotFmt>
      <c:pivotFmt>
        <c:idx val="24"/>
        <c:marker>
          <c:symbol val="none"/>
        </c:marker>
      </c:pivotFmt>
      <c:pivotFmt>
        <c:idx val="25"/>
        <c:marker>
          <c:symbol val="none"/>
        </c:marker>
      </c:pivotFmt>
      <c:pivotFmt>
        <c:idx val="26"/>
        <c:marker>
          <c:symbol val="none"/>
        </c:marker>
      </c:pivotFmt>
      <c:pivotFmt>
        <c:idx val="27"/>
        <c:marker>
          <c:symbol val="none"/>
        </c:marker>
      </c:pivotFmt>
      <c:pivotFmt>
        <c:idx val="28"/>
        <c:marker>
          <c:symbol val="none"/>
        </c:marker>
      </c:pivotFmt>
      <c:pivotFmt>
        <c:idx val="29"/>
        <c:marker>
          <c:symbol val="none"/>
        </c:marker>
      </c:pivotFmt>
      <c:pivotFmt>
        <c:idx val="30"/>
        <c:marker>
          <c:symbol val="none"/>
        </c:marker>
      </c:pivotFmt>
      <c:pivotFmt>
        <c:idx val="31"/>
        <c:marker>
          <c:symbol val="none"/>
        </c:marker>
      </c:pivotFmt>
      <c:pivotFmt>
        <c:idx val="32"/>
        <c:marker>
          <c:symbol val="none"/>
        </c:marker>
      </c:pivotFmt>
      <c:pivotFmt>
        <c:idx val="33"/>
        <c:marker>
          <c:symbol val="none"/>
        </c:marker>
      </c:pivotFmt>
      <c:pivotFmt>
        <c:idx val="34"/>
        <c:marker>
          <c:symbol val="none"/>
        </c:marker>
      </c:pivotFmt>
      <c:pivotFmt>
        <c:idx val="35"/>
        <c:marker>
          <c:symbol val="none"/>
        </c:marker>
      </c:pivotFmt>
      <c:pivotFmt>
        <c:idx val="36"/>
        <c:marker>
          <c:symbol val="none"/>
        </c:marker>
      </c:pivotFmt>
      <c:pivotFmt>
        <c:idx val="37"/>
        <c:marker>
          <c:symbol val="none"/>
        </c:marker>
      </c:pivotFmt>
      <c:pivotFmt>
        <c:idx val="38"/>
        <c:marker>
          <c:symbol val="none"/>
        </c:marker>
      </c:pivotFmt>
      <c:pivotFmt>
        <c:idx val="39"/>
        <c:marker>
          <c:symbol val="none"/>
        </c:marker>
      </c:pivotFmt>
      <c:pivotFmt>
        <c:idx val="40"/>
        <c:marker>
          <c:symbol val="none"/>
        </c:marker>
      </c:pivotFmt>
      <c:pivotFmt>
        <c:idx val="41"/>
        <c:marker>
          <c:symbol val="none"/>
        </c:marker>
      </c:pivotFmt>
      <c:pivotFmt>
        <c:idx val="42"/>
        <c:marker>
          <c:symbol val="none"/>
        </c:marker>
      </c:pivotFmt>
      <c:pivotFmt>
        <c:idx val="43"/>
        <c:marker>
          <c:symbol val="none"/>
        </c:marker>
      </c:pivotFmt>
      <c:pivotFmt>
        <c:idx val="44"/>
        <c:marker>
          <c:symbol val="none"/>
        </c:marker>
      </c:pivotFmt>
      <c:pivotFmt>
        <c:idx val="45"/>
        <c:marker>
          <c:symbol val="none"/>
        </c:marker>
      </c:pivotFmt>
      <c:pivotFmt>
        <c:idx val="46"/>
        <c:marker>
          <c:symbol val="none"/>
        </c:marker>
      </c:pivotFmt>
      <c:pivotFmt>
        <c:idx val="47"/>
        <c:marker>
          <c:symbol val="none"/>
        </c:marker>
      </c:pivotFmt>
      <c:pivotFmt>
        <c:idx val="48"/>
        <c:marker>
          <c:symbol val="none"/>
        </c:marker>
      </c:pivotFmt>
      <c:pivotFmt>
        <c:idx val="49"/>
        <c:marker>
          <c:symbol val="none"/>
        </c:marker>
      </c:pivotFmt>
      <c:pivotFmt>
        <c:idx val="50"/>
        <c:marker>
          <c:symbol val="none"/>
        </c:marker>
      </c:pivotFmt>
      <c:pivotFmt>
        <c:idx val="51"/>
        <c:marker>
          <c:symbol val="none"/>
        </c:marker>
      </c:pivotFmt>
      <c:pivotFmt>
        <c:idx val="52"/>
        <c:marker>
          <c:symbol val="none"/>
        </c:marker>
      </c:pivotFmt>
      <c:pivotFmt>
        <c:idx val="53"/>
        <c:marker>
          <c:symbol val="none"/>
        </c:marker>
      </c:pivotFmt>
      <c:pivotFmt>
        <c:idx val="54"/>
        <c:marker>
          <c:symbol val="none"/>
        </c:marker>
      </c:pivotFmt>
      <c:pivotFmt>
        <c:idx val="55"/>
        <c:marker>
          <c:symbol val="none"/>
        </c:marker>
      </c:pivotFmt>
      <c:pivotFmt>
        <c:idx val="56"/>
        <c:marker>
          <c:symbol val="none"/>
        </c:marker>
      </c:pivotFmt>
      <c:pivotFmt>
        <c:idx val="57"/>
        <c:marker>
          <c:symbol val="none"/>
        </c:marker>
      </c:pivotFmt>
      <c:pivotFmt>
        <c:idx val="58"/>
        <c:marker>
          <c:symbol val="none"/>
        </c:marker>
      </c:pivotFmt>
    </c:pivotFmts>
    <c:plotArea>
      <c:layout>
        <c:manualLayout>
          <c:layoutTarget val="inner"/>
          <c:xMode val="edge"/>
          <c:yMode val="edge"/>
          <c:x val="0.15125928639892181"/>
          <c:y val="0.17309562157003103"/>
          <c:w val="0.84188823506992139"/>
          <c:h val="0.72530571462658078"/>
        </c:manualLayout>
      </c:layout>
      <c:barChart>
        <c:barDir val="col"/>
        <c:grouping val="clustered"/>
        <c:varyColors val="0"/>
        <c:ser>
          <c:idx val="0"/>
          <c:order val="0"/>
          <c:tx>
            <c:v>Light Trucks - Battery Electric (BEV)</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5498.7980769230771</c:v>
              </c:pt>
              <c:pt idx="1">
                <c:v>4096.5544871794873</c:v>
              </c:pt>
              <c:pt idx="2">
                <c:v>2674.2788461538462</c:v>
              </c:pt>
              <c:pt idx="3">
                <c:v>0</c:v>
              </c:pt>
              <c:pt idx="4">
                <c:v>0</c:v>
              </c:pt>
              <c:pt idx="5">
                <c:v>0</c:v>
              </c:pt>
              <c:pt idx="6">
                <c:v>0</c:v>
              </c:pt>
            </c:numLit>
          </c:val>
          <c:extLst>
            <c:ext xmlns:c16="http://schemas.microsoft.com/office/drawing/2014/chart" uri="{C3380CC4-5D6E-409C-BE32-E72D297353CC}">
              <c16:uniqueId val="{00000000-4CE8-4254-BE0C-D9136589F81B}"/>
            </c:ext>
          </c:extLst>
        </c:ser>
        <c:ser>
          <c:idx val="1"/>
          <c:order val="1"/>
          <c:tx>
            <c:v>Light Trucks - Conventional Diesel</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1282792.467948718</c:v>
              </c:pt>
              <c:pt idx="1">
                <c:v>0</c:v>
              </c:pt>
              <c:pt idx="2">
                <c:v>0</c:v>
              </c:pt>
              <c:pt idx="3">
                <c:v>0</c:v>
              </c:pt>
              <c:pt idx="4">
                <c:v>0</c:v>
              </c:pt>
              <c:pt idx="5">
                <c:v>0</c:v>
              </c:pt>
              <c:pt idx="6">
                <c:v>0</c:v>
              </c:pt>
            </c:numLit>
          </c:val>
          <c:extLst>
            <c:ext xmlns:c16="http://schemas.microsoft.com/office/drawing/2014/chart" uri="{C3380CC4-5D6E-409C-BE32-E72D297353CC}">
              <c16:uniqueId val="{00000001-4CE8-4254-BE0C-D9136589F81B}"/>
            </c:ext>
          </c:extLst>
        </c:ser>
        <c:ser>
          <c:idx val="2"/>
          <c:order val="2"/>
          <c:tx>
            <c:v>Light Trucks - Conventional Diesel_High Efficiency</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1157421.875</c:v>
              </c:pt>
              <c:pt idx="1">
                <c:v>3972646.233974359</c:v>
              </c:pt>
              <c:pt idx="2">
                <c:v>4160977.5641025649</c:v>
              </c:pt>
              <c:pt idx="3">
                <c:v>4443880.208333333</c:v>
              </c:pt>
              <c:pt idx="4">
                <c:v>4773487.5801282059</c:v>
              </c:pt>
              <c:pt idx="5">
                <c:v>5113671.875</c:v>
              </c:pt>
              <c:pt idx="6">
                <c:v>5091897.0352564109</c:v>
              </c:pt>
            </c:numLit>
          </c:val>
          <c:extLst>
            <c:ext xmlns:c16="http://schemas.microsoft.com/office/drawing/2014/chart" uri="{C3380CC4-5D6E-409C-BE32-E72D297353CC}">
              <c16:uniqueId val="{00000002-4CE8-4254-BE0C-D9136589F81B}"/>
            </c:ext>
          </c:extLst>
        </c:ser>
        <c:ser>
          <c:idx val="3"/>
          <c:order val="3"/>
          <c:tx>
            <c:v>Light Trucks - Conventional Diesel_Medium Efficiency</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1327724.358974359</c:v>
              </c:pt>
              <c:pt idx="1">
                <c:v>0</c:v>
              </c:pt>
              <c:pt idx="2">
                <c:v>0</c:v>
              </c:pt>
              <c:pt idx="3">
                <c:v>0</c:v>
              </c:pt>
              <c:pt idx="4">
                <c:v>0</c:v>
              </c:pt>
              <c:pt idx="5">
                <c:v>0</c:v>
              </c:pt>
              <c:pt idx="6">
                <c:v>0</c:v>
              </c:pt>
            </c:numLit>
          </c:val>
          <c:extLst>
            <c:ext xmlns:c16="http://schemas.microsoft.com/office/drawing/2014/chart" uri="{C3380CC4-5D6E-409C-BE32-E72D297353CC}">
              <c16:uniqueId val="{00000003-4CE8-4254-BE0C-D9136589F81B}"/>
            </c:ext>
          </c:extLst>
        </c:ser>
        <c:ser>
          <c:idx val="4"/>
          <c:order val="4"/>
          <c:tx>
            <c:v>Light Trucks - Conventional Gasoline</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94421.073717948719</c:v>
              </c:pt>
              <c:pt idx="1">
                <c:v>0</c:v>
              </c:pt>
              <c:pt idx="2">
                <c:v>0</c:v>
              </c:pt>
              <c:pt idx="3">
                <c:v>0</c:v>
              </c:pt>
              <c:pt idx="4">
                <c:v>0</c:v>
              </c:pt>
              <c:pt idx="5">
                <c:v>0</c:v>
              </c:pt>
              <c:pt idx="6">
                <c:v>0</c:v>
              </c:pt>
            </c:numLit>
          </c:val>
          <c:extLst>
            <c:ext xmlns:c16="http://schemas.microsoft.com/office/drawing/2014/chart" uri="{C3380CC4-5D6E-409C-BE32-E72D297353CC}">
              <c16:uniqueId val="{00000004-4CE8-4254-BE0C-D9136589F81B}"/>
            </c:ext>
          </c:extLst>
        </c:ser>
        <c:ser>
          <c:idx val="5"/>
          <c:order val="5"/>
          <c:tx>
            <c:v>Light Trucks - Conventional Gasoline_High_Efficiency</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35907.451923076922</c:v>
              </c:pt>
              <c:pt idx="1">
                <c:v>33143.028846153851</c:v>
              </c:pt>
              <c:pt idx="2">
                <c:v>30348.557692307691</c:v>
              </c:pt>
              <c:pt idx="3">
                <c:v>0</c:v>
              </c:pt>
              <c:pt idx="4">
                <c:v>0</c:v>
              </c:pt>
              <c:pt idx="5">
                <c:v>0</c:v>
              </c:pt>
              <c:pt idx="6">
                <c:v>0</c:v>
              </c:pt>
            </c:numLit>
          </c:val>
          <c:extLst>
            <c:ext xmlns:c16="http://schemas.microsoft.com/office/drawing/2014/chart" uri="{C3380CC4-5D6E-409C-BE32-E72D297353CC}">
              <c16:uniqueId val="{00000005-4CE8-4254-BE0C-D9136589F81B}"/>
            </c:ext>
          </c:extLst>
        </c:ser>
        <c:ser>
          <c:idx val="6"/>
          <c:order val="6"/>
          <c:tx>
            <c:v>Light Trucks - Conventional Gasoline_Medium Efficiency</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49038.461538461539</c:v>
              </c:pt>
              <c:pt idx="1">
                <c:v>0</c:v>
              </c:pt>
              <c:pt idx="2">
                <c:v>0</c:v>
              </c:pt>
              <c:pt idx="3">
                <c:v>0</c:v>
              </c:pt>
              <c:pt idx="4">
                <c:v>0</c:v>
              </c:pt>
              <c:pt idx="5">
                <c:v>0</c:v>
              </c:pt>
              <c:pt idx="6">
                <c:v>0</c:v>
              </c:pt>
            </c:numLit>
          </c:val>
          <c:extLst>
            <c:ext xmlns:c16="http://schemas.microsoft.com/office/drawing/2014/chart" uri="{C3380CC4-5D6E-409C-BE32-E72D297353CC}">
              <c16:uniqueId val="{00000006-4CE8-4254-BE0C-D9136589F81B}"/>
            </c:ext>
          </c:extLst>
        </c:ser>
        <c:ser>
          <c:idx val="7"/>
          <c:order val="7"/>
          <c:tx>
            <c:v>Light Trucks - Gasoline hybrid</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1592.5480769230771</c:v>
              </c:pt>
              <c:pt idx="1">
                <c:v>1582.5320512820515</c:v>
              </c:pt>
              <c:pt idx="2">
                <c:v>1322.1153846153848</c:v>
              </c:pt>
              <c:pt idx="3">
                <c:v>0</c:v>
              </c:pt>
              <c:pt idx="4">
                <c:v>0</c:v>
              </c:pt>
              <c:pt idx="5">
                <c:v>0</c:v>
              </c:pt>
              <c:pt idx="6">
                <c:v>0</c:v>
              </c:pt>
            </c:numLit>
          </c:val>
          <c:extLst>
            <c:ext xmlns:c16="http://schemas.microsoft.com/office/drawing/2014/chart" uri="{C3380CC4-5D6E-409C-BE32-E72D297353CC}">
              <c16:uniqueId val="{00000007-4CE8-4254-BE0C-D9136589F81B}"/>
            </c:ext>
          </c:extLst>
        </c:ser>
        <c:ser>
          <c:idx val="8"/>
          <c:order val="8"/>
          <c:tx>
            <c:v>Light Trucks - LPG</c:v>
          </c:tx>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48818.108974358976</c:v>
              </c:pt>
              <c:pt idx="1">
                <c:v>23387.419871794875</c:v>
              </c:pt>
              <c:pt idx="2">
                <c:v>12229.567307692309</c:v>
              </c:pt>
              <c:pt idx="3">
                <c:v>0</c:v>
              </c:pt>
              <c:pt idx="4">
                <c:v>0</c:v>
              </c:pt>
              <c:pt idx="5">
                <c:v>0</c:v>
              </c:pt>
              <c:pt idx="6">
                <c:v>0</c:v>
              </c:pt>
            </c:numLit>
          </c:val>
          <c:extLst>
            <c:ext xmlns:c16="http://schemas.microsoft.com/office/drawing/2014/chart" uri="{C3380CC4-5D6E-409C-BE32-E72D297353CC}">
              <c16:uniqueId val="{00000008-4CE8-4254-BE0C-D9136589F81B}"/>
            </c:ext>
          </c:extLst>
        </c:ser>
        <c:ser>
          <c:idx val="9"/>
          <c:order val="9"/>
          <c:tx>
            <c:v>Light Trucks - Natural gas</c:v>
          </c:tx>
          <c:spPr>
            <a:solidFill>
              <a:srgbClr val="7030A0"/>
            </a:solidFill>
          </c:spPr>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84585.336538461546</c:v>
              </c:pt>
              <c:pt idx="1">
                <c:v>77884.61538461539</c:v>
              </c:pt>
              <c:pt idx="2">
                <c:v>73557.692307692312</c:v>
              </c:pt>
              <c:pt idx="3">
                <c:v>0</c:v>
              </c:pt>
              <c:pt idx="4">
                <c:v>0</c:v>
              </c:pt>
              <c:pt idx="5">
                <c:v>0</c:v>
              </c:pt>
              <c:pt idx="6">
                <c:v>0</c:v>
              </c:pt>
            </c:numLit>
          </c:val>
          <c:extLst>
            <c:ext xmlns:c16="http://schemas.microsoft.com/office/drawing/2014/chart" uri="{C3380CC4-5D6E-409C-BE32-E72D297353CC}">
              <c16:uniqueId val="{00000009-4CE8-4254-BE0C-D9136589F81B}"/>
            </c:ext>
          </c:extLst>
        </c:ser>
        <c:dLbls>
          <c:showLegendKey val="0"/>
          <c:showVal val="0"/>
          <c:showCatName val="0"/>
          <c:showSerName val="0"/>
          <c:showPercent val="0"/>
          <c:showBubbleSize val="0"/>
        </c:dLbls>
        <c:gapWidth val="150"/>
        <c:axId val="324643647"/>
        <c:axId val="324639071"/>
      </c:barChart>
      <c:catAx>
        <c:axId val="324643647"/>
        <c:scaling>
          <c:orientation val="minMax"/>
        </c:scaling>
        <c:delete val="0"/>
        <c:axPos val="b"/>
        <c:numFmt formatCode="General" sourceLinked="1"/>
        <c:majorTickMark val="out"/>
        <c:minorTickMark val="none"/>
        <c:tickLblPos val="nextTo"/>
        <c:txPr>
          <a:bodyPr/>
          <a:lstStyle/>
          <a:p>
            <a:pPr>
              <a:defRPr sz="800"/>
            </a:pPr>
            <a:endParaRPr lang="en-US"/>
          </a:p>
        </c:txPr>
        <c:crossAx val="324639071"/>
        <c:crosses val="autoZero"/>
        <c:auto val="1"/>
        <c:lblAlgn val="ctr"/>
        <c:lblOffset val="100"/>
        <c:tickLblSkip val="2"/>
        <c:noMultiLvlLbl val="0"/>
      </c:catAx>
      <c:valAx>
        <c:axId val="324639071"/>
        <c:scaling>
          <c:orientation val="minMax"/>
        </c:scaling>
        <c:delete val="0"/>
        <c:axPos val="l"/>
        <c:majorGridlines/>
        <c:numFmt formatCode="General" sourceLinked="1"/>
        <c:majorTickMark val="out"/>
        <c:minorTickMark val="none"/>
        <c:tickLblPos val="nextTo"/>
        <c:txPr>
          <a:bodyPr/>
          <a:lstStyle/>
          <a:p>
            <a:pPr>
              <a:defRPr sz="800"/>
            </a:pPr>
            <a:endParaRPr lang="en-US"/>
          </a:p>
        </c:txPr>
        <c:crossAx val="324643647"/>
        <c:crosses val="autoZero"/>
        <c:crossBetween val="between"/>
        <c:dispUnits>
          <c:builtInUnit val="millions"/>
          <c:dispUnitsLbl>
            <c:layout>
              <c:manualLayout>
                <c:xMode val="edge"/>
                <c:yMode val="edge"/>
                <c:x val="1.9209392552561589E-2"/>
                <c:y val="0.18148100086665153"/>
              </c:manualLayout>
            </c:layout>
            <c:tx>
              <c:rich>
                <a:bodyPr/>
                <a:lstStyle/>
                <a:p>
                  <a:pPr>
                    <a:defRPr sz="800" b="0"/>
                  </a:pPr>
                  <a:r>
                    <a:rPr lang="en-US" sz="800" b="0"/>
                    <a:t>Number of trucks (Millions)</a:t>
                  </a:r>
                </a:p>
              </c:rich>
            </c:tx>
          </c:dispUnitsLbl>
        </c:dispUnits>
      </c:valAx>
    </c:plotArea>
    <c:plotVisOnly val="1"/>
    <c:dispBlanksAs val="gap"/>
    <c:showDLblsOverMax val="0"/>
  </c:chart>
  <c:spPr>
    <a:solidFill>
      <a:schemeClr val="bg1"/>
    </a:solidFill>
    <a:ln>
      <a:noFill/>
    </a:ln>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1">
    <c:autoUpdate val="0"/>
  </c:externalData>
  <c:extLst/>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900" b="1"/>
              <a:t>Efficiency</a:t>
            </a:r>
          </a:p>
        </c:rich>
      </c:tx>
      <c:layout>
        <c:manualLayout>
          <c:xMode val="edge"/>
          <c:yMode val="edge"/>
          <c:x val="0.41479527328104621"/>
          <c:y val="1.893939393939394E-2"/>
        </c:manualLayout>
      </c:layout>
      <c:overlay val="0"/>
      <c:spPr>
        <a:noFill/>
        <a:ln>
          <a:noFill/>
        </a:ln>
        <a:effectLst/>
      </c:spPr>
      <c:txPr>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pivotFmt>
      <c:pivotFmt>
        <c:idx val="8"/>
        <c:spPr>
          <a:solidFill>
            <a:schemeClr val="accent1"/>
          </a:solidFill>
          <a:ln>
            <a:noFill/>
          </a:ln>
          <a:effectLst/>
        </c:spPr>
        <c:marker>
          <c:symbol val="none"/>
        </c:marker>
      </c:pivotFmt>
      <c:pivotFmt>
        <c:idx val="9"/>
        <c:spPr>
          <a:solidFill>
            <a:schemeClr val="accent1"/>
          </a:solidFill>
          <a:ln>
            <a:noFill/>
          </a:ln>
          <a:effectLst/>
        </c:spPr>
        <c:marker>
          <c:symbol val="none"/>
        </c:marker>
      </c:pivotFmt>
      <c:pivotFmt>
        <c:idx val="10"/>
        <c:spPr>
          <a:solidFill>
            <a:schemeClr val="accent1"/>
          </a:solidFill>
          <a:ln>
            <a:noFill/>
          </a:ln>
          <a:effectLst/>
        </c:spPr>
        <c:marker>
          <c:symbol val="none"/>
        </c:marker>
      </c:pivotFmt>
      <c:pivotFmt>
        <c:idx val="11"/>
        <c:spPr>
          <a:solidFill>
            <a:schemeClr val="accent1"/>
          </a:solidFill>
          <a:ln>
            <a:noFill/>
          </a:ln>
          <a:effectLst/>
        </c:spPr>
        <c:marker>
          <c:symbol val="none"/>
        </c:marker>
      </c:pivotFmt>
      <c:pivotFmt>
        <c:idx val="12"/>
        <c:spPr>
          <a:solidFill>
            <a:schemeClr val="accent1"/>
          </a:solidFill>
          <a:ln>
            <a:noFill/>
          </a:ln>
          <a:effectLst/>
        </c:spPr>
        <c:marker>
          <c:symbol val="none"/>
        </c:marker>
      </c:pivotFmt>
      <c:pivotFmt>
        <c:idx val="13"/>
        <c:spPr>
          <a:solidFill>
            <a:schemeClr val="accent1"/>
          </a:solidFill>
          <a:ln>
            <a:noFill/>
          </a:ln>
          <a:effectLst/>
        </c:spPr>
        <c:marker>
          <c:symbol val="none"/>
        </c:marker>
      </c:pivotFmt>
      <c:pivotFmt>
        <c:idx val="14"/>
        <c:spPr>
          <a:solidFill>
            <a:schemeClr val="accent1"/>
          </a:solidFill>
          <a:ln>
            <a:noFill/>
          </a:ln>
          <a:effectLst/>
        </c:spPr>
        <c:marker>
          <c:symbol val="none"/>
        </c:marker>
      </c:pivotFmt>
      <c:pivotFmt>
        <c:idx val="15"/>
        <c:spPr>
          <a:solidFill>
            <a:schemeClr val="accent1"/>
          </a:solidFill>
          <a:ln>
            <a:noFill/>
          </a:ln>
          <a:effectLst/>
        </c:spPr>
        <c:marker>
          <c:symbol val="none"/>
        </c:marker>
      </c:pivotFmt>
      <c:pivotFmt>
        <c:idx val="16"/>
        <c:spPr>
          <a:solidFill>
            <a:schemeClr val="accent1"/>
          </a:solidFill>
          <a:ln>
            <a:noFill/>
          </a:ln>
          <a:effectLst/>
        </c:spPr>
        <c:marker>
          <c:symbol val="none"/>
        </c:marker>
      </c:pivotFmt>
      <c:pivotFmt>
        <c:idx val="17"/>
        <c:spPr>
          <a:solidFill>
            <a:schemeClr val="accent1"/>
          </a:solidFill>
          <a:ln>
            <a:noFill/>
          </a:ln>
          <a:effectLst/>
        </c:spPr>
        <c:marker>
          <c:symbol val="none"/>
        </c:marker>
      </c:pivotFmt>
      <c:pivotFmt>
        <c:idx val="18"/>
        <c:spPr>
          <a:solidFill>
            <a:schemeClr val="accent1"/>
          </a:solidFill>
          <a:ln>
            <a:noFill/>
          </a:ln>
          <a:effectLst/>
        </c:spPr>
        <c:marker>
          <c:symbol val="none"/>
        </c:marker>
      </c:pivotFmt>
      <c:pivotFmt>
        <c:idx val="19"/>
        <c:spPr>
          <a:solidFill>
            <a:schemeClr val="accent1"/>
          </a:solidFill>
          <a:ln>
            <a:noFill/>
          </a:ln>
          <a:effectLst/>
        </c:spPr>
        <c:marker>
          <c:symbol val="none"/>
        </c:marker>
      </c:pivotFmt>
      <c:pivotFmt>
        <c:idx val="20"/>
        <c:spPr>
          <a:solidFill>
            <a:schemeClr val="accent1"/>
          </a:solidFill>
          <a:ln>
            <a:noFill/>
          </a:ln>
          <a:effectLst/>
        </c:spPr>
        <c:marker>
          <c:symbol val="none"/>
        </c:marker>
      </c:pivotFmt>
      <c:pivotFmt>
        <c:idx val="21"/>
        <c:spPr>
          <a:solidFill>
            <a:schemeClr val="accent1"/>
          </a:solidFill>
          <a:ln>
            <a:noFill/>
          </a:ln>
          <a:effectLst/>
        </c:spPr>
        <c:marker>
          <c:symbol val="none"/>
        </c:marker>
      </c:pivotFmt>
      <c:pivotFmt>
        <c:idx val="22"/>
        <c:spPr>
          <a:solidFill>
            <a:schemeClr val="accent1"/>
          </a:solidFill>
          <a:ln>
            <a:noFill/>
          </a:ln>
          <a:effectLst/>
        </c:spPr>
        <c:marker>
          <c:symbol val="none"/>
        </c:marker>
      </c:pivotFmt>
      <c:pivotFmt>
        <c:idx val="23"/>
        <c:spPr>
          <a:solidFill>
            <a:schemeClr val="accent1"/>
          </a:solidFill>
          <a:ln>
            <a:noFill/>
          </a:ln>
          <a:effectLst/>
        </c:spPr>
        <c:marker>
          <c:symbol val="none"/>
        </c:marker>
      </c:pivotFmt>
      <c:pivotFmt>
        <c:idx val="24"/>
        <c:spPr>
          <a:solidFill>
            <a:schemeClr val="accent1"/>
          </a:solidFill>
          <a:ln>
            <a:noFill/>
          </a:ln>
          <a:effectLst/>
        </c:spPr>
        <c:marker>
          <c:symbol val="none"/>
        </c:marker>
      </c:pivotFmt>
      <c:pivotFmt>
        <c:idx val="25"/>
        <c:spPr>
          <a:solidFill>
            <a:schemeClr val="accent1"/>
          </a:solidFill>
          <a:ln>
            <a:noFill/>
          </a:ln>
          <a:effectLst/>
        </c:spPr>
        <c:marker>
          <c:symbol val="none"/>
        </c:marker>
      </c:pivotFmt>
      <c:pivotFmt>
        <c:idx val="26"/>
        <c:spPr>
          <a:solidFill>
            <a:schemeClr val="accent1"/>
          </a:solidFill>
          <a:ln>
            <a:noFill/>
          </a:ln>
          <a:effectLst/>
        </c:spPr>
        <c:marker>
          <c:symbol val="none"/>
        </c:marker>
      </c:pivotFmt>
      <c:pivotFmt>
        <c:idx val="27"/>
        <c:spPr>
          <a:solidFill>
            <a:schemeClr val="accent1"/>
          </a:solidFill>
          <a:ln>
            <a:noFill/>
          </a:ln>
          <a:effectLst/>
        </c:spPr>
        <c:marker>
          <c:symbol val="none"/>
        </c:marker>
      </c:pivotFmt>
      <c:pivotFmt>
        <c:idx val="28"/>
        <c:spPr>
          <a:solidFill>
            <a:schemeClr val="accent1"/>
          </a:solidFill>
          <a:ln>
            <a:noFill/>
          </a:ln>
          <a:effectLst/>
        </c:spPr>
        <c:marker>
          <c:symbol val="none"/>
        </c:marker>
      </c:pivotFmt>
      <c:pivotFmt>
        <c:idx val="29"/>
        <c:spPr>
          <a:solidFill>
            <a:schemeClr val="accent1"/>
          </a:solidFill>
          <a:ln>
            <a:noFill/>
          </a:ln>
          <a:effectLst/>
        </c:spPr>
        <c:marker>
          <c:symbol val="none"/>
        </c:marker>
      </c:pivotFmt>
    </c:pivotFmts>
    <c:plotArea>
      <c:layout>
        <c:manualLayout>
          <c:layoutTarget val="inner"/>
          <c:xMode val="edge"/>
          <c:yMode val="edge"/>
          <c:x val="8.5019452954232827E-2"/>
          <c:y val="0.16823550465282749"/>
          <c:w val="0.87033209273278134"/>
          <c:h val="0.73541567247275907"/>
        </c:manualLayout>
      </c:layout>
      <c:barChart>
        <c:barDir val="col"/>
        <c:grouping val="clustered"/>
        <c:varyColors val="0"/>
        <c:ser>
          <c:idx val="0"/>
          <c:order val="0"/>
          <c:tx>
            <c:v>Battery Electric</c:v>
          </c:tx>
          <c:spPr>
            <a:solidFill>
              <a:srgbClr val="5089BC"/>
            </a:solidFill>
            <a:ln>
              <a:noFill/>
            </a:ln>
            <a:effectLst/>
          </c:spPr>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5498.7980769230771</c:v>
              </c:pt>
              <c:pt idx="1">
                <c:v>4096.5544871794873</c:v>
              </c:pt>
              <c:pt idx="2">
                <c:v>2674.2788461538462</c:v>
              </c:pt>
              <c:pt idx="3">
                <c:v>0</c:v>
              </c:pt>
              <c:pt idx="4">
                <c:v>0</c:v>
              </c:pt>
              <c:pt idx="5">
                <c:v>0</c:v>
              </c:pt>
              <c:pt idx="6">
                <c:v>0</c:v>
              </c:pt>
            </c:numLit>
          </c:val>
          <c:extLst>
            <c:ext xmlns:c16="http://schemas.microsoft.com/office/drawing/2014/chart" uri="{C3380CC4-5D6E-409C-BE32-E72D297353CC}">
              <c16:uniqueId val="{00000000-5800-41BE-8217-51E1EA0C0F80}"/>
            </c:ext>
          </c:extLst>
        </c:ser>
        <c:ser>
          <c:idx val="1"/>
          <c:order val="1"/>
          <c:tx>
            <c:v>CNG</c:v>
          </c:tx>
          <c:spPr>
            <a:solidFill>
              <a:srgbClr val="7030A0"/>
            </a:solidFill>
            <a:ln>
              <a:noFill/>
            </a:ln>
            <a:effectLst/>
          </c:spPr>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84585.336538461546</c:v>
              </c:pt>
              <c:pt idx="1">
                <c:v>77884.61538461539</c:v>
              </c:pt>
              <c:pt idx="2">
                <c:v>73557.692307692312</c:v>
              </c:pt>
              <c:pt idx="3">
                <c:v>0</c:v>
              </c:pt>
              <c:pt idx="4">
                <c:v>0</c:v>
              </c:pt>
              <c:pt idx="5">
                <c:v>0</c:v>
              </c:pt>
              <c:pt idx="6">
                <c:v>0</c:v>
              </c:pt>
            </c:numLit>
          </c:val>
          <c:extLst>
            <c:ext xmlns:c16="http://schemas.microsoft.com/office/drawing/2014/chart" uri="{C3380CC4-5D6E-409C-BE32-E72D297353CC}">
              <c16:uniqueId val="{00000001-5800-41BE-8217-51E1EA0C0F80}"/>
            </c:ext>
          </c:extLst>
        </c:ser>
        <c:ser>
          <c:idx val="2"/>
          <c:order val="2"/>
          <c:tx>
            <c:v>Diesel HE</c:v>
          </c:tx>
          <c:spPr>
            <a:solidFill>
              <a:srgbClr val="929292"/>
            </a:solidFill>
            <a:ln>
              <a:noFill/>
            </a:ln>
            <a:effectLst/>
          </c:spPr>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1157421.875</c:v>
              </c:pt>
              <c:pt idx="1">
                <c:v>3972646.233974359</c:v>
              </c:pt>
              <c:pt idx="2">
                <c:v>4160977.5641025649</c:v>
              </c:pt>
              <c:pt idx="3">
                <c:v>4443880.208333333</c:v>
              </c:pt>
              <c:pt idx="4">
                <c:v>4773487.5801282059</c:v>
              </c:pt>
              <c:pt idx="5">
                <c:v>5113671.875</c:v>
              </c:pt>
              <c:pt idx="6">
                <c:v>3886568.509615385</c:v>
              </c:pt>
            </c:numLit>
          </c:val>
          <c:extLst>
            <c:ext xmlns:c16="http://schemas.microsoft.com/office/drawing/2014/chart" uri="{C3380CC4-5D6E-409C-BE32-E72D297353CC}">
              <c16:uniqueId val="{00000002-5800-41BE-8217-51E1EA0C0F80}"/>
            </c:ext>
          </c:extLst>
        </c:ser>
        <c:ser>
          <c:idx val="3"/>
          <c:order val="3"/>
          <c:tx>
            <c:v>Diesel ME</c:v>
          </c:tx>
          <c:spPr>
            <a:solidFill>
              <a:srgbClr val="E2AA00"/>
            </a:solidFill>
            <a:ln>
              <a:noFill/>
            </a:ln>
            <a:effectLst/>
          </c:spPr>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1327724.358974359</c:v>
              </c:pt>
              <c:pt idx="1">
                <c:v>0</c:v>
              </c:pt>
              <c:pt idx="2">
                <c:v>0</c:v>
              </c:pt>
              <c:pt idx="3">
                <c:v>0</c:v>
              </c:pt>
              <c:pt idx="4">
                <c:v>0</c:v>
              </c:pt>
              <c:pt idx="5">
                <c:v>0</c:v>
              </c:pt>
              <c:pt idx="6">
                <c:v>0</c:v>
              </c:pt>
            </c:numLit>
          </c:val>
          <c:extLst>
            <c:ext xmlns:c16="http://schemas.microsoft.com/office/drawing/2014/chart" uri="{C3380CC4-5D6E-409C-BE32-E72D297353CC}">
              <c16:uniqueId val="{00000003-5800-41BE-8217-51E1EA0C0F80}"/>
            </c:ext>
          </c:extLst>
        </c:ser>
        <c:ser>
          <c:idx val="4"/>
          <c:order val="4"/>
          <c:tx>
            <c:v>Diesel SE</c:v>
          </c:tx>
          <c:spPr>
            <a:solidFill>
              <a:srgbClr val="D26E2A"/>
            </a:solidFill>
            <a:ln>
              <a:noFill/>
            </a:ln>
            <a:effectLst/>
          </c:spPr>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1282792.467948718</c:v>
              </c:pt>
              <c:pt idx="1">
                <c:v>0</c:v>
              </c:pt>
              <c:pt idx="2">
                <c:v>0</c:v>
              </c:pt>
              <c:pt idx="3">
                <c:v>0</c:v>
              </c:pt>
              <c:pt idx="4">
                <c:v>0</c:v>
              </c:pt>
              <c:pt idx="5">
                <c:v>0</c:v>
              </c:pt>
              <c:pt idx="6">
                <c:v>0</c:v>
              </c:pt>
            </c:numLit>
          </c:val>
          <c:extLst>
            <c:ext xmlns:c16="http://schemas.microsoft.com/office/drawing/2014/chart" uri="{C3380CC4-5D6E-409C-BE32-E72D297353CC}">
              <c16:uniqueId val="{00000004-5800-41BE-8217-51E1EA0C0F80}"/>
            </c:ext>
          </c:extLst>
        </c:ser>
        <c:ser>
          <c:idx val="5"/>
          <c:order val="5"/>
          <c:tx>
            <c:v>Gasoline HE</c:v>
          </c:tx>
          <c:spPr>
            <a:solidFill>
              <a:srgbClr val="7030A0"/>
            </a:solidFill>
            <a:ln>
              <a:noFill/>
            </a:ln>
            <a:effectLst/>
          </c:spPr>
          <c:invertIfNegative val="0"/>
          <c:dPt>
            <c:idx val="6"/>
            <c:invertIfNegative val="0"/>
            <c:bubble3D val="0"/>
            <c:spPr>
              <a:solidFill>
                <a:schemeClr val="tx1"/>
              </a:solidFill>
              <a:ln>
                <a:noFill/>
              </a:ln>
              <a:effectLst/>
            </c:spPr>
            <c:extLst>
              <c:ext xmlns:c16="http://schemas.microsoft.com/office/drawing/2014/chart" uri="{C3380CC4-5D6E-409C-BE32-E72D297353CC}">
                <c16:uniqueId val="{00000006-5800-41BE-8217-51E1EA0C0F80}"/>
              </c:ext>
            </c:extLst>
          </c:dPt>
          <c:cat>
            <c:strLit>
              <c:ptCount val="7"/>
              <c:pt idx="0">
                <c:v>2020</c:v>
              </c:pt>
              <c:pt idx="1">
                <c:v>2025</c:v>
              </c:pt>
              <c:pt idx="2">
                <c:v>2030</c:v>
              </c:pt>
              <c:pt idx="3">
                <c:v>2035</c:v>
              </c:pt>
              <c:pt idx="4">
                <c:v>2040</c:v>
              </c:pt>
              <c:pt idx="5">
                <c:v>2045</c:v>
              </c:pt>
              <c:pt idx="6">
                <c:v>2050</c:v>
              </c:pt>
            </c:strLit>
          </c:cat>
          <c:val>
            <c:numLit>
              <c:formatCode>General</c:formatCode>
              <c:ptCount val="7"/>
              <c:pt idx="0">
                <c:v>35907.451923076922</c:v>
              </c:pt>
              <c:pt idx="1">
                <c:v>33143.028846153851</c:v>
              </c:pt>
              <c:pt idx="2">
                <c:v>30348.557692307691</c:v>
              </c:pt>
              <c:pt idx="3">
                <c:v>0</c:v>
              </c:pt>
              <c:pt idx="4">
                <c:v>0</c:v>
              </c:pt>
              <c:pt idx="5">
                <c:v>0</c:v>
              </c:pt>
              <c:pt idx="6">
                <c:v>1205328.5256410257</c:v>
              </c:pt>
            </c:numLit>
          </c:val>
          <c:extLst>
            <c:ext xmlns:c16="http://schemas.microsoft.com/office/drawing/2014/chart" uri="{C3380CC4-5D6E-409C-BE32-E72D297353CC}">
              <c16:uniqueId val="{00000007-5800-41BE-8217-51E1EA0C0F80}"/>
            </c:ext>
          </c:extLst>
        </c:ser>
        <c:ser>
          <c:idx val="6"/>
          <c:order val="6"/>
          <c:tx>
            <c:v>Gasoline Hybrid</c:v>
          </c:tx>
          <c:spPr>
            <a:solidFill>
              <a:srgbClr val="FF0000"/>
            </a:solidFill>
            <a:ln>
              <a:noFill/>
            </a:ln>
            <a:effectLst/>
          </c:spPr>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1592.5480769230771</c:v>
              </c:pt>
              <c:pt idx="1">
                <c:v>1582.5320512820515</c:v>
              </c:pt>
              <c:pt idx="2">
                <c:v>1322.1153846153848</c:v>
              </c:pt>
              <c:pt idx="3">
                <c:v>0</c:v>
              </c:pt>
              <c:pt idx="4">
                <c:v>0</c:v>
              </c:pt>
              <c:pt idx="5">
                <c:v>0</c:v>
              </c:pt>
              <c:pt idx="6">
                <c:v>0</c:v>
              </c:pt>
            </c:numLit>
          </c:val>
          <c:extLst>
            <c:ext xmlns:c16="http://schemas.microsoft.com/office/drawing/2014/chart" uri="{C3380CC4-5D6E-409C-BE32-E72D297353CC}">
              <c16:uniqueId val="{00000008-5800-41BE-8217-51E1EA0C0F80}"/>
            </c:ext>
          </c:extLst>
        </c:ser>
        <c:ser>
          <c:idx val="7"/>
          <c:order val="7"/>
          <c:tx>
            <c:v>Gasoline ME</c:v>
          </c:tx>
          <c:spPr>
            <a:solidFill>
              <a:srgbClr val="F1A78A"/>
            </a:solidFill>
            <a:ln>
              <a:noFill/>
            </a:ln>
            <a:effectLst/>
          </c:spPr>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49038.461538461539</c:v>
              </c:pt>
              <c:pt idx="1">
                <c:v>0</c:v>
              </c:pt>
              <c:pt idx="2">
                <c:v>0</c:v>
              </c:pt>
              <c:pt idx="3">
                <c:v>0</c:v>
              </c:pt>
              <c:pt idx="4">
                <c:v>0</c:v>
              </c:pt>
              <c:pt idx="5">
                <c:v>0</c:v>
              </c:pt>
              <c:pt idx="6">
                <c:v>0</c:v>
              </c:pt>
            </c:numLit>
          </c:val>
          <c:extLst>
            <c:ext xmlns:c16="http://schemas.microsoft.com/office/drawing/2014/chart" uri="{C3380CC4-5D6E-409C-BE32-E72D297353CC}">
              <c16:uniqueId val="{00000009-5800-41BE-8217-51E1EA0C0F80}"/>
            </c:ext>
          </c:extLst>
        </c:ser>
        <c:ser>
          <c:idx val="8"/>
          <c:order val="8"/>
          <c:tx>
            <c:v>Gasoline SE</c:v>
          </c:tx>
          <c:spPr>
            <a:solidFill>
              <a:srgbClr val="3B64AD"/>
            </a:solidFill>
            <a:ln>
              <a:noFill/>
            </a:ln>
            <a:effectLst/>
          </c:spPr>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94421.073717948719</c:v>
              </c:pt>
              <c:pt idx="1">
                <c:v>0</c:v>
              </c:pt>
              <c:pt idx="2">
                <c:v>0</c:v>
              </c:pt>
              <c:pt idx="3">
                <c:v>0</c:v>
              </c:pt>
              <c:pt idx="4">
                <c:v>0</c:v>
              </c:pt>
              <c:pt idx="5">
                <c:v>0</c:v>
              </c:pt>
              <c:pt idx="6">
                <c:v>0</c:v>
              </c:pt>
            </c:numLit>
          </c:val>
          <c:extLst>
            <c:ext xmlns:c16="http://schemas.microsoft.com/office/drawing/2014/chart" uri="{C3380CC4-5D6E-409C-BE32-E72D297353CC}">
              <c16:uniqueId val="{0000000A-5800-41BE-8217-51E1EA0C0F80}"/>
            </c:ext>
          </c:extLst>
        </c:ser>
        <c:ser>
          <c:idx val="9"/>
          <c:order val="9"/>
          <c:tx>
            <c:v>LPG</c:v>
          </c:tx>
          <c:spPr>
            <a:solidFill>
              <a:srgbClr val="62993E"/>
            </a:solidFill>
            <a:ln>
              <a:noFill/>
            </a:ln>
            <a:effectLst/>
          </c:spPr>
          <c:invertIfNegative val="0"/>
          <c:cat>
            <c:strLit>
              <c:ptCount val="7"/>
              <c:pt idx="0">
                <c:v>2020</c:v>
              </c:pt>
              <c:pt idx="1">
                <c:v>2025</c:v>
              </c:pt>
              <c:pt idx="2">
                <c:v>2030</c:v>
              </c:pt>
              <c:pt idx="3">
                <c:v>2035</c:v>
              </c:pt>
              <c:pt idx="4">
                <c:v>2040</c:v>
              </c:pt>
              <c:pt idx="5">
                <c:v>2045</c:v>
              </c:pt>
              <c:pt idx="6">
                <c:v>2050</c:v>
              </c:pt>
            </c:strLit>
          </c:cat>
          <c:val>
            <c:numLit>
              <c:formatCode>General</c:formatCode>
              <c:ptCount val="7"/>
              <c:pt idx="0">
                <c:v>48818.108974358976</c:v>
              </c:pt>
              <c:pt idx="1">
                <c:v>23387.419871794875</c:v>
              </c:pt>
              <c:pt idx="2">
                <c:v>12229.567307692309</c:v>
              </c:pt>
              <c:pt idx="3">
                <c:v>0</c:v>
              </c:pt>
              <c:pt idx="4">
                <c:v>0</c:v>
              </c:pt>
              <c:pt idx="5">
                <c:v>0</c:v>
              </c:pt>
              <c:pt idx="6">
                <c:v>0</c:v>
              </c:pt>
            </c:numLit>
          </c:val>
          <c:extLst>
            <c:ext xmlns:c16="http://schemas.microsoft.com/office/drawing/2014/chart" uri="{C3380CC4-5D6E-409C-BE32-E72D297353CC}">
              <c16:uniqueId val="{0000000B-5800-41BE-8217-51E1EA0C0F80}"/>
            </c:ext>
          </c:extLst>
        </c:ser>
        <c:dLbls>
          <c:showLegendKey val="0"/>
          <c:showVal val="0"/>
          <c:showCatName val="0"/>
          <c:showSerName val="0"/>
          <c:showPercent val="0"/>
          <c:showBubbleSize val="0"/>
        </c:dLbls>
        <c:gapWidth val="150"/>
        <c:axId val="949873391"/>
        <c:axId val="949863407"/>
      </c:barChart>
      <c:catAx>
        <c:axId val="949873391"/>
        <c:scaling>
          <c:orientation val="minMax"/>
        </c:scaling>
        <c:delete val="0"/>
        <c:axPos val="b"/>
        <c:numFmt formatCode="General" sourceLinked="1"/>
        <c:majorTickMark val="none"/>
        <c:minorTickMark val="out"/>
        <c:tickLblPos val="nextTo"/>
        <c:spPr>
          <a:noFill/>
          <a:ln w="6350" cap="flat" cmpd="sng" algn="ctr">
            <a:solidFill>
              <a:srgbClr val="898989"/>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949863407"/>
        <c:crosses val="autoZero"/>
        <c:auto val="1"/>
        <c:lblAlgn val="ctr"/>
        <c:lblOffset val="100"/>
        <c:tickLblSkip val="2"/>
        <c:noMultiLvlLbl val="0"/>
      </c:catAx>
      <c:valAx>
        <c:axId val="949863407"/>
        <c:scaling>
          <c:orientation val="minMax"/>
        </c:scaling>
        <c:delete val="1"/>
        <c:axPos val="l"/>
        <c:majorGridlines>
          <c:spPr>
            <a:ln w="6350" cap="flat" cmpd="sng" algn="ctr">
              <a:solidFill>
                <a:srgbClr val="898989"/>
              </a:solidFill>
              <a:round/>
            </a:ln>
            <a:effectLst/>
          </c:spPr>
        </c:majorGridlines>
        <c:numFmt formatCode="General" sourceLinked="1"/>
        <c:majorTickMark val="out"/>
        <c:minorTickMark val="none"/>
        <c:tickLblPos val="nextTo"/>
        <c:crossAx val="949873391"/>
        <c:crosses val="autoZero"/>
        <c:crossBetween val="between"/>
        <c:dispUnits>
          <c:builtInUnit val="millions"/>
        </c:dispUnits>
      </c:valAx>
      <c:spPr>
        <a:solidFill>
          <a:schemeClr val="bg1"/>
        </a:solid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extLst/>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pivotSource>
    <c:name>[1 - Capacity_Charts.xlsx]Pivot - Light!PivotTable1</c:name>
    <c:fmtId val="-1"/>
  </c:pivotSource>
  <c:chart>
    <c:title>
      <c:tx>
        <c:rich>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900" b="1"/>
              <a:t>Tech Costs</a:t>
            </a:r>
          </a:p>
        </c:rich>
      </c:tx>
      <c:layout>
        <c:manualLayout>
          <c:xMode val="edge"/>
          <c:yMode val="edge"/>
          <c:x val="0.45674051267434779"/>
          <c:y val="5.0834625785413194E-2"/>
        </c:manualLayout>
      </c:layout>
      <c:overlay val="0"/>
      <c:spPr>
        <a:noFill/>
        <a:ln>
          <a:noFill/>
        </a:ln>
        <a:effectLst/>
      </c:spPr>
      <c:txPr>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pivotFmt>
      <c:pivotFmt>
        <c:idx val="8"/>
        <c:spPr>
          <a:solidFill>
            <a:schemeClr val="accent1"/>
          </a:solidFill>
          <a:ln>
            <a:noFill/>
          </a:ln>
          <a:effectLst/>
        </c:spPr>
        <c:marker>
          <c:symbol val="none"/>
        </c:marker>
      </c:pivotFmt>
      <c:pivotFmt>
        <c:idx val="9"/>
        <c:spPr>
          <a:solidFill>
            <a:schemeClr val="accent1"/>
          </a:solidFill>
          <a:ln>
            <a:noFill/>
          </a:ln>
          <a:effectLst/>
        </c:spPr>
        <c:marker>
          <c:symbol val="none"/>
        </c:marker>
      </c:pivotFmt>
      <c:pivotFmt>
        <c:idx val="10"/>
        <c:spPr>
          <a:solidFill>
            <a:schemeClr val="accent1"/>
          </a:solidFill>
          <a:ln>
            <a:noFill/>
          </a:ln>
          <a:effectLst/>
        </c:spPr>
        <c:marker>
          <c:symbol val="none"/>
        </c:marker>
      </c:pivotFmt>
      <c:pivotFmt>
        <c:idx val="11"/>
        <c:spPr>
          <a:solidFill>
            <a:schemeClr val="accent1"/>
          </a:solidFill>
          <a:ln>
            <a:noFill/>
          </a:ln>
          <a:effectLst/>
        </c:spPr>
        <c:marker>
          <c:symbol val="none"/>
        </c:marker>
      </c:pivotFmt>
      <c:pivotFmt>
        <c:idx val="12"/>
        <c:spPr>
          <a:solidFill>
            <a:schemeClr val="accent1"/>
          </a:solidFill>
          <a:ln>
            <a:noFill/>
          </a:ln>
          <a:effectLst/>
        </c:spPr>
        <c:marker>
          <c:symbol val="none"/>
        </c:marker>
      </c:pivotFmt>
      <c:pivotFmt>
        <c:idx val="13"/>
        <c:spPr>
          <a:solidFill>
            <a:schemeClr val="accent1"/>
          </a:solidFill>
          <a:ln>
            <a:noFill/>
          </a:ln>
          <a:effectLst/>
        </c:spPr>
        <c:marker>
          <c:symbol val="none"/>
        </c:marker>
      </c:pivotFmt>
      <c:pivotFmt>
        <c:idx val="14"/>
        <c:spPr>
          <a:solidFill>
            <a:schemeClr val="accent1"/>
          </a:solidFill>
          <a:ln>
            <a:noFill/>
          </a:ln>
          <a:effectLst/>
        </c:spPr>
        <c:marker>
          <c:symbol val="none"/>
        </c:marker>
      </c:pivotFmt>
      <c:pivotFmt>
        <c:idx val="15"/>
        <c:spPr>
          <a:solidFill>
            <a:schemeClr val="accent1"/>
          </a:solidFill>
          <a:ln>
            <a:noFill/>
          </a:ln>
          <a:effectLst/>
        </c:spPr>
        <c:marker>
          <c:symbol val="none"/>
        </c:marker>
      </c:pivotFmt>
      <c:pivotFmt>
        <c:idx val="16"/>
        <c:spPr>
          <a:solidFill>
            <a:schemeClr val="accent1"/>
          </a:solidFill>
          <a:ln>
            <a:noFill/>
          </a:ln>
          <a:effectLst/>
        </c:spPr>
        <c:marker>
          <c:symbol val="none"/>
        </c:marker>
      </c:pivotFmt>
      <c:pivotFmt>
        <c:idx val="17"/>
        <c:spPr>
          <a:solidFill>
            <a:schemeClr val="accent1"/>
          </a:solidFill>
          <a:ln>
            <a:noFill/>
          </a:ln>
          <a:effectLst/>
        </c:spPr>
        <c:marker>
          <c:symbol val="none"/>
        </c:marker>
      </c:pivotFmt>
      <c:pivotFmt>
        <c:idx val="18"/>
        <c:spPr>
          <a:solidFill>
            <a:schemeClr val="accent1"/>
          </a:solidFill>
          <a:ln>
            <a:noFill/>
          </a:ln>
          <a:effectLst/>
        </c:spPr>
        <c:marker>
          <c:symbol val="none"/>
        </c:marker>
      </c:pivotFmt>
      <c:pivotFmt>
        <c:idx val="19"/>
        <c:spPr>
          <a:solidFill>
            <a:schemeClr val="accent1"/>
          </a:solidFill>
          <a:ln>
            <a:noFill/>
          </a:ln>
          <a:effectLst/>
        </c:spPr>
        <c:marker>
          <c:symbol val="none"/>
        </c:marker>
      </c:pivotFmt>
      <c:pivotFmt>
        <c:idx val="20"/>
        <c:spPr>
          <a:solidFill>
            <a:schemeClr val="accent1"/>
          </a:solidFill>
          <a:ln>
            <a:noFill/>
          </a:ln>
          <a:effectLst/>
        </c:spPr>
        <c:marker>
          <c:symbol val="none"/>
        </c:marker>
      </c:pivotFmt>
      <c:pivotFmt>
        <c:idx val="21"/>
        <c:spPr>
          <a:solidFill>
            <a:schemeClr val="accent1"/>
          </a:solidFill>
          <a:ln>
            <a:noFill/>
          </a:ln>
          <a:effectLst/>
        </c:spPr>
        <c:marker>
          <c:symbol val="none"/>
        </c:marker>
      </c:pivotFmt>
      <c:pivotFmt>
        <c:idx val="22"/>
        <c:spPr>
          <a:solidFill>
            <a:schemeClr val="accent1"/>
          </a:solidFill>
          <a:ln>
            <a:noFill/>
          </a:ln>
          <a:effectLst/>
        </c:spPr>
        <c:marker>
          <c:symbol val="none"/>
        </c:marker>
      </c:pivotFmt>
      <c:pivotFmt>
        <c:idx val="23"/>
        <c:spPr>
          <a:solidFill>
            <a:schemeClr val="accent1"/>
          </a:solidFill>
          <a:ln>
            <a:noFill/>
          </a:ln>
          <a:effectLst/>
        </c:spPr>
        <c:marker>
          <c:symbol val="none"/>
        </c:marker>
      </c:pivotFmt>
      <c:pivotFmt>
        <c:idx val="24"/>
        <c:spPr>
          <a:solidFill>
            <a:schemeClr val="accent1"/>
          </a:solidFill>
          <a:ln>
            <a:noFill/>
          </a:ln>
          <a:effectLst/>
        </c:spPr>
        <c:marker>
          <c:symbol val="none"/>
        </c:marker>
      </c:pivotFmt>
      <c:pivotFmt>
        <c:idx val="25"/>
        <c:spPr>
          <a:solidFill>
            <a:schemeClr val="accent1"/>
          </a:solidFill>
          <a:ln>
            <a:noFill/>
          </a:ln>
          <a:effectLst/>
        </c:spPr>
        <c:marker>
          <c:symbol val="none"/>
        </c:marker>
      </c:pivotFmt>
      <c:pivotFmt>
        <c:idx val="26"/>
        <c:spPr>
          <a:solidFill>
            <a:schemeClr val="accent1"/>
          </a:solidFill>
          <a:ln>
            <a:noFill/>
          </a:ln>
          <a:effectLst/>
        </c:spPr>
        <c:marker>
          <c:symbol val="none"/>
        </c:marker>
      </c:pivotFmt>
      <c:pivotFmt>
        <c:idx val="27"/>
        <c:spPr>
          <a:solidFill>
            <a:schemeClr val="accent1"/>
          </a:solidFill>
          <a:ln>
            <a:noFill/>
          </a:ln>
          <a:effectLst/>
        </c:spPr>
        <c:marker>
          <c:symbol val="none"/>
        </c:marker>
      </c:pivotFmt>
      <c:pivotFmt>
        <c:idx val="28"/>
        <c:spPr>
          <a:solidFill>
            <a:schemeClr val="accent1"/>
          </a:solidFill>
          <a:ln>
            <a:noFill/>
          </a:ln>
          <a:effectLst/>
        </c:spPr>
        <c:marker>
          <c:symbol val="none"/>
        </c:marker>
      </c:pivotFmt>
      <c:pivotFmt>
        <c:idx val="29"/>
        <c:spPr>
          <a:solidFill>
            <a:schemeClr val="accent1"/>
          </a:solidFill>
          <a:ln>
            <a:noFill/>
          </a:ln>
          <a:effectLst/>
        </c:spPr>
        <c:marker>
          <c:symbol val="none"/>
        </c:marker>
      </c:pivotFmt>
      <c:pivotFmt>
        <c:idx val="30"/>
        <c:spPr>
          <a:solidFill>
            <a:schemeClr val="accent1"/>
          </a:solidFill>
          <a:ln>
            <a:noFill/>
          </a:ln>
          <a:effectLst/>
        </c:spPr>
        <c:marker>
          <c:symbol val="none"/>
        </c:marker>
      </c:pivotFmt>
      <c:pivotFmt>
        <c:idx val="31"/>
        <c:spPr>
          <a:solidFill>
            <a:schemeClr val="accent1"/>
          </a:solidFill>
          <a:ln>
            <a:noFill/>
          </a:ln>
          <a:effectLst/>
        </c:spPr>
        <c:marker>
          <c:symbol val="none"/>
        </c:marker>
      </c:pivotFmt>
      <c:pivotFmt>
        <c:idx val="32"/>
        <c:spPr>
          <a:solidFill>
            <a:schemeClr val="accent1"/>
          </a:solidFill>
          <a:ln>
            <a:noFill/>
          </a:ln>
          <a:effectLst/>
        </c:spPr>
        <c:marker>
          <c:symbol val="none"/>
        </c:marker>
      </c:pivotFmt>
      <c:pivotFmt>
        <c:idx val="33"/>
        <c:spPr>
          <a:solidFill>
            <a:schemeClr val="accent1"/>
          </a:solidFill>
          <a:ln>
            <a:noFill/>
          </a:ln>
          <a:effectLst/>
        </c:spPr>
        <c:marker>
          <c:symbol val="none"/>
        </c:marker>
      </c:pivotFmt>
      <c:pivotFmt>
        <c:idx val="34"/>
        <c:spPr>
          <a:solidFill>
            <a:schemeClr val="accent1"/>
          </a:solidFill>
          <a:ln>
            <a:noFill/>
          </a:ln>
          <a:effectLst/>
        </c:spPr>
        <c:marker>
          <c:symbol val="none"/>
        </c:marker>
      </c:pivotFmt>
      <c:pivotFmt>
        <c:idx val="35"/>
        <c:spPr>
          <a:solidFill>
            <a:schemeClr val="accent1"/>
          </a:solidFill>
          <a:ln>
            <a:noFill/>
          </a:ln>
          <a:effectLst/>
        </c:spPr>
        <c:marker>
          <c:symbol val="none"/>
        </c:marker>
      </c:pivotFmt>
      <c:pivotFmt>
        <c:idx val="36"/>
        <c:spPr>
          <a:solidFill>
            <a:schemeClr val="accent1"/>
          </a:solidFill>
          <a:ln>
            <a:noFill/>
          </a:ln>
          <a:effectLst/>
        </c:spPr>
        <c:marker>
          <c:symbol val="none"/>
        </c:marker>
      </c:pivotFmt>
      <c:pivotFmt>
        <c:idx val="37"/>
        <c:spPr>
          <a:solidFill>
            <a:schemeClr val="accent1"/>
          </a:solidFill>
          <a:ln>
            <a:noFill/>
          </a:ln>
          <a:effectLst/>
        </c:spPr>
        <c:marker>
          <c:symbol val="none"/>
        </c:marker>
      </c:pivotFmt>
      <c:pivotFmt>
        <c:idx val="38"/>
        <c:spPr>
          <a:solidFill>
            <a:schemeClr val="accent1"/>
          </a:solidFill>
          <a:ln>
            <a:noFill/>
          </a:ln>
          <a:effectLst/>
        </c:spPr>
        <c:marker>
          <c:symbol val="none"/>
        </c:marker>
      </c:pivotFmt>
      <c:pivotFmt>
        <c:idx val="39"/>
        <c:spPr>
          <a:solidFill>
            <a:schemeClr val="accent1"/>
          </a:solidFill>
          <a:ln>
            <a:noFill/>
          </a:ln>
          <a:effectLst/>
        </c:spPr>
        <c:marker>
          <c:symbol val="none"/>
        </c:marker>
      </c:pivotFmt>
      <c:pivotFmt>
        <c:idx val="40"/>
        <c:spPr>
          <a:solidFill>
            <a:schemeClr val="accent1"/>
          </a:solidFill>
          <a:ln>
            <a:noFill/>
          </a:ln>
          <a:effectLst/>
        </c:spPr>
        <c:marker>
          <c:symbol val="none"/>
        </c:marker>
      </c:pivotFmt>
    </c:pivotFmts>
    <c:plotArea>
      <c:layout>
        <c:manualLayout>
          <c:layoutTarget val="inner"/>
          <c:xMode val="edge"/>
          <c:yMode val="edge"/>
          <c:x val="0.15682858379973377"/>
          <c:y val="0.17860529352606674"/>
          <c:w val="0.83813390381846109"/>
          <c:h val="0.70213835836735827"/>
        </c:manualLayout>
      </c:layout>
      <c:barChart>
        <c:barDir val="col"/>
        <c:grouping val="clustered"/>
        <c:varyColors val="0"/>
        <c:ser>
          <c:idx val="0"/>
          <c:order val="0"/>
          <c:tx>
            <c:strRef>
              <c:f>'Pivot - Light'!$B$3:$B$4</c:f>
              <c:strCache>
                <c:ptCount val="1"/>
                <c:pt idx="0">
                  <c:v>Battery Electric</c:v>
                </c:pt>
              </c:strCache>
            </c:strRef>
          </c:tx>
          <c:spPr>
            <a:solidFill>
              <a:srgbClr val="5B9BD5"/>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Light'!$B$5:$B$12</c:f>
              <c:numCache>
                <c:formatCode>General</c:formatCode>
                <c:ptCount val="7"/>
                <c:pt idx="0">
                  <c:v>5498.7980769230771</c:v>
                </c:pt>
                <c:pt idx="1">
                  <c:v>4096.5544871794873</c:v>
                </c:pt>
                <c:pt idx="2">
                  <c:v>310176.28205128212</c:v>
                </c:pt>
                <c:pt idx="3">
                  <c:v>1534605.3685897437</c:v>
                </c:pt>
                <c:pt idx="4">
                  <c:v>4773487.5801282059</c:v>
                </c:pt>
                <c:pt idx="5">
                  <c:v>5113671.875</c:v>
                </c:pt>
                <c:pt idx="6">
                  <c:v>5091897.0352564109</c:v>
                </c:pt>
              </c:numCache>
            </c:numRef>
          </c:val>
          <c:extLst>
            <c:ext xmlns:c16="http://schemas.microsoft.com/office/drawing/2014/chart" uri="{C3380CC4-5D6E-409C-BE32-E72D297353CC}">
              <c16:uniqueId val="{00000000-43A2-4C11-9357-D094B5B70649}"/>
            </c:ext>
          </c:extLst>
        </c:ser>
        <c:ser>
          <c:idx val="1"/>
          <c:order val="1"/>
          <c:tx>
            <c:strRef>
              <c:f>'Pivot - Light'!$C$3:$C$4</c:f>
              <c:strCache>
                <c:ptCount val="1"/>
                <c:pt idx="0">
                  <c:v>Diesel HE</c:v>
                </c:pt>
              </c:strCache>
            </c:strRef>
          </c:tx>
          <c:spPr>
            <a:solidFill>
              <a:srgbClr val="929292"/>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Light'!$C$5:$C$12</c:f>
              <c:numCache>
                <c:formatCode>General</c:formatCode>
                <c:ptCount val="7"/>
                <c:pt idx="0">
                  <c:v>1157421.875</c:v>
                </c:pt>
                <c:pt idx="1">
                  <c:v>3972646.233974359</c:v>
                </c:pt>
                <c:pt idx="2">
                  <c:v>3853475.5608974365</c:v>
                </c:pt>
                <c:pt idx="3">
                  <c:v>2909274.8397435895</c:v>
                </c:pt>
              </c:numCache>
            </c:numRef>
          </c:val>
          <c:extLst>
            <c:ext xmlns:c16="http://schemas.microsoft.com/office/drawing/2014/chart" uri="{C3380CC4-5D6E-409C-BE32-E72D297353CC}">
              <c16:uniqueId val="{00000001-43A2-4C11-9357-D094B5B70649}"/>
            </c:ext>
          </c:extLst>
        </c:ser>
        <c:ser>
          <c:idx val="2"/>
          <c:order val="2"/>
          <c:tx>
            <c:strRef>
              <c:f>'Pivot - Light'!$D$3:$D$4</c:f>
              <c:strCache>
                <c:ptCount val="1"/>
                <c:pt idx="0">
                  <c:v>Diesel ME</c:v>
                </c:pt>
              </c:strCache>
            </c:strRef>
          </c:tx>
          <c:spPr>
            <a:solidFill>
              <a:srgbClr val="E2AA00"/>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Light'!$D$5:$D$12</c:f>
              <c:numCache>
                <c:formatCode>General</c:formatCode>
                <c:ptCount val="7"/>
                <c:pt idx="0">
                  <c:v>1327724.358974359</c:v>
                </c:pt>
              </c:numCache>
            </c:numRef>
          </c:val>
          <c:extLst>
            <c:ext xmlns:c16="http://schemas.microsoft.com/office/drawing/2014/chart" uri="{C3380CC4-5D6E-409C-BE32-E72D297353CC}">
              <c16:uniqueId val="{00000002-43A2-4C11-9357-D094B5B70649}"/>
            </c:ext>
          </c:extLst>
        </c:ser>
        <c:ser>
          <c:idx val="3"/>
          <c:order val="3"/>
          <c:tx>
            <c:strRef>
              <c:f>'Pivot - Light'!$E$3:$E$4</c:f>
              <c:strCache>
                <c:ptCount val="1"/>
                <c:pt idx="0">
                  <c:v>Diesel SE</c:v>
                </c:pt>
              </c:strCache>
            </c:strRef>
          </c:tx>
          <c:spPr>
            <a:solidFill>
              <a:srgbClr val="D26E2A"/>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Light'!$E$5:$E$12</c:f>
              <c:numCache>
                <c:formatCode>General</c:formatCode>
                <c:ptCount val="7"/>
                <c:pt idx="0">
                  <c:v>1282792.467948718</c:v>
                </c:pt>
              </c:numCache>
            </c:numRef>
          </c:val>
          <c:extLst>
            <c:ext xmlns:c16="http://schemas.microsoft.com/office/drawing/2014/chart" uri="{C3380CC4-5D6E-409C-BE32-E72D297353CC}">
              <c16:uniqueId val="{00000003-43A2-4C11-9357-D094B5B70649}"/>
            </c:ext>
          </c:extLst>
        </c:ser>
        <c:ser>
          <c:idx val="4"/>
          <c:order val="4"/>
          <c:tx>
            <c:strRef>
              <c:f>'Pivot - Light'!$F$3:$F$4</c:f>
              <c:strCache>
                <c:ptCount val="1"/>
                <c:pt idx="0">
                  <c:v>Gasoline HE</c:v>
                </c:pt>
              </c:strCache>
            </c:strRef>
          </c:tx>
          <c:spPr>
            <a:solidFill>
              <a:srgbClr val="7030A0"/>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Light'!$F$5:$F$12</c:f>
              <c:numCache>
                <c:formatCode>General</c:formatCode>
                <c:ptCount val="7"/>
                <c:pt idx="0">
                  <c:v>35907.451923076922</c:v>
                </c:pt>
                <c:pt idx="1">
                  <c:v>33143.028846153851</c:v>
                </c:pt>
                <c:pt idx="2">
                  <c:v>30348.557692307691</c:v>
                </c:pt>
              </c:numCache>
            </c:numRef>
          </c:val>
          <c:extLst>
            <c:ext xmlns:c16="http://schemas.microsoft.com/office/drawing/2014/chart" uri="{C3380CC4-5D6E-409C-BE32-E72D297353CC}">
              <c16:uniqueId val="{00000004-43A2-4C11-9357-D094B5B70649}"/>
            </c:ext>
          </c:extLst>
        </c:ser>
        <c:ser>
          <c:idx val="5"/>
          <c:order val="5"/>
          <c:tx>
            <c:strRef>
              <c:f>'Pivot - Light'!$G$3:$G$4</c:f>
              <c:strCache>
                <c:ptCount val="1"/>
                <c:pt idx="0">
                  <c:v>Gasoline Hybrid</c:v>
                </c:pt>
              </c:strCache>
            </c:strRef>
          </c:tx>
          <c:spPr>
            <a:solidFill>
              <a:srgbClr val="FF0000"/>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Light'!$G$5:$G$12</c:f>
              <c:numCache>
                <c:formatCode>General</c:formatCode>
                <c:ptCount val="7"/>
                <c:pt idx="0">
                  <c:v>1592.5480769230771</c:v>
                </c:pt>
                <c:pt idx="1">
                  <c:v>1582.5320512820515</c:v>
                </c:pt>
                <c:pt idx="2">
                  <c:v>1322.1153846153848</c:v>
                </c:pt>
              </c:numCache>
            </c:numRef>
          </c:val>
          <c:extLst>
            <c:ext xmlns:c16="http://schemas.microsoft.com/office/drawing/2014/chart" uri="{C3380CC4-5D6E-409C-BE32-E72D297353CC}">
              <c16:uniqueId val="{00000005-43A2-4C11-9357-D094B5B70649}"/>
            </c:ext>
          </c:extLst>
        </c:ser>
        <c:ser>
          <c:idx val="6"/>
          <c:order val="6"/>
          <c:tx>
            <c:strRef>
              <c:f>'Pivot - Light'!$H$3:$H$4</c:f>
              <c:strCache>
                <c:ptCount val="1"/>
                <c:pt idx="0">
                  <c:v>Gasoline ME</c:v>
                </c:pt>
              </c:strCache>
            </c:strRef>
          </c:tx>
          <c:spPr>
            <a:solidFill>
              <a:srgbClr val="F1A78A"/>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Light'!$H$5:$H$12</c:f>
              <c:numCache>
                <c:formatCode>General</c:formatCode>
                <c:ptCount val="7"/>
                <c:pt idx="0">
                  <c:v>49038.461538461539</c:v>
                </c:pt>
              </c:numCache>
            </c:numRef>
          </c:val>
          <c:extLst>
            <c:ext xmlns:c16="http://schemas.microsoft.com/office/drawing/2014/chart" uri="{C3380CC4-5D6E-409C-BE32-E72D297353CC}">
              <c16:uniqueId val="{00000006-43A2-4C11-9357-D094B5B70649}"/>
            </c:ext>
          </c:extLst>
        </c:ser>
        <c:ser>
          <c:idx val="7"/>
          <c:order val="7"/>
          <c:tx>
            <c:strRef>
              <c:f>'Pivot - Light'!$I$3:$I$4</c:f>
              <c:strCache>
                <c:ptCount val="1"/>
                <c:pt idx="0">
                  <c:v>Gasoline SE</c:v>
                </c:pt>
              </c:strCache>
            </c:strRef>
          </c:tx>
          <c:spPr>
            <a:solidFill>
              <a:srgbClr val="3B64AD"/>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Light'!$I$5:$I$12</c:f>
              <c:numCache>
                <c:formatCode>General</c:formatCode>
                <c:ptCount val="7"/>
                <c:pt idx="0">
                  <c:v>94421.073717948719</c:v>
                </c:pt>
              </c:numCache>
            </c:numRef>
          </c:val>
          <c:extLst>
            <c:ext xmlns:c16="http://schemas.microsoft.com/office/drawing/2014/chart" uri="{C3380CC4-5D6E-409C-BE32-E72D297353CC}">
              <c16:uniqueId val="{00000007-43A2-4C11-9357-D094B5B70649}"/>
            </c:ext>
          </c:extLst>
        </c:ser>
        <c:ser>
          <c:idx val="8"/>
          <c:order val="8"/>
          <c:tx>
            <c:strRef>
              <c:f>'Pivot - Light'!$J$3:$J$4</c:f>
              <c:strCache>
                <c:ptCount val="1"/>
                <c:pt idx="0">
                  <c:v>LPG</c:v>
                </c:pt>
              </c:strCache>
            </c:strRef>
          </c:tx>
          <c:spPr>
            <a:solidFill>
              <a:srgbClr val="62993E"/>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Light'!$J$5:$J$12</c:f>
              <c:numCache>
                <c:formatCode>General</c:formatCode>
                <c:ptCount val="7"/>
                <c:pt idx="0">
                  <c:v>48818.108974358976</c:v>
                </c:pt>
                <c:pt idx="1">
                  <c:v>23387.419871794875</c:v>
                </c:pt>
                <c:pt idx="2">
                  <c:v>12229.567307692309</c:v>
                </c:pt>
              </c:numCache>
            </c:numRef>
          </c:val>
          <c:extLst>
            <c:ext xmlns:c16="http://schemas.microsoft.com/office/drawing/2014/chart" uri="{C3380CC4-5D6E-409C-BE32-E72D297353CC}">
              <c16:uniqueId val="{00000008-43A2-4C11-9357-D094B5B70649}"/>
            </c:ext>
          </c:extLst>
        </c:ser>
        <c:ser>
          <c:idx val="9"/>
          <c:order val="9"/>
          <c:tx>
            <c:strRef>
              <c:f>'Pivot - Light'!$K$3:$K$4</c:f>
              <c:strCache>
                <c:ptCount val="1"/>
                <c:pt idx="0">
                  <c:v>Natural Gas</c:v>
                </c:pt>
              </c:strCache>
            </c:strRef>
          </c:tx>
          <c:spPr>
            <a:solidFill>
              <a:srgbClr val="7030A0"/>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Light'!$K$5:$K$12</c:f>
              <c:numCache>
                <c:formatCode>General</c:formatCode>
                <c:ptCount val="7"/>
                <c:pt idx="0">
                  <c:v>84585.336538461546</c:v>
                </c:pt>
                <c:pt idx="1">
                  <c:v>77884.61538461539</c:v>
                </c:pt>
                <c:pt idx="2">
                  <c:v>73557.692307692312</c:v>
                </c:pt>
              </c:numCache>
            </c:numRef>
          </c:val>
          <c:extLst>
            <c:ext xmlns:c16="http://schemas.microsoft.com/office/drawing/2014/chart" uri="{C3380CC4-5D6E-409C-BE32-E72D297353CC}">
              <c16:uniqueId val="{00000009-43A2-4C11-9357-D094B5B70649}"/>
            </c:ext>
          </c:extLst>
        </c:ser>
        <c:dLbls>
          <c:showLegendKey val="0"/>
          <c:showVal val="0"/>
          <c:showCatName val="0"/>
          <c:showSerName val="0"/>
          <c:showPercent val="0"/>
          <c:showBubbleSize val="0"/>
        </c:dLbls>
        <c:gapWidth val="150"/>
        <c:axId val="949873391"/>
        <c:axId val="949863407"/>
      </c:barChart>
      <c:catAx>
        <c:axId val="949873391"/>
        <c:scaling>
          <c:orientation val="minMax"/>
        </c:scaling>
        <c:delete val="0"/>
        <c:axPos val="b"/>
        <c:numFmt formatCode="General" sourceLinked="1"/>
        <c:majorTickMark val="none"/>
        <c:minorTickMark val="out"/>
        <c:tickLblPos val="nextTo"/>
        <c:spPr>
          <a:noFill/>
          <a:ln w="6350" cap="flat" cmpd="sng" algn="ctr">
            <a:solidFill>
              <a:srgbClr val="898989"/>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949863407"/>
        <c:crosses val="autoZero"/>
        <c:auto val="1"/>
        <c:lblAlgn val="ctr"/>
        <c:lblOffset val="100"/>
        <c:tickLblSkip val="2"/>
        <c:noMultiLvlLbl val="0"/>
      </c:catAx>
      <c:valAx>
        <c:axId val="949863407"/>
        <c:scaling>
          <c:orientation val="minMax"/>
        </c:scaling>
        <c:delete val="0"/>
        <c:axPos val="l"/>
        <c:majorGridlines>
          <c:spPr>
            <a:ln w="6350" cap="flat" cmpd="sng" algn="ctr">
              <a:solidFill>
                <a:srgbClr val="898989"/>
              </a:solidFill>
              <a:round/>
            </a:ln>
            <a:effectLst/>
          </c:spPr>
        </c:majorGridlines>
        <c:numFmt formatCode="General" sourceLinked="1"/>
        <c:majorTickMark val="out"/>
        <c:minorTickMark val="none"/>
        <c:tickLblPos val="nextTo"/>
        <c:spPr>
          <a:noFill/>
          <a:ln w="6350">
            <a:solidFill>
              <a:srgbClr val="898989"/>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949873391"/>
        <c:crosses val="autoZero"/>
        <c:crossBetween val="between"/>
        <c:dispUnits>
          <c:builtInUnit val="millions"/>
          <c:dispUnitsLbl>
            <c:layout>
              <c:manualLayout>
                <c:xMode val="edge"/>
                <c:yMode val="edge"/>
                <c:x val="1.0683760683760684E-2"/>
                <c:y val="0.18449110871146993"/>
              </c:manualLayout>
            </c:layout>
            <c:tx>
              <c:rich>
                <a:bodyPr rot="-54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800"/>
                    <a:t>Number</a:t>
                  </a:r>
                  <a:r>
                    <a:rPr lang="en-US" sz="800" baseline="0"/>
                    <a:t> of trucks </a:t>
                  </a:r>
                  <a:r>
                    <a:rPr lang="en-US" sz="800"/>
                    <a:t>(Millions)</a:t>
                  </a:r>
                </a:p>
              </c:rich>
            </c:tx>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ispUnitsLbl>
        </c:dispUnits>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Visible val="1"/>
      </c14:pivotOptions>
    </c:ext>
    <c:ext xmlns:c16="http://schemas.microsoft.com/office/drawing/2014/chart" uri="{E28EC0CA-F0BB-4C9C-879D-F8772B89E7AC}">
      <c16:pivotOptions16>
        <c16:showExpandCollapseFieldButtons val="1"/>
      </c16:pivotOptions16>
    </c:ext>
  </c:extLst>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pivotSource>
    <c:name>[1 - Capacity_Charts.xlsx]Pivot - Light!PivotTable1</c:name>
    <c:fmtId val="-1"/>
  </c:pivotSource>
  <c:chart>
    <c:title>
      <c:tx>
        <c:rich>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900" b="1" baseline="0"/>
              <a:t>2030 ICE Ban</a:t>
            </a:r>
            <a:endParaRPr lang="en-US" sz="900" b="1"/>
          </a:p>
        </c:rich>
      </c:tx>
      <c:layout>
        <c:manualLayout>
          <c:xMode val="edge"/>
          <c:yMode val="edge"/>
          <c:x val="0.22161796447567941"/>
          <c:y val="5.2970482868570201E-2"/>
        </c:manualLayout>
      </c:layout>
      <c:overlay val="0"/>
      <c:spPr>
        <a:noFill/>
        <a:ln>
          <a:noFill/>
        </a:ln>
        <a:effectLst/>
      </c:spPr>
      <c:txPr>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pivotFmt>
      <c:pivotFmt>
        <c:idx val="8"/>
        <c:spPr>
          <a:solidFill>
            <a:schemeClr val="accent1"/>
          </a:solidFill>
          <a:ln>
            <a:noFill/>
          </a:ln>
          <a:effectLst/>
        </c:spPr>
        <c:marker>
          <c:symbol val="none"/>
        </c:marker>
      </c:pivotFmt>
      <c:pivotFmt>
        <c:idx val="9"/>
        <c:spPr>
          <a:solidFill>
            <a:schemeClr val="accent1"/>
          </a:solidFill>
          <a:ln>
            <a:noFill/>
          </a:ln>
          <a:effectLst/>
        </c:spPr>
        <c:marker>
          <c:symbol val="none"/>
        </c:marker>
      </c:pivotFmt>
      <c:pivotFmt>
        <c:idx val="10"/>
        <c:spPr>
          <a:solidFill>
            <a:schemeClr val="accent1"/>
          </a:solidFill>
          <a:ln>
            <a:noFill/>
          </a:ln>
          <a:effectLst/>
        </c:spPr>
        <c:marker>
          <c:symbol val="none"/>
        </c:marker>
      </c:pivotFmt>
      <c:pivotFmt>
        <c:idx val="11"/>
        <c:spPr>
          <a:solidFill>
            <a:schemeClr val="accent1"/>
          </a:solidFill>
          <a:ln>
            <a:noFill/>
          </a:ln>
          <a:effectLst/>
        </c:spPr>
        <c:marker>
          <c:symbol val="none"/>
        </c:marker>
      </c:pivotFmt>
      <c:pivotFmt>
        <c:idx val="12"/>
        <c:spPr>
          <a:solidFill>
            <a:schemeClr val="accent1"/>
          </a:solidFill>
          <a:ln>
            <a:noFill/>
          </a:ln>
          <a:effectLst/>
        </c:spPr>
        <c:marker>
          <c:symbol val="none"/>
        </c:marker>
      </c:pivotFmt>
      <c:pivotFmt>
        <c:idx val="13"/>
        <c:spPr>
          <a:solidFill>
            <a:schemeClr val="accent1"/>
          </a:solidFill>
          <a:ln>
            <a:noFill/>
          </a:ln>
          <a:effectLst/>
        </c:spPr>
        <c:marker>
          <c:symbol val="none"/>
        </c:marker>
      </c:pivotFmt>
      <c:pivotFmt>
        <c:idx val="14"/>
        <c:spPr>
          <a:solidFill>
            <a:schemeClr val="accent1"/>
          </a:solidFill>
          <a:ln>
            <a:noFill/>
          </a:ln>
          <a:effectLst/>
        </c:spPr>
        <c:marker>
          <c:symbol val="none"/>
        </c:marker>
      </c:pivotFmt>
      <c:pivotFmt>
        <c:idx val="15"/>
        <c:spPr>
          <a:solidFill>
            <a:schemeClr val="accent1"/>
          </a:solidFill>
          <a:ln>
            <a:noFill/>
          </a:ln>
          <a:effectLst/>
        </c:spPr>
        <c:marker>
          <c:symbol val="none"/>
        </c:marker>
      </c:pivotFmt>
      <c:pivotFmt>
        <c:idx val="16"/>
        <c:spPr>
          <a:solidFill>
            <a:schemeClr val="accent1"/>
          </a:solidFill>
          <a:ln>
            <a:noFill/>
          </a:ln>
          <a:effectLst/>
        </c:spPr>
        <c:marker>
          <c:symbol val="none"/>
        </c:marker>
      </c:pivotFmt>
      <c:pivotFmt>
        <c:idx val="17"/>
        <c:spPr>
          <a:solidFill>
            <a:schemeClr val="accent1"/>
          </a:solidFill>
          <a:ln>
            <a:noFill/>
          </a:ln>
          <a:effectLst/>
        </c:spPr>
        <c:marker>
          <c:symbol val="none"/>
        </c:marker>
      </c:pivotFmt>
      <c:pivotFmt>
        <c:idx val="18"/>
        <c:spPr>
          <a:solidFill>
            <a:schemeClr val="accent1"/>
          </a:solidFill>
          <a:ln>
            <a:noFill/>
          </a:ln>
          <a:effectLst/>
        </c:spPr>
        <c:marker>
          <c:symbol val="none"/>
        </c:marker>
      </c:pivotFmt>
      <c:pivotFmt>
        <c:idx val="19"/>
        <c:spPr>
          <a:solidFill>
            <a:schemeClr val="accent1"/>
          </a:solidFill>
          <a:ln>
            <a:noFill/>
          </a:ln>
          <a:effectLst/>
        </c:spPr>
        <c:marker>
          <c:symbol val="none"/>
        </c:marker>
      </c:pivotFmt>
      <c:pivotFmt>
        <c:idx val="20"/>
        <c:spPr>
          <a:solidFill>
            <a:schemeClr val="accent1"/>
          </a:solidFill>
          <a:ln>
            <a:noFill/>
          </a:ln>
          <a:effectLst/>
        </c:spPr>
        <c:marker>
          <c:symbol val="none"/>
        </c:marker>
      </c:pivotFmt>
      <c:pivotFmt>
        <c:idx val="21"/>
        <c:spPr>
          <a:solidFill>
            <a:schemeClr val="accent1"/>
          </a:solidFill>
          <a:ln>
            <a:noFill/>
          </a:ln>
          <a:effectLst/>
        </c:spPr>
        <c:marker>
          <c:symbol val="none"/>
        </c:marker>
      </c:pivotFmt>
      <c:pivotFmt>
        <c:idx val="22"/>
        <c:spPr>
          <a:solidFill>
            <a:schemeClr val="accent1"/>
          </a:solidFill>
          <a:ln>
            <a:noFill/>
          </a:ln>
          <a:effectLst/>
        </c:spPr>
        <c:marker>
          <c:symbol val="none"/>
        </c:marker>
      </c:pivotFmt>
      <c:pivotFmt>
        <c:idx val="23"/>
        <c:spPr>
          <a:solidFill>
            <a:schemeClr val="accent1"/>
          </a:solidFill>
          <a:ln>
            <a:noFill/>
          </a:ln>
          <a:effectLst/>
        </c:spPr>
        <c:marker>
          <c:symbol val="none"/>
        </c:marker>
      </c:pivotFmt>
      <c:pivotFmt>
        <c:idx val="24"/>
        <c:spPr>
          <a:solidFill>
            <a:schemeClr val="accent1"/>
          </a:solidFill>
          <a:ln>
            <a:noFill/>
          </a:ln>
          <a:effectLst/>
        </c:spPr>
        <c:marker>
          <c:symbol val="none"/>
        </c:marker>
      </c:pivotFmt>
      <c:pivotFmt>
        <c:idx val="25"/>
        <c:spPr>
          <a:solidFill>
            <a:schemeClr val="accent1"/>
          </a:solidFill>
          <a:ln>
            <a:noFill/>
          </a:ln>
          <a:effectLst/>
        </c:spPr>
        <c:marker>
          <c:symbol val="none"/>
        </c:marker>
      </c:pivotFmt>
      <c:pivotFmt>
        <c:idx val="26"/>
        <c:spPr>
          <a:solidFill>
            <a:schemeClr val="accent1"/>
          </a:solidFill>
          <a:ln>
            <a:noFill/>
          </a:ln>
          <a:effectLst/>
        </c:spPr>
        <c:marker>
          <c:symbol val="none"/>
        </c:marker>
      </c:pivotFmt>
      <c:pivotFmt>
        <c:idx val="27"/>
        <c:spPr>
          <a:solidFill>
            <a:schemeClr val="accent1"/>
          </a:solidFill>
          <a:ln>
            <a:noFill/>
          </a:ln>
          <a:effectLst/>
        </c:spPr>
        <c:marker>
          <c:symbol val="none"/>
        </c:marker>
      </c:pivotFmt>
      <c:pivotFmt>
        <c:idx val="28"/>
        <c:spPr>
          <a:solidFill>
            <a:schemeClr val="accent1"/>
          </a:solidFill>
          <a:ln>
            <a:noFill/>
          </a:ln>
          <a:effectLst/>
        </c:spPr>
        <c:marker>
          <c:symbol val="none"/>
        </c:marker>
      </c:pivotFmt>
      <c:pivotFmt>
        <c:idx val="29"/>
        <c:spPr>
          <a:solidFill>
            <a:schemeClr val="accent1"/>
          </a:solidFill>
          <a:ln>
            <a:noFill/>
          </a:ln>
          <a:effectLst/>
        </c:spPr>
        <c:marker>
          <c:symbol val="none"/>
        </c:marker>
      </c:pivotFmt>
      <c:pivotFmt>
        <c:idx val="30"/>
        <c:spPr>
          <a:solidFill>
            <a:schemeClr val="accent1"/>
          </a:solidFill>
          <a:ln>
            <a:noFill/>
          </a:ln>
          <a:effectLst/>
        </c:spPr>
        <c:marker>
          <c:symbol val="none"/>
        </c:marker>
      </c:pivotFmt>
      <c:pivotFmt>
        <c:idx val="31"/>
        <c:spPr>
          <a:solidFill>
            <a:schemeClr val="accent1"/>
          </a:solidFill>
          <a:ln>
            <a:noFill/>
          </a:ln>
          <a:effectLst/>
        </c:spPr>
        <c:marker>
          <c:symbol val="none"/>
        </c:marker>
      </c:pivotFmt>
      <c:pivotFmt>
        <c:idx val="32"/>
        <c:spPr>
          <a:solidFill>
            <a:schemeClr val="accent1"/>
          </a:solidFill>
          <a:ln>
            <a:noFill/>
          </a:ln>
          <a:effectLst/>
        </c:spPr>
        <c:marker>
          <c:symbol val="none"/>
        </c:marker>
      </c:pivotFmt>
      <c:pivotFmt>
        <c:idx val="33"/>
        <c:spPr>
          <a:solidFill>
            <a:schemeClr val="accent1"/>
          </a:solidFill>
          <a:ln>
            <a:noFill/>
          </a:ln>
          <a:effectLst/>
        </c:spPr>
        <c:marker>
          <c:symbol val="none"/>
        </c:marker>
      </c:pivotFmt>
      <c:pivotFmt>
        <c:idx val="34"/>
        <c:spPr>
          <a:solidFill>
            <a:schemeClr val="accent1"/>
          </a:solidFill>
          <a:ln>
            <a:noFill/>
          </a:ln>
          <a:effectLst/>
        </c:spPr>
        <c:marker>
          <c:symbol val="none"/>
        </c:marker>
      </c:pivotFmt>
      <c:pivotFmt>
        <c:idx val="35"/>
        <c:spPr>
          <a:solidFill>
            <a:schemeClr val="accent1"/>
          </a:solidFill>
          <a:ln>
            <a:noFill/>
          </a:ln>
          <a:effectLst/>
        </c:spPr>
        <c:marker>
          <c:symbol val="none"/>
        </c:marker>
      </c:pivotFmt>
      <c:pivotFmt>
        <c:idx val="36"/>
        <c:spPr>
          <a:solidFill>
            <a:schemeClr val="accent1"/>
          </a:solidFill>
          <a:ln>
            <a:noFill/>
          </a:ln>
          <a:effectLst/>
        </c:spPr>
        <c:marker>
          <c:symbol val="none"/>
        </c:marker>
      </c:pivotFmt>
      <c:pivotFmt>
        <c:idx val="37"/>
        <c:spPr>
          <a:solidFill>
            <a:schemeClr val="accent1"/>
          </a:solidFill>
          <a:ln>
            <a:noFill/>
          </a:ln>
          <a:effectLst/>
        </c:spPr>
        <c:marker>
          <c:symbol val="none"/>
        </c:marker>
      </c:pivotFmt>
      <c:pivotFmt>
        <c:idx val="38"/>
        <c:spPr>
          <a:solidFill>
            <a:schemeClr val="accent1"/>
          </a:solidFill>
          <a:ln>
            <a:noFill/>
          </a:ln>
          <a:effectLst/>
        </c:spPr>
        <c:marker>
          <c:symbol val="none"/>
        </c:marker>
      </c:pivotFmt>
      <c:pivotFmt>
        <c:idx val="39"/>
        <c:spPr>
          <a:solidFill>
            <a:schemeClr val="accent1"/>
          </a:solidFill>
          <a:ln>
            <a:noFill/>
          </a:ln>
          <a:effectLst/>
        </c:spPr>
        <c:marker>
          <c:symbol val="none"/>
        </c:marker>
      </c:pivotFmt>
      <c:pivotFmt>
        <c:idx val="40"/>
        <c:spPr>
          <a:solidFill>
            <a:schemeClr val="accent1"/>
          </a:solidFill>
          <a:ln>
            <a:noFill/>
          </a:ln>
          <a:effectLst/>
        </c:spPr>
        <c:marker>
          <c:symbol val="none"/>
        </c:marker>
      </c:pivotFmt>
    </c:pivotFmts>
    <c:plotArea>
      <c:layout>
        <c:manualLayout>
          <c:layoutTarget val="inner"/>
          <c:xMode val="edge"/>
          <c:yMode val="edge"/>
          <c:x val="7.9435527289858004E-2"/>
          <c:y val="0.17860529352606674"/>
          <c:w val="0.43964499629853954"/>
          <c:h val="0.70213835836735827"/>
        </c:manualLayout>
      </c:layout>
      <c:barChart>
        <c:barDir val="col"/>
        <c:grouping val="clustered"/>
        <c:varyColors val="0"/>
        <c:ser>
          <c:idx val="0"/>
          <c:order val="0"/>
          <c:tx>
            <c:strRef>
              <c:f>'Pivot - Light'!$B$3:$B$4</c:f>
              <c:strCache>
                <c:ptCount val="1"/>
                <c:pt idx="0">
                  <c:v>Battery Electric</c:v>
                </c:pt>
              </c:strCache>
            </c:strRef>
          </c:tx>
          <c:spPr>
            <a:solidFill>
              <a:srgbClr val="5B9BD5"/>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Light'!$B$5:$B$12</c:f>
              <c:numCache>
                <c:formatCode>General</c:formatCode>
                <c:ptCount val="7"/>
                <c:pt idx="0">
                  <c:v>5498.7980769230771</c:v>
                </c:pt>
                <c:pt idx="1">
                  <c:v>4096.5544871794873</c:v>
                </c:pt>
                <c:pt idx="2">
                  <c:v>310176.28205128212</c:v>
                </c:pt>
                <c:pt idx="3">
                  <c:v>1534605.3685897437</c:v>
                </c:pt>
                <c:pt idx="4">
                  <c:v>4773487.5801282059</c:v>
                </c:pt>
                <c:pt idx="5">
                  <c:v>5113671.875</c:v>
                </c:pt>
                <c:pt idx="6">
                  <c:v>5091897.0352564109</c:v>
                </c:pt>
              </c:numCache>
            </c:numRef>
          </c:val>
          <c:extLst>
            <c:ext xmlns:c16="http://schemas.microsoft.com/office/drawing/2014/chart" uri="{C3380CC4-5D6E-409C-BE32-E72D297353CC}">
              <c16:uniqueId val="{00000000-CABA-47ED-8F66-5411B79E3DF1}"/>
            </c:ext>
          </c:extLst>
        </c:ser>
        <c:ser>
          <c:idx val="1"/>
          <c:order val="1"/>
          <c:tx>
            <c:strRef>
              <c:f>'Pivot - Light'!$C$3:$C$4</c:f>
              <c:strCache>
                <c:ptCount val="1"/>
                <c:pt idx="0">
                  <c:v>Diesel HE</c:v>
                </c:pt>
              </c:strCache>
            </c:strRef>
          </c:tx>
          <c:spPr>
            <a:solidFill>
              <a:srgbClr val="929292"/>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Light'!$C$5:$C$12</c:f>
              <c:numCache>
                <c:formatCode>General</c:formatCode>
                <c:ptCount val="7"/>
                <c:pt idx="0">
                  <c:v>1157421.875</c:v>
                </c:pt>
                <c:pt idx="1">
                  <c:v>3972646.233974359</c:v>
                </c:pt>
                <c:pt idx="2">
                  <c:v>3853475.5608974365</c:v>
                </c:pt>
                <c:pt idx="3">
                  <c:v>2909274.8397435895</c:v>
                </c:pt>
              </c:numCache>
            </c:numRef>
          </c:val>
          <c:extLst>
            <c:ext xmlns:c16="http://schemas.microsoft.com/office/drawing/2014/chart" uri="{C3380CC4-5D6E-409C-BE32-E72D297353CC}">
              <c16:uniqueId val="{00000001-CABA-47ED-8F66-5411B79E3DF1}"/>
            </c:ext>
          </c:extLst>
        </c:ser>
        <c:ser>
          <c:idx val="2"/>
          <c:order val="2"/>
          <c:tx>
            <c:strRef>
              <c:f>'Pivot - Light'!$D$3:$D$4</c:f>
              <c:strCache>
                <c:ptCount val="1"/>
                <c:pt idx="0">
                  <c:v>Diesel ME</c:v>
                </c:pt>
              </c:strCache>
            </c:strRef>
          </c:tx>
          <c:spPr>
            <a:solidFill>
              <a:srgbClr val="E2AA00"/>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Light'!$D$5:$D$12</c:f>
              <c:numCache>
                <c:formatCode>General</c:formatCode>
                <c:ptCount val="7"/>
                <c:pt idx="0">
                  <c:v>1327724.358974359</c:v>
                </c:pt>
              </c:numCache>
            </c:numRef>
          </c:val>
          <c:extLst>
            <c:ext xmlns:c16="http://schemas.microsoft.com/office/drawing/2014/chart" uri="{C3380CC4-5D6E-409C-BE32-E72D297353CC}">
              <c16:uniqueId val="{00000002-CABA-47ED-8F66-5411B79E3DF1}"/>
            </c:ext>
          </c:extLst>
        </c:ser>
        <c:ser>
          <c:idx val="3"/>
          <c:order val="3"/>
          <c:tx>
            <c:strRef>
              <c:f>'Pivot - Light'!$E$3:$E$4</c:f>
              <c:strCache>
                <c:ptCount val="1"/>
                <c:pt idx="0">
                  <c:v>Diesel SE</c:v>
                </c:pt>
              </c:strCache>
            </c:strRef>
          </c:tx>
          <c:spPr>
            <a:solidFill>
              <a:srgbClr val="D26E2A"/>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Light'!$E$5:$E$12</c:f>
              <c:numCache>
                <c:formatCode>General</c:formatCode>
                <c:ptCount val="7"/>
                <c:pt idx="0">
                  <c:v>1282792.467948718</c:v>
                </c:pt>
              </c:numCache>
            </c:numRef>
          </c:val>
          <c:extLst>
            <c:ext xmlns:c16="http://schemas.microsoft.com/office/drawing/2014/chart" uri="{C3380CC4-5D6E-409C-BE32-E72D297353CC}">
              <c16:uniqueId val="{00000003-CABA-47ED-8F66-5411B79E3DF1}"/>
            </c:ext>
          </c:extLst>
        </c:ser>
        <c:ser>
          <c:idx val="4"/>
          <c:order val="4"/>
          <c:tx>
            <c:strRef>
              <c:f>'Pivot - Light'!$F$3:$F$4</c:f>
              <c:strCache>
                <c:ptCount val="1"/>
                <c:pt idx="0">
                  <c:v>Gasoline HE</c:v>
                </c:pt>
              </c:strCache>
            </c:strRef>
          </c:tx>
          <c:spPr>
            <a:solidFill>
              <a:srgbClr val="7030A0"/>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Light'!$F$5:$F$12</c:f>
              <c:numCache>
                <c:formatCode>General</c:formatCode>
                <c:ptCount val="7"/>
                <c:pt idx="0">
                  <c:v>35907.451923076922</c:v>
                </c:pt>
                <c:pt idx="1">
                  <c:v>33143.028846153851</c:v>
                </c:pt>
                <c:pt idx="2">
                  <c:v>30348.557692307691</c:v>
                </c:pt>
              </c:numCache>
            </c:numRef>
          </c:val>
          <c:extLst>
            <c:ext xmlns:c16="http://schemas.microsoft.com/office/drawing/2014/chart" uri="{C3380CC4-5D6E-409C-BE32-E72D297353CC}">
              <c16:uniqueId val="{00000004-CABA-47ED-8F66-5411B79E3DF1}"/>
            </c:ext>
          </c:extLst>
        </c:ser>
        <c:ser>
          <c:idx val="5"/>
          <c:order val="5"/>
          <c:tx>
            <c:strRef>
              <c:f>'Pivot - Light'!$G$3:$G$4</c:f>
              <c:strCache>
                <c:ptCount val="1"/>
                <c:pt idx="0">
                  <c:v>Gasoline Hybrid</c:v>
                </c:pt>
              </c:strCache>
            </c:strRef>
          </c:tx>
          <c:spPr>
            <a:solidFill>
              <a:srgbClr val="FF0000"/>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Light'!$G$5:$G$12</c:f>
              <c:numCache>
                <c:formatCode>General</c:formatCode>
                <c:ptCount val="7"/>
                <c:pt idx="0">
                  <c:v>1592.5480769230771</c:v>
                </c:pt>
                <c:pt idx="1">
                  <c:v>1582.5320512820515</c:v>
                </c:pt>
                <c:pt idx="2">
                  <c:v>1322.1153846153848</c:v>
                </c:pt>
              </c:numCache>
            </c:numRef>
          </c:val>
          <c:extLst>
            <c:ext xmlns:c16="http://schemas.microsoft.com/office/drawing/2014/chart" uri="{C3380CC4-5D6E-409C-BE32-E72D297353CC}">
              <c16:uniqueId val="{00000005-CABA-47ED-8F66-5411B79E3DF1}"/>
            </c:ext>
          </c:extLst>
        </c:ser>
        <c:ser>
          <c:idx val="6"/>
          <c:order val="6"/>
          <c:tx>
            <c:strRef>
              <c:f>'Pivot - Light'!$H$3:$H$4</c:f>
              <c:strCache>
                <c:ptCount val="1"/>
                <c:pt idx="0">
                  <c:v>Gasoline ME</c:v>
                </c:pt>
              </c:strCache>
            </c:strRef>
          </c:tx>
          <c:spPr>
            <a:solidFill>
              <a:srgbClr val="F1A78A"/>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Light'!$H$5:$H$12</c:f>
              <c:numCache>
                <c:formatCode>General</c:formatCode>
                <c:ptCount val="7"/>
                <c:pt idx="0">
                  <c:v>49038.461538461539</c:v>
                </c:pt>
              </c:numCache>
            </c:numRef>
          </c:val>
          <c:extLst>
            <c:ext xmlns:c16="http://schemas.microsoft.com/office/drawing/2014/chart" uri="{C3380CC4-5D6E-409C-BE32-E72D297353CC}">
              <c16:uniqueId val="{00000006-CABA-47ED-8F66-5411B79E3DF1}"/>
            </c:ext>
          </c:extLst>
        </c:ser>
        <c:ser>
          <c:idx val="7"/>
          <c:order val="7"/>
          <c:tx>
            <c:strRef>
              <c:f>'Pivot - Light'!$I$3:$I$4</c:f>
              <c:strCache>
                <c:ptCount val="1"/>
                <c:pt idx="0">
                  <c:v>Gasoline SE</c:v>
                </c:pt>
              </c:strCache>
            </c:strRef>
          </c:tx>
          <c:spPr>
            <a:solidFill>
              <a:srgbClr val="3B64AD"/>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Light'!$I$5:$I$12</c:f>
              <c:numCache>
                <c:formatCode>General</c:formatCode>
                <c:ptCount val="7"/>
                <c:pt idx="0">
                  <c:v>94421.073717948719</c:v>
                </c:pt>
              </c:numCache>
            </c:numRef>
          </c:val>
          <c:extLst>
            <c:ext xmlns:c16="http://schemas.microsoft.com/office/drawing/2014/chart" uri="{C3380CC4-5D6E-409C-BE32-E72D297353CC}">
              <c16:uniqueId val="{00000007-CABA-47ED-8F66-5411B79E3DF1}"/>
            </c:ext>
          </c:extLst>
        </c:ser>
        <c:ser>
          <c:idx val="8"/>
          <c:order val="8"/>
          <c:tx>
            <c:strRef>
              <c:f>'Pivot - Light'!$J$3:$J$4</c:f>
              <c:strCache>
                <c:ptCount val="1"/>
                <c:pt idx="0">
                  <c:v>LPG</c:v>
                </c:pt>
              </c:strCache>
            </c:strRef>
          </c:tx>
          <c:spPr>
            <a:solidFill>
              <a:srgbClr val="62993E"/>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Light'!$J$5:$J$12</c:f>
              <c:numCache>
                <c:formatCode>General</c:formatCode>
                <c:ptCount val="7"/>
                <c:pt idx="0">
                  <c:v>48818.108974358976</c:v>
                </c:pt>
                <c:pt idx="1">
                  <c:v>23387.419871794875</c:v>
                </c:pt>
                <c:pt idx="2">
                  <c:v>12229.567307692309</c:v>
                </c:pt>
              </c:numCache>
            </c:numRef>
          </c:val>
          <c:extLst>
            <c:ext xmlns:c16="http://schemas.microsoft.com/office/drawing/2014/chart" uri="{C3380CC4-5D6E-409C-BE32-E72D297353CC}">
              <c16:uniqueId val="{00000008-CABA-47ED-8F66-5411B79E3DF1}"/>
            </c:ext>
          </c:extLst>
        </c:ser>
        <c:ser>
          <c:idx val="9"/>
          <c:order val="9"/>
          <c:tx>
            <c:strRef>
              <c:f>'Pivot - Light'!$K$3:$K$4</c:f>
              <c:strCache>
                <c:ptCount val="1"/>
                <c:pt idx="0">
                  <c:v>Natural Gas</c:v>
                </c:pt>
              </c:strCache>
            </c:strRef>
          </c:tx>
          <c:spPr>
            <a:solidFill>
              <a:srgbClr val="7030A0"/>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Light'!$K$5:$K$12</c:f>
              <c:numCache>
                <c:formatCode>General</c:formatCode>
                <c:ptCount val="7"/>
                <c:pt idx="0">
                  <c:v>84585.336538461546</c:v>
                </c:pt>
                <c:pt idx="1">
                  <c:v>77884.61538461539</c:v>
                </c:pt>
                <c:pt idx="2">
                  <c:v>73557.692307692312</c:v>
                </c:pt>
              </c:numCache>
            </c:numRef>
          </c:val>
          <c:extLst>
            <c:ext xmlns:c16="http://schemas.microsoft.com/office/drawing/2014/chart" uri="{C3380CC4-5D6E-409C-BE32-E72D297353CC}">
              <c16:uniqueId val="{00000009-CABA-47ED-8F66-5411B79E3DF1}"/>
            </c:ext>
          </c:extLst>
        </c:ser>
        <c:dLbls>
          <c:showLegendKey val="0"/>
          <c:showVal val="0"/>
          <c:showCatName val="0"/>
          <c:showSerName val="0"/>
          <c:showPercent val="0"/>
          <c:showBubbleSize val="0"/>
        </c:dLbls>
        <c:gapWidth val="150"/>
        <c:axId val="949873391"/>
        <c:axId val="949863407"/>
      </c:barChart>
      <c:catAx>
        <c:axId val="949873391"/>
        <c:scaling>
          <c:orientation val="minMax"/>
        </c:scaling>
        <c:delete val="0"/>
        <c:axPos val="b"/>
        <c:numFmt formatCode="General" sourceLinked="1"/>
        <c:majorTickMark val="none"/>
        <c:minorTickMark val="out"/>
        <c:tickLblPos val="nextTo"/>
        <c:spPr>
          <a:noFill/>
          <a:ln w="9525" cap="flat" cmpd="sng" algn="ctr">
            <a:solidFill>
              <a:srgbClr val="898989"/>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949863407"/>
        <c:crosses val="autoZero"/>
        <c:auto val="1"/>
        <c:lblAlgn val="ctr"/>
        <c:lblOffset val="100"/>
        <c:tickLblSkip val="2"/>
        <c:noMultiLvlLbl val="0"/>
      </c:catAx>
      <c:valAx>
        <c:axId val="949863407"/>
        <c:scaling>
          <c:orientation val="minMax"/>
        </c:scaling>
        <c:delete val="0"/>
        <c:axPos val="l"/>
        <c:majorGridlines>
          <c:spPr>
            <a:ln w="9525" cap="flat" cmpd="sng" algn="ctr">
              <a:solidFill>
                <a:srgbClr val="898989"/>
              </a:solidFill>
              <a:round/>
            </a:ln>
            <a:effectLst/>
          </c:spPr>
        </c:majorGridlines>
        <c:numFmt formatCode="General" sourceLinked="1"/>
        <c:majorTickMark val="out"/>
        <c:minorTickMark val="none"/>
        <c:tickLblPos val="nextTo"/>
        <c:spPr>
          <a:noFill/>
          <a:ln>
            <a:solidFill>
              <a:srgbClr val="898989"/>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949873391"/>
        <c:crosses val="autoZero"/>
        <c:crossBetween val="between"/>
        <c:dispUnits>
          <c:builtInUnit val="millions"/>
          <c:dispUnitsLbl>
            <c:layout>
              <c:manualLayout>
                <c:xMode val="edge"/>
                <c:yMode val="edge"/>
                <c:x val="1.0683760683760684E-2"/>
                <c:y val="0.18449110871146993"/>
              </c:manualLayout>
            </c:layout>
            <c:tx>
              <c:rich>
                <a:bodyPr rot="-54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800"/>
                    <a:t>Number</a:t>
                  </a:r>
                  <a:r>
                    <a:rPr lang="en-US" sz="800" baseline="0"/>
                    <a:t> of trucks </a:t>
                  </a:r>
                  <a:r>
                    <a:rPr lang="en-US" sz="800"/>
                    <a:t>(Millions)</a:t>
                  </a:r>
                </a:p>
              </c:rich>
            </c:tx>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ispUnitsLbl>
        </c:dispUnits>
      </c:valAx>
      <c:spPr>
        <a:noFill/>
        <a:ln>
          <a:noFill/>
        </a:ln>
        <a:effectLst/>
      </c:spPr>
    </c:plotArea>
    <c:legend>
      <c:legendPos val="r"/>
      <c:layout>
        <c:manualLayout>
          <c:xMode val="edge"/>
          <c:yMode val="edge"/>
          <c:x val="0.56351689211925438"/>
          <c:y val="0.28610345131225873"/>
          <c:w val="0.4056087219866748"/>
          <c:h val="0.45878446330171063"/>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pivotSource>
    <c:name>[1 - Capacity_Charts.xlsx]Pivot - Light!PivotTable1</c:name>
    <c:fmtId val="-1"/>
  </c:pivotSource>
  <c:chart>
    <c:title>
      <c:tx>
        <c:rich>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900" b="1"/>
              <a:t>Fuel Projections</a:t>
            </a:r>
          </a:p>
        </c:rich>
      </c:tx>
      <c:layout>
        <c:manualLayout>
          <c:xMode val="edge"/>
          <c:yMode val="edge"/>
          <c:x val="0.39360557316687189"/>
          <c:y val="5.0828660621967704E-2"/>
        </c:manualLayout>
      </c:layout>
      <c:overlay val="0"/>
      <c:spPr>
        <a:noFill/>
        <a:ln>
          <a:noFill/>
        </a:ln>
        <a:effectLst/>
      </c:spPr>
      <c:txPr>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pivotFmt>
      <c:pivotFmt>
        <c:idx val="8"/>
        <c:spPr>
          <a:solidFill>
            <a:schemeClr val="accent1"/>
          </a:solidFill>
          <a:ln>
            <a:noFill/>
          </a:ln>
          <a:effectLst/>
        </c:spPr>
        <c:marker>
          <c:symbol val="none"/>
        </c:marker>
      </c:pivotFmt>
      <c:pivotFmt>
        <c:idx val="9"/>
        <c:spPr>
          <a:solidFill>
            <a:schemeClr val="accent1"/>
          </a:solidFill>
          <a:ln>
            <a:noFill/>
          </a:ln>
          <a:effectLst/>
        </c:spPr>
        <c:marker>
          <c:symbol val="none"/>
        </c:marker>
      </c:pivotFmt>
      <c:pivotFmt>
        <c:idx val="10"/>
        <c:spPr>
          <a:solidFill>
            <a:schemeClr val="accent1"/>
          </a:solidFill>
          <a:ln>
            <a:noFill/>
          </a:ln>
          <a:effectLst/>
        </c:spPr>
        <c:marker>
          <c:symbol val="none"/>
        </c:marker>
      </c:pivotFmt>
      <c:pivotFmt>
        <c:idx val="11"/>
        <c:spPr>
          <a:solidFill>
            <a:schemeClr val="accent1"/>
          </a:solidFill>
          <a:ln>
            <a:noFill/>
          </a:ln>
          <a:effectLst/>
        </c:spPr>
        <c:marker>
          <c:symbol val="none"/>
        </c:marker>
      </c:pivotFmt>
      <c:pivotFmt>
        <c:idx val="12"/>
        <c:spPr>
          <a:solidFill>
            <a:schemeClr val="accent1"/>
          </a:solidFill>
          <a:ln>
            <a:noFill/>
          </a:ln>
          <a:effectLst/>
        </c:spPr>
        <c:marker>
          <c:symbol val="none"/>
        </c:marker>
      </c:pivotFmt>
      <c:pivotFmt>
        <c:idx val="13"/>
        <c:spPr>
          <a:solidFill>
            <a:schemeClr val="accent1"/>
          </a:solidFill>
          <a:ln>
            <a:noFill/>
          </a:ln>
          <a:effectLst/>
        </c:spPr>
        <c:marker>
          <c:symbol val="none"/>
        </c:marker>
      </c:pivotFmt>
      <c:pivotFmt>
        <c:idx val="14"/>
        <c:spPr>
          <a:solidFill>
            <a:schemeClr val="accent1"/>
          </a:solidFill>
          <a:ln>
            <a:noFill/>
          </a:ln>
          <a:effectLst/>
        </c:spPr>
        <c:marker>
          <c:symbol val="none"/>
        </c:marker>
      </c:pivotFmt>
      <c:pivotFmt>
        <c:idx val="15"/>
        <c:spPr>
          <a:solidFill>
            <a:schemeClr val="accent1"/>
          </a:solidFill>
          <a:ln>
            <a:noFill/>
          </a:ln>
          <a:effectLst/>
        </c:spPr>
        <c:marker>
          <c:symbol val="none"/>
        </c:marker>
      </c:pivotFmt>
      <c:pivotFmt>
        <c:idx val="16"/>
        <c:spPr>
          <a:solidFill>
            <a:schemeClr val="accent1"/>
          </a:solidFill>
          <a:ln>
            <a:noFill/>
          </a:ln>
          <a:effectLst/>
        </c:spPr>
        <c:marker>
          <c:symbol val="none"/>
        </c:marker>
      </c:pivotFmt>
      <c:pivotFmt>
        <c:idx val="17"/>
        <c:spPr>
          <a:solidFill>
            <a:schemeClr val="accent1"/>
          </a:solidFill>
          <a:ln>
            <a:noFill/>
          </a:ln>
          <a:effectLst/>
        </c:spPr>
        <c:marker>
          <c:symbol val="none"/>
        </c:marker>
      </c:pivotFmt>
      <c:pivotFmt>
        <c:idx val="18"/>
        <c:spPr>
          <a:solidFill>
            <a:schemeClr val="accent1"/>
          </a:solidFill>
          <a:ln>
            <a:noFill/>
          </a:ln>
          <a:effectLst/>
        </c:spPr>
        <c:marker>
          <c:symbol val="none"/>
        </c:marker>
      </c:pivotFmt>
      <c:pivotFmt>
        <c:idx val="19"/>
        <c:spPr>
          <a:solidFill>
            <a:schemeClr val="accent1"/>
          </a:solidFill>
          <a:ln>
            <a:noFill/>
          </a:ln>
          <a:effectLst/>
        </c:spPr>
        <c:marker>
          <c:symbol val="none"/>
        </c:marker>
      </c:pivotFmt>
      <c:pivotFmt>
        <c:idx val="20"/>
        <c:spPr>
          <a:solidFill>
            <a:schemeClr val="accent1"/>
          </a:solidFill>
          <a:ln>
            <a:noFill/>
          </a:ln>
          <a:effectLst/>
        </c:spPr>
        <c:marker>
          <c:symbol val="none"/>
        </c:marker>
      </c:pivotFmt>
      <c:pivotFmt>
        <c:idx val="21"/>
        <c:spPr>
          <a:solidFill>
            <a:schemeClr val="accent1"/>
          </a:solidFill>
          <a:ln>
            <a:noFill/>
          </a:ln>
          <a:effectLst/>
        </c:spPr>
        <c:marker>
          <c:symbol val="none"/>
        </c:marker>
      </c:pivotFmt>
      <c:pivotFmt>
        <c:idx val="22"/>
        <c:spPr>
          <a:solidFill>
            <a:schemeClr val="accent1"/>
          </a:solidFill>
          <a:ln>
            <a:noFill/>
          </a:ln>
          <a:effectLst/>
        </c:spPr>
        <c:marker>
          <c:symbol val="none"/>
        </c:marker>
      </c:pivotFmt>
      <c:pivotFmt>
        <c:idx val="23"/>
        <c:spPr>
          <a:solidFill>
            <a:schemeClr val="accent1"/>
          </a:solidFill>
          <a:ln>
            <a:noFill/>
          </a:ln>
          <a:effectLst/>
        </c:spPr>
        <c:marker>
          <c:symbol val="none"/>
        </c:marker>
      </c:pivotFmt>
      <c:pivotFmt>
        <c:idx val="24"/>
        <c:spPr>
          <a:solidFill>
            <a:schemeClr val="accent1"/>
          </a:solidFill>
          <a:ln>
            <a:noFill/>
          </a:ln>
          <a:effectLst/>
        </c:spPr>
        <c:marker>
          <c:symbol val="none"/>
        </c:marker>
      </c:pivotFmt>
      <c:pivotFmt>
        <c:idx val="25"/>
        <c:spPr>
          <a:solidFill>
            <a:schemeClr val="accent1"/>
          </a:solidFill>
          <a:ln>
            <a:noFill/>
          </a:ln>
          <a:effectLst/>
        </c:spPr>
        <c:marker>
          <c:symbol val="none"/>
        </c:marker>
      </c:pivotFmt>
      <c:pivotFmt>
        <c:idx val="26"/>
        <c:spPr>
          <a:solidFill>
            <a:schemeClr val="accent1"/>
          </a:solidFill>
          <a:ln>
            <a:noFill/>
          </a:ln>
          <a:effectLst/>
        </c:spPr>
        <c:marker>
          <c:symbol val="none"/>
        </c:marker>
      </c:pivotFmt>
      <c:pivotFmt>
        <c:idx val="27"/>
        <c:spPr>
          <a:solidFill>
            <a:schemeClr val="accent1"/>
          </a:solidFill>
          <a:ln>
            <a:noFill/>
          </a:ln>
          <a:effectLst/>
        </c:spPr>
        <c:marker>
          <c:symbol val="none"/>
        </c:marker>
      </c:pivotFmt>
      <c:pivotFmt>
        <c:idx val="28"/>
        <c:spPr>
          <a:solidFill>
            <a:schemeClr val="accent1"/>
          </a:solidFill>
          <a:ln>
            <a:noFill/>
          </a:ln>
          <a:effectLst/>
        </c:spPr>
        <c:marker>
          <c:symbol val="none"/>
        </c:marker>
      </c:pivotFmt>
      <c:pivotFmt>
        <c:idx val="29"/>
        <c:spPr>
          <a:solidFill>
            <a:schemeClr val="accent1"/>
          </a:solidFill>
          <a:ln>
            <a:noFill/>
          </a:ln>
          <a:effectLst/>
        </c:spPr>
        <c:marker>
          <c:symbol val="none"/>
        </c:marker>
      </c:pivotFmt>
      <c:pivotFmt>
        <c:idx val="30"/>
        <c:spPr>
          <a:solidFill>
            <a:schemeClr val="accent1"/>
          </a:solidFill>
          <a:ln>
            <a:noFill/>
          </a:ln>
          <a:effectLst/>
        </c:spPr>
        <c:marker>
          <c:symbol val="none"/>
        </c:marker>
      </c:pivotFmt>
      <c:pivotFmt>
        <c:idx val="31"/>
        <c:spPr>
          <a:solidFill>
            <a:schemeClr val="accent1"/>
          </a:solidFill>
          <a:ln>
            <a:noFill/>
          </a:ln>
          <a:effectLst/>
        </c:spPr>
        <c:marker>
          <c:symbol val="none"/>
        </c:marker>
      </c:pivotFmt>
      <c:pivotFmt>
        <c:idx val="32"/>
        <c:spPr>
          <a:solidFill>
            <a:schemeClr val="accent1"/>
          </a:solidFill>
          <a:ln>
            <a:noFill/>
          </a:ln>
          <a:effectLst/>
        </c:spPr>
        <c:marker>
          <c:symbol val="none"/>
        </c:marker>
      </c:pivotFmt>
      <c:pivotFmt>
        <c:idx val="33"/>
        <c:spPr>
          <a:solidFill>
            <a:schemeClr val="accent1"/>
          </a:solidFill>
          <a:ln>
            <a:noFill/>
          </a:ln>
          <a:effectLst/>
        </c:spPr>
        <c:marker>
          <c:symbol val="none"/>
        </c:marker>
      </c:pivotFmt>
      <c:pivotFmt>
        <c:idx val="34"/>
        <c:spPr>
          <a:solidFill>
            <a:schemeClr val="accent1"/>
          </a:solidFill>
          <a:ln>
            <a:noFill/>
          </a:ln>
          <a:effectLst/>
        </c:spPr>
        <c:marker>
          <c:symbol val="none"/>
        </c:marker>
      </c:pivotFmt>
      <c:pivotFmt>
        <c:idx val="35"/>
        <c:spPr>
          <a:solidFill>
            <a:schemeClr val="accent1"/>
          </a:solidFill>
          <a:ln>
            <a:noFill/>
          </a:ln>
          <a:effectLst/>
        </c:spPr>
        <c:marker>
          <c:symbol val="none"/>
        </c:marker>
      </c:pivotFmt>
      <c:pivotFmt>
        <c:idx val="36"/>
        <c:spPr>
          <a:solidFill>
            <a:schemeClr val="accent1"/>
          </a:solidFill>
          <a:ln>
            <a:noFill/>
          </a:ln>
          <a:effectLst/>
        </c:spPr>
        <c:marker>
          <c:symbol val="none"/>
        </c:marker>
      </c:pivotFmt>
      <c:pivotFmt>
        <c:idx val="37"/>
        <c:spPr>
          <a:solidFill>
            <a:schemeClr val="accent1"/>
          </a:solidFill>
          <a:ln>
            <a:noFill/>
          </a:ln>
          <a:effectLst/>
        </c:spPr>
        <c:marker>
          <c:symbol val="none"/>
        </c:marker>
      </c:pivotFmt>
      <c:pivotFmt>
        <c:idx val="38"/>
        <c:spPr>
          <a:solidFill>
            <a:schemeClr val="accent1"/>
          </a:solidFill>
          <a:ln>
            <a:noFill/>
          </a:ln>
          <a:effectLst/>
        </c:spPr>
        <c:marker>
          <c:symbol val="none"/>
        </c:marker>
      </c:pivotFmt>
      <c:pivotFmt>
        <c:idx val="39"/>
        <c:spPr>
          <a:solidFill>
            <a:schemeClr val="accent1"/>
          </a:solidFill>
          <a:ln>
            <a:noFill/>
          </a:ln>
          <a:effectLst/>
        </c:spPr>
        <c:marker>
          <c:symbol val="none"/>
        </c:marker>
      </c:pivotFmt>
      <c:pivotFmt>
        <c:idx val="40"/>
        <c:spPr>
          <a:solidFill>
            <a:schemeClr val="accent1"/>
          </a:solidFill>
          <a:ln>
            <a:noFill/>
          </a:ln>
          <a:effectLst/>
        </c:spPr>
        <c:marker>
          <c:symbol val="none"/>
        </c:marker>
      </c:pivotFmt>
    </c:pivotFmts>
    <c:plotArea>
      <c:layout>
        <c:manualLayout>
          <c:layoutTarget val="inner"/>
          <c:xMode val="edge"/>
          <c:yMode val="edge"/>
          <c:x val="8.1070879397651049E-2"/>
          <c:y val="0.17860529352606674"/>
          <c:w val="0.88323855351414404"/>
          <c:h val="0.70213835836735827"/>
        </c:manualLayout>
      </c:layout>
      <c:barChart>
        <c:barDir val="col"/>
        <c:grouping val="clustered"/>
        <c:varyColors val="0"/>
        <c:ser>
          <c:idx val="0"/>
          <c:order val="0"/>
          <c:tx>
            <c:strRef>
              <c:f>'Pivot - Light'!$B$3:$B$4</c:f>
              <c:strCache>
                <c:ptCount val="1"/>
                <c:pt idx="0">
                  <c:v>Battery Electric</c:v>
                </c:pt>
              </c:strCache>
            </c:strRef>
          </c:tx>
          <c:spPr>
            <a:solidFill>
              <a:srgbClr val="5B9BD5"/>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Light'!$B$5:$B$12</c:f>
              <c:numCache>
                <c:formatCode>General</c:formatCode>
                <c:ptCount val="7"/>
                <c:pt idx="0">
                  <c:v>5498.7980769230771</c:v>
                </c:pt>
                <c:pt idx="1">
                  <c:v>4096.5544871794873</c:v>
                </c:pt>
                <c:pt idx="2">
                  <c:v>310176.28205128212</c:v>
                </c:pt>
                <c:pt idx="3">
                  <c:v>1534605.3685897437</c:v>
                </c:pt>
                <c:pt idx="4">
                  <c:v>4773487.5801282059</c:v>
                </c:pt>
                <c:pt idx="5">
                  <c:v>5113671.875</c:v>
                </c:pt>
                <c:pt idx="6">
                  <c:v>5091897.0352564109</c:v>
                </c:pt>
              </c:numCache>
            </c:numRef>
          </c:val>
          <c:extLst>
            <c:ext xmlns:c16="http://schemas.microsoft.com/office/drawing/2014/chart" uri="{C3380CC4-5D6E-409C-BE32-E72D297353CC}">
              <c16:uniqueId val="{00000000-5446-4E56-B0D5-1C6973436E69}"/>
            </c:ext>
          </c:extLst>
        </c:ser>
        <c:ser>
          <c:idx val="1"/>
          <c:order val="1"/>
          <c:tx>
            <c:strRef>
              <c:f>'Pivot - Light'!$C$3:$C$4</c:f>
              <c:strCache>
                <c:ptCount val="1"/>
                <c:pt idx="0">
                  <c:v>Diesel HE</c:v>
                </c:pt>
              </c:strCache>
            </c:strRef>
          </c:tx>
          <c:spPr>
            <a:solidFill>
              <a:srgbClr val="929292"/>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Light'!$C$5:$C$12</c:f>
              <c:numCache>
                <c:formatCode>General</c:formatCode>
                <c:ptCount val="7"/>
                <c:pt idx="0">
                  <c:v>1157421.875</c:v>
                </c:pt>
                <c:pt idx="1">
                  <c:v>3972646.233974359</c:v>
                </c:pt>
                <c:pt idx="2">
                  <c:v>3853475.5608974365</c:v>
                </c:pt>
                <c:pt idx="3">
                  <c:v>2909274.8397435895</c:v>
                </c:pt>
              </c:numCache>
            </c:numRef>
          </c:val>
          <c:extLst>
            <c:ext xmlns:c16="http://schemas.microsoft.com/office/drawing/2014/chart" uri="{C3380CC4-5D6E-409C-BE32-E72D297353CC}">
              <c16:uniqueId val="{00000001-5446-4E56-B0D5-1C6973436E69}"/>
            </c:ext>
          </c:extLst>
        </c:ser>
        <c:ser>
          <c:idx val="2"/>
          <c:order val="2"/>
          <c:tx>
            <c:strRef>
              <c:f>'Pivot - Light'!$D$3:$D$4</c:f>
              <c:strCache>
                <c:ptCount val="1"/>
                <c:pt idx="0">
                  <c:v>Diesel ME</c:v>
                </c:pt>
              </c:strCache>
            </c:strRef>
          </c:tx>
          <c:spPr>
            <a:solidFill>
              <a:srgbClr val="E2AA00"/>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Light'!$D$5:$D$12</c:f>
              <c:numCache>
                <c:formatCode>General</c:formatCode>
                <c:ptCount val="7"/>
                <c:pt idx="0">
                  <c:v>1327724.358974359</c:v>
                </c:pt>
              </c:numCache>
            </c:numRef>
          </c:val>
          <c:extLst>
            <c:ext xmlns:c16="http://schemas.microsoft.com/office/drawing/2014/chart" uri="{C3380CC4-5D6E-409C-BE32-E72D297353CC}">
              <c16:uniqueId val="{00000002-5446-4E56-B0D5-1C6973436E69}"/>
            </c:ext>
          </c:extLst>
        </c:ser>
        <c:ser>
          <c:idx val="3"/>
          <c:order val="3"/>
          <c:tx>
            <c:strRef>
              <c:f>'Pivot - Light'!$E$3:$E$4</c:f>
              <c:strCache>
                <c:ptCount val="1"/>
                <c:pt idx="0">
                  <c:v>Diesel SE</c:v>
                </c:pt>
              </c:strCache>
            </c:strRef>
          </c:tx>
          <c:spPr>
            <a:solidFill>
              <a:srgbClr val="D26E2A"/>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Light'!$E$5:$E$12</c:f>
              <c:numCache>
                <c:formatCode>General</c:formatCode>
                <c:ptCount val="7"/>
                <c:pt idx="0">
                  <c:v>1282792.467948718</c:v>
                </c:pt>
              </c:numCache>
            </c:numRef>
          </c:val>
          <c:extLst>
            <c:ext xmlns:c16="http://schemas.microsoft.com/office/drawing/2014/chart" uri="{C3380CC4-5D6E-409C-BE32-E72D297353CC}">
              <c16:uniqueId val="{00000003-5446-4E56-B0D5-1C6973436E69}"/>
            </c:ext>
          </c:extLst>
        </c:ser>
        <c:ser>
          <c:idx val="4"/>
          <c:order val="4"/>
          <c:tx>
            <c:strRef>
              <c:f>'Pivot - Light'!$F$3:$F$4</c:f>
              <c:strCache>
                <c:ptCount val="1"/>
                <c:pt idx="0">
                  <c:v>Gasoline HE</c:v>
                </c:pt>
              </c:strCache>
            </c:strRef>
          </c:tx>
          <c:spPr>
            <a:solidFill>
              <a:srgbClr val="7030A0"/>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Light'!$F$5:$F$12</c:f>
              <c:numCache>
                <c:formatCode>General</c:formatCode>
                <c:ptCount val="7"/>
                <c:pt idx="0">
                  <c:v>35907.451923076922</c:v>
                </c:pt>
                <c:pt idx="1">
                  <c:v>33143.028846153851</c:v>
                </c:pt>
                <c:pt idx="2">
                  <c:v>30348.557692307691</c:v>
                </c:pt>
              </c:numCache>
            </c:numRef>
          </c:val>
          <c:extLst>
            <c:ext xmlns:c16="http://schemas.microsoft.com/office/drawing/2014/chart" uri="{C3380CC4-5D6E-409C-BE32-E72D297353CC}">
              <c16:uniqueId val="{00000004-5446-4E56-B0D5-1C6973436E69}"/>
            </c:ext>
          </c:extLst>
        </c:ser>
        <c:ser>
          <c:idx val="5"/>
          <c:order val="5"/>
          <c:tx>
            <c:strRef>
              <c:f>'Pivot - Light'!$G$3:$G$4</c:f>
              <c:strCache>
                <c:ptCount val="1"/>
                <c:pt idx="0">
                  <c:v>Gasoline Hybrid</c:v>
                </c:pt>
              </c:strCache>
            </c:strRef>
          </c:tx>
          <c:spPr>
            <a:solidFill>
              <a:srgbClr val="FF0000"/>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Light'!$G$5:$G$12</c:f>
              <c:numCache>
                <c:formatCode>General</c:formatCode>
                <c:ptCount val="7"/>
                <c:pt idx="0">
                  <c:v>1592.5480769230771</c:v>
                </c:pt>
                <c:pt idx="1">
                  <c:v>1582.5320512820515</c:v>
                </c:pt>
                <c:pt idx="2">
                  <c:v>1322.1153846153848</c:v>
                </c:pt>
              </c:numCache>
            </c:numRef>
          </c:val>
          <c:extLst>
            <c:ext xmlns:c16="http://schemas.microsoft.com/office/drawing/2014/chart" uri="{C3380CC4-5D6E-409C-BE32-E72D297353CC}">
              <c16:uniqueId val="{00000005-5446-4E56-B0D5-1C6973436E69}"/>
            </c:ext>
          </c:extLst>
        </c:ser>
        <c:ser>
          <c:idx val="6"/>
          <c:order val="6"/>
          <c:tx>
            <c:strRef>
              <c:f>'Pivot - Light'!$H$3:$H$4</c:f>
              <c:strCache>
                <c:ptCount val="1"/>
                <c:pt idx="0">
                  <c:v>Gasoline ME</c:v>
                </c:pt>
              </c:strCache>
            </c:strRef>
          </c:tx>
          <c:spPr>
            <a:solidFill>
              <a:srgbClr val="F1A78A"/>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Light'!$H$5:$H$12</c:f>
              <c:numCache>
                <c:formatCode>General</c:formatCode>
                <c:ptCount val="7"/>
                <c:pt idx="0">
                  <c:v>49038.461538461539</c:v>
                </c:pt>
              </c:numCache>
            </c:numRef>
          </c:val>
          <c:extLst>
            <c:ext xmlns:c16="http://schemas.microsoft.com/office/drawing/2014/chart" uri="{C3380CC4-5D6E-409C-BE32-E72D297353CC}">
              <c16:uniqueId val="{00000006-5446-4E56-B0D5-1C6973436E69}"/>
            </c:ext>
          </c:extLst>
        </c:ser>
        <c:ser>
          <c:idx val="7"/>
          <c:order val="7"/>
          <c:tx>
            <c:strRef>
              <c:f>'Pivot - Light'!$I$3:$I$4</c:f>
              <c:strCache>
                <c:ptCount val="1"/>
                <c:pt idx="0">
                  <c:v>Gasoline SE</c:v>
                </c:pt>
              </c:strCache>
            </c:strRef>
          </c:tx>
          <c:spPr>
            <a:solidFill>
              <a:srgbClr val="3B64AD"/>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Light'!$I$5:$I$12</c:f>
              <c:numCache>
                <c:formatCode>General</c:formatCode>
                <c:ptCount val="7"/>
                <c:pt idx="0">
                  <c:v>94421.073717948719</c:v>
                </c:pt>
              </c:numCache>
            </c:numRef>
          </c:val>
          <c:extLst>
            <c:ext xmlns:c16="http://schemas.microsoft.com/office/drawing/2014/chart" uri="{C3380CC4-5D6E-409C-BE32-E72D297353CC}">
              <c16:uniqueId val="{00000007-5446-4E56-B0D5-1C6973436E69}"/>
            </c:ext>
          </c:extLst>
        </c:ser>
        <c:ser>
          <c:idx val="8"/>
          <c:order val="8"/>
          <c:tx>
            <c:strRef>
              <c:f>'Pivot - Light'!$J$3:$J$4</c:f>
              <c:strCache>
                <c:ptCount val="1"/>
                <c:pt idx="0">
                  <c:v>LPG</c:v>
                </c:pt>
              </c:strCache>
            </c:strRef>
          </c:tx>
          <c:spPr>
            <a:solidFill>
              <a:srgbClr val="62993E"/>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Light'!$J$5:$J$12</c:f>
              <c:numCache>
                <c:formatCode>General</c:formatCode>
                <c:ptCount val="7"/>
                <c:pt idx="0">
                  <c:v>48818.108974358976</c:v>
                </c:pt>
                <c:pt idx="1">
                  <c:v>23387.419871794875</c:v>
                </c:pt>
                <c:pt idx="2">
                  <c:v>12229.567307692309</c:v>
                </c:pt>
              </c:numCache>
            </c:numRef>
          </c:val>
          <c:extLst>
            <c:ext xmlns:c16="http://schemas.microsoft.com/office/drawing/2014/chart" uri="{C3380CC4-5D6E-409C-BE32-E72D297353CC}">
              <c16:uniqueId val="{00000008-5446-4E56-B0D5-1C6973436E69}"/>
            </c:ext>
          </c:extLst>
        </c:ser>
        <c:ser>
          <c:idx val="9"/>
          <c:order val="9"/>
          <c:tx>
            <c:strRef>
              <c:f>'Pivot - Light'!$K$3:$K$4</c:f>
              <c:strCache>
                <c:ptCount val="1"/>
                <c:pt idx="0">
                  <c:v>Natural Gas</c:v>
                </c:pt>
              </c:strCache>
            </c:strRef>
          </c:tx>
          <c:spPr>
            <a:solidFill>
              <a:srgbClr val="7030A0"/>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Light'!$K$5:$K$12</c:f>
              <c:numCache>
                <c:formatCode>General</c:formatCode>
                <c:ptCount val="7"/>
                <c:pt idx="0">
                  <c:v>84585.336538461546</c:v>
                </c:pt>
                <c:pt idx="1">
                  <c:v>77884.61538461539</c:v>
                </c:pt>
                <c:pt idx="2">
                  <c:v>73557.692307692312</c:v>
                </c:pt>
              </c:numCache>
            </c:numRef>
          </c:val>
          <c:extLst>
            <c:ext xmlns:c16="http://schemas.microsoft.com/office/drawing/2014/chart" uri="{C3380CC4-5D6E-409C-BE32-E72D297353CC}">
              <c16:uniqueId val="{00000009-5446-4E56-B0D5-1C6973436E69}"/>
            </c:ext>
          </c:extLst>
        </c:ser>
        <c:dLbls>
          <c:showLegendKey val="0"/>
          <c:showVal val="0"/>
          <c:showCatName val="0"/>
          <c:showSerName val="0"/>
          <c:showPercent val="0"/>
          <c:showBubbleSize val="0"/>
        </c:dLbls>
        <c:gapWidth val="150"/>
        <c:axId val="949873391"/>
        <c:axId val="949863407"/>
      </c:barChart>
      <c:catAx>
        <c:axId val="949873391"/>
        <c:scaling>
          <c:orientation val="minMax"/>
        </c:scaling>
        <c:delete val="0"/>
        <c:axPos val="b"/>
        <c:numFmt formatCode="General" sourceLinked="1"/>
        <c:majorTickMark val="none"/>
        <c:minorTickMark val="out"/>
        <c:tickLblPos val="nextTo"/>
        <c:spPr>
          <a:noFill/>
          <a:ln w="6350" cap="flat" cmpd="sng" algn="ctr">
            <a:solidFill>
              <a:srgbClr val="898989"/>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949863407"/>
        <c:crosses val="autoZero"/>
        <c:auto val="1"/>
        <c:lblAlgn val="ctr"/>
        <c:lblOffset val="100"/>
        <c:tickLblSkip val="2"/>
        <c:noMultiLvlLbl val="0"/>
      </c:catAx>
      <c:valAx>
        <c:axId val="949863407"/>
        <c:scaling>
          <c:orientation val="minMax"/>
        </c:scaling>
        <c:delete val="1"/>
        <c:axPos val="l"/>
        <c:majorGridlines>
          <c:spPr>
            <a:ln w="6350" cap="flat" cmpd="sng" algn="ctr">
              <a:solidFill>
                <a:srgbClr val="898989"/>
              </a:solidFill>
              <a:round/>
            </a:ln>
            <a:effectLst/>
          </c:spPr>
        </c:majorGridlines>
        <c:numFmt formatCode="General" sourceLinked="1"/>
        <c:majorTickMark val="out"/>
        <c:minorTickMark val="none"/>
        <c:tickLblPos val="nextTo"/>
        <c:crossAx val="949873391"/>
        <c:crosses val="autoZero"/>
        <c:crossBetween val="between"/>
        <c:dispUnits>
          <c:builtInUnit val="millions"/>
        </c:dispUnits>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Visible val="1"/>
      </c14:pivotOptions>
    </c:ext>
    <c:ext xmlns:c16="http://schemas.microsoft.com/office/drawing/2014/chart" uri="{E28EC0CA-F0BB-4C9C-879D-F8772B89E7AC}">
      <c16:pivotOptions16>
        <c16:showExpandCollapseFieldButtons val="1"/>
      </c16:pivotOptions16>
    </c:ext>
  </c:extLst>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pivotSource>
    <c:name>[1 - Capacity_Charts.xlsx]Pivot - Light!PivotTable1</c:name>
    <c:fmtId val="-1"/>
  </c:pivotSource>
  <c:chart>
    <c:title>
      <c:tx>
        <c:rich>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900" b="1"/>
              <a:t>Carbon</a:t>
            </a:r>
            <a:r>
              <a:rPr lang="en-US" sz="900" b="1" baseline="0"/>
              <a:t> Price</a:t>
            </a:r>
            <a:endParaRPr lang="en-US" sz="900" b="1"/>
          </a:p>
        </c:rich>
      </c:tx>
      <c:layout>
        <c:manualLayout>
          <c:xMode val="edge"/>
          <c:yMode val="edge"/>
          <c:x val="0.44832309520219138"/>
          <c:y val="5.0834128688459407E-2"/>
        </c:manualLayout>
      </c:layout>
      <c:overlay val="0"/>
      <c:spPr>
        <a:noFill/>
        <a:ln>
          <a:noFill/>
        </a:ln>
        <a:effectLst/>
      </c:spPr>
      <c:txPr>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pivotFmt>
      <c:pivotFmt>
        <c:idx val="8"/>
        <c:spPr>
          <a:solidFill>
            <a:schemeClr val="accent1"/>
          </a:solidFill>
          <a:ln>
            <a:noFill/>
          </a:ln>
          <a:effectLst/>
        </c:spPr>
        <c:marker>
          <c:symbol val="none"/>
        </c:marker>
      </c:pivotFmt>
      <c:pivotFmt>
        <c:idx val="9"/>
        <c:spPr>
          <a:solidFill>
            <a:schemeClr val="accent1"/>
          </a:solidFill>
          <a:ln>
            <a:noFill/>
          </a:ln>
          <a:effectLst/>
        </c:spPr>
        <c:marker>
          <c:symbol val="none"/>
        </c:marker>
      </c:pivotFmt>
      <c:pivotFmt>
        <c:idx val="10"/>
        <c:spPr>
          <a:solidFill>
            <a:schemeClr val="accent1"/>
          </a:solidFill>
          <a:ln>
            <a:noFill/>
          </a:ln>
          <a:effectLst/>
        </c:spPr>
        <c:marker>
          <c:symbol val="none"/>
        </c:marker>
      </c:pivotFmt>
      <c:pivotFmt>
        <c:idx val="11"/>
        <c:spPr>
          <a:solidFill>
            <a:schemeClr val="accent1"/>
          </a:solidFill>
          <a:ln>
            <a:noFill/>
          </a:ln>
          <a:effectLst/>
        </c:spPr>
        <c:marker>
          <c:symbol val="none"/>
        </c:marker>
      </c:pivotFmt>
      <c:pivotFmt>
        <c:idx val="12"/>
        <c:spPr>
          <a:solidFill>
            <a:schemeClr val="accent1"/>
          </a:solidFill>
          <a:ln>
            <a:noFill/>
          </a:ln>
          <a:effectLst/>
        </c:spPr>
        <c:marker>
          <c:symbol val="none"/>
        </c:marker>
      </c:pivotFmt>
      <c:pivotFmt>
        <c:idx val="13"/>
        <c:spPr>
          <a:solidFill>
            <a:schemeClr val="accent1"/>
          </a:solidFill>
          <a:ln>
            <a:noFill/>
          </a:ln>
          <a:effectLst/>
        </c:spPr>
        <c:marker>
          <c:symbol val="none"/>
        </c:marker>
      </c:pivotFmt>
      <c:pivotFmt>
        <c:idx val="14"/>
        <c:spPr>
          <a:solidFill>
            <a:schemeClr val="accent1"/>
          </a:solidFill>
          <a:ln>
            <a:noFill/>
          </a:ln>
          <a:effectLst/>
        </c:spPr>
        <c:marker>
          <c:symbol val="none"/>
        </c:marker>
      </c:pivotFmt>
      <c:pivotFmt>
        <c:idx val="15"/>
        <c:spPr>
          <a:solidFill>
            <a:schemeClr val="accent1"/>
          </a:solidFill>
          <a:ln>
            <a:noFill/>
          </a:ln>
          <a:effectLst/>
        </c:spPr>
        <c:marker>
          <c:symbol val="none"/>
        </c:marker>
      </c:pivotFmt>
      <c:pivotFmt>
        <c:idx val="16"/>
        <c:spPr>
          <a:solidFill>
            <a:schemeClr val="accent1"/>
          </a:solidFill>
          <a:ln>
            <a:noFill/>
          </a:ln>
          <a:effectLst/>
        </c:spPr>
        <c:marker>
          <c:symbol val="none"/>
        </c:marker>
      </c:pivotFmt>
      <c:pivotFmt>
        <c:idx val="17"/>
        <c:spPr>
          <a:solidFill>
            <a:schemeClr val="accent1"/>
          </a:solidFill>
          <a:ln>
            <a:noFill/>
          </a:ln>
          <a:effectLst/>
        </c:spPr>
        <c:marker>
          <c:symbol val="none"/>
        </c:marker>
      </c:pivotFmt>
      <c:pivotFmt>
        <c:idx val="18"/>
        <c:spPr>
          <a:solidFill>
            <a:schemeClr val="accent1"/>
          </a:solidFill>
          <a:ln>
            <a:noFill/>
          </a:ln>
          <a:effectLst/>
        </c:spPr>
        <c:marker>
          <c:symbol val="none"/>
        </c:marker>
      </c:pivotFmt>
      <c:pivotFmt>
        <c:idx val="19"/>
        <c:spPr>
          <a:solidFill>
            <a:schemeClr val="accent1"/>
          </a:solidFill>
          <a:ln>
            <a:noFill/>
          </a:ln>
          <a:effectLst/>
        </c:spPr>
        <c:marker>
          <c:symbol val="none"/>
        </c:marker>
      </c:pivotFmt>
      <c:pivotFmt>
        <c:idx val="20"/>
        <c:spPr>
          <a:solidFill>
            <a:schemeClr val="accent1"/>
          </a:solidFill>
          <a:ln>
            <a:noFill/>
          </a:ln>
          <a:effectLst/>
        </c:spPr>
        <c:marker>
          <c:symbol val="none"/>
        </c:marker>
      </c:pivotFmt>
      <c:pivotFmt>
        <c:idx val="21"/>
        <c:spPr>
          <a:solidFill>
            <a:schemeClr val="accent1"/>
          </a:solidFill>
          <a:ln>
            <a:noFill/>
          </a:ln>
          <a:effectLst/>
        </c:spPr>
        <c:marker>
          <c:symbol val="none"/>
        </c:marker>
      </c:pivotFmt>
      <c:pivotFmt>
        <c:idx val="22"/>
        <c:spPr>
          <a:solidFill>
            <a:schemeClr val="accent1"/>
          </a:solidFill>
          <a:ln>
            <a:noFill/>
          </a:ln>
          <a:effectLst/>
        </c:spPr>
        <c:marker>
          <c:symbol val="none"/>
        </c:marker>
      </c:pivotFmt>
      <c:pivotFmt>
        <c:idx val="23"/>
        <c:spPr>
          <a:solidFill>
            <a:schemeClr val="accent1"/>
          </a:solidFill>
          <a:ln>
            <a:noFill/>
          </a:ln>
          <a:effectLst/>
        </c:spPr>
        <c:marker>
          <c:symbol val="none"/>
        </c:marker>
      </c:pivotFmt>
      <c:pivotFmt>
        <c:idx val="24"/>
        <c:spPr>
          <a:solidFill>
            <a:schemeClr val="accent1"/>
          </a:solidFill>
          <a:ln>
            <a:noFill/>
          </a:ln>
          <a:effectLst/>
        </c:spPr>
        <c:marker>
          <c:symbol val="none"/>
        </c:marker>
      </c:pivotFmt>
      <c:pivotFmt>
        <c:idx val="25"/>
        <c:spPr>
          <a:solidFill>
            <a:schemeClr val="accent1"/>
          </a:solidFill>
          <a:ln>
            <a:noFill/>
          </a:ln>
          <a:effectLst/>
        </c:spPr>
        <c:marker>
          <c:symbol val="none"/>
        </c:marker>
      </c:pivotFmt>
      <c:pivotFmt>
        <c:idx val="26"/>
        <c:spPr>
          <a:solidFill>
            <a:schemeClr val="accent1"/>
          </a:solidFill>
          <a:ln>
            <a:noFill/>
          </a:ln>
          <a:effectLst/>
        </c:spPr>
        <c:marker>
          <c:symbol val="none"/>
        </c:marker>
      </c:pivotFmt>
      <c:pivotFmt>
        <c:idx val="27"/>
        <c:spPr>
          <a:solidFill>
            <a:schemeClr val="accent1"/>
          </a:solidFill>
          <a:ln>
            <a:noFill/>
          </a:ln>
          <a:effectLst/>
        </c:spPr>
        <c:marker>
          <c:symbol val="none"/>
        </c:marker>
      </c:pivotFmt>
      <c:pivotFmt>
        <c:idx val="28"/>
        <c:spPr>
          <a:solidFill>
            <a:schemeClr val="accent1"/>
          </a:solidFill>
          <a:ln>
            <a:noFill/>
          </a:ln>
          <a:effectLst/>
        </c:spPr>
        <c:marker>
          <c:symbol val="none"/>
        </c:marker>
      </c:pivotFmt>
      <c:pivotFmt>
        <c:idx val="29"/>
        <c:spPr>
          <a:solidFill>
            <a:schemeClr val="accent1"/>
          </a:solidFill>
          <a:ln>
            <a:noFill/>
          </a:ln>
          <a:effectLst/>
        </c:spPr>
        <c:marker>
          <c:symbol val="none"/>
        </c:marker>
      </c:pivotFmt>
      <c:pivotFmt>
        <c:idx val="30"/>
        <c:spPr>
          <a:solidFill>
            <a:schemeClr val="accent1"/>
          </a:solidFill>
          <a:ln>
            <a:noFill/>
          </a:ln>
          <a:effectLst/>
        </c:spPr>
        <c:marker>
          <c:symbol val="none"/>
        </c:marker>
      </c:pivotFmt>
      <c:pivotFmt>
        <c:idx val="31"/>
        <c:spPr>
          <a:solidFill>
            <a:schemeClr val="accent1"/>
          </a:solidFill>
          <a:ln>
            <a:noFill/>
          </a:ln>
          <a:effectLst/>
        </c:spPr>
        <c:marker>
          <c:symbol val="none"/>
        </c:marker>
      </c:pivotFmt>
      <c:pivotFmt>
        <c:idx val="32"/>
        <c:spPr>
          <a:solidFill>
            <a:schemeClr val="accent1"/>
          </a:solidFill>
          <a:ln>
            <a:noFill/>
          </a:ln>
          <a:effectLst/>
        </c:spPr>
        <c:marker>
          <c:symbol val="none"/>
        </c:marker>
      </c:pivotFmt>
      <c:pivotFmt>
        <c:idx val="33"/>
        <c:spPr>
          <a:solidFill>
            <a:schemeClr val="accent1"/>
          </a:solidFill>
          <a:ln>
            <a:noFill/>
          </a:ln>
          <a:effectLst/>
        </c:spPr>
        <c:marker>
          <c:symbol val="none"/>
        </c:marker>
      </c:pivotFmt>
      <c:pivotFmt>
        <c:idx val="34"/>
        <c:spPr>
          <a:solidFill>
            <a:schemeClr val="accent1"/>
          </a:solidFill>
          <a:ln>
            <a:noFill/>
          </a:ln>
          <a:effectLst/>
        </c:spPr>
        <c:marker>
          <c:symbol val="none"/>
        </c:marker>
      </c:pivotFmt>
      <c:pivotFmt>
        <c:idx val="35"/>
        <c:spPr>
          <a:solidFill>
            <a:schemeClr val="accent1"/>
          </a:solidFill>
          <a:ln>
            <a:noFill/>
          </a:ln>
          <a:effectLst/>
        </c:spPr>
        <c:marker>
          <c:symbol val="none"/>
        </c:marker>
      </c:pivotFmt>
      <c:pivotFmt>
        <c:idx val="36"/>
        <c:spPr>
          <a:solidFill>
            <a:schemeClr val="accent1"/>
          </a:solidFill>
          <a:ln>
            <a:noFill/>
          </a:ln>
          <a:effectLst/>
        </c:spPr>
        <c:marker>
          <c:symbol val="none"/>
        </c:marker>
      </c:pivotFmt>
      <c:pivotFmt>
        <c:idx val="37"/>
        <c:spPr>
          <a:solidFill>
            <a:schemeClr val="accent1"/>
          </a:solidFill>
          <a:ln>
            <a:noFill/>
          </a:ln>
          <a:effectLst/>
        </c:spPr>
        <c:marker>
          <c:symbol val="none"/>
        </c:marker>
      </c:pivotFmt>
      <c:pivotFmt>
        <c:idx val="38"/>
        <c:spPr>
          <a:solidFill>
            <a:schemeClr val="accent1"/>
          </a:solidFill>
          <a:ln>
            <a:noFill/>
          </a:ln>
          <a:effectLst/>
        </c:spPr>
        <c:marker>
          <c:symbol val="none"/>
        </c:marker>
      </c:pivotFmt>
      <c:pivotFmt>
        <c:idx val="39"/>
        <c:spPr>
          <a:solidFill>
            <a:schemeClr val="accent1"/>
          </a:solidFill>
          <a:ln>
            <a:noFill/>
          </a:ln>
          <a:effectLst/>
        </c:spPr>
        <c:marker>
          <c:symbol val="none"/>
        </c:marker>
      </c:pivotFmt>
      <c:pivotFmt>
        <c:idx val="40"/>
        <c:spPr>
          <a:solidFill>
            <a:schemeClr val="accent1"/>
          </a:solidFill>
          <a:ln>
            <a:noFill/>
          </a:ln>
          <a:effectLst/>
        </c:spPr>
        <c:marker>
          <c:symbol val="none"/>
        </c:marker>
      </c:pivotFmt>
    </c:pivotFmts>
    <c:plotArea>
      <c:layout>
        <c:manualLayout>
          <c:layoutTarget val="inner"/>
          <c:xMode val="edge"/>
          <c:yMode val="edge"/>
          <c:x val="0.15682858379973377"/>
          <c:y val="0.17860529352606674"/>
          <c:w val="0.83813390381846109"/>
          <c:h val="0.70213835836735827"/>
        </c:manualLayout>
      </c:layout>
      <c:barChart>
        <c:barDir val="col"/>
        <c:grouping val="clustered"/>
        <c:varyColors val="0"/>
        <c:ser>
          <c:idx val="0"/>
          <c:order val="0"/>
          <c:tx>
            <c:strRef>
              <c:f>'Pivot - Light'!$B$3:$B$4</c:f>
              <c:strCache>
                <c:ptCount val="1"/>
                <c:pt idx="0">
                  <c:v>Battery Electric</c:v>
                </c:pt>
              </c:strCache>
            </c:strRef>
          </c:tx>
          <c:spPr>
            <a:solidFill>
              <a:srgbClr val="5B9BD5"/>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Light'!$B$5:$B$12</c:f>
              <c:numCache>
                <c:formatCode>General</c:formatCode>
                <c:ptCount val="7"/>
                <c:pt idx="0">
                  <c:v>5498.7980769230771</c:v>
                </c:pt>
                <c:pt idx="1">
                  <c:v>4096.5544871794873</c:v>
                </c:pt>
                <c:pt idx="2">
                  <c:v>310176.28205128212</c:v>
                </c:pt>
                <c:pt idx="3">
                  <c:v>1534605.3685897437</c:v>
                </c:pt>
                <c:pt idx="4">
                  <c:v>4773487.5801282059</c:v>
                </c:pt>
                <c:pt idx="5">
                  <c:v>5113671.875</c:v>
                </c:pt>
                <c:pt idx="6">
                  <c:v>5091897.0352564109</c:v>
                </c:pt>
              </c:numCache>
            </c:numRef>
          </c:val>
          <c:extLst>
            <c:ext xmlns:c16="http://schemas.microsoft.com/office/drawing/2014/chart" uri="{C3380CC4-5D6E-409C-BE32-E72D297353CC}">
              <c16:uniqueId val="{00000000-009E-4C61-9890-22418EA97AC7}"/>
            </c:ext>
          </c:extLst>
        </c:ser>
        <c:ser>
          <c:idx val="1"/>
          <c:order val="1"/>
          <c:tx>
            <c:strRef>
              <c:f>'Pivot - Light'!$C$3:$C$4</c:f>
              <c:strCache>
                <c:ptCount val="1"/>
                <c:pt idx="0">
                  <c:v>Diesel HE</c:v>
                </c:pt>
              </c:strCache>
            </c:strRef>
          </c:tx>
          <c:spPr>
            <a:solidFill>
              <a:srgbClr val="929292"/>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Light'!$C$5:$C$12</c:f>
              <c:numCache>
                <c:formatCode>General</c:formatCode>
                <c:ptCount val="7"/>
                <c:pt idx="0">
                  <c:v>1157421.875</c:v>
                </c:pt>
                <c:pt idx="1">
                  <c:v>3972646.233974359</c:v>
                </c:pt>
                <c:pt idx="2">
                  <c:v>3853475.5608974365</c:v>
                </c:pt>
                <c:pt idx="3">
                  <c:v>2909274.8397435895</c:v>
                </c:pt>
              </c:numCache>
            </c:numRef>
          </c:val>
          <c:extLst>
            <c:ext xmlns:c16="http://schemas.microsoft.com/office/drawing/2014/chart" uri="{C3380CC4-5D6E-409C-BE32-E72D297353CC}">
              <c16:uniqueId val="{00000001-009E-4C61-9890-22418EA97AC7}"/>
            </c:ext>
          </c:extLst>
        </c:ser>
        <c:ser>
          <c:idx val="2"/>
          <c:order val="2"/>
          <c:tx>
            <c:strRef>
              <c:f>'Pivot - Light'!$D$3:$D$4</c:f>
              <c:strCache>
                <c:ptCount val="1"/>
                <c:pt idx="0">
                  <c:v>Diesel ME</c:v>
                </c:pt>
              </c:strCache>
            </c:strRef>
          </c:tx>
          <c:spPr>
            <a:solidFill>
              <a:srgbClr val="E2AA00"/>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Light'!$D$5:$D$12</c:f>
              <c:numCache>
                <c:formatCode>General</c:formatCode>
                <c:ptCount val="7"/>
                <c:pt idx="0">
                  <c:v>1327724.358974359</c:v>
                </c:pt>
              </c:numCache>
            </c:numRef>
          </c:val>
          <c:extLst>
            <c:ext xmlns:c16="http://schemas.microsoft.com/office/drawing/2014/chart" uri="{C3380CC4-5D6E-409C-BE32-E72D297353CC}">
              <c16:uniqueId val="{00000002-009E-4C61-9890-22418EA97AC7}"/>
            </c:ext>
          </c:extLst>
        </c:ser>
        <c:ser>
          <c:idx val="3"/>
          <c:order val="3"/>
          <c:tx>
            <c:strRef>
              <c:f>'Pivot - Light'!$E$3:$E$4</c:f>
              <c:strCache>
                <c:ptCount val="1"/>
                <c:pt idx="0">
                  <c:v>Diesel SE</c:v>
                </c:pt>
              </c:strCache>
            </c:strRef>
          </c:tx>
          <c:spPr>
            <a:solidFill>
              <a:srgbClr val="D26E2A"/>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Light'!$E$5:$E$12</c:f>
              <c:numCache>
                <c:formatCode>General</c:formatCode>
                <c:ptCount val="7"/>
                <c:pt idx="0">
                  <c:v>1282792.467948718</c:v>
                </c:pt>
              </c:numCache>
            </c:numRef>
          </c:val>
          <c:extLst>
            <c:ext xmlns:c16="http://schemas.microsoft.com/office/drawing/2014/chart" uri="{C3380CC4-5D6E-409C-BE32-E72D297353CC}">
              <c16:uniqueId val="{00000003-009E-4C61-9890-22418EA97AC7}"/>
            </c:ext>
          </c:extLst>
        </c:ser>
        <c:ser>
          <c:idx val="4"/>
          <c:order val="4"/>
          <c:tx>
            <c:strRef>
              <c:f>'Pivot - Light'!$F$3:$F$4</c:f>
              <c:strCache>
                <c:ptCount val="1"/>
                <c:pt idx="0">
                  <c:v>Gasoline HE</c:v>
                </c:pt>
              </c:strCache>
            </c:strRef>
          </c:tx>
          <c:spPr>
            <a:solidFill>
              <a:srgbClr val="7030A0"/>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Light'!$F$5:$F$12</c:f>
              <c:numCache>
                <c:formatCode>General</c:formatCode>
                <c:ptCount val="7"/>
                <c:pt idx="0">
                  <c:v>35907.451923076922</c:v>
                </c:pt>
                <c:pt idx="1">
                  <c:v>33143.028846153851</c:v>
                </c:pt>
                <c:pt idx="2">
                  <c:v>30348.557692307691</c:v>
                </c:pt>
              </c:numCache>
            </c:numRef>
          </c:val>
          <c:extLst>
            <c:ext xmlns:c16="http://schemas.microsoft.com/office/drawing/2014/chart" uri="{C3380CC4-5D6E-409C-BE32-E72D297353CC}">
              <c16:uniqueId val="{00000004-009E-4C61-9890-22418EA97AC7}"/>
            </c:ext>
          </c:extLst>
        </c:ser>
        <c:ser>
          <c:idx val="5"/>
          <c:order val="5"/>
          <c:tx>
            <c:strRef>
              <c:f>'Pivot - Light'!$G$3:$G$4</c:f>
              <c:strCache>
                <c:ptCount val="1"/>
                <c:pt idx="0">
                  <c:v>Gasoline Hybrid</c:v>
                </c:pt>
              </c:strCache>
            </c:strRef>
          </c:tx>
          <c:spPr>
            <a:solidFill>
              <a:srgbClr val="FF0000"/>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Light'!$G$5:$G$12</c:f>
              <c:numCache>
                <c:formatCode>General</c:formatCode>
                <c:ptCount val="7"/>
                <c:pt idx="0">
                  <c:v>1592.5480769230771</c:v>
                </c:pt>
                <c:pt idx="1">
                  <c:v>1582.5320512820515</c:v>
                </c:pt>
                <c:pt idx="2">
                  <c:v>1322.1153846153848</c:v>
                </c:pt>
              </c:numCache>
            </c:numRef>
          </c:val>
          <c:extLst>
            <c:ext xmlns:c16="http://schemas.microsoft.com/office/drawing/2014/chart" uri="{C3380CC4-5D6E-409C-BE32-E72D297353CC}">
              <c16:uniqueId val="{00000005-009E-4C61-9890-22418EA97AC7}"/>
            </c:ext>
          </c:extLst>
        </c:ser>
        <c:ser>
          <c:idx val="6"/>
          <c:order val="6"/>
          <c:tx>
            <c:strRef>
              <c:f>'Pivot - Light'!$H$3:$H$4</c:f>
              <c:strCache>
                <c:ptCount val="1"/>
                <c:pt idx="0">
                  <c:v>Gasoline ME</c:v>
                </c:pt>
              </c:strCache>
            </c:strRef>
          </c:tx>
          <c:spPr>
            <a:solidFill>
              <a:srgbClr val="F1A78A"/>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Light'!$H$5:$H$12</c:f>
              <c:numCache>
                <c:formatCode>General</c:formatCode>
                <c:ptCount val="7"/>
                <c:pt idx="0">
                  <c:v>49038.461538461539</c:v>
                </c:pt>
              </c:numCache>
            </c:numRef>
          </c:val>
          <c:extLst>
            <c:ext xmlns:c16="http://schemas.microsoft.com/office/drawing/2014/chart" uri="{C3380CC4-5D6E-409C-BE32-E72D297353CC}">
              <c16:uniqueId val="{00000006-009E-4C61-9890-22418EA97AC7}"/>
            </c:ext>
          </c:extLst>
        </c:ser>
        <c:ser>
          <c:idx val="7"/>
          <c:order val="7"/>
          <c:tx>
            <c:strRef>
              <c:f>'Pivot - Light'!$I$3:$I$4</c:f>
              <c:strCache>
                <c:ptCount val="1"/>
                <c:pt idx="0">
                  <c:v>Gasoline SE</c:v>
                </c:pt>
              </c:strCache>
            </c:strRef>
          </c:tx>
          <c:spPr>
            <a:solidFill>
              <a:srgbClr val="3B64AD"/>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Light'!$I$5:$I$12</c:f>
              <c:numCache>
                <c:formatCode>General</c:formatCode>
                <c:ptCount val="7"/>
                <c:pt idx="0">
                  <c:v>94421.073717948719</c:v>
                </c:pt>
              </c:numCache>
            </c:numRef>
          </c:val>
          <c:extLst>
            <c:ext xmlns:c16="http://schemas.microsoft.com/office/drawing/2014/chart" uri="{C3380CC4-5D6E-409C-BE32-E72D297353CC}">
              <c16:uniqueId val="{00000007-009E-4C61-9890-22418EA97AC7}"/>
            </c:ext>
          </c:extLst>
        </c:ser>
        <c:ser>
          <c:idx val="8"/>
          <c:order val="8"/>
          <c:tx>
            <c:strRef>
              <c:f>'Pivot - Light'!$J$3:$J$4</c:f>
              <c:strCache>
                <c:ptCount val="1"/>
                <c:pt idx="0">
                  <c:v>LPG</c:v>
                </c:pt>
              </c:strCache>
            </c:strRef>
          </c:tx>
          <c:spPr>
            <a:solidFill>
              <a:srgbClr val="62993E"/>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Light'!$J$5:$J$12</c:f>
              <c:numCache>
                <c:formatCode>General</c:formatCode>
                <c:ptCount val="7"/>
                <c:pt idx="0">
                  <c:v>48818.108974358976</c:v>
                </c:pt>
                <c:pt idx="1">
                  <c:v>23387.419871794875</c:v>
                </c:pt>
                <c:pt idx="2">
                  <c:v>12229.567307692309</c:v>
                </c:pt>
              </c:numCache>
            </c:numRef>
          </c:val>
          <c:extLst>
            <c:ext xmlns:c16="http://schemas.microsoft.com/office/drawing/2014/chart" uri="{C3380CC4-5D6E-409C-BE32-E72D297353CC}">
              <c16:uniqueId val="{00000008-009E-4C61-9890-22418EA97AC7}"/>
            </c:ext>
          </c:extLst>
        </c:ser>
        <c:ser>
          <c:idx val="9"/>
          <c:order val="9"/>
          <c:tx>
            <c:strRef>
              <c:f>'Pivot - Light'!$K$3:$K$4</c:f>
              <c:strCache>
                <c:ptCount val="1"/>
                <c:pt idx="0">
                  <c:v>Natural Gas</c:v>
                </c:pt>
              </c:strCache>
            </c:strRef>
          </c:tx>
          <c:spPr>
            <a:solidFill>
              <a:srgbClr val="7030A0"/>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Light'!$K$5:$K$12</c:f>
              <c:numCache>
                <c:formatCode>General</c:formatCode>
                <c:ptCount val="7"/>
                <c:pt idx="0">
                  <c:v>84585.336538461546</c:v>
                </c:pt>
                <c:pt idx="1">
                  <c:v>77884.61538461539</c:v>
                </c:pt>
                <c:pt idx="2">
                  <c:v>73557.692307692312</c:v>
                </c:pt>
              </c:numCache>
            </c:numRef>
          </c:val>
          <c:extLst>
            <c:ext xmlns:c16="http://schemas.microsoft.com/office/drawing/2014/chart" uri="{C3380CC4-5D6E-409C-BE32-E72D297353CC}">
              <c16:uniqueId val="{00000009-009E-4C61-9890-22418EA97AC7}"/>
            </c:ext>
          </c:extLst>
        </c:ser>
        <c:dLbls>
          <c:showLegendKey val="0"/>
          <c:showVal val="0"/>
          <c:showCatName val="0"/>
          <c:showSerName val="0"/>
          <c:showPercent val="0"/>
          <c:showBubbleSize val="0"/>
        </c:dLbls>
        <c:gapWidth val="150"/>
        <c:axId val="949873391"/>
        <c:axId val="949863407"/>
      </c:barChart>
      <c:catAx>
        <c:axId val="949873391"/>
        <c:scaling>
          <c:orientation val="minMax"/>
        </c:scaling>
        <c:delete val="0"/>
        <c:axPos val="b"/>
        <c:numFmt formatCode="General" sourceLinked="1"/>
        <c:majorTickMark val="none"/>
        <c:minorTickMark val="out"/>
        <c:tickLblPos val="nextTo"/>
        <c:spPr>
          <a:noFill/>
          <a:ln w="6350" cap="flat" cmpd="sng" algn="ctr">
            <a:solidFill>
              <a:srgbClr val="898989"/>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949863407"/>
        <c:crosses val="autoZero"/>
        <c:auto val="1"/>
        <c:lblAlgn val="ctr"/>
        <c:lblOffset val="100"/>
        <c:tickLblSkip val="2"/>
        <c:noMultiLvlLbl val="0"/>
      </c:catAx>
      <c:valAx>
        <c:axId val="949863407"/>
        <c:scaling>
          <c:orientation val="minMax"/>
        </c:scaling>
        <c:delete val="0"/>
        <c:axPos val="l"/>
        <c:majorGridlines>
          <c:spPr>
            <a:ln w="6350" cap="flat" cmpd="sng" algn="ctr">
              <a:solidFill>
                <a:srgbClr val="898989"/>
              </a:solidFill>
              <a:round/>
            </a:ln>
            <a:effectLst/>
          </c:spPr>
        </c:majorGridlines>
        <c:numFmt formatCode="General" sourceLinked="1"/>
        <c:majorTickMark val="out"/>
        <c:minorTickMark val="none"/>
        <c:tickLblPos val="nextTo"/>
        <c:spPr>
          <a:noFill/>
          <a:ln w="6350">
            <a:solidFill>
              <a:srgbClr val="898989"/>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949873391"/>
        <c:crosses val="autoZero"/>
        <c:crossBetween val="between"/>
        <c:dispUnits>
          <c:builtInUnit val="millions"/>
          <c:dispUnitsLbl>
            <c:layout>
              <c:manualLayout>
                <c:xMode val="edge"/>
                <c:yMode val="edge"/>
                <c:x val="1.0683760683760684E-2"/>
                <c:y val="0.18449110871146993"/>
              </c:manualLayout>
            </c:layout>
            <c:tx>
              <c:rich>
                <a:bodyPr rot="-54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800"/>
                    <a:t>Number</a:t>
                  </a:r>
                  <a:r>
                    <a:rPr lang="en-US" sz="800" baseline="0"/>
                    <a:t> of trucks </a:t>
                  </a:r>
                  <a:r>
                    <a:rPr lang="en-US" sz="800"/>
                    <a:t>(Millions)</a:t>
                  </a:r>
                </a:p>
              </c:rich>
            </c:tx>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ispUnitsLbl>
        </c:dispUnits>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Visible val="1"/>
      </c14:pivotOptions>
    </c:ext>
    <c:ext xmlns:c16="http://schemas.microsoft.com/office/drawing/2014/chart" uri="{E28EC0CA-F0BB-4C9C-879D-F8772B89E7AC}">
      <c16:pivotOptions16>
        <c16:showExpandCollapseFieldButtons val="1"/>
      </c16:pivotOptions16>
    </c:ext>
  </c:extLst>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pivotSource>
    <c:name>[1 - Capacity_Charts.xlsx]Pivot - Light!PivotTable1</c:name>
    <c:fmtId val="-1"/>
  </c:pivotSource>
  <c:chart>
    <c:title>
      <c:tx>
        <c:rich>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900" b="1"/>
              <a:t>2040</a:t>
            </a:r>
            <a:r>
              <a:rPr lang="en-US" sz="900" b="1" baseline="0"/>
              <a:t> ICE Ban</a:t>
            </a:r>
            <a:endParaRPr lang="en-US" sz="900" b="1"/>
          </a:p>
        </c:rich>
      </c:tx>
      <c:layout>
        <c:manualLayout>
          <c:xMode val="edge"/>
          <c:yMode val="edge"/>
          <c:x val="0.41044173379312404"/>
          <c:y val="5.7147260001590719E-2"/>
        </c:manualLayout>
      </c:layout>
      <c:overlay val="0"/>
      <c:spPr>
        <a:noFill/>
        <a:ln>
          <a:noFill/>
        </a:ln>
        <a:effectLst/>
      </c:spPr>
      <c:txPr>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pivotFmt>
      <c:pivotFmt>
        <c:idx val="8"/>
        <c:spPr>
          <a:solidFill>
            <a:schemeClr val="accent1"/>
          </a:solidFill>
          <a:ln>
            <a:noFill/>
          </a:ln>
          <a:effectLst/>
        </c:spPr>
        <c:marker>
          <c:symbol val="none"/>
        </c:marker>
      </c:pivotFmt>
      <c:pivotFmt>
        <c:idx val="9"/>
        <c:spPr>
          <a:solidFill>
            <a:schemeClr val="accent1"/>
          </a:solidFill>
          <a:ln>
            <a:noFill/>
          </a:ln>
          <a:effectLst/>
        </c:spPr>
        <c:marker>
          <c:symbol val="none"/>
        </c:marker>
      </c:pivotFmt>
      <c:pivotFmt>
        <c:idx val="10"/>
        <c:spPr>
          <a:solidFill>
            <a:schemeClr val="accent1"/>
          </a:solidFill>
          <a:ln>
            <a:noFill/>
          </a:ln>
          <a:effectLst/>
        </c:spPr>
        <c:marker>
          <c:symbol val="none"/>
        </c:marker>
      </c:pivotFmt>
      <c:pivotFmt>
        <c:idx val="11"/>
        <c:spPr>
          <a:solidFill>
            <a:schemeClr val="accent1"/>
          </a:solidFill>
          <a:ln>
            <a:noFill/>
          </a:ln>
          <a:effectLst/>
        </c:spPr>
        <c:marker>
          <c:symbol val="none"/>
        </c:marker>
      </c:pivotFmt>
      <c:pivotFmt>
        <c:idx val="12"/>
        <c:spPr>
          <a:solidFill>
            <a:schemeClr val="accent1"/>
          </a:solidFill>
          <a:ln>
            <a:noFill/>
          </a:ln>
          <a:effectLst/>
        </c:spPr>
        <c:marker>
          <c:symbol val="none"/>
        </c:marker>
      </c:pivotFmt>
      <c:pivotFmt>
        <c:idx val="13"/>
        <c:spPr>
          <a:solidFill>
            <a:schemeClr val="accent1"/>
          </a:solidFill>
          <a:ln>
            <a:noFill/>
          </a:ln>
          <a:effectLst/>
        </c:spPr>
        <c:marker>
          <c:symbol val="none"/>
        </c:marker>
      </c:pivotFmt>
      <c:pivotFmt>
        <c:idx val="14"/>
        <c:spPr>
          <a:solidFill>
            <a:schemeClr val="accent1"/>
          </a:solidFill>
          <a:ln>
            <a:noFill/>
          </a:ln>
          <a:effectLst/>
        </c:spPr>
        <c:marker>
          <c:symbol val="none"/>
        </c:marker>
      </c:pivotFmt>
      <c:pivotFmt>
        <c:idx val="15"/>
        <c:spPr>
          <a:solidFill>
            <a:schemeClr val="accent1"/>
          </a:solidFill>
          <a:ln>
            <a:noFill/>
          </a:ln>
          <a:effectLst/>
        </c:spPr>
        <c:marker>
          <c:symbol val="none"/>
        </c:marker>
      </c:pivotFmt>
      <c:pivotFmt>
        <c:idx val="16"/>
        <c:spPr>
          <a:solidFill>
            <a:schemeClr val="accent1"/>
          </a:solidFill>
          <a:ln>
            <a:noFill/>
          </a:ln>
          <a:effectLst/>
        </c:spPr>
        <c:marker>
          <c:symbol val="none"/>
        </c:marker>
      </c:pivotFmt>
      <c:pivotFmt>
        <c:idx val="17"/>
        <c:spPr>
          <a:solidFill>
            <a:schemeClr val="accent1"/>
          </a:solidFill>
          <a:ln>
            <a:noFill/>
          </a:ln>
          <a:effectLst/>
        </c:spPr>
        <c:marker>
          <c:symbol val="none"/>
        </c:marker>
      </c:pivotFmt>
      <c:pivotFmt>
        <c:idx val="18"/>
        <c:spPr>
          <a:solidFill>
            <a:schemeClr val="accent1"/>
          </a:solidFill>
          <a:ln>
            <a:noFill/>
          </a:ln>
          <a:effectLst/>
        </c:spPr>
        <c:marker>
          <c:symbol val="none"/>
        </c:marker>
      </c:pivotFmt>
      <c:pivotFmt>
        <c:idx val="19"/>
        <c:spPr>
          <a:solidFill>
            <a:schemeClr val="accent1"/>
          </a:solidFill>
          <a:ln>
            <a:noFill/>
          </a:ln>
          <a:effectLst/>
        </c:spPr>
        <c:marker>
          <c:symbol val="none"/>
        </c:marker>
      </c:pivotFmt>
      <c:pivotFmt>
        <c:idx val="20"/>
        <c:spPr>
          <a:solidFill>
            <a:schemeClr val="accent1"/>
          </a:solidFill>
          <a:ln>
            <a:noFill/>
          </a:ln>
          <a:effectLst/>
        </c:spPr>
        <c:marker>
          <c:symbol val="none"/>
        </c:marker>
      </c:pivotFmt>
      <c:pivotFmt>
        <c:idx val="21"/>
        <c:spPr>
          <a:solidFill>
            <a:schemeClr val="accent1"/>
          </a:solidFill>
          <a:ln>
            <a:noFill/>
          </a:ln>
          <a:effectLst/>
        </c:spPr>
        <c:marker>
          <c:symbol val="none"/>
        </c:marker>
      </c:pivotFmt>
      <c:pivotFmt>
        <c:idx val="22"/>
        <c:spPr>
          <a:solidFill>
            <a:schemeClr val="accent1"/>
          </a:solidFill>
          <a:ln>
            <a:noFill/>
          </a:ln>
          <a:effectLst/>
        </c:spPr>
        <c:marker>
          <c:symbol val="none"/>
        </c:marker>
      </c:pivotFmt>
      <c:pivotFmt>
        <c:idx val="23"/>
        <c:spPr>
          <a:solidFill>
            <a:schemeClr val="accent1"/>
          </a:solidFill>
          <a:ln>
            <a:noFill/>
          </a:ln>
          <a:effectLst/>
        </c:spPr>
        <c:marker>
          <c:symbol val="none"/>
        </c:marker>
      </c:pivotFmt>
      <c:pivotFmt>
        <c:idx val="24"/>
        <c:spPr>
          <a:solidFill>
            <a:schemeClr val="accent1"/>
          </a:solidFill>
          <a:ln>
            <a:noFill/>
          </a:ln>
          <a:effectLst/>
        </c:spPr>
        <c:marker>
          <c:symbol val="none"/>
        </c:marker>
      </c:pivotFmt>
      <c:pivotFmt>
        <c:idx val="25"/>
        <c:spPr>
          <a:solidFill>
            <a:schemeClr val="accent1"/>
          </a:solidFill>
          <a:ln>
            <a:noFill/>
          </a:ln>
          <a:effectLst/>
        </c:spPr>
        <c:marker>
          <c:symbol val="none"/>
        </c:marker>
      </c:pivotFmt>
      <c:pivotFmt>
        <c:idx val="26"/>
        <c:spPr>
          <a:solidFill>
            <a:schemeClr val="accent1"/>
          </a:solidFill>
          <a:ln>
            <a:noFill/>
          </a:ln>
          <a:effectLst/>
        </c:spPr>
        <c:marker>
          <c:symbol val="none"/>
        </c:marker>
      </c:pivotFmt>
      <c:pivotFmt>
        <c:idx val="27"/>
        <c:spPr>
          <a:solidFill>
            <a:schemeClr val="accent1"/>
          </a:solidFill>
          <a:ln>
            <a:noFill/>
          </a:ln>
          <a:effectLst/>
        </c:spPr>
        <c:marker>
          <c:symbol val="none"/>
        </c:marker>
      </c:pivotFmt>
      <c:pivotFmt>
        <c:idx val="28"/>
        <c:spPr>
          <a:solidFill>
            <a:schemeClr val="accent1"/>
          </a:solidFill>
          <a:ln>
            <a:noFill/>
          </a:ln>
          <a:effectLst/>
        </c:spPr>
        <c:marker>
          <c:symbol val="none"/>
        </c:marker>
      </c:pivotFmt>
      <c:pivotFmt>
        <c:idx val="29"/>
        <c:spPr>
          <a:solidFill>
            <a:schemeClr val="accent1"/>
          </a:solidFill>
          <a:ln>
            <a:noFill/>
          </a:ln>
          <a:effectLst/>
        </c:spPr>
        <c:marker>
          <c:symbol val="none"/>
        </c:marker>
      </c:pivotFmt>
      <c:pivotFmt>
        <c:idx val="30"/>
        <c:spPr>
          <a:solidFill>
            <a:schemeClr val="accent1"/>
          </a:solidFill>
          <a:ln>
            <a:noFill/>
          </a:ln>
          <a:effectLst/>
        </c:spPr>
        <c:marker>
          <c:symbol val="none"/>
        </c:marker>
      </c:pivotFmt>
      <c:pivotFmt>
        <c:idx val="31"/>
        <c:spPr>
          <a:solidFill>
            <a:schemeClr val="accent1"/>
          </a:solidFill>
          <a:ln>
            <a:noFill/>
          </a:ln>
          <a:effectLst/>
        </c:spPr>
        <c:marker>
          <c:symbol val="none"/>
        </c:marker>
      </c:pivotFmt>
      <c:pivotFmt>
        <c:idx val="32"/>
        <c:spPr>
          <a:solidFill>
            <a:schemeClr val="accent1"/>
          </a:solidFill>
          <a:ln>
            <a:noFill/>
          </a:ln>
          <a:effectLst/>
        </c:spPr>
        <c:marker>
          <c:symbol val="none"/>
        </c:marker>
      </c:pivotFmt>
      <c:pivotFmt>
        <c:idx val="33"/>
        <c:spPr>
          <a:solidFill>
            <a:schemeClr val="accent1"/>
          </a:solidFill>
          <a:ln>
            <a:noFill/>
          </a:ln>
          <a:effectLst/>
        </c:spPr>
        <c:marker>
          <c:symbol val="none"/>
        </c:marker>
      </c:pivotFmt>
      <c:pivotFmt>
        <c:idx val="34"/>
        <c:spPr>
          <a:solidFill>
            <a:schemeClr val="accent1"/>
          </a:solidFill>
          <a:ln>
            <a:noFill/>
          </a:ln>
          <a:effectLst/>
        </c:spPr>
        <c:marker>
          <c:symbol val="none"/>
        </c:marker>
      </c:pivotFmt>
      <c:pivotFmt>
        <c:idx val="35"/>
        <c:spPr>
          <a:solidFill>
            <a:schemeClr val="accent1"/>
          </a:solidFill>
          <a:ln>
            <a:noFill/>
          </a:ln>
          <a:effectLst/>
        </c:spPr>
        <c:marker>
          <c:symbol val="none"/>
        </c:marker>
      </c:pivotFmt>
      <c:pivotFmt>
        <c:idx val="36"/>
        <c:spPr>
          <a:solidFill>
            <a:schemeClr val="accent1"/>
          </a:solidFill>
          <a:ln>
            <a:noFill/>
          </a:ln>
          <a:effectLst/>
        </c:spPr>
        <c:marker>
          <c:symbol val="none"/>
        </c:marker>
      </c:pivotFmt>
      <c:pivotFmt>
        <c:idx val="37"/>
        <c:spPr>
          <a:solidFill>
            <a:schemeClr val="accent1"/>
          </a:solidFill>
          <a:ln>
            <a:noFill/>
          </a:ln>
          <a:effectLst/>
        </c:spPr>
        <c:marker>
          <c:symbol val="none"/>
        </c:marker>
      </c:pivotFmt>
      <c:pivotFmt>
        <c:idx val="38"/>
        <c:spPr>
          <a:solidFill>
            <a:schemeClr val="accent1"/>
          </a:solidFill>
          <a:ln>
            <a:noFill/>
          </a:ln>
          <a:effectLst/>
        </c:spPr>
        <c:marker>
          <c:symbol val="none"/>
        </c:marker>
      </c:pivotFmt>
      <c:pivotFmt>
        <c:idx val="39"/>
        <c:spPr>
          <a:solidFill>
            <a:schemeClr val="accent1"/>
          </a:solidFill>
          <a:ln>
            <a:noFill/>
          </a:ln>
          <a:effectLst/>
        </c:spPr>
        <c:marker>
          <c:symbol val="none"/>
        </c:marker>
      </c:pivotFmt>
      <c:pivotFmt>
        <c:idx val="40"/>
        <c:spPr>
          <a:solidFill>
            <a:schemeClr val="accent1"/>
          </a:solidFill>
          <a:ln>
            <a:noFill/>
          </a:ln>
          <a:effectLst/>
        </c:spPr>
        <c:marker>
          <c:symbol val="none"/>
        </c:marker>
      </c:pivotFmt>
    </c:pivotFmts>
    <c:plotArea>
      <c:layout>
        <c:manualLayout>
          <c:layoutTarget val="inner"/>
          <c:xMode val="edge"/>
          <c:yMode val="edge"/>
          <c:x val="8.1070879397651049E-2"/>
          <c:y val="0.17860529352606674"/>
          <c:w val="0.88323855351414404"/>
          <c:h val="0.70213835836735827"/>
        </c:manualLayout>
      </c:layout>
      <c:barChart>
        <c:barDir val="col"/>
        <c:grouping val="clustered"/>
        <c:varyColors val="0"/>
        <c:ser>
          <c:idx val="0"/>
          <c:order val="0"/>
          <c:tx>
            <c:strRef>
              <c:f>'Pivot - Light'!$B$3:$B$4</c:f>
              <c:strCache>
                <c:ptCount val="1"/>
                <c:pt idx="0">
                  <c:v>Battery Electric</c:v>
                </c:pt>
              </c:strCache>
            </c:strRef>
          </c:tx>
          <c:spPr>
            <a:solidFill>
              <a:srgbClr val="5B9BD5"/>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Light'!$B$5:$B$12</c:f>
              <c:numCache>
                <c:formatCode>General</c:formatCode>
                <c:ptCount val="7"/>
                <c:pt idx="0">
                  <c:v>5498.7980769230771</c:v>
                </c:pt>
                <c:pt idx="1">
                  <c:v>4096.5544871794873</c:v>
                </c:pt>
                <c:pt idx="2">
                  <c:v>310176.28205128212</c:v>
                </c:pt>
                <c:pt idx="3">
                  <c:v>1534605.3685897437</c:v>
                </c:pt>
                <c:pt idx="4">
                  <c:v>4773487.5801282059</c:v>
                </c:pt>
                <c:pt idx="5">
                  <c:v>5113671.875</c:v>
                </c:pt>
                <c:pt idx="6">
                  <c:v>5091897.0352564109</c:v>
                </c:pt>
              </c:numCache>
            </c:numRef>
          </c:val>
          <c:extLst>
            <c:ext xmlns:c16="http://schemas.microsoft.com/office/drawing/2014/chart" uri="{C3380CC4-5D6E-409C-BE32-E72D297353CC}">
              <c16:uniqueId val="{00000000-C7FD-488F-8631-0F863015D26A}"/>
            </c:ext>
          </c:extLst>
        </c:ser>
        <c:ser>
          <c:idx val="1"/>
          <c:order val="1"/>
          <c:tx>
            <c:strRef>
              <c:f>'Pivot - Light'!$C$3:$C$4</c:f>
              <c:strCache>
                <c:ptCount val="1"/>
                <c:pt idx="0">
                  <c:v>Diesel HE</c:v>
                </c:pt>
              </c:strCache>
            </c:strRef>
          </c:tx>
          <c:spPr>
            <a:solidFill>
              <a:srgbClr val="929292"/>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Light'!$C$5:$C$12</c:f>
              <c:numCache>
                <c:formatCode>General</c:formatCode>
                <c:ptCount val="7"/>
                <c:pt idx="0">
                  <c:v>1157421.875</c:v>
                </c:pt>
                <c:pt idx="1">
                  <c:v>3972646.233974359</c:v>
                </c:pt>
                <c:pt idx="2">
                  <c:v>3853475.5608974365</c:v>
                </c:pt>
                <c:pt idx="3">
                  <c:v>2909274.8397435895</c:v>
                </c:pt>
              </c:numCache>
            </c:numRef>
          </c:val>
          <c:extLst>
            <c:ext xmlns:c16="http://schemas.microsoft.com/office/drawing/2014/chart" uri="{C3380CC4-5D6E-409C-BE32-E72D297353CC}">
              <c16:uniqueId val="{00000001-C7FD-488F-8631-0F863015D26A}"/>
            </c:ext>
          </c:extLst>
        </c:ser>
        <c:ser>
          <c:idx val="2"/>
          <c:order val="2"/>
          <c:tx>
            <c:strRef>
              <c:f>'Pivot - Light'!$D$3:$D$4</c:f>
              <c:strCache>
                <c:ptCount val="1"/>
                <c:pt idx="0">
                  <c:v>Diesel ME</c:v>
                </c:pt>
              </c:strCache>
            </c:strRef>
          </c:tx>
          <c:spPr>
            <a:solidFill>
              <a:srgbClr val="E2AA00"/>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Light'!$D$5:$D$12</c:f>
              <c:numCache>
                <c:formatCode>General</c:formatCode>
                <c:ptCount val="7"/>
                <c:pt idx="0">
                  <c:v>1327724.358974359</c:v>
                </c:pt>
              </c:numCache>
            </c:numRef>
          </c:val>
          <c:extLst>
            <c:ext xmlns:c16="http://schemas.microsoft.com/office/drawing/2014/chart" uri="{C3380CC4-5D6E-409C-BE32-E72D297353CC}">
              <c16:uniqueId val="{00000002-C7FD-488F-8631-0F863015D26A}"/>
            </c:ext>
          </c:extLst>
        </c:ser>
        <c:ser>
          <c:idx val="3"/>
          <c:order val="3"/>
          <c:tx>
            <c:strRef>
              <c:f>'Pivot - Light'!$E$3:$E$4</c:f>
              <c:strCache>
                <c:ptCount val="1"/>
                <c:pt idx="0">
                  <c:v>Diesel SE</c:v>
                </c:pt>
              </c:strCache>
            </c:strRef>
          </c:tx>
          <c:spPr>
            <a:solidFill>
              <a:srgbClr val="D26E2A"/>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Light'!$E$5:$E$12</c:f>
              <c:numCache>
                <c:formatCode>General</c:formatCode>
                <c:ptCount val="7"/>
                <c:pt idx="0">
                  <c:v>1282792.467948718</c:v>
                </c:pt>
              </c:numCache>
            </c:numRef>
          </c:val>
          <c:extLst>
            <c:ext xmlns:c16="http://schemas.microsoft.com/office/drawing/2014/chart" uri="{C3380CC4-5D6E-409C-BE32-E72D297353CC}">
              <c16:uniqueId val="{00000003-C7FD-488F-8631-0F863015D26A}"/>
            </c:ext>
          </c:extLst>
        </c:ser>
        <c:ser>
          <c:idx val="4"/>
          <c:order val="4"/>
          <c:tx>
            <c:strRef>
              <c:f>'Pivot - Light'!$F$3:$F$4</c:f>
              <c:strCache>
                <c:ptCount val="1"/>
                <c:pt idx="0">
                  <c:v>Gasoline HE</c:v>
                </c:pt>
              </c:strCache>
            </c:strRef>
          </c:tx>
          <c:spPr>
            <a:solidFill>
              <a:srgbClr val="7030A0"/>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Light'!$F$5:$F$12</c:f>
              <c:numCache>
                <c:formatCode>General</c:formatCode>
                <c:ptCount val="7"/>
                <c:pt idx="0">
                  <c:v>35907.451923076922</c:v>
                </c:pt>
                <c:pt idx="1">
                  <c:v>33143.028846153851</c:v>
                </c:pt>
                <c:pt idx="2">
                  <c:v>30348.557692307691</c:v>
                </c:pt>
              </c:numCache>
            </c:numRef>
          </c:val>
          <c:extLst>
            <c:ext xmlns:c16="http://schemas.microsoft.com/office/drawing/2014/chart" uri="{C3380CC4-5D6E-409C-BE32-E72D297353CC}">
              <c16:uniqueId val="{00000004-C7FD-488F-8631-0F863015D26A}"/>
            </c:ext>
          </c:extLst>
        </c:ser>
        <c:ser>
          <c:idx val="5"/>
          <c:order val="5"/>
          <c:tx>
            <c:strRef>
              <c:f>'Pivot - Light'!$G$3:$G$4</c:f>
              <c:strCache>
                <c:ptCount val="1"/>
                <c:pt idx="0">
                  <c:v>Gasoline Hybrid</c:v>
                </c:pt>
              </c:strCache>
            </c:strRef>
          </c:tx>
          <c:spPr>
            <a:solidFill>
              <a:srgbClr val="FF0000"/>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Light'!$G$5:$G$12</c:f>
              <c:numCache>
                <c:formatCode>General</c:formatCode>
                <c:ptCount val="7"/>
                <c:pt idx="0">
                  <c:v>1592.5480769230771</c:v>
                </c:pt>
                <c:pt idx="1">
                  <c:v>1582.5320512820515</c:v>
                </c:pt>
                <c:pt idx="2">
                  <c:v>1322.1153846153848</c:v>
                </c:pt>
              </c:numCache>
            </c:numRef>
          </c:val>
          <c:extLst>
            <c:ext xmlns:c16="http://schemas.microsoft.com/office/drawing/2014/chart" uri="{C3380CC4-5D6E-409C-BE32-E72D297353CC}">
              <c16:uniqueId val="{00000005-C7FD-488F-8631-0F863015D26A}"/>
            </c:ext>
          </c:extLst>
        </c:ser>
        <c:ser>
          <c:idx val="6"/>
          <c:order val="6"/>
          <c:tx>
            <c:strRef>
              <c:f>'Pivot - Light'!$H$3:$H$4</c:f>
              <c:strCache>
                <c:ptCount val="1"/>
                <c:pt idx="0">
                  <c:v>Gasoline ME</c:v>
                </c:pt>
              </c:strCache>
            </c:strRef>
          </c:tx>
          <c:spPr>
            <a:solidFill>
              <a:srgbClr val="F1A78A"/>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Light'!$H$5:$H$12</c:f>
              <c:numCache>
                <c:formatCode>General</c:formatCode>
                <c:ptCount val="7"/>
                <c:pt idx="0">
                  <c:v>49038.461538461539</c:v>
                </c:pt>
              </c:numCache>
            </c:numRef>
          </c:val>
          <c:extLst>
            <c:ext xmlns:c16="http://schemas.microsoft.com/office/drawing/2014/chart" uri="{C3380CC4-5D6E-409C-BE32-E72D297353CC}">
              <c16:uniqueId val="{00000006-C7FD-488F-8631-0F863015D26A}"/>
            </c:ext>
          </c:extLst>
        </c:ser>
        <c:ser>
          <c:idx val="7"/>
          <c:order val="7"/>
          <c:tx>
            <c:strRef>
              <c:f>'Pivot - Light'!$I$3:$I$4</c:f>
              <c:strCache>
                <c:ptCount val="1"/>
                <c:pt idx="0">
                  <c:v>Gasoline SE</c:v>
                </c:pt>
              </c:strCache>
            </c:strRef>
          </c:tx>
          <c:spPr>
            <a:solidFill>
              <a:srgbClr val="3B64AD"/>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Light'!$I$5:$I$12</c:f>
              <c:numCache>
                <c:formatCode>General</c:formatCode>
                <c:ptCount val="7"/>
                <c:pt idx="0">
                  <c:v>94421.073717948719</c:v>
                </c:pt>
              </c:numCache>
            </c:numRef>
          </c:val>
          <c:extLst>
            <c:ext xmlns:c16="http://schemas.microsoft.com/office/drawing/2014/chart" uri="{C3380CC4-5D6E-409C-BE32-E72D297353CC}">
              <c16:uniqueId val="{00000007-C7FD-488F-8631-0F863015D26A}"/>
            </c:ext>
          </c:extLst>
        </c:ser>
        <c:ser>
          <c:idx val="8"/>
          <c:order val="8"/>
          <c:tx>
            <c:strRef>
              <c:f>'Pivot - Light'!$J$3:$J$4</c:f>
              <c:strCache>
                <c:ptCount val="1"/>
                <c:pt idx="0">
                  <c:v>LPG</c:v>
                </c:pt>
              </c:strCache>
            </c:strRef>
          </c:tx>
          <c:spPr>
            <a:solidFill>
              <a:srgbClr val="62993E"/>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Light'!$J$5:$J$12</c:f>
              <c:numCache>
                <c:formatCode>General</c:formatCode>
                <c:ptCount val="7"/>
                <c:pt idx="0">
                  <c:v>48818.108974358976</c:v>
                </c:pt>
                <c:pt idx="1">
                  <c:v>23387.419871794875</c:v>
                </c:pt>
                <c:pt idx="2">
                  <c:v>12229.567307692309</c:v>
                </c:pt>
              </c:numCache>
            </c:numRef>
          </c:val>
          <c:extLst>
            <c:ext xmlns:c16="http://schemas.microsoft.com/office/drawing/2014/chart" uri="{C3380CC4-5D6E-409C-BE32-E72D297353CC}">
              <c16:uniqueId val="{00000008-C7FD-488F-8631-0F863015D26A}"/>
            </c:ext>
          </c:extLst>
        </c:ser>
        <c:ser>
          <c:idx val="9"/>
          <c:order val="9"/>
          <c:tx>
            <c:strRef>
              <c:f>'Pivot - Light'!$K$3:$K$4</c:f>
              <c:strCache>
                <c:ptCount val="1"/>
                <c:pt idx="0">
                  <c:v>Natural Gas</c:v>
                </c:pt>
              </c:strCache>
            </c:strRef>
          </c:tx>
          <c:spPr>
            <a:solidFill>
              <a:srgbClr val="7030A0"/>
            </a:solidFill>
            <a:ln>
              <a:noFill/>
            </a:ln>
            <a:effectLst/>
          </c:spPr>
          <c:invertIfNegative val="0"/>
          <c:cat>
            <c:strRef>
              <c:f>'Pivot - Light'!$A$5:$A$12</c:f>
              <c:strCache>
                <c:ptCount val="7"/>
                <c:pt idx="0">
                  <c:v>2020</c:v>
                </c:pt>
                <c:pt idx="1">
                  <c:v>2025</c:v>
                </c:pt>
                <c:pt idx="2">
                  <c:v>2030</c:v>
                </c:pt>
                <c:pt idx="3">
                  <c:v>2035</c:v>
                </c:pt>
                <c:pt idx="4">
                  <c:v>2040</c:v>
                </c:pt>
                <c:pt idx="5">
                  <c:v>2045</c:v>
                </c:pt>
                <c:pt idx="6">
                  <c:v>2050</c:v>
                </c:pt>
              </c:strCache>
            </c:strRef>
          </c:cat>
          <c:val>
            <c:numRef>
              <c:f>'Pivot - Light'!$K$5:$K$12</c:f>
              <c:numCache>
                <c:formatCode>General</c:formatCode>
                <c:ptCount val="7"/>
                <c:pt idx="0">
                  <c:v>84585.336538461546</c:v>
                </c:pt>
                <c:pt idx="1">
                  <c:v>77884.61538461539</c:v>
                </c:pt>
                <c:pt idx="2">
                  <c:v>73557.692307692312</c:v>
                </c:pt>
              </c:numCache>
            </c:numRef>
          </c:val>
          <c:extLst>
            <c:ext xmlns:c16="http://schemas.microsoft.com/office/drawing/2014/chart" uri="{C3380CC4-5D6E-409C-BE32-E72D297353CC}">
              <c16:uniqueId val="{00000009-C7FD-488F-8631-0F863015D26A}"/>
            </c:ext>
          </c:extLst>
        </c:ser>
        <c:dLbls>
          <c:showLegendKey val="0"/>
          <c:showVal val="0"/>
          <c:showCatName val="0"/>
          <c:showSerName val="0"/>
          <c:showPercent val="0"/>
          <c:showBubbleSize val="0"/>
        </c:dLbls>
        <c:gapWidth val="150"/>
        <c:axId val="949873391"/>
        <c:axId val="949863407"/>
      </c:barChart>
      <c:catAx>
        <c:axId val="949873391"/>
        <c:scaling>
          <c:orientation val="minMax"/>
        </c:scaling>
        <c:delete val="0"/>
        <c:axPos val="b"/>
        <c:numFmt formatCode="General" sourceLinked="1"/>
        <c:majorTickMark val="none"/>
        <c:minorTickMark val="out"/>
        <c:tickLblPos val="nextTo"/>
        <c:spPr>
          <a:noFill/>
          <a:ln w="6350" cap="flat" cmpd="sng" algn="ctr">
            <a:solidFill>
              <a:srgbClr val="898989"/>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949863407"/>
        <c:crosses val="autoZero"/>
        <c:auto val="1"/>
        <c:lblAlgn val="ctr"/>
        <c:lblOffset val="100"/>
        <c:tickLblSkip val="2"/>
        <c:noMultiLvlLbl val="0"/>
      </c:catAx>
      <c:valAx>
        <c:axId val="949863407"/>
        <c:scaling>
          <c:orientation val="minMax"/>
        </c:scaling>
        <c:delete val="1"/>
        <c:axPos val="l"/>
        <c:majorGridlines>
          <c:spPr>
            <a:ln w="6350" cap="flat" cmpd="sng" algn="ctr">
              <a:solidFill>
                <a:srgbClr val="898989"/>
              </a:solidFill>
              <a:round/>
            </a:ln>
            <a:effectLst/>
          </c:spPr>
        </c:majorGridlines>
        <c:numFmt formatCode="General" sourceLinked="1"/>
        <c:majorTickMark val="out"/>
        <c:minorTickMark val="none"/>
        <c:tickLblPos val="nextTo"/>
        <c:crossAx val="949873391"/>
        <c:crosses val="autoZero"/>
        <c:crossBetween val="between"/>
        <c:dispUnits>
          <c:builtInUnit val="millions"/>
        </c:dispUnits>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Visible val="1"/>
      </c14:pivotOptions>
    </c:ext>
    <c:ext xmlns:c16="http://schemas.microsoft.com/office/drawing/2014/chart" uri="{E28EC0CA-F0BB-4C9C-879D-F8772B89E7AC}">
      <c16:pivotOptions16>
        <c16:showExpandCollapseFieldButtons val="1"/>
      </c16:pivotOptions16>
    </c:ext>
  </c:extLst>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'CO2'!$A$4</c:f>
              <c:strCache>
                <c:ptCount val="1"/>
                <c:pt idx="0">
                  <c:v>2020</c:v>
                </c:pt>
              </c:strCache>
              <c:extLst xmlns:c15="http://schemas.microsoft.com/office/drawing/2012/chart"/>
            </c:strRef>
          </c:tx>
          <c:spPr>
            <a:solidFill>
              <a:schemeClr val="accent1"/>
            </a:solidFill>
            <a:ln>
              <a:noFill/>
              <a:prstDash val="dash"/>
            </a:ln>
            <a:effectLst/>
          </c:spPr>
          <c:invertIfNegative val="0"/>
          <c:cat>
            <c:strRef>
              <c:f>'CO2'!$B$3:$H$3</c:f>
              <c:strCache>
                <c:ptCount val="7"/>
                <c:pt idx="0">
                  <c:v>Reference</c:v>
                </c:pt>
                <c:pt idx="1">
                  <c:v>Efficiency</c:v>
                </c:pt>
                <c:pt idx="2">
                  <c:v>Tech Costs</c:v>
                </c:pt>
                <c:pt idx="3">
                  <c:v>Fuel Projections</c:v>
                </c:pt>
                <c:pt idx="4">
                  <c:v>Carbon Price</c:v>
                </c:pt>
                <c:pt idx="5">
                  <c:v>2040 ICE Ban</c:v>
                </c:pt>
                <c:pt idx="6">
                  <c:v>2030 ICE Ban</c:v>
                </c:pt>
              </c:strCache>
              <c:extLst xmlns:c15="http://schemas.microsoft.com/office/drawing/2012/chart"/>
            </c:strRef>
          </c:cat>
          <c:val>
            <c:numRef>
              <c:f>'CO2'!$B$4:$H$4</c:f>
              <c:numCache>
                <c:formatCode>General</c:formatCode>
                <c:ptCount val="7"/>
                <c:pt idx="0">
                  <c:v>25.313385435416361</c:v>
                </c:pt>
                <c:pt idx="1">
                  <c:v>25.313385435416361</c:v>
                </c:pt>
                <c:pt idx="2">
                  <c:v>25.313385435416361</c:v>
                </c:pt>
                <c:pt idx="3">
                  <c:v>25.313385435416361</c:v>
                </c:pt>
                <c:pt idx="4">
                  <c:v>25.313385435416361</c:v>
                </c:pt>
                <c:pt idx="5">
                  <c:v>25.313385435416361</c:v>
                </c:pt>
                <c:pt idx="6">
                  <c:v>25.313385435416361</c:v>
                </c:pt>
              </c:numCache>
              <c:extLst xmlns:c15="http://schemas.microsoft.com/office/drawing/2012/chart"/>
            </c:numRef>
          </c:val>
          <c:extLst xmlns:c15="http://schemas.microsoft.com/office/drawing/2012/chart">
            <c:ext xmlns:c16="http://schemas.microsoft.com/office/drawing/2014/chart" uri="{C3380CC4-5D6E-409C-BE32-E72D297353CC}">
              <c16:uniqueId val="{00000000-0A20-BE4F-9D1E-D4DFC392BB76}"/>
            </c:ext>
          </c:extLst>
        </c:ser>
        <c:ser>
          <c:idx val="2"/>
          <c:order val="2"/>
          <c:tx>
            <c:strRef>
              <c:f>'CO2'!$A$6</c:f>
              <c:strCache>
                <c:ptCount val="1"/>
                <c:pt idx="0">
                  <c:v>2030</c:v>
                </c:pt>
              </c:strCache>
            </c:strRef>
          </c:tx>
          <c:spPr>
            <a:solidFill>
              <a:schemeClr val="accent3"/>
            </a:solidFill>
            <a:ln>
              <a:noFill/>
            </a:ln>
            <a:effectLst/>
          </c:spPr>
          <c:invertIfNegative val="0"/>
          <c:cat>
            <c:strRef>
              <c:f>'CO2'!$B$3:$H$3</c:f>
              <c:strCache>
                <c:ptCount val="7"/>
                <c:pt idx="0">
                  <c:v>Reference</c:v>
                </c:pt>
                <c:pt idx="1">
                  <c:v>Efficiency</c:v>
                </c:pt>
                <c:pt idx="2">
                  <c:v>Tech Costs</c:v>
                </c:pt>
                <c:pt idx="3">
                  <c:v>Fuel Projections</c:v>
                </c:pt>
                <c:pt idx="4">
                  <c:v>Carbon Price</c:v>
                </c:pt>
                <c:pt idx="5">
                  <c:v>2040 ICE Ban</c:v>
                </c:pt>
                <c:pt idx="6">
                  <c:v>2030 ICE Ban</c:v>
                </c:pt>
              </c:strCache>
            </c:strRef>
          </c:cat>
          <c:val>
            <c:numRef>
              <c:f>'CO2'!$B$6:$H$6</c:f>
              <c:numCache>
                <c:formatCode>General</c:formatCode>
                <c:ptCount val="7"/>
                <c:pt idx="0">
                  <c:v>17.449742622307934</c:v>
                </c:pt>
                <c:pt idx="1">
                  <c:v>17.425884939495571</c:v>
                </c:pt>
                <c:pt idx="2">
                  <c:v>16.72915054488422</c:v>
                </c:pt>
                <c:pt idx="3">
                  <c:v>16.72915054488422</c:v>
                </c:pt>
                <c:pt idx="4">
                  <c:v>16.72915054488422</c:v>
                </c:pt>
                <c:pt idx="5">
                  <c:v>16.72915054488422</c:v>
                </c:pt>
                <c:pt idx="6">
                  <c:v>16.72915054488422</c:v>
                </c:pt>
              </c:numCache>
            </c:numRef>
          </c:val>
          <c:extLst>
            <c:ext xmlns:c16="http://schemas.microsoft.com/office/drawing/2014/chart" uri="{C3380CC4-5D6E-409C-BE32-E72D297353CC}">
              <c16:uniqueId val="{00000001-0A20-BE4F-9D1E-D4DFC392BB76}"/>
            </c:ext>
          </c:extLst>
        </c:ser>
        <c:ser>
          <c:idx val="4"/>
          <c:order val="4"/>
          <c:tx>
            <c:strRef>
              <c:f>'CO2'!$A$8</c:f>
              <c:strCache>
                <c:ptCount val="1"/>
                <c:pt idx="0">
                  <c:v>2040</c:v>
                </c:pt>
              </c:strCache>
            </c:strRef>
          </c:tx>
          <c:spPr>
            <a:solidFill>
              <a:schemeClr val="accent5"/>
            </a:solidFill>
            <a:ln>
              <a:noFill/>
            </a:ln>
            <a:effectLst/>
          </c:spPr>
          <c:invertIfNegative val="0"/>
          <c:cat>
            <c:strRef>
              <c:f>'CO2'!$B$3:$H$3</c:f>
              <c:strCache>
                <c:ptCount val="7"/>
                <c:pt idx="0">
                  <c:v>Reference</c:v>
                </c:pt>
                <c:pt idx="1">
                  <c:v>Efficiency</c:v>
                </c:pt>
                <c:pt idx="2">
                  <c:v>Tech Costs</c:v>
                </c:pt>
                <c:pt idx="3">
                  <c:v>Fuel Projections</c:v>
                </c:pt>
                <c:pt idx="4">
                  <c:v>Carbon Price</c:v>
                </c:pt>
                <c:pt idx="5">
                  <c:v>2040 ICE Ban</c:v>
                </c:pt>
                <c:pt idx="6">
                  <c:v>2030 ICE Ban</c:v>
                </c:pt>
              </c:strCache>
            </c:strRef>
          </c:cat>
          <c:val>
            <c:numRef>
              <c:f>'CO2'!$B$8:$H$8</c:f>
              <c:numCache>
                <c:formatCode>General</c:formatCode>
                <c:ptCount val="7"/>
                <c:pt idx="0">
                  <c:v>16.653688667263889</c:v>
                </c:pt>
                <c:pt idx="1">
                  <c:v>15.722785943369658</c:v>
                </c:pt>
                <c:pt idx="2">
                  <c:v>6.2041448132279395</c:v>
                </c:pt>
                <c:pt idx="3">
                  <c:v>4.0307381361133672</c:v>
                </c:pt>
                <c:pt idx="4">
                  <c:v>4.0307381361133672</c:v>
                </c:pt>
                <c:pt idx="5">
                  <c:v>4.0307381361133672</c:v>
                </c:pt>
                <c:pt idx="6">
                  <c:v>0.36338783036448008</c:v>
                </c:pt>
              </c:numCache>
            </c:numRef>
          </c:val>
          <c:extLst>
            <c:ext xmlns:c16="http://schemas.microsoft.com/office/drawing/2014/chart" uri="{C3380CC4-5D6E-409C-BE32-E72D297353CC}">
              <c16:uniqueId val="{00000002-0A20-BE4F-9D1E-D4DFC392BB76}"/>
            </c:ext>
          </c:extLst>
        </c:ser>
        <c:ser>
          <c:idx val="6"/>
          <c:order val="6"/>
          <c:tx>
            <c:strRef>
              <c:f>'CO2'!$A$10</c:f>
              <c:strCache>
                <c:ptCount val="1"/>
                <c:pt idx="0">
                  <c:v>2050</c:v>
                </c:pt>
              </c:strCache>
            </c:strRef>
          </c:tx>
          <c:spPr>
            <a:solidFill>
              <a:schemeClr val="accent1">
                <a:lumMod val="60000"/>
              </a:schemeClr>
            </a:solidFill>
            <a:ln>
              <a:noFill/>
            </a:ln>
            <a:effectLst/>
          </c:spPr>
          <c:invertIfNegative val="0"/>
          <c:cat>
            <c:strRef>
              <c:f>'CO2'!$B$3:$H$3</c:f>
              <c:strCache>
                <c:ptCount val="7"/>
                <c:pt idx="0">
                  <c:v>Reference</c:v>
                </c:pt>
                <c:pt idx="1">
                  <c:v>Efficiency</c:v>
                </c:pt>
                <c:pt idx="2">
                  <c:v>Tech Costs</c:v>
                </c:pt>
                <c:pt idx="3">
                  <c:v>Fuel Projections</c:v>
                </c:pt>
                <c:pt idx="4">
                  <c:v>Carbon Price</c:v>
                </c:pt>
                <c:pt idx="5">
                  <c:v>2040 ICE Ban</c:v>
                </c:pt>
                <c:pt idx="6">
                  <c:v>2030 ICE Ban</c:v>
                </c:pt>
              </c:strCache>
            </c:strRef>
          </c:cat>
          <c:val>
            <c:numRef>
              <c:f>'CO2'!$B$10:$H$10</c:f>
              <c:numCache>
                <c:formatCode>General</c:formatCode>
                <c:ptCount val="7"/>
                <c:pt idx="0">
                  <c:v>17.764188872586971</c:v>
                </c:pt>
                <c:pt idx="1">
                  <c:v>16.494613446599921</c:v>
                </c:pt>
                <c:pt idx="2">
                  <c:v>6.5105464810221152</c:v>
                </c:pt>
                <c:pt idx="3">
                  <c:v>4.0913923738915274</c:v>
                </c:pt>
                <c:pt idx="4">
                  <c:v>4.0913923738915274</c:v>
                </c:pt>
                <c:pt idx="5">
                  <c:v>2.5683154199308982</c:v>
                </c:pt>
                <c:pt idx="6">
                  <c:v>0</c:v>
                </c:pt>
              </c:numCache>
            </c:numRef>
          </c:val>
          <c:extLst>
            <c:ext xmlns:c16="http://schemas.microsoft.com/office/drawing/2014/chart" uri="{C3380CC4-5D6E-409C-BE32-E72D297353CC}">
              <c16:uniqueId val="{00000003-0A20-BE4F-9D1E-D4DFC392BB76}"/>
            </c:ext>
          </c:extLst>
        </c:ser>
        <c:dLbls>
          <c:showLegendKey val="0"/>
          <c:showVal val="0"/>
          <c:showCatName val="0"/>
          <c:showSerName val="0"/>
          <c:showPercent val="0"/>
          <c:showBubbleSize val="0"/>
        </c:dLbls>
        <c:gapWidth val="220"/>
        <c:overlap val="-23"/>
        <c:axId val="2040656704"/>
        <c:axId val="2040640064"/>
        <c:extLst>
          <c:ext xmlns:c15="http://schemas.microsoft.com/office/drawing/2012/chart" uri="{02D57815-91ED-43cb-92C2-25804820EDAC}">
            <c15:filteredBarSeries>
              <c15:ser>
                <c:idx val="1"/>
                <c:order val="1"/>
                <c:tx>
                  <c:strRef>
                    <c:extLst>
                      <c:ext uri="{02D57815-91ED-43cb-92C2-25804820EDAC}">
                        <c15:formulaRef>
                          <c15:sqref>'CO2'!$A$5</c15:sqref>
                        </c15:formulaRef>
                      </c:ext>
                    </c:extLst>
                    <c:strCache>
                      <c:ptCount val="1"/>
                      <c:pt idx="0">
                        <c:v>2025</c:v>
                      </c:pt>
                    </c:strCache>
                  </c:strRef>
                </c:tx>
                <c:spPr>
                  <a:solidFill>
                    <a:schemeClr val="accent2"/>
                  </a:solidFill>
                  <a:ln>
                    <a:noFill/>
                  </a:ln>
                  <a:effectLst/>
                </c:spPr>
                <c:invertIfNegative val="0"/>
                <c:cat>
                  <c:strRef>
                    <c:extLst>
                      <c:ext uri="{02D57815-91ED-43cb-92C2-25804820EDAC}">
                        <c15:formulaRef>
                          <c15:sqref>'CO2'!$B$3:$H$3</c15:sqref>
                        </c15:formulaRef>
                      </c:ext>
                    </c:extLst>
                    <c:strCache>
                      <c:ptCount val="7"/>
                      <c:pt idx="0">
                        <c:v>Reference</c:v>
                      </c:pt>
                      <c:pt idx="1">
                        <c:v>Efficiency</c:v>
                      </c:pt>
                      <c:pt idx="2">
                        <c:v>Tech Costs</c:v>
                      </c:pt>
                      <c:pt idx="3">
                        <c:v>Fuel Projections</c:v>
                      </c:pt>
                      <c:pt idx="4">
                        <c:v>Carbon Price</c:v>
                      </c:pt>
                      <c:pt idx="5">
                        <c:v>2040 ICE Ban</c:v>
                      </c:pt>
                      <c:pt idx="6">
                        <c:v>2030 ICE Ban</c:v>
                      </c:pt>
                    </c:strCache>
                  </c:strRef>
                </c:cat>
                <c:val>
                  <c:numRef>
                    <c:extLst>
                      <c:ext uri="{02D57815-91ED-43cb-92C2-25804820EDAC}">
                        <c15:formulaRef>
                          <c15:sqref>'CO2'!$B$5:$H$5</c15:sqref>
                        </c15:formulaRef>
                      </c:ext>
                    </c:extLst>
                    <c:numCache>
                      <c:formatCode>General</c:formatCode>
                      <c:ptCount val="7"/>
                      <c:pt idx="0">
                        <c:v>17.118268734516398</c:v>
                      </c:pt>
                      <c:pt idx="1">
                        <c:v>17.118268734516398</c:v>
                      </c:pt>
                      <c:pt idx="2">
                        <c:v>17.118268734516398</c:v>
                      </c:pt>
                      <c:pt idx="3">
                        <c:v>17.118268734516398</c:v>
                      </c:pt>
                      <c:pt idx="4">
                        <c:v>17.118268734516398</c:v>
                      </c:pt>
                      <c:pt idx="5">
                        <c:v>17.118268734516398</c:v>
                      </c:pt>
                      <c:pt idx="6">
                        <c:v>17.118268734516398</c:v>
                      </c:pt>
                    </c:numCache>
                  </c:numRef>
                </c:val>
                <c:extLst>
                  <c:ext xmlns:c16="http://schemas.microsoft.com/office/drawing/2014/chart" uri="{C3380CC4-5D6E-409C-BE32-E72D297353CC}">
                    <c16:uniqueId val="{00000004-0A20-BE4F-9D1E-D4DFC392BB76}"/>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'CO2'!$A$7</c15:sqref>
                        </c15:formulaRef>
                      </c:ext>
                    </c:extLst>
                    <c:strCache>
                      <c:ptCount val="1"/>
                      <c:pt idx="0">
                        <c:v>2035</c:v>
                      </c:pt>
                    </c:strCache>
                  </c:strRef>
                </c:tx>
                <c:spPr>
                  <a:solidFill>
                    <a:schemeClr val="accent4"/>
                  </a:solidFill>
                  <a:ln>
                    <a:noFill/>
                  </a:ln>
                  <a:effectLst/>
                </c:spPr>
                <c:invertIfNegative val="0"/>
                <c:cat>
                  <c:strRef>
                    <c:extLst xmlns:c15="http://schemas.microsoft.com/office/drawing/2012/chart">
                      <c:ext xmlns:c15="http://schemas.microsoft.com/office/drawing/2012/chart" uri="{02D57815-91ED-43cb-92C2-25804820EDAC}">
                        <c15:formulaRef>
                          <c15:sqref>'CO2'!$B$3:$H$3</c15:sqref>
                        </c15:formulaRef>
                      </c:ext>
                    </c:extLst>
                    <c:strCache>
                      <c:ptCount val="7"/>
                      <c:pt idx="0">
                        <c:v>Reference</c:v>
                      </c:pt>
                      <c:pt idx="1">
                        <c:v>Efficiency</c:v>
                      </c:pt>
                      <c:pt idx="2">
                        <c:v>Tech Costs</c:v>
                      </c:pt>
                      <c:pt idx="3">
                        <c:v>Fuel Projections</c:v>
                      </c:pt>
                      <c:pt idx="4">
                        <c:v>Carbon Price</c:v>
                      </c:pt>
                      <c:pt idx="5">
                        <c:v>2040 ICE Ban</c:v>
                      </c:pt>
                      <c:pt idx="6">
                        <c:v>2030 ICE Ban</c:v>
                      </c:pt>
                    </c:strCache>
                  </c:strRef>
                </c:cat>
                <c:val>
                  <c:numRef>
                    <c:extLst xmlns:c15="http://schemas.microsoft.com/office/drawing/2012/chart">
                      <c:ext xmlns:c15="http://schemas.microsoft.com/office/drawing/2012/chart" uri="{02D57815-91ED-43cb-92C2-25804820EDAC}">
                        <c15:formulaRef>
                          <c15:sqref>'CO2'!$B$7:$H$7</c15:sqref>
                        </c15:formulaRef>
                      </c:ext>
                    </c:extLst>
                    <c:numCache>
                      <c:formatCode>General</c:formatCode>
                      <c:ptCount val="7"/>
                      <c:pt idx="0">
                        <c:v>16.023767348485627</c:v>
                      </c:pt>
                      <c:pt idx="1">
                        <c:v>15.802308323080343</c:v>
                      </c:pt>
                      <c:pt idx="2">
                        <c:v>12.750567956837758</c:v>
                      </c:pt>
                      <c:pt idx="3">
                        <c:v>11.906454571314599</c:v>
                      </c:pt>
                      <c:pt idx="4">
                        <c:v>11.906454571314599</c:v>
                      </c:pt>
                      <c:pt idx="5">
                        <c:v>11.906454571314599</c:v>
                      </c:pt>
                      <c:pt idx="6">
                        <c:v>10.807419685496612</c:v>
                      </c:pt>
                    </c:numCache>
                  </c:numRef>
                </c:val>
                <c:extLst xmlns:c15="http://schemas.microsoft.com/office/drawing/2012/chart">
                  <c:ext xmlns:c16="http://schemas.microsoft.com/office/drawing/2014/chart" uri="{C3380CC4-5D6E-409C-BE32-E72D297353CC}">
                    <c16:uniqueId val="{00000005-0A20-BE4F-9D1E-D4DFC392BB76}"/>
                  </c:ext>
                </c:extLst>
              </c15:ser>
            </c15:filteredBarSeries>
            <c15:filteredBarSeries>
              <c15:ser>
                <c:idx val="5"/>
                <c:order val="5"/>
                <c:tx>
                  <c:strRef>
                    <c:extLst xmlns:c15="http://schemas.microsoft.com/office/drawing/2012/chart">
                      <c:ext xmlns:c15="http://schemas.microsoft.com/office/drawing/2012/chart" uri="{02D57815-91ED-43cb-92C2-25804820EDAC}">
                        <c15:formulaRef>
                          <c15:sqref>'CO2'!$A$9</c15:sqref>
                        </c15:formulaRef>
                      </c:ext>
                    </c:extLst>
                    <c:strCache>
                      <c:ptCount val="1"/>
                      <c:pt idx="0">
                        <c:v>2045</c:v>
                      </c:pt>
                    </c:strCache>
                  </c:strRef>
                </c:tx>
                <c:spPr>
                  <a:solidFill>
                    <a:schemeClr val="accent6"/>
                  </a:solidFill>
                  <a:ln>
                    <a:noFill/>
                  </a:ln>
                  <a:effectLst/>
                </c:spPr>
                <c:invertIfNegative val="0"/>
                <c:cat>
                  <c:strRef>
                    <c:extLst xmlns:c15="http://schemas.microsoft.com/office/drawing/2012/chart">
                      <c:ext xmlns:c15="http://schemas.microsoft.com/office/drawing/2012/chart" uri="{02D57815-91ED-43cb-92C2-25804820EDAC}">
                        <c15:formulaRef>
                          <c15:sqref>'CO2'!$B$3:$H$3</c15:sqref>
                        </c15:formulaRef>
                      </c:ext>
                    </c:extLst>
                    <c:strCache>
                      <c:ptCount val="7"/>
                      <c:pt idx="0">
                        <c:v>Reference</c:v>
                      </c:pt>
                      <c:pt idx="1">
                        <c:v>Efficiency</c:v>
                      </c:pt>
                      <c:pt idx="2">
                        <c:v>Tech Costs</c:v>
                      </c:pt>
                      <c:pt idx="3">
                        <c:v>Fuel Projections</c:v>
                      </c:pt>
                      <c:pt idx="4">
                        <c:v>Carbon Price</c:v>
                      </c:pt>
                      <c:pt idx="5">
                        <c:v>2040 ICE Ban</c:v>
                      </c:pt>
                      <c:pt idx="6">
                        <c:v>2030 ICE Ban</c:v>
                      </c:pt>
                    </c:strCache>
                  </c:strRef>
                </c:cat>
                <c:val>
                  <c:numRef>
                    <c:extLst xmlns:c15="http://schemas.microsoft.com/office/drawing/2012/chart">
                      <c:ext xmlns:c15="http://schemas.microsoft.com/office/drawing/2012/chart" uri="{02D57815-91ED-43cb-92C2-25804820EDAC}">
                        <c15:formulaRef>
                          <c15:sqref>'CO2'!$B$9:$H$9</c15:sqref>
                        </c15:formulaRef>
                      </c:ext>
                    </c:extLst>
                    <c:numCache>
                      <c:formatCode>General</c:formatCode>
                      <c:ptCount val="7"/>
                      <c:pt idx="0">
                        <c:v>17.840203567115449</c:v>
                      </c:pt>
                      <c:pt idx="1">
                        <c:v>16.74253923490873</c:v>
                      </c:pt>
                      <c:pt idx="2">
                        <c:v>6.6770899675169577</c:v>
                      </c:pt>
                      <c:pt idx="3">
                        <c:v>4.1856578287423023</c:v>
                      </c:pt>
                      <c:pt idx="4">
                        <c:v>4.1856578287423023</c:v>
                      </c:pt>
                      <c:pt idx="5">
                        <c:v>3.6673503057488883</c:v>
                      </c:pt>
                      <c:pt idx="6">
                        <c:v>0</c:v>
                      </c:pt>
                    </c:numCache>
                  </c:numRef>
                </c:val>
                <c:extLst xmlns:c15="http://schemas.microsoft.com/office/drawing/2012/chart">
                  <c:ext xmlns:c16="http://schemas.microsoft.com/office/drawing/2014/chart" uri="{C3380CC4-5D6E-409C-BE32-E72D297353CC}">
                    <c16:uniqueId val="{00000006-0A20-BE4F-9D1E-D4DFC392BB76}"/>
                  </c:ext>
                </c:extLst>
              </c15:ser>
            </c15:filteredBarSeries>
          </c:ext>
        </c:extLst>
      </c:barChart>
      <c:catAx>
        <c:axId val="2040656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040640064"/>
        <c:crosses val="autoZero"/>
        <c:auto val="1"/>
        <c:lblAlgn val="ctr"/>
        <c:lblOffset val="100"/>
        <c:noMultiLvlLbl val="0"/>
      </c:catAx>
      <c:valAx>
        <c:axId val="20406400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900"/>
                  <a:t>CO</a:t>
                </a:r>
                <a:r>
                  <a:rPr lang="en-US" sz="900" baseline="-25000"/>
                  <a:t>2</a:t>
                </a:r>
                <a:r>
                  <a:rPr lang="en-US" sz="900" baseline="0"/>
                  <a:t> emissions [Mt]</a:t>
                </a:r>
                <a:endParaRPr lang="en-US" sz="900"/>
              </a:p>
            </c:rich>
          </c:tx>
          <c:layout>
            <c:manualLayout>
              <c:xMode val="edge"/>
              <c:yMode val="edge"/>
              <c:x val="6.41025641025641E-3"/>
              <c:y val="0.23909703995333917"/>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04065670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030475357247012"/>
          <c:y val="5.0925925925925923E-2"/>
          <c:w val="0.83969508694225725"/>
          <c:h val="0.69622338874307366"/>
        </c:manualLayout>
      </c:layout>
      <c:barChart>
        <c:barDir val="col"/>
        <c:grouping val="clustered"/>
        <c:varyColors val="0"/>
        <c:ser>
          <c:idx val="0"/>
          <c:order val="0"/>
          <c:tx>
            <c:strRef>
              <c:f>'CH4'!$A$4</c:f>
              <c:strCache>
                <c:ptCount val="1"/>
                <c:pt idx="0">
                  <c:v>2020</c:v>
                </c:pt>
              </c:strCache>
            </c:strRef>
          </c:tx>
          <c:spPr>
            <a:solidFill>
              <a:schemeClr val="accent5"/>
            </a:solidFill>
            <a:ln>
              <a:noFill/>
            </a:ln>
            <a:effectLst/>
          </c:spPr>
          <c:invertIfNegative val="0"/>
          <c:cat>
            <c:strRef>
              <c:f>'CH4'!$B$3:$H$3</c:f>
              <c:strCache>
                <c:ptCount val="7"/>
                <c:pt idx="0">
                  <c:v>Reference</c:v>
                </c:pt>
                <c:pt idx="1">
                  <c:v>Efficiency</c:v>
                </c:pt>
                <c:pt idx="2">
                  <c:v>Tech Costs</c:v>
                </c:pt>
                <c:pt idx="3">
                  <c:v>Fuel Projections</c:v>
                </c:pt>
                <c:pt idx="4">
                  <c:v>Carbon Price</c:v>
                </c:pt>
                <c:pt idx="5">
                  <c:v>2040 ICE Ban</c:v>
                </c:pt>
                <c:pt idx="6">
                  <c:v>2030 ICE Ban</c:v>
                </c:pt>
              </c:strCache>
            </c:strRef>
          </c:cat>
          <c:val>
            <c:numRef>
              <c:f>'CH4'!$B$4:$H$4</c:f>
              <c:numCache>
                <c:formatCode>General</c:formatCode>
                <c:ptCount val="7"/>
                <c:pt idx="0">
                  <c:v>1.3572884569906238</c:v>
                </c:pt>
                <c:pt idx="1">
                  <c:v>1.3572884569906238</c:v>
                </c:pt>
                <c:pt idx="2">
                  <c:v>1.3572884569906238</c:v>
                </c:pt>
                <c:pt idx="3">
                  <c:v>1.3572884569906238</c:v>
                </c:pt>
                <c:pt idx="4">
                  <c:v>1.3572884569906238</c:v>
                </c:pt>
                <c:pt idx="5">
                  <c:v>1.3572884569906238</c:v>
                </c:pt>
                <c:pt idx="6">
                  <c:v>1.3572884569906238</c:v>
                </c:pt>
              </c:numCache>
            </c:numRef>
          </c:val>
          <c:extLst>
            <c:ext xmlns:c16="http://schemas.microsoft.com/office/drawing/2014/chart" uri="{C3380CC4-5D6E-409C-BE32-E72D297353CC}">
              <c16:uniqueId val="{00000000-9E7A-344C-8334-AC3ED96B44C7}"/>
            </c:ext>
          </c:extLst>
        </c:ser>
        <c:ser>
          <c:idx val="2"/>
          <c:order val="2"/>
          <c:tx>
            <c:strRef>
              <c:f>'CH4'!$A$6</c:f>
              <c:strCache>
                <c:ptCount val="1"/>
                <c:pt idx="0">
                  <c:v>2030</c:v>
                </c:pt>
              </c:strCache>
            </c:strRef>
          </c:tx>
          <c:spPr>
            <a:solidFill>
              <a:schemeClr val="accent3"/>
            </a:solidFill>
            <a:ln>
              <a:noFill/>
            </a:ln>
            <a:effectLst/>
          </c:spPr>
          <c:invertIfNegative val="0"/>
          <c:cat>
            <c:strRef>
              <c:f>'CH4'!$B$3:$H$3</c:f>
              <c:strCache>
                <c:ptCount val="7"/>
                <c:pt idx="0">
                  <c:v>Reference</c:v>
                </c:pt>
                <c:pt idx="1">
                  <c:v>Efficiency</c:v>
                </c:pt>
                <c:pt idx="2">
                  <c:v>Tech Costs</c:v>
                </c:pt>
                <c:pt idx="3">
                  <c:v>Fuel Projections</c:v>
                </c:pt>
                <c:pt idx="4">
                  <c:v>Carbon Price</c:v>
                </c:pt>
                <c:pt idx="5">
                  <c:v>2040 ICE Ban</c:v>
                </c:pt>
                <c:pt idx="6">
                  <c:v>2030 ICE Ban</c:v>
                </c:pt>
              </c:strCache>
            </c:strRef>
          </c:cat>
          <c:val>
            <c:numRef>
              <c:f>'CH4'!$B$6:$H$6</c:f>
              <c:numCache>
                <c:formatCode>General</c:formatCode>
                <c:ptCount val="7"/>
                <c:pt idx="0">
                  <c:v>40.910259448766986</c:v>
                </c:pt>
                <c:pt idx="1">
                  <c:v>40.823458610104467</c:v>
                </c:pt>
                <c:pt idx="2">
                  <c:v>40.775601563723519</c:v>
                </c:pt>
                <c:pt idx="3">
                  <c:v>40.775601563723519</c:v>
                </c:pt>
                <c:pt idx="4">
                  <c:v>40.775601563723519</c:v>
                </c:pt>
                <c:pt idx="5">
                  <c:v>40.775601563723519</c:v>
                </c:pt>
                <c:pt idx="6">
                  <c:v>40.775601563723519</c:v>
                </c:pt>
              </c:numCache>
            </c:numRef>
          </c:val>
          <c:extLst>
            <c:ext xmlns:c16="http://schemas.microsoft.com/office/drawing/2014/chart" uri="{C3380CC4-5D6E-409C-BE32-E72D297353CC}">
              <c16:uniqueId val="{00000001-9E7A-344C-8334-AC3ED96B44C7}"/>
            </c:ext>
          </c:extLst>
        </c:ser>
        <c:ser>
          <c:idx val="4"/>
          <c:order val="4"/>
          <c:tx>
            <c:strRef>
              <c:f>'CH4'!$A$8</c:f>
              <c:strCache>
                <c:ptCount val="1"/>
                <c:pt idx="0">
                  <c:v>2040</c:v>
                </c:pt>
              </c:strCache>
            </c:strRef>
          </c:tx>
          <c:spPr>
            <a:solidFill>
              <a:schemeClr val="accent1"/>
            </a:solidFill>
            <a:ln>
              <a:noFill/>
            </a:ln>
            <a:effectLst/>
          </c:spPr>
          <c:invertIfNegative val="0"/>
          <c:cat>
            <c:strRef>
              <c:f>'CH4'!$B$3:$H$3</c:f>
              <c:strCache>
                <c:ptCount val="7"/>
                <c:pt idx="0">
                  <c:v>Reference</c:v>
                </c:pt>
                <c:pt idx="1">
                  <c:v>Efficiency</c:v>
                </c:pt>
                <c:pt idx="2">
                  <c:v>Tech Costs</c:v>
                </c:pt>
                <c:pt idx="3">
                  <c:v>Fuel Projections</c:v>
                </c:pt>
                <c:pt idx="4">
                  <c:v>Carbon Price</c:v>
                </c:pt>
                <c:pt idx="5">
                  <c:v>2040 ICE Ban</c:v>
                </c:pt>
                <c:pt idx="6">
                  <c:v>2030 ICE Ban</c:v>
                </c:pt>
              </c:strCache>
            </c:strRef>
          </c:cat>
          <c:val>
            <c:numRef>
              <c:f>'CH4'!$B$8:$H$8</c:f>
              <c:numCache>
                <c:formatCode>General</c:formatCode>
                <c:ptCount val="7"/>
                <c:pt idx="0">
                  <c:v>58.679746852692567</c:v>
                </c:pt>
                <c:pt idx="1">
                  <c:v>54.811805465848778</c:v>
                </c:pt>
                <c:pt idx="2">
                  <c:v>54.053490931656249</c:v>
                </c:pt>
                <c:pt idx="3">
                  <c:v>65.185928688035858</c:v>
                </c:pt>
                <c:pt idx="4">
                  <c:v>65.185928688035858</c:v>
                </c:pt>
                <c:pt idx="5">
                  <c:v>65.185928688035858</c:v>
                </c:pt>
                <c:pt idx="6">
                  <c:v>3.4552138462700901</c:v>
                </c:pt>
              </c:numCache>
            </c:numRef>
          </c:val>
          <c:extLst>
            <c:ext xmlns:c16="http://schemas.microsoft.com/office/drawing/2014/chart" uri="{C3380CC4-5D6E-409C-BE32-E72D297353CC}">
              <c16:uniqueId val="{00000002-9E7A-344C-8334-AC3ED96B44C7}"/>
            </c:ext>
          </c:extLst>
        </c:ser>
        <c:ser>
          <c:idx val="6"/>
          <c:order val="6"/>
          <c:tx>
            <c:strRef>
              <c:f>'CH4'!$A$10</c:f>
              <c:strCache>
                <c:ptCount val="1"/>
                <c:pt idx="0">
                  <c:v>2050</c:v>
                </c:pt>
              </c:strCache>
            </c:strRef>
          </c:tx>
          <c:spPr>
            <a:solidFill>
              <a:schemeClr val="accent1">
                <a:lumMod val="60000"/>
              </a:schemeClr>
            </a:solidFill>
            <a:ln>
              <a:noFill/>
            </a:ln>
            <a:effectLst/>
          </c:spPr>
          <c:invertIfNegative val="0"/>
          <c:cat>
            <c:strRef>
              <c:f>'CH4'!$B$3:$H$3</c:f>
              <c:strCache>
                <c:ptCount val="7"/>
                <c:pt idx="0">
                  <c:v>Reference</c:v>
                </c:pt>
                <c:pt idx="1">
                  <c:v>Efficiency</c:v>
                </c:pt>
                <c:pt idx="2">
                  <c:v>Tech Costs</c:v>
                </c:pt>
                <c:pt idx="3">
                  <c:v>Fuel Projections</c:v>
                </c:pt>
                <c:pt idx="4">
                  <c:v>Carbon Price</c:v>
                </c:pt>
                <c:pt idx="5">
                  <c:v>2040 ICE Ban</c:v>
                </c:pt>
                <c:pt idx="6">
                  <c:v>2030 ICE Ban</c:v>
                </c:pt>
              </c:strCache>
            </c:strRef>
          </c:cat>
          <c:val>
            <c:numRef>
              <c:f>'CH4'!$B$10:$H$10</c:f>
              <c:numCache>
                <c:formatCode>General</c:formatCode>
                <c:ptCount val="7"/>
                <c:pt idx="0">
                  <c:v>65.600783455964262</c:v>
                </c:pt>
                <c:pt idx="1">
                  <c:v>59.903413900278252</c:v>
                </c:pt>
                <c:pt idx="2">
                  <c:v>59.224354415684942</c:v>
                </c:pt>
                <c:pt idx="3">
                  <c:v>72.233399072397276</c:v>
                </c:pt>
                <c:pt idx="4">
                  <c:v>72.233399072397276</c:v>
                </c:pt>
                <c:pt idx="5">
                  <c:v>48.245064044726981</c:v>
                </c:pt>
                <c:pt idx="6">
                  <c:v>0</c:v>
                </c:pt>
              </c:numCache>
            </c:numRef>
          </c:val>
          <c:extLst>
            <c:ext xmlns:c16="http://schemas.microsoft.com/office/drawing/2014/chart" uri="{C3380CC4-5D6E-409C-BE32-E72D297353CC}">
              <c16:uniqueId val="{00000003-9E7A-344C-8334-AC3ED96B44C7}"/>
            </c:ext>
          </c:extLst>
        </c:ser>
        <c:dLbls>
          <c:showLegendKey val="0"/>
          <c:showVal val="0"/>
          <c:showCatName val="0"/>
          <c:showSerName val="0"/>
          <c:showPercent val="0"/>
          <c:showBubbleSize val="0"/>
        </c:dLbls>
        <c:gapWidth val="219"/>
        <c:overlap val="-27"/>
        <c:axId val="684062511"/>
        <c:axId val="684059599"/>
        <c:extLst>
          <c:ext xmlns:c15="http://schemas.microsoft.com/office/drawing/2012/chart" uri="{02D57815-91ED-43cb-92C2-25804820EDAC}">
            <c15:filteredBarSeries>
              <c15:ser>
                <c:idx val="1"/>
                <c:order val="1"/>
                <c:tx>
                  <c:strRef>
                    <c:extLst>
                      <c:ext uri="{02D57815-91ED-43cb-92C2-25804820EDAC}">
                        <c15:formulaRef>
                          <c15:sqref>'CH4'!$A$5</c15:sqref>
                        </c15:formulaRef>
                      </c:ext>
                    </c:extLst>
                    <c:strCache>
                      <c:ptCount val="1"/>
                      <c:pt idx="0">
                        <c:v>2025</c:v>
                      </c:pt>
                    </c:strCache>
                  </c:strRef>
                </c:tx>
                <c:spPr>
                  <a:solidFill>
                    <a:schemeClr val="accent2"/>
                  </a:solidFill>
                  <a:ln>
                    <a:noFill/>
                  </a:ln>
                  <a:effectLst/>
                </c:spPr>
                <c:invertIfNegative val="0"/>
                <c:cat>
                  <c:strRef>
                    <c:extLst>
                      <c:ext uri="{02D57815-91ED-43cb-92C2-25804820EDAC}">
                        <c15:formulaRef>
                          <c15:sqref>'CH4'!$B$3:$H$3</c15:sqref>
                        </c15:formulaRef>
                      </c:ext>
                    </c:extLst>
                    <c:strCache>
                      <c:ptCount val="7"/>
                      <c:pt idx="0">
                        <c:v>Reference</c:v>
                      </c:pt>
                      <c:pt idx="1">
                        <c:v>Efficiency</c:v>
                      </c:pt>
                      <c:pt idx="2">
                        <c:v>Tech Costs</c:v>
                      </c:pt>
                      <c:pt idx="3">
                        <c:v>Fuel Projections</c:v>
                      </c:pt>
                      <c:pt idx="4">
                        <c:v>Carbon Price</c:v>
                      </c:pt>
                      <c:pt idx="5">
                        <c:v>2040 ICE Ban</c:v>
                      </c:pt>
                      <c:pt idx="6">
                        <c:v>2030 ICE Ban</c:v>
                      </c:pt>
                    </c:strCache>
                  </c:strRef>
                </c:cat>
                <c:val>
                  <c:numRef>
                    <c:extLst>
                      <c:ext uri="{02D57815-91ED-43cb-92C2-25804820EDAC}">
                        <c15:formulaRef>
                          <c15:sqref>'CH4'!$B$5:$H$5</c15:sqref>
                        </c15:formulaRef>
                      </c:ext>
                    </c:extLst>
                    <c:numCache>
                      <c:formatCode>General</c:formatCode>
                      <c:ptCount val="7"/>
                      <c:pt idx="0">
                        <c:v>35.808820780394448</c:v>
                      </c:pt>
                      <c:pt idx="1">
                        <c:v>35.808820780394448</c:v>
                      </c:pt>
                      <c:pt idx="2">
                        <c:v>35.808820780394448</c:v>
                      </c:pt>
                      <c:pt idx="3">
                        <c:v>35.808820780394448</c:v>
                      </c:pt>
                      <c:pt idx="4">
                        <c:v>35.808820780394448</c:v>
                      </c:pt>
                      <c:pt idx="5">
                        <c:v>35.808820780394448</c:v>
                      </c:pt>
                      <c:pt idx="6">
                        <c:v>35.808820780394448</c:v>
                      </c:pt>
                    </c:numCache>
                  </c:numRef>
                </c:val>
                <c:extLst>
                  <c:ext xmlns:c16="http://schemas.microsoft.com/office/drawing/2014/chart" uri="{C3380CC4-5D6E-409C-BE32-E72D297353CC}">
                    <c16:uniqueId val="{00000004-9E7A-344C-8334-AC3ED96B44C7}"/>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'CH4'!$A$7</c15:sqref>
                        </c15:formulaRef>
                      </c:ext>
                    </c:extLst>
                    <c:strCache>
                      <c:ptCount val="1"/>
                      <c:pt idx="0">
                        <c:v>2035</c:v>
                      </c:pt>
                    </c:strCache>
                  </c:strRef>
                </c:tx>
                <c:spPr>
                  <a:solidFill>
                    <a:schemeClr val="accent4"/>
                  </a:solidFill>
                  <a:ln>
                    <a:noFill/>
                  </a:ln>
                  <a:effectLst/>
                </c:spPr>
                <c:invertIfNegative val="0"/>
                <c:cat>
                  <c:strRef>
                    <c:extLst xmlns:c15="http://schemas.microsoft.com/office/drawing/2012/chart">
                      <c:ext xmlns:c15="http://schemas.microsoft.com/office/drawing/2012/chart" uri="{02D57815-91ED-43cb-92C2-25804820EDAC}">
                        <c15:formulaRef>
                          <c15:sqref>'CH4'!$B$3:$H$3</c15:sqref>
                        </c15:formulaRef>
                      </c:ext>
                    </c:extLst>
                    <c:strCache>
                      <c:ptCount val="7"/>
                      <c:pt idx="0">
                        <c:v>Reference</c:v>
                      </c:pt>
                      <c:pt idx="1">
                        <c:v>Efficiency</c:v>
                      </c:pt>
                      <c:pt idx="2">
                        <c:v>Tech Costs</c:v>
                      </c:pt>
                      <c:pt idx="3">
                        <c:v>Fuel Projections</c:v>
                      </c:pt>
                      <c:pt idx="4">
                        <c:v>Carbon Price</c:v>
                      </c:pt>
                      <c:pt idx="5">
                        <c:v>2040 ICE Ban</c:v>
                      </c:pt>
                      <c:pt idx="6">
                        <c:v>2030 ICE Ban</c:v>
                      </c:pt>
                    </c:strCache>
                  </c:strRef>
                </c:cat>
                <c:val>
                  <c:numRef>
                    <c:extLst xmlns:c15="http://schemas.microsoft.com/office/drawing/2012/chart">
                      <c:ext xmlns:c15="http://schemas.microsoft.com/office/drawing/2012/chart" uri="{02D57815-91ED-43cb-92C2-25804820EDAC}">
                        <c15:formulaRef>
                          <c15:sqref>'CH4'!$B$7:$H$7</c15:sqref>
                        </c15:formulaRef>
                      </c:ext>
                    </c:extLst>
                    <c:numCache>
                      <c:formatCode>General</c:formatCode>
                      <c:ptCount val="7"/>
                      <c:pt idx="0">
                        <c:v>51.985667744041393</c:v>
                      </c:pt>
                      <c:pt idx="1">
                        <c:v>51.309740655523257</c:v>
                      </c:pt>
                      <c:pt idx="2">
                        <c:v>51.071137021062015</c:v>
                      </c:pt>
                      <c:pt idx="3">
                        <c:v>55.182510712145543</c:v>
                      </c:pt>
                      <c:pt idx="4">
                        <c:v>55.182510712145543</c:v>
                      </c:pt>
                      <c:pt idx="5">
                        <c:v>55.182510712145543</c:v>
                      </c:pt>
                      <c:pt idx="6">
                        <c:v>40.230439487421776</c:v>
                      </c:pt>
                    </c:numCache>
                  </c:numRef>
                </c:val>
                <c:extLst xmlns:c15="http://schemas.microsoft.com/office/drawing/2012/chart">
                  <c:ext xmlns:c16="http://schemas.microsoft.com/office/drawing/2014/chart" uri="{C3380CC4-5D6E-409C-BE32-E72D297353CC}">
                    <c16:uniqueId val="{00000005-9E7A-344C-8334-AC3ED96B44C7}"/>
                  </c:ext>
                </c:extLst>
              </c15:ser>
            </c15:filteredBarSeries>
            <c15:filteredBarSeries>
              <c15:ser>
                <c:idx val="5"/>
                <c:order val="5"/>
                <c:tx>
                  <c:strRef>
                    <c:extLst xmlns:c15="http://schemas.microsoft.com/office/drawing/2012/chart">
                      <c:ext xmlns:c15="http://schemas.microsoft.com/office/drawing/2012/chart" uri="{02D57815-91ED-43cb-92C2-25804820EDAC}">
                        <c15:formulaRef>
                          <c15:sqref>'CH4'!$A$9</c15:sqref>
                        </c15:formulaRef>
                      </c:ext>
                    </c:extLst>
                    <c:strCache>
                      <c:ptCount val="1"/>
                      <c:pt idx="0">
                        <c:v>2045</c:v>
                      </c:pt>
                    </c:strCache>
                  </c:strRef>
                </c:tx>
                <c:spPr>
                  <a:solidFill>
                    <a:schemeClr val="accent6"/>
                  </a:solidFill>
                  <a:ln>
                    <a:noFill/>
                  </a:ln>
                  <a:effectLst/>
                </c:spPr>
                <c:invertIfNegative val="0"/>
                <c:cat>
                  <c:strRef>
                    <c:extLst xmlns:c15="http://schemas.microsoft.com/office/drawing/2012/chart">
                      <c:ext xmlns:c15="http://schemas.microsoft.com/office/drawing/2012/chart" uri="{02D57815-91ED-43cb-92C2-25804820EDAC}">
                        <c15:formulaRef>
                          <c15:sqref>'CH4'!$B$3:$H$3</c15:sqref>
                        </c15:formulaRef>
                      </c:ext>
                    </c:extLst>
                    <c:strCache>
                      <c:ptCount val="7"/>
                      <c:pt idx="0">
                        <c:v>Reference</c:v>
                      </c:pt>
                      <c:pt idx="1">
                        <c:v>Efficiency</c:v>
                      </c:pt>
                      <c:pt idx="2">
                        <c:v>Tech Costs</c:v>
                      </c:pt>
                      <c:pt idx="3">
                        <c:v>Fuel Projections</c:v>
                      </c:pt>
                      <c:pt idx="4">
                        <c:v>Carbon Price</c:v>
                      </c:pt>
                      <c:pt idx="5">
                        <c:v>2040 ICE Ban</c:v>
                      </c:pt>
                      <c:pt idx="6">
                        <c:v>2030 ICE Ban</c:v>
                      </c:pt>
                    </c:strCache>
                  </c:strRef>
                </c:cat>
                <c:val>
                  <c:numRef>
                    <c:extLst xmlns:c15="http://schemas.microsoft.com/office/drawing/2012/chart">
                      <c:ext xmlns:c15="http://schemas.microsoft.com/office/drawing/2012/chart" uri="{02D57815-91ED-43cb-92C2-25804820EDAC}">
                        <c15:formulaRef>
                          <c15:sqref>'CH4'!$B$9:$H$9</c15:sqref>
                        </c15:formulaRef>
                      </c:ext>
                    </c:extLst>
                    <c:numCache>
                      <c:formatCode>General</c:formatCode>
                      <c:ptCount val="7"/>
                      <c:pt idx="0">
                        <c:v>62.861537296300412</c:v>
                      </c:pt>
                      <c:pt idx="1">
                        <c:v>58.333882484036742</c:v>
                      </c:pt>
                      <c:pt idx="2">
                        <c:v>57.525250477716739</c:v>
                      </c:pt>
                      <c:pt idx="3">
                        <c:v>70.28952392108468</c:v>
                      </c:pt>
                      <c:pt idx="4">
                        <c:v>70.28952392108468</c:v>
                      </c:pt>
                      <c:pt idx="5">
                        <c:v>61.730714841765788</c:v>
                      </c:pt>
                      <c:pt idx="6">
                        <c:v>0</c:v>
                      </c:pt>
                    </c:numCache>
                  </c:numRef>
                </c:val>
                <c:extLst xmlns:c15="http://schemas.microsoft.com/office/drawing/2012/chart">
                  <c:ext xmlns:c16="http://schemas.microsoft.com/office/drawing/2014/chart" uri="{C3380CC4-5D6E-409C-BE32-E72D297353CC}">
                    <c16:uniqueId val="{00000006-9E7A-344C-8334-AC3ED96B44C7}"/>
                  </c:ext>
                </c:extLst>
              </c15:ser>
            </c15:filteredBarSeries>
          </c:ext>
        </c:extLst>
      </c:barChart>
      <c:catAx>
        <c:axId val="6840625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84059599"/>
        <c:crosses val="autoZero"/>
        <c:auto val="1"/>
        <c:lblAlgn val="ctr"/>
        <c:lblOffset val="100"/>
        <c:noMultiLvlLbl val="0"/>
      </c:catAx>
      <c:valAx>
        <c:axId val="68405959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900" b="1"/>
                  <a:t>CH</a:t>
                </a:r>
                <a:r>
                  <a:rPr lang="en-US" sz="900" b="1" baseline="-25000"/>
                  <a:t>4</a:t>
                </a:r>
                <a:r>
                  <a:rPr lang="en-US" sz="900" b="1"/>
                  <a:t> emissions [kt]</a:t>
                </a:r>
              </a:p>
            </c:rich>
          </c:tx>
          <c:layout>
            <c:manualLayout>
              <c:xMode val="edge"/>
              <c:yMode val="edge"/>
              <c:x val="9.2591453412073487E-3"/>
              <c:y val="0.16872484689413822"/>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84062511"/>
        <c:crosses val="autoZero"/>
        <c:crossBetween val="between"/>
        <c:majorUnit val="2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523549139690872"/>
          <c:y val="5.0925925925925923E-2"/>
          <c:w val="0.82476453138670169"/>
          <c:h val="0.70085301837270331"/>
        </c:manualLayout>
      </c:layout>
      <c:barChart>
        <c:barDir val="col"/>
        <c:grouping val="clustered"/>
        <c:varyColors val="0"/>
        <c:ser>
          <c:idx val="0"/>
          <c:order val="0"/>
          <c:tx>
            <c:strRef>
              <c:f>N2O!$A$4</c:f>
              <c:strCache>
                <c:ptCount val="1"/>
                <c:pt idx="0">
                  <c:v>2020</c:v>
                </c:pt>
              </c:strCache>
            </c:strRef>
          </c:tx>
          <c:spPr>
            <a:solidFill>
              <a:schemeClr val="accent5"/>
            </a:solidFill>
            <a:ln>
              <a:noFill/>
            </a:ln>
            <a:effectLst/>
          </c:spPr>
          <c:invertIfNegative val="0"/>
          <c:cat>
            <c:strRef>
              <c:f>N2O!$B$3:$H$3</c:f>
              <c:strCache>
                <c:ptCount val="7"/>
                <c:pt idx="0">
                  <c:v>Reference</c:v>
                </c:pt>
                <c:pt idx="1">
                  <c:v>Efficiency</c:v>
                </c:pt>
                <c:pt idx="2">
                  <c:v>Tech Costs</c:v>
                </c:pt>
                <c:pt idx="3">
                  <c:v>Fuel Projections</c:v>
                </c:pt>
                <c:pt idx="4">
                  <c:v>Carbon Price</c:v>
                </c:pt>
                <c:pt idx="5">
                  <c:v>2040 ICE Ban</c:v>
                </c:pt>
                <c:pt idx="6">
                  <c:v>2030 ICE Ban</c:v>
                </c:pt>
              </c:strCache>
            </c:strRef>
          </c:cat>
          <c:val>
            <c:numRef>
              <c:f>N2O!$B$4:$H$4</c:f>
              <c:numCache>
                <c:formatCode>General</c:formatCode>
                <c:ptCount val="7"/>
                <c:pt idx="0">
                  <c:v>0.51247703762209729</c:v>
                </c:pt>
                <c:pt idx="1">
                  <c:v>0.51247703762209729</c:v>
                </c:pt>
                <c:pt idx="2">
                  <c:v>0.51247703762209729</c:v>
                </c:pt>
                <c:pt idx="3">
                  <c:v>0.51247703762209729</c:v>
                </c:pt>
                <c:pt idx="4">
                  <c:v>0.51247703762209729</c:v>
                </c:pt>
                <c:pt idx="5">
                  <c:v>0.51247703762209729</c:v>
                </c:pt>
                <c:pt idx="6">
                  <c:v>0.51247703762209729</c:v>
                </c:pt>
              </c:numCache>
            </c:numRef>
          </c:val>
          <c:extLst>
            <c:ext xmlns:c16="http://schemas.microsoft.com/office/drawing/2014/chart" uri="{C3380CC4-5D6E-409C-BE32-E72D297353CC}">
              <c16:uniqueId val="{00000000-DD49-8146-B27C-009BC2665279}"/>
            </c:ext>
          </c:extLst>
        </c:ser>
        <c:ser>
          <c:idx val="2"/>
          <c:order val="2"/>
          <c:tx>
            <c:strRef>
              <c:f>N2O!$A$6</c:f>
              <c:strCache>
                <c:ptCount val="1"/>
                <c:pt idx="0">
                  <c:v>2030</c:v>
                </c:pt>
              </c:strCache>
            </c:strRef>
          </c:tx>
          <c:spPr>
            <a:solidFill>
              <a:schemeClr val="accent3"/>
            </a:solidFill>
            <a:ln>
              <a:noFill/>
            </a:ln>
            <a:effectLst/>
          </c:spPr>
          <c:invertIfNegative val="0"/>
          <c:cat>
            <c:strRef>
              <c:f>N2O!$B$3:$H$3</c:f>
              <c:strCache>
                <c:ptCount val="7"/>
                <c:pt idx="0">
                  <c:v>Reference</c:v>
                </c:pt>
                <c:pt idx="1">
                  <c:v>Efficiency</c:v>
                </c:pt>
                <c:pt idx="2">
                  <c:v>Tech Costs</c:v>
                </c:pt>
                <c:pt idx="3">
                  <c:v>Fuel Projections</c:v>
                </c:pt>
                <c:pt idx="4">
                  <c:v>Carbon Price</c:v>
                </c:pt>
                <c:pt idx="5">
                  <c:v>2040 ICE Ban</c:v>
                </c:pt>
                <c:pt idx="6">
                  <c:v>2030 ICE Ban</c:v>
                </c:pt>
              </c:strCache>
            </c:strRef>
          </c:cat>
          <c:val>
            <c:numRef>
              <c:f>N2O!$B$6:$H$6</c:f>
              <c:numCache>
                <c:formatCode>General</c:formatCode>
                <c:ptCount val="7"/>
                <c:pt idx="0">
                  <c:v>0.71391926902735392</c:v>
                </c:pt>
                <c:pt idx="1">
                  <c:v>0.71300077490641034</c:v>
                </c:pt>
                <c:pt idx="2">
                  <c:v>0.67768557516322014</c:v>
                </c:pt>
                <c:pt idx="3">
                  <c:v>0.67768557516322014</c:v>
                </c:pt>
                <c:pt idx="4">
                  <c:v>0.67768557516322014</c:v>
                </c:pt>
                <c:pt idx="5">
                  <c:v>0.67768557516322014</c:v>
                </c:pt>
                <c:pt idx="6">
                  <c:v>0.67768557516322014</c:v>
                </c:pt>
              </c:numCache>
            </c:numRef>
          </c:val>
          <c:extLst>
            <c:ext xmlns:c16="http://schemas.microsoft.com/office/drawing/2014/chart" uri="{C3380CC4-5D6E-409C-BE32-E72D297353CC}">
              <c16:uniqueId val="{00000001-DD49-8146-B27C-009BC2665279}"/>
            </c:ext>
          </c:extLst>
        </c:ser>
        <c:ser>
          <c:idx val="4"/>
          <c:order val="4"/>
          <c:tx>
            <c:strRef>
              <c:f>N2O!$A$8</c:f>
              <c:strCache>
                <c:ptCount val="1"/>
                <c:pt idx="0">
                  <c:v>2040</c:v>
                </c:pt>
              </c:strCache>
            </c:strRef>
          </c:tx>
          <c:spPr>
            <a:solidFill>
              <a:schemeClr val="accent1"/>
            </a:solidFill>
            <a:ln>
              <a:noFill/>
            </a:ln>
            <a:effectLst/>
          </c:spPr>
          <c:invertIfNegative val="0"/>
          <c:cat>
            <c:strRef>
              <c:f>N2O!$B$3:$H$3</c:f>
              <c:strCache>
                <c:ptCount val="7"/>
                <c:pt idx="0">
                  <c:v>Reference</c:v>
                </c:pt>
                <c:pt idx="1">
                  <c:v>Efficiency</c:v>
                </c:pt>
                <c:pt idx="2">
                  <c:v>Tech Costs</c:v>
                </c:pt>
                <c:pt idx="3">
                  <c:v>Fuel Projections</c:v>
                </c:pt>
                <c:pt idx="4">
                  <c:v>Carbon Price</c:v>
                </c:pt>
                <c:pt idx="5">
                  <c:v>2040 ICE Ban</c:v>
                </c:pt>
                <c:pt idx="6">
                  <c:v>2030 ICE Ban</c:v>
                </c:pt>
              </c:strCache>
            </c:strRef>
          </c:cat>
          <c:val>
            <c:numRef>
              <c:f>N2O!$B$8:$H$8</c:f>
              <c:numCache>
                <c:formatCode>General</c:formatCode>
                <c:ptCount val="7"/>
                <c:pt idx="0">
                  <c:v>0.68633836075588428</c:v>
                </c:pt>
                <c:pt idx="1">
                  <c:v>0.64901260559964291</c:v>
                </c:pt>
                <c:pt idx="2">
                  <c:v>0.14909956743317687</c:v>
                </c:pt>
                <c:pt idx="3">
                  <c:v>2.1975001666106917E-2</c:v>
                </c:pt>
                <c:pt idx="4">
                  <c:v>2.1975001666106917E-2</c:v>
                </c:pt>
                <c:pt idx="5">
                  <c:v>2.1975001666106917E-2</c:v>
                </c:pt>
                <c:pt idx="6">
                  <c:v>6.9181029217204983E-3</c:v>
                </c:pt>
              </c:numCache>
            </c:numRef>
          </c:val>
          <c:extLst>
            <c:ext xmlns:c16="http://schemas.microsoft.com/office/drawing/2014/chart" uri="{C3380CC4-5D6E-409C-BE32-E72D297353CC}">
              <c16:uniqueId val="{00000002-DD49-8146-B27C-009BC2665279}"/>
            </c:ext>
          </c:extLst>
        </c:ser>
        <c:ser>
          <c:idx val="6"/>
          <c:order val="6"/>
          <c:tx>
            <c:strRef>
              <c:f>N2O!$A$10</c:f>
              <c:strCache>
                <c:ptCount val="1"/>
                <c:pt idx="0">
                  <c:v>2050</c:v>
                </c:pt>
              </c:strCache>
            </c:strRef>
          </c:tx>
          <c:spPr>
            <a:solidFill>
              <a:schemeClr val="accent1">
                <a:lumMod val="60000"/>
              </a:schemeClr>
            </a:solidFill>
            <a:ln>
              <a:noFill/>
            </a:ln>
            <a:effectLst/>
          </c:spPr>
          <c:invertIfNegative val="0"/>
          <c:cat>
            <c:strRef>
              <c:f>N2O!$B$3:$H$3</c:f>
              <c:strCache>
                <c:ptCount val="7"/>
                <c:pt idx="0">
                  <c:v>Reference</c:v>
                </c:pt>
                <c:pt idx="1">
                  <c:v>Efficiency</c:v>
                </c:pt>
                <c:pt idx="2">
                  <c:v>Tech Costs</c:v>
                </c:pt>
                <c:pt idx="3">
                  <c:v>Fuel Projections</c:v>
                </c:pt>
                <c:pt idx="4">
                  <c:v>Carbon Price</c:v>
                </c:pt>
                <c:pt idx="5">
                  <c:v>2040 ICE Ban</c:v>
                </c:pt>
                <c:pt idx="6">
                  <c:v>2030 ICE Ban</c:v>
                </c:pt>
              </c:strCache>
            </c:strRef>
          </c:cat>
          <c:val>
            <c:numRef>
              <c:f>N2O!$B$10:$H$10</c:f>
              <c:numCache>
                <c:formatCode>General</c:formatCode>
                <c:ptCount val="7"/>
                <c:pt idx="0">
                  <c:v>0.75111740596811882</c:v>
                </c:pt>
                <c:pt idx="1">
                  <c:v>0.56796333761484241</c:v>
                </c:pt>
                <c:pt idx="2">
                  <c:v>0.16624653088256969</c:v>
                </c:pt>
                <c:pt idx="3">
                  <c:v>1.7618073844988764E-2</c:v>
                </c:pt>
                <c:pt idx="4">
                  <c:v>1.7618073844988764E-2</c:v>
                </c:pt>
                <c:pt idx="5">
                  <c:v>1.17172944738245E-2</c:v>
                </c:pt>
                <c:pt idx="6">
                  <c:v>0</c:v>
                </c:pt>
              </c:numCache>
            </c:numRef>
          </c:val>
          <c:extLst>
            <c:ext xmlns:c16="http://schemas.microsoft.com/office/drawing/2014/chart" uri="{C3380CC4-5D6E-409C-BE32-E72D297353CC}">
              <c16:uniqueId val="{00000003-DD49-8146-B27C-009BC2665279}"/>
            </c:ext>
          </c:extLst>
        </c:ser>
        <c:dLbls>
          <c:showLegendKey val="0"/>
          <c:showVal val="0"/>
          <c:showCatName val="0"/>
          <c:showSerName val="0"/>
          <c:showPercent val="0"/>
          <c:showBubbleSize val="0"/>
        </c:dLbls>
        <c:gapWidth val="219"/>
        <c:overlap val="-27"/>
        <c:axId val="1015130255"/>
        <c:axId val="1015125263"/>
        <c:extLst>
          <c:ext xmlns:c15="http://schemas.microsoft.com/office/drawing/2012/chart" uri="{02D57815-91ED-43cb-92C2-25804820EDAC}">
            <c15:filteredBarSeries>
              <c15:ser>
                <c:idx val="1"/>
                <c:order val="1"/>
                <c:tx>
                  <c:strRef>
                    <c:extLst>
                      <c:ext uri="{02D57815-91ED-43cb-92C2-25804820EDAC}">
                        <c15:formulaRef>
                          <c15:sqref>N2O!$A$5</c15:sqref>
                        </c15:formulaRef>
                      </c:ext>
                    </c:extLst>
                    <c:strCache>
                      <c:ptCount val="1"/>
                      <c:pt idx="0">
                        <c:v>2025</c:v>
                      </c:pt>
                    </c:strCache>
                  </c:strRef>
                </c:tx>
                <c:spPr>
                  <a:solidFill>
                    <a:schemeClr val="accent2"/>
                  </a:solidFill>
                  <a:ln>
                    <a:noFill/>
                  </a:ln>
                  <a:effectLst/>
                </c:spPr>
                <c:invertIfNegative val="0"/>
                <c:cat>
                  <c:strRef>
                    <c:extLst>
                      <c:ext uri="{02D57815-91ED-43cb-92C2-25804820EDAC}">
                        <c15:formulaRef>
                          <c15:sqref>N2O!$B$3:$H$3</c15:sqref>
                        </c15:formulaRef>
                      </c:ext>
                    </c:extLst>
                    <c:strCache>
                      <c:ptCount val="7"/>
                      <c:pt idx="0">
                        <c:v>Reference</c:v>
                      </c:pt>
                      <c:pt idx="1">
                        <c:v>Efficiency</c:v>
                      </c:pt>
                      <c:pt idx="2">
                        <c:v>Tech Costs</c:v>
                      </c:pt>
                      <c:pt idx="3">
                        <c:v>Fuel Projections</c:v>
                      </c:pt>
                      <c:pt idx="4">
                        <c:v>Carbon Price</c:v>
                      </c:pt>
                      <c:pt idx="5">
                        <c:v>2040 ICE Ban</c:v>
                      </c:pt>
                      <c:pt idx="6">
                        <c:v>2030 ICE Ban</c:v>
                      </c:pt>
                    </c:strCache>
                  </c:strRef>
                </c:cat>
                <c:val>
                  <c:numRef>
                    <c:extLst>
                      <c:ext uri="{02D57815-91ED-43cb-92C2-25804820EDAC}">
                        <c15:formulaRef>
                          <c15:sqref>N2O!$B$5:$H$5</c15:sqref>
                        </c15:formulaRef>
                      </c:ext>
                    </c:extLst>
                    <c:numCache>
                      <c:formatCode>General</c:formatCode>
                      <c:ptCount val="7"/>
                      <c:pt idx="0">
                        <c:v>0.67252709461653037</c:v>
                      </c:pt>
                      <c:pt idx="1">
                        <c:v>0.67252709461653037</c:v>
                      </c:pt>
                      <c:pt idx="2">
                        <c:v>0.67252709461653037</c:v>
                      </c:pt>
                      <c:pt idx="3">
                        <c:v>0.67252709461653037</c:v>
                      </c:pt>
                      <c:pt idx="4">
                        <c:v>0.67252709461653037</c:v>
                      </c:pt>
                      <c:pt idx="5">
                        <c:v>0.67252709461653037</c:v>
                      </c:pt>
                      <c:pt idx="6">
                        <c:v>0.67252709461653037</c:v>
                      </c:pt>
                    </c:numCache>
                  </c:numRef>
                </c:val>
                <c:extLst>
                  <c:ext xmlns:c16="http://schemas.microsoft.com/office/drawing/2014/chart" uri="{C3380CC4-5D6E-409C-BE32-E72D297353CC}">
                    <c16:uniqueId val="{00000004-DD49-8146-B27C-009BC2665279}"/>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N2O!$A$7</c15:sqref>
                        </c15:formulaRef>
                      </c:ext>
                    </c:extLst>
                    <c:strCache>
                      <c:ptCount val="1"/>
                      <c:pt idx="0">
                        <c:v>2035</c:v>
                      </c:pt>
                    </c:strCache>
                  </c:strRef>
                </c:tx>
                <c:spPr>
                  <a:solidFill>
                    <a:schemeClr val="accent4"/>
                  </a:solidFill>
                  <a:ln>
                    <a:noFill/>
                  </a:ln>
                  <a:effectLst/>
                </c:spPr>
                <c:invertIfNegative val="0"/>
                <c:cat>
                  <c:strRef>
                    <c:extLst xmlns:c15="http://schemas.microsoft.com/office/drawing/2012/chart">
                      <c:ext xmlns:c15="http://schemas.microsoft.com/office/drawing/2012/chart" uri="{02D57815-91ED-43cb-92C2-25804820EDAC}">
                        <c15:formulaRef>
                          <c15:sqref>N2O!$B$3:$H$3</c15:sqref>
                        </c15:formulaRef>
                      </c:ext>
                    </c:extLst>
                    <c:strCache>
                      <c:ptCount val="7"/>
                      <c:pt idx="0">
                        <c:v>Reference</c:v>
                      </c:pt>
                      <c:pt idx="1">
                        <c:v>Efficiency</c:v>
                      </c:pt>
                      <c:pt idx="2">
                        <c:v>Tech Costs</c:v>
                      </c:pt>
                      <c:pt idx="3">
                        <c:v>Fuel Projections</c:v>
                      </c:pt>
                      <c:pt idx="4">
                        <c:v>Carbon Price</c:v>
                      </c:pt>
                      <c:pt idx="5">
                        <c:v>2040 ICE Ban</c:v>
                      </c:pt>
                      <c:pt idx="6">
                        <c:v>2030 ICE Ban</c:v>
                      </c:pt>
                    </c:strCache>
                  </c:strRef>
                </c:cat>
                <c:val>
                  <c:numRef>
                    <c:extLst xmlns:c15="http://schemas.microsoft.com/office/drawing/2012/chart">
                      <c:ext xmlns:c15="http://schemas.microsoft.com/office/drawing/2012/chart" uri="{02D57815-91ED-43cb-92C2-25804820EDAC}">
                        <c15:formulaRef>
                          <c15:sqref>N2O!$B$7:$H$7</c15:sqref>
                        </c15:formulaRef>
                      </c:ext>
                    </c:extLst>
                    <c:numCache>
                      <c:formatCode>General</c:formatCode>
                      <c:ptCount val="7"/>
                      <c:pt idx="0">
                        <c:v>0.63981833999789006</c:v>
                      </c:pt>
                      <c:pt idx="1">
                        <c:v>0.63129979174693573</c:v>
                      </c:pt>
                      <c:pt idx="2">
                        <c:v>0.4771541937207332</c:v>
                      </c:pt>
                      <c:pt idx="3">
                        <c:v>0.43025300623797091</c:v>
                      </c:pt>
                      <c:pt idx="4">
                        <c:v>0.43025300623797091</c:v>
                      </c:pt>
                      <c:pt idx="5">
                        <c:v>0.43025300623797091</c:v>
                      </c:pt>
                      <c:pt idx="6">
                        <c:v>0.42656036517756568</c:v>
                      </c:pt>
                    </c:numCache>
                  </c:numRef>
                </c:val>
                <c:extLst xmlns:c15="http://schemas.microsoft.com/office/drawing/2012/chart">
                  <c:ext xmlns:c16="http://schemas.microsoft.com/office/drawing/2014/chart" uri="{C3380CC4-5D6E-409C-BE32-E72D297353CC}">
                    <c16:uniqueId val="{00000005-DD49-8146-B27C-009BC2665279}"/>
                  </c:ext>
                </c:extLst>
              </c15:ser>
            </c15:filteredBarSeries>
            <c15:filteredBarSeries>
              <c15:ser>
                <c:idx val="5"/>
                <c:order val="5"/>
                <c:tx>
                  <c:strRef>
                    <c:extLst xmlns:c15="http://schemas.microsoft.com/office/drawing/2012/chart">
                      <c:ext xmlns:c15="http://schemas.microsoft.com/office/drawing/2012/chart" uri="{02D57815-91ED-43cb-92C2-25804820EDAC}">
                        <c15:formulaRef>
                          <c15:sqref>N2O!$A$9</c15:sqref>
                        </c15:formulaRef>
                      </c:ext>
                    </c:extLst>
                    <c:strCache>
                      <c:ptCount val="1"/>
                      <c:pt idx="0">
                        <c:v>2045</c:v>
                      </c:pt>
                    </c:strCache>
                  </c:strRef>
                </c:tx>
                <c:spPr>
                  <a:solidFill>
                    <a:schemeClr val="accent6"/>
                  </a:solidFill>
                  <a:ln>
                    <a:noFill/>
                  </a:ln>
                  <a:effectLst/>
                </c:spPr>
                <c:invertIfNegative val="0"/>
                <c:cat>
                  <c:strRef>
                    <c:extLst xmlns:c15="http://schemas.microsoft.com/office/drawing/2012/chart">
                      <c:ext xmlns:c15="http://schemas.microsoft.com/office/drawing/2012/chart" uri="{02D57815-91ED-43cb-92C2-25804820EDAC}">
                        <c15:formulaRef>
                          <c15:sqref>N2O!$B$3:$H$3</c15:sqref>
                        </c15:formulaRef>
                      </c:ext>
                    </c:extLst>
                    <c:strCache>
                      <c:ptCount val="7"/>
                      <c:pt idx="0">
                        <c:v>Reference</c:v>
                      </c:pt>
                      <c:pt idx="1">
                        <c:v>Efficiency</c:v>
                      </c:pt>
                      <c:pt idx="2">
                        <c:v>Tech Costs</c:v>
                      </c:pt>
                      <c:pt idx="3">
                        <c:v>Fuel Projections</c:v>
                      </c:pt>
                      <c:pt idx="4">
                        <c:v>Carbon Price</c:v>
                      </c:pt>
                      <c:pt idx="5">
                        <c:v>2040 ICE Ban</c:v>
                      </c:pt>
                      <c:pt idx="6">
                        <c:v>2030 ICE Ban</c:v>
                      </c:pt>
                    </c:strCache>
                  </c:strRef>
                </c:cat>
                <c:val>
                  <c:numRef>
                    <c:extLst xmlns:c15="http://schemas.microsoft.com/office/drawing/2012/chart">
                      <c:ext xmlns:c15="http://schemas.microsoft.com/office/drawing/2012/chart" uri="{02D57815-91ED-43cb-92C2-25804820EDAC}">
                        <c15:formulaRef>
                          <c15:sqref>N2O!$B$9:$H$9</c15:sqref>
                        </c15:formulaRef>
                      </c:ext>
                    </c:extLst>
                    <c:numCache>
                      <c:formatCode>General</c:formatCode>
                      <c:ptCount val="7"/>
                      <c:pt idx="0">
                        <c:v>0.7352418842499151</c:v>
                      </c:pt>
                      <c:pt idx="1">
                        <c:v>0.69122805410576282</c:v>
                      </c:pt>
                      <c:pt idx="2">
                        <c:v>0.1628873559800694</c:v>
                      </c:pt>
                      <c:pt idx="3">
                        <c:v>1.7147349951199053E-2</c:v>
                      </c:pt>
                      <c:pt idx="4">
                        <c:v>1.7147349951199053E-2</c:v>
                      </c:pt>
                      <c:pt idx="5">
                        <c:v>1.5056898744386418E-2</c:v>
                      </c:pt>
                      <c:pt idx="6">
                        <c:v>0</c:v>
                      </c:pt>
                    </c:numCache>
                  </c:numRef>
                </c:val>
                <c:extLst xmlns:c15="http://schemas.microsoft.com/office/drawing/2012/chart">
                  <c:ext xmlns:c16="http://schemas.microsoft.com/office/drawing/2014/chart" uri="{C3380CC4-5D6E-409C-BE32-E72D297353CC}">
                    <c16:uniqueId val="{00000006-DD49-8146-B27C-009BC2665279}"/>
                  </c:ext>
                </c:extLst>
              </c15:ser>
            </c15:filteredBarSeries>
          </c:ext>
        </c:extLst>
      </c:barChart>
      <c:catAx>
        <c:axId val="10151302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015125263"/>
        <c:crosses val="autoZero"/>
        <c:auto val="1"/>
        <c:lblAlgn val="ctr"/>
        <c:lblOffset val="100"/>
        <c:noMultiLvlLbl val="0"/>
      </c:catAx>
      <c:valAx>
        <c:axId val="101512526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900" b="1"/>
                  <a:t>N</a:t>
                </a:r>
                <a:r>
                  <a:rPr lang="en-US" sz="900" b="1" baseline="-25000"/>
                  <a:t>2</a:t>
                </a:r>
                <a:r>
                  <a:rPr lang="en-US" sz="900" b="1"/>
                  <a:t>O emissions [kt]</a:t>
                </a:r>
              </a:p>
            </c:rich>
          </c:tx>
          <c:layout>
            <c:manualLayout>
              <c:xMode val="edge"/>
              <c:yMode val="edge"/>
              <c:x val="9.2591453412073487E-3"/>
              <c:y val="0.1679148439778361"/>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015130255"/>
        <c:crosses val="autoZero"/>
        <c:crossBetween val="between"/>
        <c:majorUnit val="0.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358F73C121B6674488079E916013AD6F" ma:contentTypeVersion="14" ma:contentTypeDescription="Creare un nuovo documento." ma:contentTypeScope="" ma:versionID="5550436beb8c882b2108ca293e6dfaa3">
  <xsd:schema xmlns:xsd="http://www.w3.org/2001/XMLSchema" xmlns:xs="http://www.w3.org/2001/XMLSchema" xmlns:p="http://schemas.microsoft.com/office/2006/metadata/properties" xmlns:ns3="83cd6258-b0fc-41f5-acc9-9e1a3e3d65df" xmlns:ns4="22cb0c40-5155-40b4-bb39-70b13a0b10ab" targetNamespace="http://schemas.microsoft.com/office/2006/metadata/properties" ma:root="true" ma:fieldsID="03e93b431263c3c8532b02b0ad49e1ef" ns3:_="" ns4:_="">
    <xsd:import namespace="83cd6258-b0fc-41f5-acc9-9e1a3e3d65df"/>
    <xsd:import namespace="22cb0c40-5155-40b4-bb39-70b13a0b10a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cd6258-b0fc-41f5-acc9-9e1a3e3d65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2cb0c40-5155-40b4-bb39-70b13a0b10ab"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element name="SharingHintHash" ma:index="20"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77CA54-C458-4901-A2D4-F96C673FCF7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6A14D8D-D6B5-429C-98CB-52799C2EAFC5}">
  <ds:schemaRefs>
    <ds:schemaRef ds:uri="http://schemas.openxmlformats.org/officeDocument/2006/bibliography"/>
  </ds:schemaRefs>
</ds:datastoreItem>
</file>

<file path=customXml/itemProps3.xml><?xml version="1.0" encoding="utf-8"?>
<ds:datastoreItem xmlns:ds="http://schemas.openxmlformats.org/officeDocument/2006/customXml" ds:itemID="{5CC478B8-0093-4731-9688-2F1A7D6D6D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cd6258-b0fc-41f5-acc9-9e1a3e3d65df"/>
    <ds:schemaRef ds:uri="22cb0c40-5155-40b4-bb39-70b13a0b10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1DDD3C-229C-424F-AE60-98E3F28F6A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9</Pages>
  <Words>2318</Words>
  <Characters>13216</Characters>
  <Application>Microsoft Office Word</Application>
  <DocSecurity>0</DocSecurity>
  <Lines>110</Lines>
  <Paragraphs>31</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DII Universita di Padova</Company>
  <LinksUpToDate>false</LinksUpToDate>
  <CharactersWithSpaces>15503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Carboni Mattia</dc:creator>
  <cp:keywords/>
  <dc:description/>
  <cp:lastModifiedBy>Sara Giarola</cp:lastModifiedBy>
  <cp:revision>8</cp:revision>
  <dcterms:created xsi:type="dcterms:W3CDTF">2023-07-07T09:16:00Z</dcterms:created>
  <dcterms:modified xsi:type="dcterms:W3CDTF">2023-08-16T23:58:00Z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0x010100358F73C121B6674488079E916013AD6F</vt:lpwstr>
  </property>
  <property fmtid="{D5CDD505-2E9C-101B-9397-08002B2CF9AE}" pid="3" name="Mendeley Document_1">
    <vt:lpwstr>True</vt:lpwstr>
  </property>
  <property fmtid="{D5CDD505-2E9C-101B-9397-08002B2CF9AE}" pid="4" name="Mendeley Citation Style_1">
    <vt:lpwstr>http://www.zotero.org/styles/ieee</vt:lpwstr>
  </property>
  <property fmtid="{D5CDD505-2E9C-101B-9397-08002B2CF9AE}" pid="5" name="Mendeley Unique User Id_1">
    <vt:lpwstr>2525dd8b-0a96-3a30-b48f-fb803426f09c</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http://www.zotero.org/styles/american-sociological-association</vt:lpwstr>
  </property>
  <property fmtid="{D5CDD505-2E9C-101B-9397-08002B2CF9AE}" pid="11" name="Mendeley Recent Style Name 2_1">
    <vt:lpwstr>American Sociological Association 6th edition</vt:lpwstr>
  </property>
  <property fmtid="{D5CDD505-2E9C-101B-9397-08002B2CF9AE}" pid="12" name="Mendeley Recent Style Id 3_1">
    <vt:lpwstr>http://www.zotero.org/styles/chicago-author-date</vt:lpwstr>
  </property>
  <property fmtid="{D5CDD505-2E9C-101B-9397-08002B2CF9AE}" pid="13" name="Mendeley Recent Style Name 3_1">
    <vt:lpwstr>Chicago Manual of Style 17th edition (author-date)</vt:lpwstr>
  </property>
  <property fmtid="{D5CDD505-2E9C-101B-9397-08002B2CF9AE}" pid="14" name="Mendeley Recent Style Id 4_1">
    <vt:lpwstr>http://www.zotero.org/styles/harvard-cite-them-right</vt:lpwstr>
  </property>
  <property fmtid="{D5CDD505-2E9C-101B-9397-08002B2CF9AE}" pid="15" name="Mendeley Recent Style Name 4_1">
    <vt:lpwstr>Cite Them Right 11th edition - Harvard</vt:lpwstr>
  </property>
  <property fmtid="{D5CDD505-2E9C-101B-9397-08002B2CF9AE}" pid="16" name="Mendeley Recent Style Id 5_1">
    <vt:lpwstr>http://www.zotero.org/styles/energy-research-and-social-science</vt:lpwstr>
  </property>
  <property fmtid="{D5CDD505-2E9C-101B-9397-08002B2CF9AE}" pid="17" name="Mendeley Recent Style Name 5_1">
    <vt:lpwstr>Energy Research &amp; Social Science</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9th edition</vt:lpwstr>
  </property>
  <property fmtid="{D5CDD505-2E9C-101B-9397-08002B2CF9AE}" pid="24" name="Mendeley Recent Style Id 9_1">
    <vt:lpwstr>http://www.zotero.org/styles/system-dynamics-review</vt:lpwstr>
  </property>
  <property fmtid="{D5CDD505-2E9C-101B-9397-08002B2CF9AE}" pid="25" name="Mendeley Recent Style Name 9_1">
    <vt:lpwstr>System Dynamics Review</vt:lpwstr>
  </property>
</Properties>
</file>