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BC9AB" w14:textId="77777777" w:rsidR="008531EE" w:rsidRDefault="008531EE" w:rsidP="008531EE">
      <w:pPr>
        <w:pStyle w:val="Body"/>
        <w:suppressLineNumbers/>
        <w:rPr>
          <w:b/>
          <w:bCs/>
        </w:rPr>
      </w:pPr>
    </w:p>
    <w:p w14:paraId="668CA9FB" w14:textId="19D99848" w:rsidR="008531EE" w:rsidRDefault="008531EE" w:rsidP="008531EE">
      <w:pPr>
        <w:pStyle w:val="Title"/>
        <w:jc w:val="left"/>
      </w:pPr>
      <w:proofErr w:type="spellStart"/>
      <w:r w:rsidRPr="008531EE">
        <w:t>Cohorting</w:t>
      </w:r>
      <w:proofErr w:type="spellEnd"/>
      <w:r w:rsidRPr="008531EE">
        <w:t xml:space="preserve"> inpatients with Omicron and Delta variants of Sars-CoV-2 does not increase rates of </w:t>
      </w:r>
      <w:r w:rsidR="0004232A">
        <w:t>mixed</w:t>
      </w:r>
      <w:r w:rsidRPr="008531EE">
        <w:t xml:space="preserve"> infection </w:t>
      </w:r>
    </w:p>
    <w:p w14:paraId="6AA97D64" w14:textId="033C6622" w:rsidR="008531EE" w:rsidRDefault="008531EE" w:rsidP="008531EE">
      <w:pPr>
        <w:suppressLineNumbers/>
        <w:rPr>
          <w:lang w:val="en-US"/>
        </w:rPr>
      </w:pPr>
    </w:p>
    <w:p w14:paraId="3F26E30B" w14:textId="605D4457" w:rsidR="008531EE" w:rsidRDefault="008531EE" w:rsidP="008531EE">
      <w:pPr>
        <w:suppressLineNumbers/>
        <w:rPr>
          <w:lang w:val="en-US"/>
        </w:rPr>
      </w:pPr>
    </w:p>
    <w:p w14:paraId="0F9C7470" w14:textId="585E9672" w:rsidR="008531EE" w:rsidRPr="00CA0AD7" w:rsidRDefault="008531EE" w:rsidP="008531EE">
      <w:pPr>
        <w:suppressLineNumbers/>
        <w:rPr>
          <w:bCs/>
        </w:rPr>
      </w:pPr>
      <w:r w:rsidRPr="004B71C3">
        <w:rPr>
          <w:b/>
        </w:rPr>
        <w:t>A</w:t>
      </w:r>
      <w:r>
        <w:rPr>
          <w:b/>
        </w:rPr>
        <w:t>uthors:</w:t>
      </w:r>
      <w:r w:rsidR="00197DBD" w:rsidRPr="00472615">
        <w:t xml:space="preserve"> </w:t>
      </w:r>
      <w:r w:rsidR="003F4D8F">
        <w:rPr>
          <w:bCs/>
        </w:rPr>
        <w:t>Jessica Davies</w:t>
      </w:r>
      <w:r w:rsidR="003F4D8F" w:rsidRPr="00093CD5">
        <w:rPr>
          <w:bCs/>
          <w:vertAlign w:val="superscript"/>
        </w:rPr>
        <w:t>1</w:t>
      </w:r>
      <w:r w:rsidR="003F4D8F">
        <w:t xml:space="preserve">, </w:t>
      </w:r>
      <w:r w:rsidR="00CA0AD7">
        <w:t xml:space="preserve">Malick M </w:t>
      </w:r>
      <w:r w:rsidR="00CA0AD7" w:rsidRPr="00736762">
        <w:t>Gibani</w:t>
      </w:r>
      <w:r w:rsidR="00CA0AD7" w:rsidRPr="00093CD5">
        <w:rPr>
          <w:vertAlign w:val="superscript"/>
        </w:rPr>
        <w:t>1,2</w:t>
      </w:r>
      <w:r w:rsidR="00CA0AD7">
        <w:rPr>
          <w:bCs/>
        </w:rPr>
        <w:t>,</w:t>
      </w:r>
      <w:r w:rsidR="00C26049">
        <w:t xml:space="preserve"> </w:t>
      </w:r>
      <w:r w:rsidR="007F2254">
        <w:t>Greta Portone</w:t>
      </w:r>
      <w:r w:rsidR="007F2254" w:rsidRPr="00026BB7">
        <w:rPr>
          <w:vertAlign w:val="superscript"/>
        </w:rPr>
        <w:t>1</w:t>
      </w:r>
      <w:r w:rsidR="007F2254">
        <w:t xml:space="preserve">, </w:t>
      </w:r>
      <w:r w:rsidRPr="00472615">
        <w:t>Alastair McGregor</w:t>
      </w:r>
      <w:r w:rsidRPr="00472615">
        <w:rPr>
          <w:vertAlign w:val="superscript"/>
        </w:rPr>
        <w:t>1</w:t>
      </w:r>
    </w:p>
    <w:p w14:paraId="002BA2DD" w14:textId="77777777" w:rsidR="008531EE" w:rsidRPr="004B71C3" w:rsidRDefault="008531EE" w:rsidP="008531EE">
      <w:pPr>
        <w:suppressLineNumbers/>
      </w:pPr>
    </w:p>
    <w:p w14:paraId="2513B847" w14:textId="77777777" w:rsidR="008531EE" w:rsidRPr="004B71C3" w:rsidRDefault="008531EE" w:rsidP="008531EE">
      <w:pPr>
        <w:suppressLineNumbers/>
      </w:pPr>
      <w:r w:rsidRPr="004B71C3">
        <w:rPr>
          <w:b/>
        </w:rPr>
        <w:t>Af</w:t>
      </w:r>
      <w:r w:rsidRPr="00736762" w:rsidDel="0000014D">
        <w:rPr>
          <w:b/>
        </w:rPr>
        <w:t>filiations</w:t>
      </w:r>
    </w:p>
    <w:p w14:paraId="009133EC" w14:textId="77777777" w:rsidR="008531EE" w:rsidRDefault="008531EE" w:rsidP="008531EE">
      <w:pPr>
        <w:suppressLineNumbers/>
        <w:rPr>
          <w:sz w:val="20"/>
          <w:szCs w:val="20"/>
        </w:rPr>
      </w:pPr>
      <w:r w:rsidRPr="004B71C3">
        <w:rPr>
          <w:sz w:val="20"/>
          <w:szCs w:val="20"/>
        </w:rPr>
        <w:t>1.</w:t>
      </w:r>
      <w:r w:rsidRPr="004B71C3">
        <w:rPr>
          <w:sz w:val="20"/>
          <w:szCs w:val="20"/>
          <w14:scene3d>
            <w14:camera w14:prst="orthographicFront"/>
            <w14:lightRig w14:rig="threePt" w14:dir="t">
              <w14:rot w14:lat="0" w14:lon="0" w14:rev="0"/>
            </w14:lightRig>
          </w14:scene3d>
        </w:rPr>
        <w:t xml:space="preserve"> </w:t>
      </w:r>
      <w:r>
        <w:rPr>
          <w:sz w:val="20"/>
          <w:szCs w:val="20"/>
          <w14:scene3d>
            <w14:camera w14:prst="orthographicFront"/>
            <w14:lightRig w14:rig="threePt" w14:dir="t">
              <w14:rot w14:lat="0" w14:lon="0" w14:rev="0"/>
            </w14:lightRig>
          </w14:scene3d>
        </w:rPr>
        <w:t xml:space="preserve">Department of Infectious Diseases &amp; Tropical Medicine, Northwick Park Hospital, London </w:t>
      </w:r>
      <w:proofErr w:type="gramStart"/>
      <w:r>
        <w:rPr>
          <w:sz w:val="20"/>
          <w:szCs w:val="20"/>
          <w14:scene3d>
            <w14:camera w14:prst="orthographicFront"/>
            <w14:lightRig w14:rig="threePt" w14:dir="t">
              <w14:rot w14:lat="0" w14:lon="0" w14:rev="0"/>
            </w14:lightRig>
          </w14:scene3d>
        </w:rPr>
        <w:t>North West</w:t>
      </w:r>
      <w:proofErr w:type="gramEnd"/>
      <w:r>
        <w:rPr>
          <w:sz w:val="20"/>
          <w:szCs w:val="20"/>
          <w14:scene3d>
            <w14:camera w14:prst="orthographicFront"/>
            <w14:lightRig w14:rig="threePt" w14:dir="t">
              <w14:rot w14:lat="0" w14:lon="0" w14:rev="0"/>
            </w14:lightRig>
          </w14:scene3d>
        </w:rPr>
        <w:t xml:space="preserve"> University Healthcare NHS Trust</w:t>
      </w:r>
    </w:p>
    <w:p w14:paraId="5D81821B" w14:textId="77777777" w:rsidR="008531EE" w:rsidRDefault="008531EE" w:rsidP="008531EE">
      <w:pPr>
        <w:suppressLineNumbers/>
        <w:rPr>
          <w:sz w:val="20"/>
          <w:szCs w:val="20"/>
        </w:rPr>
      </w:pPr>
      <w:r w:rsidRPr="00736762">
        <w:rPr>
          <w:sz w:val="20"/>
          <w:szCs w:val="20"/>
        </w:rPr>
        <w:t>2. D</w:t>
      </w:r>
      <w:r>
        <w:rPr>
          <w:sz w:val="20"/>
          <w:szCs w:val="20"/>
        </w:rPr>
        <w:t>epartment</w:t>
      </w:r>
      <w:r w:rsidRPr="00736762" w:rsidDel="0000014D">
        <w:rPr>
          <w:sz w:val="20"/>
          <w:szCs w:val="20"/>
        </w:rPr>
        <w:t xml:space="preserve"> of</w:t>
      </w:r>
      <w:r w:rsidRPr="00736762">
        <w:rPr>
          <w:sz w:val="20"/>
          <w:szCs w:val="20"/>
        </w:rPr>
        <w:t xml:space="preserve"> </w:t>
      </w:r>
      <w:r w:rsidRPr="00736762" w:rsidDel="0000014D">
        <w:rPr>
          <w:sz w:val="20"/>
          <w:szCs w:val="20"/>
        </w:rPr>
        <w:t>Infectiou</w:t>
      </w:r>
      <w:r w:rsidRPr="00736762">
        <w:rPr>
          <w:sz w:val="20"/>
          <w:szCs w:val="20"/>
        </w:rPr>
        <w:t>s</w:t>
      </w:r>
      <w:r w:rsidRPr="00736762" w:rsidDel="0000014D">
        <w:rPr>
          <w:sz w:val="20"/>
          <w:szCs w:val="20"/>
        </w:rPr>
        <w:t xml:space="preserve"> Disease, Imperial C</w:t>
      </w:r>
      <w:r w:rsidRPr="00736762">
        <w:rPr>
          <w:sz w:val="20"/>
          <w:szCs w:val="20"/>
        </w:rPr>
        <w:t>o</w:t>
      </w:r>
      <w:r w:rsidRPr="00736762" w:rsidDel="0000014D">
        <w:rPr>
          <w:sz w:val="20"/>
          <w:szCs w:val="20"/>
        </w:rPr>
        <w:t>llege Lon</w:t>
      </w:r>
      <w:r w:rsidRPr="00736762">
        <w:rPr>
          <w:sz w:val="20"/>
          <w:szCs w:val="20"/>
        </w:rPr>
        <w:t>d</w:t>
      </w:r>
      <w:r w:rsidRPr="00736762" w:rsidDel="0000014D">
        <w:rPr>
          <w:sz w:val="20"/>
          <w:szCs w:val="20"/>
        </w:rPr>
        <w:t>on</w:t>
      </w:r>
      <w:r w:rsidRPr="00736762">
        <w:rPr>
          <w:sz w:val="20"/>
          <w:szCs w:val="20"/>
        </w:rPr>
        <w:t>,</w:t>
      </w:r>
      <w:r w:rsidRPr="00736762" w:rsidDel="0000014D">
        <w:rPr>
          <w:sz w:val="20"/>
          <w:szCs w:val="20"/>
        </w:rPr>
        <w:t xml:space="preserve"> United King</w:t>
      </w:r>
      <w:r w:rsidRPr="00736762">
        <w:rPr>
          <w:sz w:val="20"/>
          <w:szCs w:val="20"/>
        </w:rPr>
        <w:t>d</w:t>
      </w:r>
      <w:r w:rsidRPr="00736762" w:rsidDel="0000014D">
        <w:rPr>
          <w:sz w:val="20"/>
          <w:szCs w:val="20"/>
        </w:rPr>
        <w:t>om</w:t>
      </w:r>
      <w:r>
        <w:rPr>
          <w:sz w:val="20"/>
          <w:szCs w:val="20"/>
        </w:rPr>
        <w:t xml:space="preserve"> </w:t>
      </w:r>
    </w:p>
    <w:p w14:paraId="4C692771" w14:textId="77777777" w:rsidR="008531EE" w:rsidRPr="004B71C3" w:rsidRDefault="008531EE" w:rsidP="008531EE">
      <w:pPr>
        <w:suppressLineNumbers/>
      </w:pPr>
    </w:p>
    <w:p w14:paraId="791AF2FD" w14:textId="77777777" w:rsidR="008531EE" w:rsidRPr="004B71C3" w:rsidRDefault="008531EE" w:rsidP="008531EE">
      <w:pPr>
        <w:suppressLineNumbers/>
      </w:pPr>
      <w:r w:rsidRPr="00736762">
        <w:rPr>
          <w:b/>
        </w:rPr>
        <w:t>Co</w:t>
      </w:r>
      <w:r w:rsidRPr="00736762" w:rsidDel="0000014D">
        <w:rPr>
          <w:b/>
        </w:rPr>
        <w:t>rrespon</w:t>
      </w:r>
      <w:r w:rsidRPr="00736762">
        <w:rPr>
          <w:b/>
        </w:rPr>
        <w:t>d</w:t>
      </w:r>
      <w:r w:rsidRPr="00736762" w:rsidDel="0000014D">
        <w:rPr>
          <w:b/>
        </w:rPr>
        <w:t>i</w:t>
      </w:r>
      <w:r w:rsidRPr="00736762">
        <w:rPr>
          <w:b/>
        </w:rPr>
        <w:t>n</w:t>
      </w:r>
      <w:r w:rsidRPr="00736762" w:rsidDel="0000014D">
        <w:rPr>
          <w:b/>
        </w:rPr>
        <w:t>g Author</w:t>
      </w:r>
    </w:p>
    <w:p w14:paraId="18FBD7CE" w14:textId="77777777" w:rsidR="00502EAE" w:rsidRPr="00093CD5" w:rsidRDefault="00502EAE" w:rsidP="00502EAE">
      <w:pPr>
        <w:suppressLineNumbers/>
        <w:rPr>
          <w:sz w:val="20"/>
          <w:szCs w:val="20"/>
          <w14:scene3d>
            <w14:camera w14:prst="orthographicFront"/>
            <w14:lightRig w14:rig="threePt" w14:dir="t">
              <w14:rot w14:lat="0" w14:lon="0" w14:rev="0"/>
            </w14:lightRig>
          </w14:scene3d>
        </w:rPr>
      </w:pPr>
      <w:r w:rsidRPr="00093CD5">
        <w:rPr>
          <w:sz w:val="20"/>
          <w:szCs w:val="20"/>
          <w14:scene3d>
            <w14:camera w14:prst="orthographicFront"/>
            <w14:lightRig w14:rig="threePt" w14:dir="t">
              <w14:rot w14:lat="0" w14:lon="0" w14:rev="0"/>
            </w14:lightRig>
          </w14:scene3d>
        </w:rPr>
        <w:t>Dr Malick M Gibani</w:t>
      </w:r>
    </w:p>
    <w:p w14:paraId="1092A659" w14:textId="77777777" w:rsidR="00502EAE" w:rsidRPr="00093CD5" w:rsidRDefault="000F1D82" w:rsidP="00502EAE">
      <w:pPr>
        <w:suppressLineNumbers/>
        <w:rPr>
          <w:sz w:val="20"/>
          <w:szCs w:val="20"/>
          <w14:scene3d>
            <w14:camera w14:prst="orthographicFront"/>
            <w14:lightRig w14:rig="threePt" w14:dir="t">
              <w14:rot w14:lat="0" w14:lon="0" w14:rev="0"/>
            </w14:lightRig>
          </w14:scene3d>
        </w:rPr>
      </w:pPr>
      <w:hyperlink r:id="rId6" w:history="1">
        <w:r w:rsidR="00502EAE" w:rsidRPr="00093CD5">
          <w:rPr>
            <w:sz w:val="20"/>
            <w:szCs w:val="20"/>
            <w14:scene3d>
              <w14:camera w14:prst="orthographicFront"/>
              <w14:lightRig w14:rig="threePt" w14:dir="t">
                <w14:rot w14:lat="0" w14:lon="0" w14:rev="0"/>
              </w14:lightRig>
            </w14:scene3d>
          </w:rPr>
          <w:t>m.gibani@imperial.ac.uk</w:t>
        </w:r>
      </w:hyperlink>
    </w:p>
    <w:p w14:paraId="4F9C1C5C" w14:textId="77777777" w:rsidR="008531EE" w:rsidRDefault="008531EE" w:rsidP="008531EE">
      <w:pPr>
        <w:suppressLineNumbers/>
      </w:pPr>
    </w:p>
    <w:p w14:paraId="32F8E331" w14:textId="77777777" w:rsidR="008531EE" w:rsidRPr="004B71C3" w:rsidRDefault="008531EE" w:rsidP="008531EE">
      <w:pPr>
        <w:suppressLineNumbers/>
      </w:pPr>
    </w:p>
    <w:p w14:paraId="1130AC9D" w14:textId="77777777" w:rsidR="008531EE" w:rsidRDefault="008531EE" w:rsidP="008531EE">
      <w:pPr>
        <w:suppressLineNumbers/>
        <w:rPr>
          <w:b/>
        </w:rPr>
      </w:pPr>
      <w:r>
        <w:rPr>
          <w:b/>
        </w:rPr>
        <w:t>Declarations of interest</w:t>
      </w:r>
    </w:p>
    <w:p w14:paraId="135AC666" w14:textId="77777777" w:rsidR="008531EE" w:rsidRPr="007C7A14" w:rsidRDefault="008531EE" w:rsidP="008531EE">
      <w:pPr>
        <w:suppressLineNumbers/>
        <w:rPr>
          <w:sz w:val="20"/>
          <w:szCs w:val="20"/>
        </w:rPr>
      </w:pPr>
      <w:r>
        <w:rPr>
          <w:sz w:val="20"/>
          <w:szCs w:val="20"/>
        </w:rPr>
        <w:t xml:space="preserve">No conflicts of interest exist. </w:t>
      </w:r>
    </w:p>
    <w:p w14:paraId="1C79F5D9" w14:textId="77777777" w:rsidR="008531EE" w:rsidRDefault="008531EE" w:rsidP="008531EE">
      <w:pPr>
        <w:suppressLineNumbers/>
      </w:pPr>
    </w:p>
    <w:p w14:paraId="0DD9418E" w14:textId="77777777" w:rsidR="008531EE" w:rsidRDefault="008531EE" w:rsidP="008531EE">
      <w:pPr>
        <w:suppressLineNumbers/>
      </w:pPr>
    </w:p>
    <w:p w14:paraId="62B48F25" w14:textId="77777777" w:rsidR="008531EE" w:rsidRPr="00EB270B" w:rsidRDefault="008531EE" w:rsidP="008531EE">
      <w:pPr>
        <w:suppressLineNumbers/>
        <w:rPr>
          <w:b/>
        </w:rPr>
      </w:pPr>
      <w:r w:rsidRPr="00EB270B">
        <w:rPr>
          <w:b/>
        </w:rPr>
        <w:t>Funding</w:t>
      </w:r>
    </w:p>
    <w:p w14:paraId="43E45EE0" w14:textId="253D987F" w:rsidR="008531EE" w:rsidRPr="00026BB7" w:rsidRDefault="00D709AD" w:rsidP="00D709AD">
      <w:pPr>
        <w:suppressLineNumbers/>
        <w:rPr>
          <w:sz w:val="20"/>
          <w:szCs w:val="20"/>
        </w:rPr>
      </w:pPr>
      <w:r w:rsidRPr="00026BB7">
        <w:rPr>
          <w:sz w:val="20"/>
          <w:szCs w:val="20"/>
        </w:rPr>
        <w:t>This research did not receive any specific grant from funding agencies in the public, commercial, or not-for-profit sectors.</w:t>
      </w:r>
      <w:r>
        <w:rPr>
          <w:sz w:val="20"/>
          <w:szCs w:val="20"/>
        </w:rPr>
        <w:t xml:space="preserve"> </w:t>
      </w:r>
      <w:r w:rsidR="008531EE" w:rsidRPr="00EB270B">
        <w:rPr>
          <w:sz w:val="20"/>
          <w:szCs w:val="20"/>
        </w:rPr>
        <w:t>M.M.G. is supported in part by the NIHR Imperial Biomedical Research Centre</w:t>
      </w:r>
      <w:r w:rsidR="004B60AA">
        <w:rPr>
          <w:sz w:val="20"/>
          <w:szCs w:val="20"/>
        </w:rPr>
        <w:t>.</w:t>
      </w:r>
    </w:p>
    <w:p w14:paraId="7513B1E4" w14:textId="77777777" w:rsidR="008531EE" w:rsidRPr="008531EE" w:rsidRDefault="008531EE" w:rsidP="008531EE">
      <w:pPr>
        <w:suppressLineNumbers/>
        <w:rPr>
          <w:lang w:val="en-US"/>
        </w:rPr>
      </w:pPr>
    </w:p>
    <w:p w14:paraId="0D4FA41E" w14:textId="218F61F4" w:rsidR="00A67D44" w:rsidRPr="008531EE" w:rsidRDefault="008531EE" w:rsidP="008531EE">
      <w:pPr>
        <w:suppressLineNumbers/>
        <w:rPr>
          <w:rFonts w:ascii="Calibri" w:eastAsia="Arial Unicode MS" w:hAnsi="Calibri" w:cs="Arial Unicode MS"/>
          <w:b/>
          <w:bCs/>
          <w:color w:val="000000"/>
          <w:u w:color="000000"/>
          <w:bdr w:val="nil"/>
          <w:lang w:val="en-US" w:eastAsia="en-GB"/>
          <w14:textOutline w14:w="0" w14:cap="flat" w14:cmpd="sng" w14:algn="ctr">
            <w14:noFill/>
            <w14:prstDash w14:val="solid"/>
            <w14:bevel/>
          </w14:textOutline>
        </w:rPr>
      </w:pPr>
      <w:r>
        <w:rPr>
          <w:b/>
          <w:bCs/>
        </w:rPr>
        <w:br w:type="page"/>
      </w:r>
    </w:p>
    <w:p w14:paraId="537F0866" w14:textId="644CA032" w:rsidR="0004232A" w:rsidRPr="00FA7304" w:rsidRDefault="0004232A" w:rsidP="00026BB7">
      <w:pPr>
        <w:pStyle w:val="Heading1"/>
      </w:pPr>
      <w:r w:rsidRPr="00FA7304">
        <w:lastRenderedPageBreak/>
        <w:t>Main text</w:t>
      </w:r>
    </w:p>
    <w:p w14:paraId="3914792E" w14:textId="58EB3C8E" w:rsidR="005D35D5" w:rsidRDefault="005D35D5" w:rsidP="008531EE">
      <w:pPr>
        <w:pStyle w:val="Body"/>
        <w:spacing w:line="480" w:lineRule="auto"/>
        <w:jc w:val="both"/>
      </w:pPr>
      <w:r>
        <w:t>To the editor,</w:t>
      </w:r>
    </w:p>
    <w:p w14:paraId="6179BAE4" w14:textId="26F51E58" w:rsidR="005D35D5" w:rsidRPr="00405316" w:rsidRDefault="008D5DB6" w:rsidP="008531EE">
      <w:pPr>
        <w:pStyle w:val="Body"/>
        <w:spacing w:line="480" w:lineRule="auto"/>
        <w:jc w:val="both"/>
        <w:rPr>
          <w:lang w:val="en-GB"/>
        </w:rPr>
      </w:pPr>
      <w:r w:rsidRPr="008D43A2">
        <w:t>We read with interest the letter by Zhang and colleagues</w:t>
      </w:r>
      <w:r w:rsidR="00DC3831">
        <w:t xml:space="preserve"> </w:t>
      </w:r>
      <w:r>
        <w:fldChar w:fldCharType="begin" w:fldLock="1"/>
      </w:r>
      <w:r w:rsidR="00DC3831">
        <w:instrText>ADDIN CSL_CITATION {"citationItems":[{"id":"ITEM-1","itemData":{"DOI":"10.1016/J.JINF.2022.01.016","ISSN":"1532-2742","PMID":"35041922","author":[{"dropping-particle":"","family":"Zhang","given":"Yi","non-dropping-particle":"","parse-names":false,"suffix":""},{"dropping-particle":"","family":"Jiang","given":"Ning","non-dropping-particle":"","parse-names":false,"suffix":""},{"dropping-particle":"","family":"Qi","given":"Weiqiang","non-dropping-particle":"","parse-names":false,"suffix":""},{"dropping-particle":"","family":"Li","given":"Tao","non-dropping-particle":"","parse-names":false,"suffix":""},{"dropping-particle":"","family":"Zhang","given":"Yumeng","non-dropping-particle":"","parse-names":false,"suffix":""},{"dropping-particle":"","family":"Zhang","given":"Haocheng","non-dropping-particle":"","parse-names":false,"suffix":""},{"dropping-particle":"","family":"Wu","given":"Jing","non-dropping-particle":"","parse-names":false,"suffix":""},{"dropping-particle":"","family":"Zhu","given":"Zhaoqin","non-dropping-particle":"","parse-names":false,"suffix":""},{"dropping-particle":"","family":"Ai","given":"Jingwen","non-dropping-particle":"","parse-names":false,"suffix":""},{"dropping-particle":"","family":"Qiu","given":"Chao","non-dropping-particle":"","parse-names":false,"suffix":""},{"dropping-particle":"","family":"Zhang","given":"Wenhong","non-dropping-particle":"","parse-names":false,"suffix":""}],"container-title":"The Journal of infection","id":"ITEM-1","issued":{"date-parts":[["2022","1"]]},"publisher":"J Infect","title":"Intra-host SARS-CoV-2 single-nucleotide variants emerged during the early stage of COVID-19 pandemic forecast population fixing mutations","type":"article-journal"},"uris":["http://www.mendeley.com/documents/?uuid=6a8ee1b2-6e2c-373e-93a5-fc72319d8fad"]}],"mendeley":{"formattedCitation":"(1)","plainTextFormattedCitation":"(1)","previouslyFormattedCitation":"(1)"},"properties":{"noteIndex":0},"schema":"https://github.com/citation-style-language/schema/raw/master/csl-citation.json"}</w:instrText>
      </w:r>
      <w:r>
        <w:fldChar w:fldCharType="separate"/>
      </w:r>
      <w:r w:rsidRPr="008D5DB6">
        <w:rPr>
          <w:noProof/>
        </w:rPr>
        <w:t>(1)</w:t>
      </w:r>
      <w:r>
        <w:fldChar w:fldCharType="end"/>
      </w:r>
      <w:r w:rsidRPr="008D43A2">
        <w:t xml:space="preserve"> which reported intra host gene variants </w:t>
      </w:r>
      <w:r w:rsidRPr="008D43A2">
        <w:t>oc</w:t>
      </w:r>
      <w:r>
        <w:t>c</w:t>
      </w:r>
      <w:r w:rsidRPr="008D43A2">
        <w:t>urring</w:t>
      </w:r>
      <w:r w:rsidRPr="008D43A2">
        <w:t xml:space="preserve"> during COV</w:t>
      </w:r>
      <w:r w:rsidR="00405316">
        <w:t>I</w:t>
      </w:r>
      <w:r w:rsidRPr="008D43A2">
        <w:t>D</w:t>
      </w:r>
      <w:r w:rsidR="00405316">
        <w:t>-19</w:t>
      </w:r>
      <w:r w:rsidRPr="008D43A2">
        <w:t xml:space="preserve"> infection. With circulation of novel variants raising the possibility of mixed infections, </w:t>
      </w:r>
      <w:r w:rsidR="00DC3831">
        <w:t xml:space="preserve">there remains </w:t>
      </w:r>
      <w:r w:rsidRPr="008D43A2">
        <w:t xml:space="preserve">a theoretical </w:t>
      </w:r>
      <w:r w:rsidR="00DC3831">
        <w:t>risk</w:t>
      </w:r>
      <w:r w:rsidRPr="008D43A2">
        <w:t xml:space="preserve"> of gene exchange between co-infecting variants within individual hosts.</w:t>
      </w:r>
      <w:r w:rsidR="00405316">
        <w:t xml:space="preserve"> This of particular concern in hospital settings, where multiple infectious patients are in </w:t>
      </w:r>
      <w:proofErr w:type="gramStart"/>
      <w:r w:rsidR="00405316">
        <w:t>close proximity</w:t>
      </w:r>
      <w:proofErr w:type="gramEnd"/>
      <w:r w:rsidR="00405316">
        <w:t xml:space="preserve">.  </w:t>
      </w:r>
    </w:p>
    <w:p w14:paraId="4650004F" w14:textId="77777777" w:rsidR="00DC3831" w:rsidRDefault="00DC3831" w:rsidP="00CE050D">
      <w:pPr>
        <w:pStyle w:val="Body"/>
        <w:spacing w:line="480" w:lineRule="auto"/>
        <w:jc w:val="both"/>
      </w:pPr>
    </w:p>
    <w:p w14:paraId="741864B6" w14:textId="7956E1E5" w:rsidR="00C856A2" w:rsidRDefault="005059B7" w:rsidP="00CE050D">
      <w:pPr>
        <w:pStyle w:val="Body"/>
        <w:spacing w:line="480" w:lineRule="auto"/>
        <w:jc w:val="both"/>
      </w:pPr>
      <w:r>
        <w:t>At the ti</w:t>
      </w:r>
      <w:r w:rsidR="00CC2C87">
        <w:t>me of writing, t</w:t>
      </w:r>
      <w:r w:rsidR="005D35D5">
        <w:t xml:space="preserve">he WHO </w:t>
      </w:r>
      <w:r w:rsidR="00CC2C87">
        <w:t xml:space="preserve">has </w:t>
      </w:r>
      <w:proofErr w:type="spellStart"/>
      <w:r w:rsidR="005D35D5">
        <w:t>recognise</w:t>
      </w:r>
      <w:r w:rsidR="00CC2C87">
        <w:t>d</w:t>
      </w:r>
      <w:proofErr w:type="spellEnd"/>
      <w:r w:rsidR="005D35D5">
        <w:t xml:space="preserve"> five variants of concern</w:t>
      </w:r>
      <w:r w:rsidR="00EB037C">
        <w:t xml:space="preserve"> </w:t>
      </w:r>
      <w:r>
        <w:t>(</w:t>
      </w:r>
      <w:r w:rsidR="005D35D5">
        <w:t>VOCs</w:t>
      </w:r>
      <w:r>
        <w:t>)</w:t>
      </w:r>
      <w:r w:rsidR="00CC2C87">
        <w:t>,</w:t>
      </w:r>
      <w:r w:rsidR="005D35D5">
        <w:t xml:space="preserve"> demonstrating variable pathogenicity, </w:t>
      </w:r>
      <w:r w:rsidR="00405316">
        <w:t>transmissibility,</w:t>
      </w:r>
      <w:r w:rsidR="005D35D5">
        <w:t xml:space="preserve"> and potential for immune evasion. The Omicron variant </w:t>
      </w:r>
      <w:r w:rsidR="00CC2C87">
        <w:t>(B.1.1</w:t>
      </w:r>
      <w:r w:rsidR="00342C51">
        <w:t>.529</w:t>
      </w:r>
      <w:r w:rsidR="00CC2C87">
        <w:t>)</w:t>
      </w:r>
      <w:r w:rsidR="00342C51">
        <w:t xml:space="preserve"> </w:t>
      </w:r>
      <w:r w:rsidR="005D35D5">
        <w:t xml:space="preserve">is the most recently </w:t>
      </w:r>
      <w:proofErr w:type="spellStart"/>
      <w:r w:rsidR="005D35D5">
        <w:t>characterised</w:t>
      </w:r>
      <w:proofErr w:type="spellEnd"/>
      <w:r w:rsidR="005D35D5">
        <w:t xml:space="preserve">, </w:t>
      </w:r>
      <w:r w:rsidR="00490FF7">
        <w:t>and</w:t>
      </w:r>
      <w:r w:rsidR="00C856A2">
        <w:t xml:space="preserve"> was designated</w:t>
      </w:r>
      <w:r w:rsidR="005D35D5">
        <w:t xml:space="preserve"> as a novel variant of concern on 26 November 2021.</w:t>
      </w:r>
      <w:r w:rsidR="00CA0AD7">
        <w:fldChar w:fldCharType="begin" w:fldLock="1"/>
      </w:r>
      <w:r w:rsidR="00DC3831">
        <w:instrText>ADDIN CSL_CITATION {"citationItems":[{"id":"ITEM-1","itemData":{"URL":"https://www.who.int/news/item/26-11-2021-classification-of-omicron-(b.1.1.529)-sars-cov-2-variant-of-concern","accessed":{"date-parts":[["2022","3","28"]]},"author":[{"dropping-particle":"","family":"WHO","given":"","non-dropping-particle":"","parse-names":false,"suffix":""}],"id":"ITEM-1","issued":{"date-parts":[["2021"]]},"title":"Classification of Omicron (B.1.1.529): SARS-CoV-2 Variant of Concern","type":"webpage"},"uris":["http://www.mendeley.com/documents/?uuid=20e01644-05fa-3e2a-a2b6-8111769646d1"]}],"mendeley":{"formattedCitation":"(2)","plainTextFormattedCitation":"(2)","previouslyFormattedCitation":"(2)"},"properties":{"noteIndex":0},"schema":"https://github.com/citation-style-language/schema/raw/master/csl-citation.json"}</w:instrText>
      </w:r>
      <w:r w:rsidR="00CA0AD7">
        <w:fldChar w:fldCharType="separate"/>
      </w:r>
      <w:r w:rsidR="008D5DB6" w:rsidRPr="008D5DB6">
        <w:rPr>
          <w:noProof/>
        </w:rPr>
        <w:t>(2)</w:t>
      </w:r>
      <w:r w:rsidR="00CA0AD7">
        <w:fldChar w:fldCharType="end"/>
      </w:r>
      <w:r w:rsidR="005D35D5">
        <w:t xml:space="preserve"> </w:t>
      </w:r>
      <w:r w:rsidR="00CC2C87">
        <w:t>This variant harbors</w:t>
      </w:r>
      <w:r w:rsidR="005D35D5">
        <w:t xml:space="preserve"> </w:t>
      </w:r>
      <w:r w:rsidR="00EB037C">
        <w:t>a large number of mutations</w:t>
      </w:r>
      <w:r w:rsidR="005D35D5">
        <w:t xml:space="preserve"> in the </w:t>
      </w:r>
      <w:r w:rsidR="00EB037C">
        <w:t xml:space="preserve">genome </w:t>
      </w:r>
      <w:r w:rsidR="00CE050D">
        <w:t xml:space="preserve">including in the </w:t>
      </w:r>
      <w:r w:rsidR="00CC2C87">
        <w:t>S gene</w:t>
      </w:r>
      <w:r w:rsidR="00EB037C">
        <w:t>, particularly focused around the region encoding the receptor binding</w:t>
      </w:r>
      <w:r w:rsidR="00CE050D">
        <w:t xml:space="preserve"> motif.</w:t>
      </w:r>
      <w:r w:rsidR="00DC3831">
        <w:fldChar w:fldCharType="begin" w:fldLock="1"/>
      </w:r>
      <w:r w:rsidR="00DC3831">
        <w:instrText>ADDIN CSL_CITATION {"citationItems":[{"id":"ITEM-1","itemData":{"DOI":"10.1126/SCIENCE.ABN7760/SUPPL_FILE/SCIENCE.ABN7760_MDAR_REPRODUCIBILITY_CHECKLIST.PDF","ISSN":"10959203","PMID":"35050643","abstract":"The newly reported Omicron variant is poised to replace Delta as the most prevalent severe acute respiratory syndrome coronavirus 2 (SARS-CoV-2) variant across the world. Cryo–electron microscopy (cryo-EM) structural analysis of the Omicron variant spike protein in complex with human angiotensin-converting enzyme 2 (ACE2) reveals new salt bridges and hydrogen bonds formed by mutated residues arginine-493, serine-496, and arginine-498 in the receptor binding domain with ACE2. These interactions appear to compensate for other Omicron mutations such as the substitution of asparagine for lysine at position 417 (K417N) that are known to reduce ACE2 binding affinity, resulting in similar biochemical ACE2 binding affinities for the Delta and Omicron variants. Neutralization assays show that pseudoviruses that display the Omicron spike protein exhibit increased antibody evasion. The increase in antibody evasion and the retention of strong interactions at the ACE2 interface thus represent important molecular features that likely contribute to the rapid spread of the Omicron variant.","author":[{"dropping-particle":"","family":"Mannar","given":"Dhiraj","non-dropping-particle":"","parse-names":false,"suffix":""},{"dropping-particle":"","family":"Saville","given":"James W.","non-dropping-particle":"","parse-names":false,"suffix":""},{"dropping-particle":"","family":"Zhu","given":"Xing","non-dropping-particle":"","parse-names":false,"suffix":""},{"dropping-particle":"","family":"Srivastava","given":"Shanti S.","non-dropping-particle":"","parse-names":false,"suffix":""},{"dropping-particle":"","family":"Berezuk","given":"Alison M.","non-dropping-particle":"","parse-names":false,"suffix":""},{"dropping-particle":"","family":"Tuttle","given":"Katharine S.","non-dropping-particle":"","parse-names":false,"suffix":""},{"dropping-particle":"","family":"Marquez","given":"Ana Citlali","non-dropping-particle":"","parse-names":false,"suffix":""},{"dropping-particle":"","family":"Sekirov","given":"Inna","non-dropping-particle":"","parse-names":false,"suffix":""},{"dropping-particle":"","family":"Subramaniam","given":"Sriram","non-dropping-particle":"","parse-names":false,"suffix":""}],"container-title":"Science","id":"ITEM-1","issue":"6582","issued":{"date-parts":[["2022","2","18"]]},"page":"760-764","publisher":"American Association for the Advancement of Science","title":"SARS-CoV-2 Omicron variant: Antibody evasion and cryo-EM structure of spike protein–ACE2 complex","type":"article-journal","volume":"375"},"uris":["http://www.mendeley.com/documents/?uuid=eff800fb-b61e-3339-bcb9-08019113588a"]},{"id":"ITEM-2","itemData":{"DOI":"10.1126/SCIENCE.ABN8652/SUPPL_FILE/SCIENCE.ABN8652_SM.PDF","ISSN":"1095-9203","PMID":"35076256","abstract":"The severe acute respiratory syndrome coronavirus 2 (SARS-CoV-2) Omicron variant of concern evades antibody-mediated immunity that comes from vaccination or infection with earlier variants due to accumulation of numerous spike mutations. To understand the Omicron antigenic shift, we determined cryo–electron microscopy and x-ray crystal structures of the spike protein and the receptor-binding domain bound to the broadly neutralizing sarbecovirus monoclonal antibody (mAb) S309 (the parent mAb of sotrovimab) and to the human ACE2 receptor. We provide a blueprint for understanding the marked reduction of binding of other therapeutic mAbs that leads to dampened neutralizing activity. Remodeling of interactions between the Omicron receptor-binding domain and human ACE2 likely explains the enhanced affinity for the host receptor relative to the ancestral virus.","author":[{"dropping-particle":"","family":"McCallum","given":"Matthew","non-dropping-particle":"","parse-names":false,"suffix":""},{"dropping-particle":"","family":"Czudnochowski","given":"Nadine","non-dropping-particle":"","parse-names":false,"suffix":""},{"dropping-particle":"","family":"Rosen","given":"Laura E","non-dropping-particle":"","parse-names":false,"suffix":""},{"dropping-particle":"","family":"Zepeda","given":"Samantha K","non-dropping-particle":"","parse-names":false,"suffix":""},{"dropping-particle":"","family":"Bowen","given":"John E","non-dropping-particle":"","parse-names":false,"suffix":""},{"dropping-particle":"","family":"Walls","given":"Alexandra C","non-dropping-particle":"","parse-names":false,"suffix":""},{"dropping-particle":"","family":"Hauser","given":"Kevin","non-dropping-particle":"","parse-names":false,"suffix":""},{"dropping-particle":"","family":"Joshi","given":"Anshu","non-dropping-particle":"","parse-names":false,"suffix":""},{"dropping-particle":"","family":"Stewart","given":"Cameron","non-dropping-particle":"","parse-names":false,"suffix":""},{"dropping-particle":"","family":"Dillen","given":"Josh R","non-dropping-particle":"","parse-names":false,"suffix":""},{"dropping-particle":"","family":"Powell","given":"Abigail E","non-dropping-particle":"","parse-names":false,"suffix":""},{"dropping-particle":"","family":"Croll","given":"Tristan I","non-dropping-particle":"","parse-names":false,"suffix":""},{"dropping-particle":"","family":"Nix","given":"Jay","non-dropping-particle":"","parse-names":false,"suffix":""},{"dropping-particle":"","family":"Virgin","given":"Herbert W","non-dropping-particle":"","parse-names":false,"suffix":""},{"dropping-particle":"","family":"Corti","given":"Davide","non-dropping-particle":"","parse-names":false,"suffix":""},{"dropping-particle":"","family":"Snell","given":"Gyorgy","non-dropping-particle":"","parse-names":false,"suffix":""},{"dropping-particle":"","family":"Veesler","given":"David","non-dropping-particle":"","parse-names":false,"suffix":""}],"container-title":"Science (New York, N.Y.)","id":"ITEM-2","issued":{"date-parts":[["2022","2","25"]]},"page":"eabn8652","publisher":"American Association for the Advancement of Science","title":"Structural basis of SARS-CoV-2 Omicron immune evasion and receptor engagement.","type":"article-journal"},"uris":["http://www.mendeley.com/documents/?uuid=051b20cb-74ff-3e0a-a64b-de8d35dc89cd"]}],"mendeley":{"formattedCitation":"(3,4)","plainTextFormattedCitation":"(3,4)"},"properties":{"noteIndex":0},"schema":"https://github.com/citation-style-language/schema/raw/master/csl-citation.json"}</w:instrText>
      </w:r>
      <w:r w:rsidR="00DC3831">
        <w:fldChar w:fldCharType="separate"/>
      </w:r>
      <w:r w:rsidR="00DC3831" w:rsidRPr="00DC3831">
        <w:rPr>
          <w:noProof/>
        </w:rPr>
        <w:t>(3,4)</w:t>
      </w:r>
      <w:r w:rsidR="00DC3831">
        <w:fldChar w:fldCharType="end"/>
      </w:r>
      <w:r w:rsidR="005D35D5">
        <w:t xml:space="preserve"> </w:t>
      </w:r>
      <w:r w:rsidR="00CE050D">
        <w:t>The omicron</w:t>
      </w:r>
      <w:r w:rsidR="00C856A2">
        <w:t xml:space="preserve"> </w:t>
      </w:r>
      <w:r w:rsidR="00CE050D">
        <w:t xml:space="preserve">variant </w:t>
      </w:r>
      <w:r w:rsidR="00C856A2">
        <w:t>has demonstrated higher rates of</w:t>
      </w:r>
      <w:r w:rsidR="005D35D5">
        <w:t xml:space="preserve"> reinfection when compared </w:t>
      </w:r>
      <w:r w:rsidR="00C856A2">
        <w:t xml:space="preserve">with </w:t>
      </w:r>
      <w:r w:rsidR="005D35D5">
        <w:t>other variants</w:t>
      </w:r>
      <w:r w:rsidR="00994D7A">
        <w:t xml:space="preserve">. This </w:t>
      </w:r>
      <w:r w:rsidR="00C856A2">
        <w:t>likely aris</w:t>
      </w:r>
      <w:r w:rsidR="00994D7A">
        <w:t>es</w:t>
      </w:r>
      <w:r w:rsidR="00C856A2">
        <w:t xml:space="preserve"> from</w:t>
      </w:r>
      <w:r w:rsidR="00994D7A">
        <w:t xml:space="preserve"> partial</w:t>
      </w:r>
      <w:r w:rsidR="00C856A2">
        <w:t xml:space="preserve"> </w:t>
      </w:r>
      <w:r w:rsidR="00D61021">
        <w:t xml:space="preserve">immune evasion, </w:t>
      </w:r>
      <w:r w:rsidR="00994D7A">
        <w:t xml:space="preserve">particularly </w:t>
      </w:r>
      <w:r w:rsidR="00C856A2">
        <w:t>reduced serum antibody neutralization.</w:t>
      </w:r>
      <w:r w:rsidR="00A90720">
        <w:t xml:space="preserve"> </w:t>
      </w:r>
      <w:r w:rsidR="00DC3831">
        <w:fldChar w:fldCharType="begin" w:fldLock="1"/>
      </w:r>
      <w:r w:rsidR="00DC3831">
        <w:instrText>ADDIN CSL_CITATION {"citationItems":[{"id":"ITEM-1","itemData":{"DOI":"10.1016/J.CELL.2021.12.033","ISSN":"1097-4172","PMID":"34995482","abstract":"Recent surveillance has revealed the emergence of the SARS-CoV-2 Omicron variant (BA.1/B.1.1.529) harboring up to 36 mutations in spike protein, the target of neutralizing antibodies. Given its potential to escape vaccine-induced humoral immunity, we measured the neutralization potency of sera from 88 mRNA-1273, 111 BNT162b, and 40 Ad26.COV2.S vaccine recipients against wild-type, Delta, and Omicron SARS-CoV-2 pseudoviruses. We included individuals that received their primary series recently (&lt;3 months), distantly (6–12 months), or an additional “booster” dose, while accounting for prior SARS-CoV-2 infection. Remarkably, neutralization of Omicron was undetectable in most vaccinees. However, individuals boosted with mRNA vaccines exhibited potent neutralization of Omicron, only 4–6-fold lower than wild type, suggesting enhanced cross-reactivity of neutralizing antibody responses. In addition, we find that Omicron pseudovirus infects more efficiently than other variants tested. Overall, this study highlights the importance of additional mRNA doses to broaden neutralizing antibody responses against highly divergent SARS-CoV-2 variants.","author":[{"dropping-particle":"","family":"Garcia-Beltran","given":"Wilfredo F.","non-dropping-particle":"","parse-names":false,"suffix":""},{"dropping-particle":"","family":"Denis","given":"Kerri J.","non-dropping-particle":"St.","parse-names":false,"suffix":""},{"dropping-particle":"","family":"Hoelzemer","given":"Angelique","non-dropping-particle":"","parse-names":false,"suffix":""},{"dropping-particle":"","family":"Lam","given":"Evan C.","non-dropping-particle":"","parse-names":false,"suffix":""},{"dropping-particle":"","family":"Nitido","given":"Adam D.","non-dropping-particle":"","parse-names":false,"suffix":""},{"dropping-particle":"","family":"Sheehan","given":"Maegan L.","non-dropping-particle":"","parse-names":false,"suffix":""},{"dropping-particle":"","family":"Berrios","given":"Cristhian","non-dropping-particle":"","parse-names":false,"suffix":""},{"dropping-particle":"","family":"Ofoman","given":"Onosereme","non-dropping-particle":"","parse-names":false,"suffix":""},{"dropping-particle":"","family":"Chang","given":"Christina C.","non-dropping-particle":"","parse-names":false,"suffix":""},{"dropping-particle":"","family":"Hauser","given":"Blake M.","non-dropping-particle":"","parse-names":false,"suffix":""},{"dropping-particle":"","family":"Feldman","given":"Jared","non-dropping-particle":"","parse-names":false,"suffix":""},{"dropping-particle":"","family":"Roederer","given":"Alex L.","non-dropping-particle":"","parse-names":false,"suffix":""},{"dropping-particle":"","family":"Gregory","given":"David J.","non-dropping-particle":"","parse-names":false,"suffix":""},{"dropping-particle":"","family":"Poznansky","given":"Mark C.","non-dropping-particle":"","parse-names":false,"suffix":""},{"dropping-particle":"","family":"Schmidt","given":"Aaron G.","non-dropping-particle":"","parse-names":false,"suffix":""},{"dropping-particle":"","family":"Iafrate","given":"A. John","non-dropping-particle":"","parse-names":false,"suffix":""},{"dropping-particle":"","family":"Naranbhai","given":"Vivek","non-dropping-particle":"","parse-names":false,"suffix":""},{"dropping-particle":"","family":"Balazs","given":"Alejandro B.","non-dropping-particle":"","parse-names":false,"suffix":""}],"container-title":"Cell","id":"ITEM-1","issue":"3","issued":{"date-parts":[["2022","2","3"]]},"page":"457-466.e4","publisher":"Cell","title":"mRNA-based COVID-19 vaccine boosters induce neutralizing immunity against SARS-CoV-2 Omicron variant","type":"article-journal","volume":"185"},"uris":["http://www.mendeley.com/documents/?uuid=070e8209-71f2-3f82-a614-e0cfe6a05643"]},{"id":"ITEM-2","itemData":{"DOI":"10.1016/S0140-6736(21)02844-0","ISSN":"1474-547X","PMID":"34942101","author":[{"dropping-particle":"","family":"Dejnirattisai","given":"Wanwisa","non-dropping-particle":"","parse-names":false,"suffix":""},{"dropping-particle":"","family":"Shaw","given":"Robert H.","non-dropping-particle":"","parse-names":false,"suffix":""},{"dropping-particle":"","family":"Supasa","given":"Piyada","non-dropping-particle":"","parse-names":false,"suffix":""},{"dropping-particle":"","family":"Liu","given":"Chang","non-dropping-particle":"","parse-names":false,"suffix":""},{"dropping-particle":"","family":"Stuart","given":"Arabella SV","non-dropping-particle":"","parse-names":false,"suffix":""},{"dropping-particle":"","family":"Pollard","given":"Andrew J.","non-dropping-particle":"","parse-names":false,"suffix":""},{"dropping-particle":"","family":"Liu","given":"Xinxue","non-dropping-particle":"","parse-names":false,"suffix":""},{"dropping-particle":"","family":"Lambe","given":"Teresa","non-dropping-particle":"","parse-names":false,"suffix":""},{"dropping-particle":"","family":"Crook","given":"Derrick","non-dropping-particle":"","parse-names":false,"suffix":""},{"dropping-particle":"","family":"Stuart","given":"Dave I.","non-dropping-particle":"","parse-names":false,"suffix":""},{"dropping-particle":"","family":"Mongkolsapaya","given":"Juthathip","non-dropping-particle":"","parse-names":false,"suffix":""},{"dropping-particle":"","family":"Nguyen-Van-Tam","given":"Jonathan S.","non-dropping-particle":"","parse-names":false,"suffix":""},{"dropping-particle":"","family":"Snape","given":"Matthew D.","non-dropping-particle":"","parse-names":false,"suffix":""},{"dropping-particle":"","family":"Screaton","given":"Gavin R.","non-dropping-particle":"","parse-names":false,"suffix":""}],"container-title":"Lancet","id":"ITEM-2","issue":"10321","issued":{"date-parts":[["2022","1","15"]]},"page":"234-236","publisher":"Lancet","title":"Reduced neutralisation of SARS-CoV-2 omicron B.1.1.529 variant by post-immunisation serum","type":"article-journal","volume":"399"},"uris":["http://www.mendeley.com/documents/?uuid=7a3faf06-bdb9-3746-807b-2d7f3a09e624"]},{"id":"ITEM-3","itemData":{"DOI":"10.1056/NEJMC2119236/SUPPL_FILE/NEJMC2119236_DISCLOSURES.PDF","ISSN":"0028-4793","PMID":"35021005","abstract":"In Vitro Neutralization of Omicron Variant Serum from vaccinated persons was assayed for ability to neutralize the omicron variant of SARS-CoV-2. Persons who had received two doses of the BNT162b2,...","author":[{"dropping-particle":"","family":"Rössler","given":"Annika","non-dropping-particle":"","parse-names":false,"suffix":""},{"dropping-particle":"","family":"Riepler","given":"Lydia","non-dropping-particle":"","parse-names":false,"suffix":""},{"dropping-particle":"","family":"Bante","given":"David","non-dropping-particle":"","parse-names":false,"suffix":""},{"dropping-particle":"","family":"Laer","given":"Dorothee","non-dropping-particle":"von","parse-names":false,"suffix":""},{"dropping-particle":"","family":"Kimpel","given":"Janine","non-dropping-particle":"","parse-names":false,"suffix":""}],"container-title":"New England Journal of Medicine","id":"ITEM-3","issue":"7","issued":{"date-parts":[["2022","2","17"]]},"page":"698-700","publisher":"Massachusetts Medical Society","title":"SARS-CoV-2 Omicron Variant Neutralization in Serum from Vaccinated and Convalescent Persons","type":"article-journal","volume":"386"},"uris":["http://www.mendeley.com/documents/?uuid=aeabccc2-b460-35f1-ba9a-239aa77e7216"]}],"mendeley":{"formattedCitation":"(5–7)","plainTextFormattedCitation":"(5–7)","previouslyFormattedCitation":"(5–7)"},"properties":{"noteIndex":0},"schema":"https://github.com/citation-style-language/schema/raw/master/csl-citation.json"}</w:instrText>
      </w:r>
      <w:r w:rsidR="00DC3831">
        <w:fldChar w:fldCharType="separate"/>
      </w:r>
      <w:r w:rsidR="00DC3831" w:rsidRPr="00DC3831">
        <w:rPr>
          <w:noProof/>
        </w:rPr>
        <w:t>(5–7)</w:t>
      </w:r>
      <w:r w:rsidR="00DC3831">
        <w:fldChar w:fldCharType="end"/>
      </w:r>
      <w:r w:rsidR="005D35D5">
        <w:t xml:space="preserve"> </w:t>
      </w:r>
    </w:p>
    <w:p w14:paraId="0D0C88B4" w14:textId="77777777" w:rsidR="003E2C04" w:rsidRDefault="003E2C04" w:rsidP="008531EE">
      <w:pPr>
        <w:pStyle w:val="Body"/>
        <w:spacing w:line="480" w:lineRule="auto"/>
        <w:jc w:val="both"/>
      </w:pPr>
    </w:p>
    <w:p w14:paraId="044F319B" w14:textId="4E2A3644" w:rsidR="00812073" w:rsidRDefault="00C856A2" w:rsidP="008531EE">
      <w:pPr>
        <w:pStyle w:val="Body"/>
        <w:spacing w:line="480" w:lineRule="auto"/>
        <w:jc w:val="both"/>
      </w:pPr>
      <w:r>
        <w:t>In</w:t>
      </w:r>
      <w:r w:rsidR="00492CD0">
        <w:t xml:space="preserve"> </w:t>
      </w:r>
      <w:r>
        <w:t>acute hospital setting</w:t>
      </w:r>
      <w:r w:rsidR="00492CD0">
        <w:t>s in the UK</w:t>
      </w:r>
      <w:r>
        <w:t>, patients</w:t>
      </w:r>
      <w:r w:rsidR="00492CD0">
        <w:t xml:space="preserve"> </w:t>
      </w:r>
      <w:r w:rsidR="00812073">
        <w:t>testing positive for SARS-CoV-2</w:t>
      </w:r>
      <w:r w:rsidR="00492CD0">
        <w:t xml:space="preserve"> are either isolated or </w:t>
      </w:r>
      <w:r w:rsidR="00812073">
        <w:t xml:space="preserve">admitted to a </w:t>
      </w:r>
      <w:r w:rsidR="00492CD0">
        <w:t>cohort</w:t>
      </w:r>
      <w:r w:rsidR="00812073">
        <w:t xml:space="preserve"> bay</w:t>
      </w:r>
      <w:r w:rsidR="00492CD0">
        <w:t xml:space="preserve"> with other positive patients.</w:t>
      </w:r>
      <w:r w:rsidR="003E2C04">
        <w:fldChar w:fldCharType="begin" w:fldLock="1"/>
      </w:r>
      <w:r w:rsidR="00DC3831">
        <w:instrText>ADDIN CSL_CITATION {"citationItems":[{"id":"ITEM-1","itemData":{"URL":"https://www.gov.uk/government/publications/wuhan-novel-coronavirus-infection-prevention-and-control","accessed":{"date-parts":[["2022","3","24"]]},"author":[{"dropping-particle":"","family":"UKHSA","given":"","non-dropping-particle":"","parse-names":false,"suffix":""}],"id":"ITEM-1","issued":{"date-parts":[["0"]]},"title":"COVID-19: infection prevention and control (IPC) - GOV.UK","type":"webpage"},"uris":["http://www.mendeley.com/documents/?uuid=a71d0cd5-930e-3c80-a60a-a98303c8994d"]}],"mendeley":{"formattedCitation":"(8)","plainTextFormattedCitation":"(8)","previouslyFormattedCitation":"(8)"},"properties":{"noteIndex":0},"schema":"https://github.com/citation-style-language/schema/raw/master/csl-citation.json"}</w:instrText>
      </w:r>
      <w:r w:rsidR="003E2C04">
        <w:fldChar w:fldCharType="separate"/>
      </w:r>
      <w:r w:rsidR="008D5DB6" w:rsidRPr="008D5DB6">
        <w:rPr>
          <w:noProof/>
        </w:rPr>
        <w:t>(8)</w:t>
      </w:r>
      <w:r w:rsidR="003E2C04">
        <w:fldChar w:fldCharType="end"/>
      </w:r>
      <w:r w:rsidR="00492CD0">
        <w:t xml:space="preserve"> Cohort </w:t>
      </w:r>
      <w:r w:rsidR="00812073">
        <w:t>arrangements are</w:t>
      </w:r>
      <w:r w:rsidR="00492CD0">
        <w:t xml:space="preserve"> variant </w:t>
      </w:r>
      <w:r w:rsidR="00812073">
        <w:t>agnostic</w:t>
      </w:r>
      <w:r w:rsidR="00492CD0">
        <w:t xml:space="preserve">, as genotyping </w:t>
      </w:r>
      <w:r w:rsidR="00812073">
        <w:t>is either not-available</w:t>
      </w:r>
      <w:r w:rsidR="00CE050D">
        <w:t>,</w:t>
      </w:r>
      <w:r w:rsidR="00812073">
        <w:t xml:space="preserve"> not-performed or </w:t>
      </w:r>
      <w:r w:rsidR="003E2C04">
        <w:t xml:space="preserve">the </w:t>
      </w:r>
      <w:r w:rsidR="00812073">
        <w:t xml:space="preserve">results are not available within a clinically meaningful timeframe. </w:t>
      </w:r>
      <w:r w:rsidR="00405316">
        <w:t xml:space="preserve">The </w:t>
      </w:r>
      <w:proofErr w:type="spellStart"/>
      <w:r w:rsidR="00405316">
        <w:t>c</w:t>
      </w:r>
      <w:r w:rsidR="00812073">
        <w:t>ohorting</w:t>
      </w:r>
      <w:proofErr w:type="spellEnd"/>
      <w:r w:rsidR="00812073">
        <w:t xml:space="preserve"> of patients infected with different variants of concern </w:t>
      </w:r>
      <w:r w:rsidR="00405316">
        <w:t>could be</w:t>
      </w:r>
      <w:r w:rsidR="00812073">
        <w:t xml:space="preserve"> associated with a </w:t>
      </w:r>
      <w:r w:rsidR="00DC3831">
        <w:t>theoretical</w:t>
      </w:r>
      <w:r w:rsidR="00812073">
        <w:t xml:space="preserve"> risk of re-infection</w:t>
      </w:r>
      <w:r w:rsidR="00FF60F4">
        <w:t xml:space="preserve"> or </w:t>
      </w:r>
      <w:r w:rsidR="00812073">
        <w:t>super-infection</w:t>
      </w:r>
      <w:r w:rsidR="003E2C04">
        <w:t xml:space="preserve">, </w:t>
      </w:r>
      <w:r w:rsidR="00CE050D">
        <w:t xml:space="preserve">particularly </w:t>
      </w:r>
      <w:r w:rsidR="003E2C04">
        <w:t>when there is limited cross-</w:t>
      </w:r>
      <w:r w:rsidR="00DC3831">
        <w:t>immunity</w:t>
      </w:r>
      <w:r w:rsidR="00CE050D">
        <w:t xml:space="preserve"> between variant</w:t>
      </w:r>
      <w:r w:rsidR="00DC3831">
        <w:t>s</w:t>
      </w:r>
      <w:r w:rsidR="00FF60F4">
        <w:t xml:space="preserve">. In addition </w:t>
      </w:r>
      <w:r w:rsidR="00FF60F4">
        <w:lastRenderedPageBreak/>
        <w:t>there is a theoretical risk of gener</w:t>
      </w:r>
      <w:r w:rsidR="003E2C04">
        <w:t xml:space="preserve">ating </w:t>
      </w:r>
      <w:proofErr w:type="spellStart"/>
      <w:r w:rsidR="00FF60F4">
        <w:t>interlineage</w:t>
      </w:r>
      <w:proofErr w:type="spellEnd"/>
      <w:r w:rsidR="00FF60F4">
        <w:t xml:space="preserve"> recombinants </w:t>
      </w:r>
      <w:r w:rsidR="003E2C04">
        <w:t xml:space="preserve">when </w:t>
      </w:r>
      <w:r w:rsidR="00405316">
        <w:t>mixing</w:t>
      </w:r>
      <w:r w:rsidR="003E2C04">
        <w:t xml:space="preserve"> patients infected with different VOC</w:t>
      </w:r>
      <w:r w:rsidR="00812073">
        <w:t>.</w:t>
      </w:r>
      <w:r w:rsidR="00FF60F4">
        <w:fldChar w:fldCharType="begin" w:fldLock="1"/>
      </w:r>
      <w:r w:rsidR="00DC3831">
        <w:instrText>ADDIN CSL_CITATION {"citationItems":[{"id":"ITEM-1","itemData":{"DOI":"10.1016/J.CELL.2021.08.014","ISSN":"0092-8674","PMID":"34499854","abstract":"We present evidence for multiple independent origins of recombinant SARS-CoV-2 viruses sampled from late 2020 and early 2021 in the United Kingdom. Their genomes carry single-nucleotide polymorphisms and deletions that are characteristic of the B.1.1.7 variant of concern but lack the full complement of lineage-defining mutations. Instead, the remainder of their genomes share contiguous genetic variation with non-B.1.1.7 viruses circulating in the same geographic area at the same time as the recombinants. In four instances, there was evidence for onward transmission of a recombinant-origin virus, including one transmission cluster of 45 sequenced cases over the course of 2 months. The inferred genomic locations of recombination breakpoints suggest that every community-transmitted recombinant virus inherited its spike region from a B.1.1.7 parental virus, consistent with a transmission advantage for B.1.1.7's set of mutations.","author":[{"dropping-particle":"","family":"Jackson","given":"Ben","non-dropping-particle":"","parse-names":false,"suffix":""},{"dropping-particle":"","family":"Boni","given":"Maciej F.","non-dropping-particle":"","parse-names":false,"suffix":""},{"dropping-particle":"","family":"Bull","given":"Matthew J.","non-dropping-particle":"","parse-names":false,"suffix":""},{"dropping-particle":"","family":"Colleran","given":"Amy","non-dropping-particle":"","parse-names":false,"suffix":""},{"dropping-particle":"","family":"Colquhoun","given":"Rachel M.","non-dropping-particle":"","parse-names":false,"suffix":""},{"dropping-particle":"","family":"Darby","given":"Alistair C.","non-dropping-particle":"","parse-names":false,"suffix":""},{"dropping-particle":"","family":"Haldenby","given":"Sam","non-dropping-particle":"","parse-names":false,"suffix":""},{"dropping-particle":"","family":"Hill","given":"Verity","non-dropping-particle":"","parse-names":false,"suffix":""},{"dropping-particle":"","family":"Lucaci","given":"Anita","non-dropping-particle":"","parse-names":false,"suffix":""},{"dropping-particle":"","family":"McCrone","given":"John T.","non-dropping-particle":"","parse-names":false,"suffix":""},{"dropping-particle":"","family":"Nicholls","given":"Samuel M.","non-dropping-particle":"","parse-names":false,"suffix":""},{"dropping-particle":"","family":"O'Toole","given":"Áine","non-dropping-particle":"","parse-names":false,"suffix":""},{"dropping-particle":"","family":"Pacchiarini","given":"Nicole","non-dropping-particle":"","parse-names":false,"suffix":""},{"dropping-particle":"","family":"Poplawski","given":"Radoslaw","non-dropping-particle":"","parse-names":false,"suffix":""},{"dropping-particle":"","family":"Scher","given":"Emily","non-dropping-particle":"","parse-names":false,"suffix":""},{"dropping-particle":"","family":"Todd","given":"Flora","non-dropping-particle":"","parse-names":false,"suffix":""},{"dropping-particle":"","family":"Webster","given":"Hermione J.","non-dropping-particle":"","parse-names":false,"suffix":""},{"dropping-particle":"","family":"Whitehead","given":"Mark","non-dropping-particle":"","parse-names":false,"suffix":""},{"dropping-particle":"","family":"Wierzbicki","given":"Claudia","non-dropping-particle":"","parse-names":false,"suffix":""},{"dropping-particle":"","family":"Loman","given":"Nicholas J.","non-dropping-particle":"","parse-names":false,"suffix":""},{"dropping-particle":"","family":"Connor","given":"Thomas R.","non-dropping-particle":"","parse-names":false,"suffix":""},{"dropping-particle":"","family":"Robertson","given":"David L.","non-dropping-particle":"","parse-names":false,"suffix":""},{"dropping-particle":"","family":"Pybus","given":"Oliver G.","non-dropping-particle":"","parse-names":false,"suffix":""},{"dropping-particle":"","family":"Rambaut","given":"Andrew","non-dropping-particle":"","parse-names":false,"suffix":""}],"container-title":"Cell","id":"ITEM-1","issue":"20","issued":{"date-parts":[["2021","9","30"]]},"page":"5179-5188.e8","publisher":"Cell Press","title":"Generation and transmission of interlineage recombinants in the SARS-CoV-2 pandemic","type":"article-journal","volume":"184"},"uris":["http://www.mendeley.com/documents/?uuid=5089d678-9057-3cfc-8431-2befe980a2bf"]}],"mendeley":{"formattedCitation":"(9)","plainTextFormattedCitation":"(9)","previouslyFormattedCitation":"(9)"},"properties":{"noteIndex":0},"schema":"https://github.com/citation-style-language/schema/raw/master/csl-citation.json"}</w:instrText>
      </w:r>
      <w:r w:rsidR="00FF60F4">
        <w:fldChar w:fldCharType="separate"/>
      </w:r>
      <w:r w:rsidR="008D5DB6" w:rsidRPr="008D5DB6">
        <w:rPr>
          <w:noProof/>
        </w:rPr>
        <w:t>(9)</w:t>
      </w:r>
      <w:r w:rsidR="00FF60F4">
        <w:fldChar w:fldCharType="end"/>
      </w:r>
      <w:r w:rsidR="00812073">
        <w:t xml:space="preserve"> </w:t>
      </w:r>
    </w:p>
    <w:p w14:paraId="36DC859A" w14:textId="77777777" w:rsidR="00812073" w:rsidRDefault="00812073" w:rsidP="008531EE">
      <w:pPr>
        <w:pStyle w:val="Body"/>
        <w:spacing w:line="480" w:lineRule="auto"/>
        <w:jc w:val="both"/>
      </w:pPr>
    </w:p>
    <w:p w14:paraId="0E3B7512" w14:textId="676EABF4" w:rsidR="005D35D5" w:rsidRDefault="00812073">
      <w:pPr>
        <w:pStyle w:val="Body"/>
        <w:spacing w:line="480" w:lineRule="auto"/>
        <w:jc w:val="both"/>
      </w:pPr>
      <w:r>
        <w:t xml:space="preserve">We assessed the practicalities and safety of </w:t>
      </w:r>
      <w:proofErr w:type="spellStart"/>
      <w:r>
        <w:t>cohorting</w:t>
      </w:r>
      <w:proofErr w:type="spellEnd"/>
      <w:r>
        <w:t xml:space="preserve"> patients at a time of co-circulation of delta </w:t>
      </w:r>
      <w:r w:rsidR="00994D7A">
        <w:t xml:space="preserve">(B.1.617.2) </w:t>
      </w:r>
      <w:r>
        <w:t xml:space="preserve">and omicron variants. We retrospectively assessed </w:t>
      </w:r>
      <w:r w:rsidR="00490FF7">
        <w:t xml:space="preserve">a series of </w:t>
      </w:r>
      <w:r w:rsidR="005D35D5">
        <w:t xml:space="preserve">patients </w:t>
      </w:r>
      <w:r>
        <w:t>admitted to a designated</w:t>
      </w:r>
      <w:r w:rsidR="005D35D5">
        <w:t xml:space="preserve"> COVID</w:t>
      </w:r>
      <w:r>
        <w:t>-19</w:t>
      </w:r>
      <w:r w:rsidR="005D35D5">
        <w:t xml:space="preserve"> ward </w:t>
      </w:r>
      <w:r w:rsidR="00F7678C">
        <w:t>over a three</w:t>
      </w:r>
      <w:r w:rsidR="00490FF7">
        <w:t>-</w:t>
      </w:r>
      <w:r w:rsidR="00F7678C">
        <w:t>week period</w:t>
      </w:r>
      <w:r w:rsidR="005D35D5">
        <w:t xml:space="preserve">. </w:t>
      </w:r>
      <w:r w:rsidR="00490FF7">
        <w:t xml:space="preserve">Patients </w:t>
      </w:r>
      <w:r w:rsidR="006B5372">
        <w:t xml:space="preserve">admitted to hospital with </w:t>
      </w:r>
      <w:r>
        <w:t xml:space="preserve">a </w:t>
      </w:r>
      <w:r w:rsidR="005D35D5">
        <w:t>positive lateral flow test, a positive PCR test, or a positive test in the community within 14 days preceding admissio</w:t>
      </w:r>
      <w:r>
        <w:t>n</w:t>
      </w:r>
      <w:r w:rsidR="006B5372">
        <w:t xml:space="preserve"> and triaged on clinical grounds to one of the general medical wards were included</w:t>
      </w:r>
      <w:r w:rsidR="005D35D5">
        <w:t xml:space="preserve">. </w:t>
      </w:r>
      <w:r w:rsidR="006B5372">
        <w:t>These p</w:t>
      </w:r>
      <w:r w:rsidR="005D35D5">
        <w:t>atients underwent twice</w:t>
      </w:r>
      <w:r>
        <w:t>-</w:t>
      </w:r>
      <w:r w:rsidR="005D35D5">
        <w:t>weekly PCR testing for SARS-CoV-2</w:t>
      </w:r>
      <w:r>
        <w:t xml:space="preserve">. Positive </w:t>
      </w:r>
      <w:r w:rsidR="00677483">
        <w:t xml:space="preserve">samples </w:t>
      </w:r>
      <w:r w:rsidR="005D35D5">
        <w:t xml:space="preserve">were </w:t>
      </w:r>
      <w:r w:rsidR="00677483">
        <w:t>genotyped based on SNP typing</w:t>
      </w:r>
      <w:r w:rsidR="005D35D5">
        <w:t xml:space="preserve">. </w:t>
      </w:r>
    </w:p>
    <w:p w14:paraId="189F562F" w14:textId="77777777" w:rsidR="005D35D5" w:rsidRDefault="005D35D5" w:rsidP="008531EE">
      <w:pPr>
        <w:pStyle w:val="Body"/>
        <w:spacing w:line="480" w:lineRule="auto"/>
        <w:jc w:val="both"/>
      </w:pPr>
    </w:p>
    <w:p w14:paraId="484C3DC9" w14:textId="01088F1A" w:rsidR="005D35D5" w:rsidRDefault="005D35D5">
      <w:pPr>
        <w:pStyle w:val="Body"/>
        <w:spacing w:line="480" w:lineRule="auto"/>
        <w:jc w:val="both"/>
      </w:pPr>
      <w:r>
        <w:t xml:space="preserve">A total of 76 patients were treated as inpatients on the COVID ward over the </w:t>
      </w:r>
      <w:proofErr w:type="gramStart"/>
      <w:r>
        <w:t>22 day</w:t>
      </w:r>
      <w:proofErr w:type="gramEnd"/>
      <w:r>
        <w:t xml:space="preserve"> period between 16</w:t>
      </w:r>
      <w:r w:rsidR="00F538B1" w:rsidRPr="00026BB7">
        <w:rPr>
          <w:vertAlign w:val="superscript"/>
        </w:rPr>
        <w:t>th</w:t>
      </w:r>
      <w:r w:rsidR="00F538B1">
        <w:t xml:space="preserve"> </w:t>
      </w:r>
      <w:r w:rsidR="00DC3831">
        <w:t>December</w:t>
      </w:r>
      <w:r w:rsidR="00F538B1">
        <w:t xml:space="preserve"> 20</w:t>
      </w:r>
      <w:r>
        <w:t xml:space="preserve">21 and </w:t>
      </w:r>
      <w:r w:rsidR="00F538B1">
        <w:t>7</w:t>
      </w:r>
      <w:r w:rsidR="00F538B1" w:rsidRPr="00026BB7">
        <w:rPr>
          <w:vertAlign w:val="superscript"/>
        </w:rPr>
        <w:t>th</w:t>
      </w:r>
      <w:r w:rsidR="00F538B1">
        <w:t xml:space="preserve"> January 20</w:t>
      </w:r>
      <w:r>
        <w:t>22</w:t>
      </w:r>
      <w:r w:rsidR="00F538B1">
        <w:t>.</w:t>
      </w:r>
      <w:r w:rsidR="00D61021">
        <w:t xml:space="preserve"> </w:t>
      </w:r>
      <w:r w:rsidR="00F538B1">
        <w:t>Of these</w:t>
      </w:r>
      <w:r w:rsidR="00D61021">
        <w:t xml:space="preserve"> 72/76 (95%) were tested on admission</w:t>
      </w:r>
      <w:r w:rsidR="00F538B1">
        <w:t xml:space="preserve"> and </w:t>
      </w:r>
      <w:r w:rsidR="00D61021">
        <w:t>4/76</w:t>
      </w:r>
      <w:r w:rsidR="00F538B1">
        <w:t xml:space="preserve"> (5%)</w:t>
      </w:r>
      <w:r w:rsidR="00D61021">
        <w:t xml:space="preserve"> were moved to a COVID </w:t>
      </w:r>
      <w:r w:rsidR="00F538B1">
        <w:t xml:space="preserve">cohort </w:t>
      </w:r>
      <w:r w:rsidR="00D61021">
        <w:t xml:space="preserve">ward pending a confirmatory PCR test having tested positive in the community. </w:t>
      </w:r>
      <w:r>
        <w:t xml:space="preserve"> </w:t>
      </w:r>
      <w:r w:rsidR="00A703FD">
        <w:t xml:space="preserve">The median age was 69 years (range 18 to 101). The median length of stay was 8 days (range 1 to 42), contributing a total of 875 patient days.  </w:t>
      </w:r>
      <w:r>
        <w:t xml:space="preserve"> Of the 72 patients </w:t>
      </w:r>
      <w:r w:rsidR="00004BC5">
        <w:t>tested on admission</w:t>
      </w:r>
      <w:r>
        <w:t>, 6</w:t>
      </w:r>
      <w:r w:rsidR="00C856A2">
        <w:t>6/72 (</w:t>
      </w:r>
      <w:r w:rsidR="00004BC5">
        <w:t>92%</w:t>
      </w:r>
      <w:r w:rsidR="00C856A2">
        <w:t>)</w:t>
      </w:r>
      <w:r>
        <w:t xml:space="preserve"> </w:t>
      </w:r>
      <w:r w:rsidR="00004BC5">
        <w:t>tested positive, of which</w:t>
      </w:r>
      <w:r>
        <w:t xml:space="preserve"> 58</w:t>
      </w:r>
      <w:r w:rsidR="00004BC5">
        <w:t>/72</w:t>
      </w:r>
      <w:r>
        <w:t xml:space="preserve"> </w:t>
      </w:r>
      <w:r w:rsidR="00004BC5">
        <w:t xml:space="preserve">(81%) were genotyped. Of the samples genotyped during the study period, </w:t>
      </w:r>
      <w:r>
        <w:t>27</w:t>
      </w:r>
      <w:r w:rsidR="00004BC5">
        <w:t>/58 (47%)</w:t>
      </w:r>
      <w:r>
        <w:t xml:space="preserve"> </w:t>
      </w:r>
      <w:r w:rsidR="00004BC5">
        <w:t>were classified as delta</w:t>
      </w:r>
      <w:r>
        <w:t>,</w:t>
      </w:r>
      <w:r w:rsidR="00004BC5">
        <w:t xml:space="preserve"> and 27/58 (47%) were classified as omicron. Genotyping was indeterminate in 4/58 samples.</w:t>
      </w:r>
    </w:p>
    <w:p w14:paraId="2FEB34BE" w14:textId="7932D77B" w:rsidR="005D35D5" w:rsidRDefault="005D35D5" w:rsidP="008531EE">
      <w:pPr>
        <w:pStyle w:val="Body"/>
        <w:spacing w:line="480" w:lineRule="auto"/>
        <w:jc w:val="both"/>
      </w:pPr>
    </w:p>
    <w:p w14:paraId="6D532600" w14:textId="59DF0A4B" w:rsidR="005D35D5" w:rsidRDefault="00DF78C6" w:rsidP="00D61021">
      <w:pPr>
        <w:pStyle w:val="Body"/>
        <w:spacing w:line="480" w:lineRule="auto"/>
        <w:jc w:val="both"/>
      </w:pPr>
      <w:r>
        <w:t xml:space="preserve">Serial </w:t>
      </w:r>
      <w:proofErr w:type="spellStart"/>
      <w:r w:rsidR="008B1D75">
        <w:t>naso</w:t>
      </w:r>
      <w:proofErr w:type="spellEnd"/>
      <w:r w:rsidR="008B1D75">
        <w:t xml:space="preserve">-pharyngeal swab </w:t>
      </w:r>
      <w:r>
        <w:t>sampling was performed twice weekly</w:t>
      </w:r>
      <w:r w:rsidR="008B1D75">
        <w:t xml:space="preserve"> for the duration of their hospital</w:t>
      </w:r>
      <w:r w:rsidR="00D61021">
        <w:t xml:space="preserve"> stay.  Paired samples were available for </w:t>
      </w:r>
      <w:r w:rsidR="005D35D5">
        <w:t>36</w:t>
      </w:r>
      <w:r w:rsidR="00004BC5">
        <w:t>/</w:t>
      </w:r>
      <w:r>
        <w:t>72</w:t>
      </w:r>
      <w:r w:rsidR="00F538B1">
        <w:t xml:space="preserve"> (50%)</w:t>
      </w:r>
      <w:r w:rsidR="005D35D5">
        <w:t xml:space="preserve"> patients</w:t>
      </w:r>
      <w:r w:rsidR="00D61021">
        <w:t>, of wh</w:t>
      </w:r>
      <w:r w:rsidR="00647205">
        <w:t>ich</w:t>
      </w:r>
      <w:r w:rsidR="00D61021">
        <w:t xml:space="preserve"> 27 </w:t>
      </w:r>
      <w:r w:rsidR="00F538B1">
        <w:t xml:space="preserve">(38%) </w:t>
      </w:r>
      <w:r w:rsidR="00D61021">
        <w:t xml:space="preserve">were genotyped. </w:t>
      </w:r>
      <w:r w:rsidR="005D35D5">
        <w:t xml:space="preserve">Of </w:t>
      </w:r>
      <w:r w:rsidR="00647205">
        <w:t>these,</w:t>
      </w:r>
      <w:r w:rsidR="005D35D5">
        <w:t xml:space="preserve"> 15 </w:t>
      </w:r>
      <w:r w:rsidR="00647205">
        <w:t xml:space="preserve">patients </w:t>
      </w:r>
      <w:r w:rsidR="005D35D5">
        <w:t>were in</w:t>
      </w:r>
      <w:r w:rsidR="00647205">
        <w:t xml:space="preserve">fected with the </w:t>
      </w:r>
      <w:r w:rsidR="005D35D5">
        <w:t>Delta</w:t>
      </w:r>
      <w:r w:rsidR="00647205">
        <w:t xml:space="preserve"> variant</w:t>
      </w:r>
      <w:r w:rsidR="005D35D5">
        <w:t>, 11 with Omicron</w:t>
      </w:r>
      <w:r w:rsidR="00647205">
        <w:t xml:space="preserve"> and</w:t>
      </w:r>
      <w:r w:rsidR="00F538B1">
        <w:t xml:space="preserve"> </w:t>
      </w:r>
      <w:r w:rsidR="005D35D5">
        <w:lastRenderedPageBreak/>
        <w:t>2 were indeterminate.</w:t>
      </w:r>
      <w:r w:rsidR="00D61021">
        <w:t xml:space="preserve"> </w:t>
      </w:r>
      <w:r w:rsidR="00647205">
        <w:t>I</w:t>
      </w:r>
      <w:r w:rsidR="00AF4EB7">
        <w:t xml:space="preserve">n all </w:t>
      </w:r>
      <w:r w:rsidR="00D61021">
        <w:t>instances, the genotype identified on second</w:t>
      </w:r>
      <w:r w:rsidR="00AF4EB7">
        <w:t xml:space="preserve"> swab was congruent with that identified on initial testing</w:t>
      </w:r>
      <w:r w:rsidR="00F538B1">
        <w:t xml:space="preserve"> (</w:t>
      </w:r>
      <w:r w:rsidR="00F538B1" w:rsidRPr="00DC3831">
        <w:rPr>
          <w:b/>
          <w:bCs/>
        </w:rPr>
        <w:fldChar w:fldCharType="begin"/>
      </w:r>
      <w:r w:rsidR="00F538B1" w:rsidRPr="00DC3831">
        <w:rPr>
          <w:b/>
          <w:bCs/>
        </w:rPr>
        <w:instrText xml:space="preserve"> REF _Ref99040858 \h </w:instrText>
      </w:r>
      <w:r w:rsidR="00F538B1" w:rsidRPr="00DC3831">
        <w:rPr>
          <w:b/>
          <w:bCs/>
        </w:rPr>
      </w:r>
      <w:r w:rsidR="00DC3831">
        <w:rPr>
          <w:b/>
          <w:bCs/>
        </w:rPr>
        <w:instrText xml:space="preserve"> \* MERGEFORMAT </w:instrText>
      </w:r>
      <w:r w:rsidR="00F538B1" w:rsidRPr="00DC3831">
        <w:rPr>
          <w:b/>
          <w:bCs/>
        </w:rPr>
        <w:fldChar w:fldCharType="separate"/>
      </w:r>
      <w:r w:rsidR="00F538B1" w:rsidRPr="00DC3831">
        <w:rPr>
          <w:b/>
          <w:bCs/>
        </w:rPr>
        <w:t xml:space="preserve">Figure </w:t>
      </w:r>
      <w:r w:rsidR="00F538B1" w:rsidRPr="00DC3831">
        <w:rPr>
          <w:b/>
          <w:bCs/>
          <w:noProof/>
        </w:rPr>
        <w:t>1</w:t>
      </w:r>
      <w:r w:rsidR="00F538B1" w:rsidRPr="00DC3831">
        <w:rPr>
          <w:b/>
          <w:bCs/>
        </w:rPr>
        <w:fldChar w:fldCharType="end"/>
      </w:r>
      <w:r w:rsidR="00F538B1">
        <w:t>)</w:t>
      </w:r>
      <w:r w:rsidR="00AF4EB7">
        <w:t xml:space="preserve">. </w:t>
      </w:r>
      <w:r w:rsidR="005D35D5">
        <w:t xml:space="preserve"> </w:t>
      </w:r>
      <w:r w:rsidR="00D61021">
        <w:t>Three patients who had a positive result on initial swabbing were found to be negative on repeat PCR testing, whilst five did not undergo variant sequencing.</w:t>
      </w:r>
    </w:p>
    <w:p w14:paraId="29E5CB0F" w14:textId="77777777" w:rsidR="005D35D5" w:rsidRDefault="005D35D5" w:rsidP="008531EE">
      <w:pPr>
        <w:pStyle w:val="Body"/>
        <w:spacing w:line="480" w:lineRule="auto"/>
        <w:jc w:val="both"/>
      </w:pPr>
    </w:p>
    <w:p w14:paraId="6FABB811" w14:textId="7938635B" w:rsidR="005D35D5" w:rsidRDefault="00867B69" w:rsidP="008531EE">
      <w:pPr>
        <w:pStyle w:val="Body"/>
        <w:spacing w:line="480" w:lineRule="auto"/>
        <w:jc w:val="both"/>
      </w:pPr>
      <w:r>
        <w:t xml:space="preserve">Eight </w:t>
      </w:r>
      <w:r w:rsidR="005D35D5">
        <w:t xml:space="preserve">patients had a </w:t>
      </w:r>
      <w:r>
        <w:t xml:space="preserve">third serial </w:t>
      </w:r>
      <w:r w:rsidR="005D35D5">
        <w:t>swab</w:t>
      </w:r>
      <w:r>
        <w:t xml:space="preserve"> genotyped. In all instances, the variant identified on repeat sampling corresponded to that initially identified (5/8 Delta infection, 3/8 Omicron</w:t>
      </w:r>
      <w:r w:rsidR="00AC4E76">
        <w:t xml:space="preserve"> - (</w:t>
      </w:r>
      <w:r w:rsidR="00AC4E76">
        <w:fldChar w:fldCharType="begin"/>
      </w:r>
      <w:r w:rsidR="00AC4E76">
        <w:instrText xml:space="preserve"> REF _Ref99040858 \h </w:instrText>
      </w:r>
      <w:r w:rsidR="00AC4E76">
        <w:fldChar w:fldCharType="separate"/>
      </w:r>
      <w:r w:rsidR="00AC4E76">
        <w:t xml:space="preserve">Figure </w:t>
      </w:r>
      <w:r w:rsidR="00AC4E76">
        <w:rPr>
          <w:noProof/>
        </w:rPr>
        <w:t>1</w:t>
      </w:r>
      <w:r w:rsidR="00AC4E76">
        <w:fldChar w:fldCharType="end"/>
      </w:r>
      <w:r w:rsidR="00AC4E76">
        <w:t>)</w:t>
      </w:r>
      <w:r>
        <w:t xml:space="preserve">. </w:t>
      </w:r>
      <w:proofErr w:type="gramStart"/>
      <w:r>
        <w:t xml:space="preserve">Two </w:t>
      </w:r>
      <w:r w:rsidR="005D35D5">
        <w:t xml:space="preserve"> patients</w:t>
      </w:r>
      <w:proofErr w:type="gramEnd"/>
      <w:r w:rsidR="005D35D5">
        <w:t xml:space="preserve"> had a</w:t>
      </w:r>
      <w:r>
        <w:t xml:space="preserve"> positive</w:t>
      </w:r>
      <w:r w:rsidR="005D35D5">
        <w:t xml:space="preserve"> </w:t>
      </w:r>
      <w:r>
        <w:t xml:space="preserve">fourth </w:t>
      </w:r>
      <w:r w:rsidR="005D35D5">
        <w:t>swab</w:t>
      </w:r>
      <w:r>
        <w:t xml:space="preserve"> genotyped</w:t>
      </w:r>
      <w:r w:rsidR="005D35D5">
        <w:t xml:space="preserve">, both </w:t>
      </w:r>
      <w:r>
        <w:t>of which were congruent with initial (2/2</w:t>
      </w:r>
      <w:r w:rsidR="005D35D5">
        <w:t xml:space="preserve"> Delta infection</w:t>
      </w:r>
      <w:r>
        <w:t>)</w:t>
      </w:r>
      <w:r w:rsidR="005D35D5">
        <w:t xml:space="preserve">. </w:t>
      </w:r>
    </w:p>
    <w:p w14:paraId="29C1582B" w14:textId="77777777" w:rsidR="005D35D5" w:rsidRDefault="005D35D5" w:rsidP="008531EE">
      <w:pPr>
        <w:pStyle w:val="Body"/>
        <w:spacing w:line="480" w:lineRule="auto"/>
        <w:jc w:val="both"/>
      </w:pPr>
    </w:p>
    <w:p w14:paraId="5AF4FE3B" w14:textId="525197A8" w:rsidR="005E1BBD" w:rsidRDefault="005D35D5" w:rsidP="005059B7">
      <w:pPr>
        <w:pStyle w:val="Body"/>
        <w:spacing w:line="480" w:lineRule="auto"/>
        <w:jc w:val="both"/>
      </w:pPr>
      <w:r>
        <w:t>Through repeated swabbing of inpatients on a COVID ward, we have</w:t>
      </w:r>
      <w:r w:rsidR="006B5372">
        <w:t xml:space="preserve"> attempted to evaluate</w:t>
      </w:r>
      <w:r>
        <w:t xml:space="preserve"> the risk of co-infection and serial infection with different </w:t>
      </w:r>
      <w:r w:rsidR="00DE2417">
        <w:t>SARS-CoV-2</w:t>
      </w:r>
      <w:r>
        <w:t xml:space="preserve"> variants of concern</w:t>
      </w:r>
      <w:r w:rsidR="006B5372">
        <w:t xml:space="preserve"> inherent to current </w:t>
      </w:r>
      <w:proofErr w:type="spellStart"/>
      <w:r w:rsidR="006B5372">
        <w:t>cohorting</w:t>
      </w:r>
      <w:proofErr w:type="spellEnd"/>
      <w:r w:rsidR="006B5372">
        <w:t xml:space="preserve"> practices</w:t>
      </w:r>
      <w:r>
        <w:t xml:space="preserve">.  Despite a sample size of 76 patients, we did not see any instances of co-infection with </w:t>
      </w:r>
      <w:r w:rsidR="0079286C">
        <w:t>distinct</w:t>
      </w:r>
      <w:r>
        <w:t xml:space="preserve"> </w:t>
      </w:r>
      <w:r w:rsidR="003D4ECC">
        <w:t>variant</w:t>
      </w:r>
      <w:r w:rsidR="0079286C">
        <w:t>s</w:t>
      </w:r>
      <w:r w:rsidR="003D4ECC">
        <w:t xml:space="preserve"> </w:t>
      </w:r>
      <w:r>
        <w:t>of SARS-Cov-2, nor did we see any acquisition of alternative genotype during inpatient stay. These results suggest that</w:t>
      </w:r>
      <w:r w:rsidR="003E2C04">
        <w:t xml:space="preserve"> current infection control practices – where bed management is guided by positive swab status rather than genotyping </w:t>
      </w:r>
      <w:r w:rsidR="00DC3831">
        <w:t>–</w:t>
      </w:r>
      <w:r w:rsidR="00DC3831">
        <w:t xml:space="preserve"> </w:t>
      </w:r>
      <w:r w:rsidR="003E2C04">
        <w:t>are</w:t>
      </w:r>
      <w:r w:rsidR="00DC3831">
        <w:t xml:space="preserve"> </w:t>
      </w:r>
      <w:r w:rsidR="003E2C04">
        <w:t xml:space="preserve">adequate for patient safety. This appears to </w:t>
      </w:r>
      <w:r w:rsidR="005E1BBD">
        <w:t xml:space="preserve">apply during the acute stage of infection and convalescence </w:t>
      </w:r>
      <w:r>
        <w:t xml:space="preserve">despite uncertainty around the degree of </w:t>
      </w:r>
      <w:r w:rsidR="00647205">
        <w:t xml:space="preserve">antibody </w:t>
      </w:r>
      <w:r>
        <w:t>cross-</w:t>
      </w:r>
      <w:proofErr w:type="spellStart"/>
      <w:r>
        <w:t>neutralisation</w:t>
      </w:r>
      <w:proofErr w:type="spellEnd"/>
      <w:r>
        <w:t xml:space="preserve"> </w:t>
      </w:r>
      <w:r w:rsidR="00647205">
        <w:t xml:space="preserve">between </w:t>
      </w:r>
      <w:r>
        <w:t xml:space="preserve">different </w:t>
      </w:r>
      <w:r w:rsidR="00647205">
        <w:t>VOCs</w:t>
      </w:r>
      <w:r w:rsidR="005E1BBD">
        <w:t>.</w:t>
      </w:r>
    </w:p>
    <w:p w14:paraId="10546A08" w14:textId="783FC8B7" w:rsidR="00636FCF" w:rsidRDefault="005D35D5" w:rsidP="005059B7">
      <w:pPr>
        <w:pStyle w:val="Body"/>
        <w:spacing w:line="480" w:lineRule="auto"/>
        <w:jc w:val="both"/>
      </w:pPr>
      <w:r>
        <w:t xml:space="preserve"> </w:t>
      </w:r>
    </w:p>
    <w:p w14:paraId="3C663226" w14:textId="308F81C2" w:rsidR="00636FCF" w:rsidRDefault="00636FCF" w:rsidP="005059B7">
      <w:pPr>
        <w:pStyle w:val="Body"/>
        <w:spacing w:line="480" w:lineRule="auto"/>
        <w:jc w:val="both"/>
      </w:pPr>
      <w:r>
        <w:t xml:space="preserve">We acknowledge the limitations of our </w:t>
      </w:r>
      <w:r w:rsidR="005E1BBD">
        <w:t>study</w:t>
      </w:r>
      <w:r>
        <w:t xml:space="preserve">. In particular, </w:t>
      </w:r>
      <w:r w:rsidR="00E43A31">
        <w:t xml:space="preserve">the number of patients undergoing sequencing following serial sampling was limited, as this was an opportunistic study. In addition, </w:t>
      </w:r>
      <w:r>
        <w:t xml:space="preserve">SARS-CoV-2 variants were identified based on SNP typing as opposed to whole genome sequencing, limiting the resolution of our analysis. </w:t>
      </w:r>
      <w:r w:rsidR="0090601D">
        <w:t xml:space="preserve">Future studies should </w:t>
      </w:r>
      <w:r w:rsidR="0090601D">
        <w:lastRenderedPageBreak/>
        <w:t>include structured sampling timepoints, alongside sampling of healthcare workers and the environment and supported by whole genome sequencing.</w:t>
      </w:r>
    </w:p>
    <w:p w14:paraId="0C71AFEB" w14:textId="77777777" w:rsidR="00405316" w:rsidRDefault="00405316" w:rsidP="005059B7">
      <w:pPr>
        <w:pStyle w:val="Body"/>
        <w:spacing w:line="480" w:lineRule="auto"/>
        <w:jc w:val="both"/>
      </w:pPr>
    </w:p>
    <w:p w14:paraId="16FDC17B" w14:textId="561AA96D" w:rsidR="005D35D5" w:rsidRDefault="005D35D5" w:rsidP="005059B7">
      <w:pPr>
        <w:pStyle w:val="Body"/>
        <w:spacing w:line="480" w:lineRule="auto"/>
        <w:jc w:val="both"/>
      </w:pPr>
      <w:r>
        <w:t xml:space="preserve">These findings are relevant </w:t>
      </w:r>
      <w:r w:rsidR="00E43A31">
        <w:t xml:space="preserve">to inform infection control procedures during times </w:t>
      </w:r>
      <w:r w:rsidR="0090601D">
        <w:t>when different VOCs are co-circulating, such as</w:t>
      </w:r>
      <w:r w:rsidR="00E43A31">
        <w:t xml:space="preserve"> </w:t>
      </w:r>
      <w:r w:rsidR="0090601D">
        <w:t>during the</w:t>
      </w:r>
      <w:r>
        <w:t xml:space="preserve"> </w:t>
      </w:r>
      <w:r w:rsidR="004B60AA">
        <w:t>d</w:t>
      </w:r>
      <w:r>
        <w:t xml:space="preserve">elta and </w:t>
      </w:r>
      <w:r w:rsidR="004B60AA">
        <w:t>o</w:t>
      </w:r>
      <w:r>
        <w:t>micron wave</w:t>
      </w:r>
      <w:r w:rsidR="0090601D">
        <w:t xml:space="preserve">. </w:t>
      </w:r>
      <w:r>
        <w:t xml:space="preserve"> </w:t>
      </w:r>
      <w:r w:rsidR="0090601D">
        <w:t>These findings give</w:t>
      </w:r>
      <w:r w:rsidR="00FF60F4">
        <w:t xml:space="preserve"> a degree of</w:t>
      </w:r>
      <w:r w:rsidR="0090601D">
        <w:t xml:space="preserve"> re-assurance that </w:t>
      </w:r>
      <w:r w:rsidR="00405316">
        <w:t xml:space="preserve">the </w:t>
      </w:r>
      <w:proofErr w:type="spellStart"/>
      <w:r w:rsidR="0090601D">
        <w:t>cohorting</w:t>
      </w:r>
      <w:proofErr w:type="spellEnd"/>
      <w:r w:rsidR="0090601D">
        <w:t xml:space="preserve"> of </w:t>
      </w:r>
      <w:r w:rsidR="00405316">
        <w:t xml:space="preserve">SARS-CoV-2 positive </w:t>
      </w:r>
      <w:r w:rsidR="0090601D">
        <w:t>patients is safe at the point of admission in the absence of a genotype result.  They are</w:t>
      </w:r>
      <w:r>
        <w:t xml:space="preserve"> likely to be of increasing importance as novel variants of concern emerge where the degree of cross-immunity remains uncertain. </w:t>
      </w:r>
      <w:r w:rsidR="00FF60F4">
        <w:t>We would advocate for continued active genomic surveillance of patients hospitalized with SARS-CoV-2 should continue, as t</w:t>
      </w:r>
      <w:r w:rsidR="00647205">
        <w:t>he</w:t>
      </w:r>
      <w:r w:rsidR="00FF60F4">
        <w:t>re remains a</w:t>
      </w:r>
      <w:r w:rsidR="00647205">
        <w:t xml:space="preserve"> risk of</w:t>
      </w:r>
      <w:r w:rsidR="00FF60F4">
        <w:t xml:space="preserve"> generating</w:t>
      </w:r>
      <w:r w:rsidR="00647205">
        <w:t xml:space="preserve"> </w:t>
      </w:r>
      <w:r w:rsidR="00FF60F4">
        <w:t xml:space="preserve">new </w:t>
      </w:r>
      <w:proofErr w:type="spellStart"/>
      <w:r w:rsidR="00FF60F4">
        <w:t>interlineage</w:t>
      </w:r>
      <w:proofErr w:type="spellEnd"/>
      <w:r w:rsidR="00FF60F4">
        <w:t xml:space="preserve"> SARS-CoV-2 recombinants when </w:t>
      </w:r>
      <w:proofErr w:type="spellStart"/>
      <w:r w:rsidR="00FF60F4">
        <w:t>cohorting</w:t>
      </w:r>
      <w:proofErr w:type="spellEnd"/>
      <w:r w:rsidR="00FF60F4">
        <w:t xml:space="preserve"> patients within healthcare settings. </w:t>
      </w:r>
      <w:r w:rsidR="008531EE">
        <w:br w:type="page"/>
      </w:r>
    </w:p>
    <w:p w14:paraId="6A5536B5" w14:textId="1E3A8F99" w:rsidR="005D35D5" w:rsidRDefault="00B52EAE">
      <w:pPr>
        <w:pStyle w:val="Heading1"/>
        <w:suppressLineNumbers/>
      </w:pPr>
      <w:r w:rsidRPr="00B52EAE">
        <w:lastRenderedPageBreak/>
        <w:t>References</w:t>
      </w:r>
    </w:p>
    <w:p w14:paraId="1FE4F570" w14:textId="04DDD9BA" w:rsidR="00DC3831" w:rsidRPr="00DC3831" w:rsidRDefault="00CA0AD7" w:rsidP="00DC3831">
      <w:pPr>
        <w:widowControl w:val="0"/>
        <w:autoSpaceDE w:val="0"/>
        <w:autoSpaceDN w:val="0"/>
        <w:adjustRightInd w:val="0"/>
        <w:spacing w:before="100" w:after="100"/>
        <w:ind w:left="640" w:hanging="640"/>
        <w:rPr>
          <w:rFonts w:ascii="Calibri" w:hAnsi="Calibri" w:cs="Calibri"/>
          <w:noProof/>
          <w:sz w:val="20"/>
        </w:rPr>
      </w:pPr>
      <w:r w:rsidRPr="00026BB7">
        <w:rPr>
          <w:sz w:val="20"/>
          <w:szCs w:val="20"/>
        </w:rPr>
        <w:fldChar w:fldCharType="begin" w:fldLock="1"/>
      </w:r>
      <w:r w:rsidRPr="00026BB7">
        <w:rPr>
          <w:sz w:val="20"/>
          <w:szCs w:val="20"/>
        </w:rPr>
        <w:instrText xml:space="preserve">ADDIN Mendeley Bibliography CSL_BIBLIOGRAPHY </w:instrText>
      </w:r>
      <w:r w:rsidRPr="00026BB7">
        <w:rPr>
          <w:sz w:val="20"/>
          <w:szCs w:val="20"/>
        </w:rPr>
        <w:fldChar w:fldCharType="separate"/>
      </w:r>
      <w:r w:rsidR="00DC3831" w:rsidRPr="00DC3831">
        <w:rPr>
          <w:rFonts w:ascii="Calibri" w:hAnsi="Calibri" w:cs="Calibri"/>
          <w:noProof/>
          <w:sz w:val="20"/>
        </w:rPr>
        <w:t xml:space="preserve">1. </w:t>
      </w:r>
      <w:r w:rsidR="00DC3831" w:rsidRPr="00DC3831">
        <w:rPr>
          <w:rFonts w:ascii="Calibri" w:hAnsi="Calibri" w:cs="Calibri"/>
          <w:noProof/>
          <w:sz w:val="20"/>
        </w:rPr>
        <w:tab/>
        <w:t>Zhang Y, Jiang N, Qi W, Li T, Zhang Y, Zhang H, et al. Intra-host SARS-CoV-2 single-nucleotide variants emerged during the early stage of COVID-19 pandemic forecast population fixing mutations. J Infect [Internet]. 2022 Jan [cited 2022 Apr 4]; Available from: https://pubmed.ncbi.nlm.nih.gov/35041922/</w:t>
      </w:r>
    </w:p>
    <w:p w14:paraId="2DA87A2B" w14:textId="77777777" w:rsidR="00DC3831" w:rsidRPr="00DC3831" w:rsidRDefault="00DC3831" w:rsidP="00DC3831">
      <w:pPr>
        <w:widowControl w:val="0"/>
        <w:autoSpaceDE w:val="0"/>
        <w:autoSpaceDN w:val="0"/>
        <w:adjustRightInd w:val="0"/>
        <w:spacing w:before="100" w:after="100"/>
        <w:ind w:left="640" w:hanging="640"/>
        <w:rPr>
          <w:rFonts w:ascii="Calibri" w:hAnsi="Calibri" w:cs="Calibri"/>
          <w:noProof/>
          <w:sz w:val="20"/>
        </w:rPr>
      </w:pPr>
      <w:r w:rsidRPr="00DC3831">
        <w:rPr>
          <w:rFonts w:ascii="Calibri" w:hAnsi="Calibri" w:cs="Calibri"/>
          <w:noProof/>
          <w:sz w:val="20"/>
        </w:rPr>
        <w:t xml:space="preserve">2. </w:t>
      </w:r>
      <w:r w:rsidRPr="00DC3831">
        <w:rPr>
          <w:rFonts w:ascii="Calibri" w:hAnsi="Calibri" w:cs="Calibri"/>
          <w:noProof/>
          <w:sz w:val="20"/>
        </w:rPr>
        <w:tab/>
        <w:t>WHO. Classification of Omicron (B.1.1.529): SARS-CoV-2 Variant of Concern [Internet]. 2021 [cited 2022 Mar 28]. Available from: https://www.who.int/news/item/26-11-2021-classification-of-omicron-(b.1.1.529)-sars-cov-2-variant-of-concern</w:t>
      </w:r>
    </w:p>
    <w:p w14:paraId="33638B1B" w14:textId="77777777" w:rsidR="00DC3831" w:rsidRPr="00DC3831" w:rsidRDefault="00DC3831" w:rsidP="00DC3831">
      <w:pPr>
        <w:widowControl w:val="0"/>
        <w:autoSpaceDE w:val="0"/>
        <w:autoSpaceDN w:val="0"/>
        <w:adjustRightInd w:val="0"/>
        <w:spacing w:before="100" w:after="100"/>
        <w:ind w:left="640" w:hanging="640"/>
        <w:rPr>
          <w:rFonts w:ascii="Calibri" w:hAnsi="Calibri" w:cs="Calibri"/>
          <w:noProof/>
          <w:sz w:val="20"/>
        </w:rPr>
      </w:pPr>
      <w:r w:rsidRPr="00DC3831">
        <w:rPr>
          <w:rFonts w:ascii="Calibri" w:hAnsi="Calibri" w:cs="Calibri"/>
          <w:noProof/>
          <w:sz w:val="20"/>
        </w:rPr>
        <w:t xml:space="preserve">3. </w:t>
      </w:r>
      <w:r w:rsidRPr="00DC3831">
        <w:rPr>
          <w:rFonts w:ascii="Calibri" w:hAnsi="Calibri" w:cs="Calibri"/>
          <w:noProof/>
          <w:sz w:val="20"/>
        </w:rPr>
        <w:tab/>
        <w:t>Mannar D, Saville JW, Zhu X, Srivastava SS, Berezuk AM, Tuttle KS, et al. SARS-CoV-2 Omicron variant: Antibody evasion and cryo-EM structure of spike protein–ACE2 complex. Science (80- ) [Internet]. 2022 Feb 18 [cited 2022 Mar 28];375(6582):760–4. Available from: https://www.science.org/doi/full/10.1126/science.abn7760</w:t>
      </w:r>
    </w:p>
    <w:p w14:paraId="0CDC493A" w14:textId="77777777" w:rsidR="00DC3831" w:rsidRPr="00DC3831" w:rsidRDefault="00DC3831" w:rsidP="00DC3831">
      <w:pPr>
        <w:widowControl w:val="0"/>
        <w:autoSpaceDE w:val="0"/>
        <w:autoSpaceDN w:val="0"/>
        <w:adjustRightInd w:val="0"/>
        <w:spacing w:before="100" w:after="100"/>
        <w:ind w:left="640" w:hanging="640"/>
        <w:rPr>
          <w:rFonts w:ascii="Calibri" w:hAnsi="Calibri" w:cs="Calibri"/>
          <w:noProof/>
          <w:sz w:val="20"/>
        </w:rPr>
      </w:pPr>
      <w:r w:rsidRPr="00DC3831">
        <w:rPr>
          <w:rFonts w:ascii="Calibri" w:hAnsi="Calibri" w:cs="Calibri"/>
          <w:noProof/>
          <w:sz w:val="20"/>
        </w:rPr>
        <w:t xml:space="preserve">4. </w:t>
      </w:r>
      <w:r w:rsidRPr="00DC3831">
        <w:rPr>
          <w:rFonts w:ascii="Calibri" w:hAnsi="Calibri" w:cs="Calibri"/>
          <w:noProof/>
          <w:sz w:val="20"/>
        </w:rPr>
        <w:tab/>
        <w:t>McCallum M, Czudnochowski N, Rosen LE, Zepeda SK, Bowen JE, Walls AC, et al. Structural basis of SARS-CoV-2 Omicron immune evasion and receptor engagement. Science [Internet]. 2022 Feb 25 [cited 2022 Mar 28];eabn8652. Available from: http://www.ncbi.nlm.nih.gov/pubmed/35076256</w:t>
      </w:r>
    </w:p>
    <w:p w14:paraId="79F1F54E" w14:textId="77777777" w:rsidR="00DC3831" w:rsidRPr="00DC3831" w:rsidRDefault="00DC3831" w:rsidP="00DC3831">
      <w:pPr>
        <w:widowControl w:val="0"/>
        <w:autoSpaceDE w:val="0"/>
        <w:autoSpaceDN w:val="0"/>
        <w:adjustRightInd w:val="0"/>
        <w:spacing w:before="100" w:after="100"/>
        <w:ind w:left="640" w:hanging="640"/>
        <w:rPr>
          <w:rFonts w:ascii="Calibri" w:hAnsi="Calibri" w:cs="Calibri"/>
          <w:noProof/>
          <w:sz w:val="20"/>
        </w:rPr>
      </w:pPr>
      <w:r w:rsidRPr="00DC3831">
        <w:rPr>
          <w:rFonts w:ascii="Calibri" w:hAnsi="Calibri" w:cs="Calibri"/>
          <w:noProof/>
          <w:sz w:val="20"/>
        </w:rPr>
        <w:t xml:space="preserve">5. </w:t>
      </w:r>
      <w:r w:rsidRPr="00DC3831">
        <w:rPr>
          <w:rFonts w:ascii="Calibri" w:hAnsi="Calibri" w:cs="Calibri"/>
          <w:noProof/>
          <w:sz w:val="20"/>
        </w:rPr>
        <w:tab/>
        <w:t>Garcia-Beltran WF, St. Denis KJ, Hoelzemer A, Lam EC, Nitido AD, Sheehan ML, et al. mRNA-based COVID-19 vaccine boosters induce neutralizing immunity against SARS-CoV-2 Omicron variant. Cell [Internet]. 2022 Feb 3 [cited 2022 Mar 28];185(3):457-466.e4. Available from: https://pubmed.ncbi.nlm.nih.gov/34995482/</w:t>
      </w:r>
    </w:p>
    <w:p w14:paraId="525CBD3A" w14:textId="77777777" w:rsidR="00DC3831" w:rsidRPr="00DC3831" w:rsidRDefault="00DC3831" w:rsidP="00DC3831">
      <w:pPr>
        <w:widowControl w:val="0"/>
        <w:autoSpaceDE w:val="0"/>
        <w:autoSpaceDN w:val="0"/>
        <w:adjustRightInd w:val="0"/>
        <w:spacing w:before="100" w:after="100"/>
        <w:ind w:left="640" w:hanging="640"/>
        <w:rPr>
          <w:rFonts w:ascii="Calibri" w:hAnsi="Calibri" w:cs="Calibri"/>
          <w:noProof/>
          <w:sz w:val="20"/>
        </w:rPr>
      </w:pPr>
      <w:r w:rsidRPr="00DC3831">
        <w:rPr>
          <w:rFonts w:ascii="Calibri" w:hAnsi="Calibri" w:cs="Calibri"/>
          <w:noProof/>
          <w:sz w:val="20"/>
        </w:rPr>
        <w:t xml:space="preserve">6. </w:t>
      </w:r>
      <w:r w:rsidRPr="00DC3831">
        <w:rPr>
          <w:rFonts w:ascii="Calibri" w:hAnsi="Calibri" w:cs="Calibri"/>
          <w:noProof/>
          <w:sz w:val="20"/>
        </w:rPr>
        <w:tab/>
        <w:t>Dejnirattisai W, Shaw RH, Supasa P, Liu C, Stuart AS, Pollard AJ, et al. Reduced neutralisation of SARS-CoV-2 omicron B.1.1.529 variant by post-immunisation serum. Lancet [Internet]. 2022 Jan 15 [cited 2022 Mar 28];399(10321):234–6. Available from: https://pubmed.ncbi.nlm.nih.gov/34942101/</w:t>
      </w:r>
    </w:p>
    <w:p w14:paraId="4AD438B4" w14:textId="77777777" w:rsidR="00DC3831" w:rsidRPr="00DC3831" w:rsidRDefault="00DC3831" w:rsidP="00DC3831">
      <w:pPr>
        <w:widowControl w:val="0"/>
        <w:autoSpaceDE w:val="0"/>
        <w:autoSpaceDN w:val="0"/>
        <w:adjustRightInd w:val="0"/>
        <w:spacing w:before="100" w:after="100"/>
        <w:ind w:left="640" w:hanging="640"/>
        <w:rPr>
          <w:rFonts w:ascii="Calibri" w:hAnsi="Calibri" w:cs="Calibri"/>
          <w:noProof/>
          <w:sz w:val="20"/>
        </w:rPr>
      </w:pPr>
      <w:r w:rsidRPr="00DC3831">
        <w:rPr>
          <w:rFonts w:ascii="Calibri" w:hAnsi="Calibri" w:cs="Calibri"/>
          <w:noProof/>
          <w:sz w:val="20"/>
        </w:rPr>
        <w:t xml:space="preserve">7. </w:t>
      </w:r>
      <w:r w:rsidRPr="00DC3831">
        <w:rPr>
          <w:rFonts w:ascii="Calibri" w:hAnsi="Calibri" w:cs="Calibri"/>
          <w:noProof/>
          <w:sz w:val="20"/>
        </w:rPr>
        <w:tab/>
        <w:t>Rössler A, Riepler L, Bante D, von Laer D, Kimpel J. SARS-CoV-2 Omicron Variant Neutralization in Serum from Vaccinated and Convalescent Persons. N Engl J Med [Internet]. 2022 Feb 17 [cited 2022 Mar 28];386(7):698–700. Available from: https://www.nejm.org/doi/full/10.1056/NEJMc2119236</w:t>
      </w:r>
    </w:p>
    <w:p w14:paraId="4A903B0A" w14:textId="77777777" w:rsidR="00DC3831" w:rsidRPr="00DC3831" w:rsidRDefault="00DC3831" w:rsidP="00DC3831">
      <w:pPr>
        <w:widowControl w:val="0"/>
        <w:autoSpaceDE w:val="0"/>
        <w:autoSpaceDN w:val="0"/>
        <w:adjustRightInd w:val="0"/>
        <w:spacing w:before="100" w:after="100"/>
        <w:ind w:left="640" w:hanging="640"/>
        <w:rPr>
          <w:rFonts w:ascii="Calibri" w:hAnsi="Calibri" w:cs="Calibri"/>
          <w:noProof/>
          <w:sz w:val="20"/>
        </w:rPr>
      </w:pPr>
      <w:r w:rsidRPr="00DC3831">
        <w:rPr>
          <w:rFonts w:ascii="Calibri" w:hAnsi="Calibri" w:cs="Calibri"/>
          <w:noProof/>
          <w:sz w:val="20"/>
        </w:rPr>
        <w:t xml:space="preserve">8. </w:t>
      </w:r>
      <w:r w:rsidRPr="00DC3831">
        <w:rPr>
          <w:rFonts w:ascii="Calibri" w:hAnsi="Calibri" w:cs="Calibri"/>
          <w:noProof/>
          <w:sz w:val="20"/>
        </w:rPr>
        <w:tab/>
        <w:t>UKHSA. COVID-19: infection prevention and control (IPC) - GOV.UK [Internet]. [cited 2022 Mar 24]. Available from: https://www.gov.uk/government/publications/wuhan-novel-coronavirus-infection-prevention-and-control</w:t>
      </w:r>
    </w:p>
    <w:p w14:paraId="1A35CCD2" w14:textId="77777777" w:rsidR="00DC3831" w:rsidRPr="00DC3831" w:rsidRDefault="00DC3831" w:rsidP="00DC3831">
      <w:pPr>
        <w:widowControl w:val="0"/>
        <w:autoSpaceDE w:val="0"/>
        <w:autoSpaceDN w:val="0"/>
        <w:adjustRightInd w:val="0"/>
        <w:spacing w:before="100" w:after="100"/>
        <w:ind w:left="640" w:hanging="640"/>
        <w:rPr>
          <w:rFonts w:ascii="Calibri" w:hAnsi="Calibri" w:cs="Calibri"/>
          <w:noProof/>
          <w:sz w:val="20"/>
        </w:rPr>
      </w:pPr>
      <w:r w:rsidRPr="00DC3831">
        <w:rPr>
          <w:rFonts w:ascii="Calibri" w:hAnsi="Calibri" w:cs="Calibri"/>
          <w:noProof/>
          <w:sz w:val="20"/>
        </w:rPr>
        <w:t xml:space="preserve">9. </w:t>
      </w:r>
      <w:r w:rsidRPr="00DC3831">
        <w:rPr>
          <w:rFonts w:ascii="Calibri" w:hAnsi="Calibri" w:cs="Calibri"/>
          <w:noProof/>
          <w:sz w:val="20"/>
        </w:rPr>
        <w:tab/>
        <w:t xml:space="preserve">Jackson B, Boni MF, Bull MJ, Colleran A, Colquhoun RM, Darby AC, et al. Generation and transmission of interlineage recombinants in the SARS-CoV-2 pandemic. Cell. 2021 Sep 30;184(20):5179-5188.e8. </w:t>
      </w:r>
    </w:p>
    <w:p w14:paraId="47A3AEBB" w14:textId="1CFF5421" w:rsidR="00CA0AD7" w:rsidRPr="00B52EAE" w:rsidRDefault="00CA0AD7" w:rsidP="00DC3831">
      <w:pPr>
        <w:widowControl w:val="0"/>
        <w:autoSpaceDE w:val="0"/>
        <w:autoSpaceDN w:val="0"/>
        <w:adjustRightInd w:val="0"/>
        <w:spacing w:before="100" w:after="100"/>
        <w:ind w:left="640" w:hanging="640"/>
      </w:pPr>
      <w:r w:rsidRPr="00026BB7">
        <w:rPr>
          <w:sz w:val="20"/>
          <w:szCs w:val="20"/>
        </w:rPr>
        <w:fldChar w:fldCharType="end"/>
      </w:r>
    </w:p>
    <w:p w14:paraId="6220A6BA" w14:textId="77777777" w:rsidR="005D35D5" w:rsidRPr="005D35D5" w:rsidRDefault="005D35D5" w:rsidP="00026BB7">
      <w:pPr>
        <w:pStyle w:val="Body"/>
        <w:suppressLineNumbers/>
        <w:rPr>
          <w:rFonts w:asciiTheme="minorHAnsi" w:hAnsiTheme="minorHAnsi" w:cstheme="minorHAnsi"/>
          <w:sz w:val="22"/>
          <w:szCs w:val="22"/>
        </w:rPr>
      </w:pPr>
    </w:p>
    <w:p w14:paraId="594BA47D" w14:textId="17FDB741" w:rsidR="00323F90" w:rsidRDefault="000F1D82" w:rsidP="00026BB7">
      <w:pPr>
        <w:suppressLineNumbers/>
        <w:rPr>
          <w:lang w:val="en-US"/>
        </w:rPr>
      </w:pPr>
    </w:p>
    <w:p w14:paraId="7B6BE471" w14:textId="45D02BBB" w:rsidR="00702D01" w:rsidRDefault="00702D01" w:rsidP="00026BB7">
      <w:pPr>
        <w:suppressLineNumbers/>
        <w:rPr>
          <w:lang w:val="en-US"/>
        </w:rPr>
      </w:pPr>
    </w:p>
    <w:p w14:paraId="411A8B9C" w14:textId="77777777" w:rsidR="00702D01" w:rsidRDefault="00702D01">
      <w:pPr>
        <w:rPr>
          <w:lang w:val="en-US"/>
        </w:rPr>
        <w:sectPr w:rsidR="00702D01" w:rsidSect="008531EE">
          <w:pgSz w:w="11900" w:h="16840"/>
          <w:pgMar w:top="1440" w:right="1440" w:bottom="1440" w:left="1440" w:header="708" w:footer="708" w:gutter="0"/>
          <w:lnNumType w:countBy="1" w:restart="continuous"/>
          <w:cols w:space="708"/>
          <w:docGrid w:linePitch="360"/>
        </w:sectPr>
      </w:pPr>
    </w:p>
    <w:p w14:paraId="36EB1805" w14:textId="77777777" w:rsidR="00EB2215" w:rsidRDefault="00EB2215" w:rsidP="00026BB7">
      <w:pPr>
        <w:pStyle w:val="Heading1"/>
        <w:suppressLineNumbers/>
        <w:rPr>
          <w:lang w:val="en-US"/>
        </w:rPr>
      </w:pPr>
      <w:r>
        <w:rPr>
          <w:noProof/>
        </w:rPr>
        <w:lastRenderedPageBreak/>
        <mc:AlternateContent>
          <mc:Choice Requires="wps">
            <w:drawing>
              <wp:anchor distT="0" distB="0" distL="114300" distR="114300" simplePos="0" relativeHeight="251660288" behindDoc="0" locked="0" layoutInCell="1" allowOverlap="1" wp14:anchorId="45F67A8C" wp14:editId="18C7C525">
                <wp:simplePos x="0" y="0"/>
                <wp:positionH relativeFrom="column">
                  <wp:posOffset>0</wp:posOffset>
                </wp:positionH>
                <wp:positionV relativeFrom="paragraph">
                  <wp:posOffset>8304307</wp:posOffset>
                </wp:positionV>
                <wp:extent cx="5727700" cy="635"/>
                <wp:effectExtent l="0" t="0" r="0" b="12065"/>
                <wp:wrapSquare wrapText="bothSides"/>
                <wp:docPr id="3" name="Text Box 3"/>
                <wp:cNvGraphicFramePr/>
                <a:graphic xmlns:a="http://schemas.openxmlformats.org/drawingml/2006/main">
                  <a:graphicData uri="http://schemas.microsoft.com/office/word/2010/wordprocessingShape">
                    <wps:wsp>
                      <wps:cNvSpPr txBox="1"/>
                      <wps:spPr>
                        <a:xfrm>
                          <a:off x="0" y="0"/>
                          <a:ext cx="5727700" cy="635"/>
                        </a:xfrm>
                        <a:prstGeom prst="rect">
                          <a:avLst/>
                        </a:prstGeom>
                        <a:solidFill>
                          <a:prstClr val="white"/>
                        </a:solidFill>
                        <a:ln>
                          <a:noFill/>
                        </a:ln>
                      </wps:spPr>
                      <wps:txbx>
                        <w:txbxContent>
                          <w:p w14:paraId="38FFD32A" w14:textId="2A4AE857" w:rsidR="00702D01" w:rsidRPr="003B439E" w:rsidRDefault="00702D01" w:rsidP="00026BB7">
                            <w:pPr>
                              <w:pStyle w:val="Caption"/>
                              <w:rPr>
                                <w:noProof/>
                                <w:lang w:val="en-US"/>
                              </w:rPr>
                            </w:pPr>
                            <w:bookmarkStart w:id="0" w:name="_Ref99040858"/>
                            <w:r>
                              <w:t xml:space="preserve">Figure </w:t>
                            </w:r>
                            <w:fldSimple w:instr=" SEQ Figure \* ARABIC ">
                              <w:r>
                                <w:rPr>
                                  <w:noProof/>
                                </w:rPr>
                                <w:t>1</w:t>
                              </w:r>
                            </w:fldSimple>
                            <w:bookmarkEnd w:id="0"/>
                            <w:r>
                              <w:t xml:space="preserve"> – Results of SARS-COV-2 PCR and genotyping on serial nasopharyngeal swabs. </w:t>
                            </w:r>
                            <w:r w:rsidR="0004232A">
                              <w:t>Data points are ordered by length of hospital stay,</w:t>
                            </w:r>
                            <w:r>
                              <w:t xml:space="preserve"> normalised by day of admission</w:t>
                            </w:r>
                            <w:r w:rsidR="0004232A">
                              <w:t xml:space="preserve"> and colour coded according to the results of genotyping. </w:t>
                            </w:r>
                            <w:r w:rsidR="00AC4E76">
                              <w:t xml:space="preserve">Patients with a single positive swab collected were typically discharged prior to serial swabbing. </w:t>
                            </w:r>
                            <w:r w:rsidR="0004232A">
                              <w:t>Paired data points are connected by horizontal lines.</w:t>
                            </w:r>
                            <w:r w:rsidR="00AC4E76">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5F67A8C" id="_x0000_t202" coordsize="21600,21600" o:spt="202" path="m,l,21600r21600,l21600,xe">
                <v:stroke joinstyle="miter"/>
                <v:path gradientshapeok="t" o:connecttype="rect"/>
              </v:shapetype>
              <v:shape id="Text Box 3" o:spid="_x0000_s1026" type="#_x0000_t202" style="position:absolute;margin-left:0;margin-top:653.9pt;width:451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Y9RqFQIAADgEAAAOAAAAZHJzL2Uyb0RvYy54bWysU8Fu2zAMvQ/YPwi6L04ytB2MOEWWIsOA&#13;&#10;oC2QDj0rshQbkEWNUmJnXz9KtpOt22nYRaZF6lF872lx3zWGnRT6GmzBZ5MpZ8pKKGt7KPi3l82H&#13;&#10;T5z5IGwpDFhV8LPy/H75/t2idbmaQwWmVMgIxPq8dQWvQnB5lnlZqUb4CThlKakBGxHoFw9ZiaIl&#13;&#10;9MZk8+n0NmsBS4cglfe0+9An+TLha61keNLaq8BMweluIa2Y1n1cs+VC5AcUrqrlcA3xD7doRG2p&#13;&#10;6QXqQQTBjlj/AdXUEsGDDhMJTQZa11KlGWia2fTNNLtKOJVmIXK8u9Dk/x+sfDzt3DOy0H2GjgSM&#13;&#10;hLTO55424zydxiZ+6aaM8kTh+UKb6gKTtHlzN7+7m1JKUu72403EyK5HHfrwRUHDYlBwJE0SVeK0&#13;&#10;9aEvHUtiJw+mLje1MfEnJtYG2UmQfm1VBzWA/1ZlbKy1EE/1gHEnu84Ro9Dtu2G4PZRnmhmht4N3&#13;&#10;clNTo63w4Vkg6U+zkKfDEy3aQFtwGCLOKsAff9uP9SQLZTlryU8F99+PAhVn5qslwaL5xgDHYD8G&#13;&#10;9tisgUac0WtxMoV0AIMZQ43QvJLVV7ELpYSV1KvgYQzXoXc1PRWpVqtURBZzImztzskIPRL60r0K&#13;&#10;dIMcgVR8hNFpIn+jSl+bdHGrYyCKk2SR0J7FgWeyZxJ9eErR/7/+p6rrg1/+BAAA//8DAFBLAwQU&#13;&#10;AAYACAAAACEAWA6Jz+MAAAAPAQAADwAAAGRycy9kb3ducmV2LnhtbEyPMU/DMBCFdyT+g3VILKi1&#13;&#10;aatC0zhVVWCgS0Xahc2Nr3EgtiPbacO/5xADLCfde7p378tXg23ZGUNsvJNwPxbA0FVeN66WcNi/&#13;&#10;jB6BxaScVq13KOELI6yK66tcZdpf3Buey1QzCnExUxJMSl3GeawMWhXHvkNH3skHqxKtoeY6qAuF&#13;&#10;25ZPhJhzqxpHH4zqcGOw+ix7K2E3e9+Zu/70vF3PpuH10G/mH3Up5e3N8LSksV4CSzikvwv4YaD+&#13;&#10;UFCxo++djqyVQDSJ1Kl4IAzyF2JC0vFXWgAvcv6fo/gGAAD//wMAUEsBAi0AFAAGAAgAAAAhALaD&#13;&#10;OJL+AAAA4QEAABMAAAAAAAAAAAAAAAAAAAAAAFtDb250ZW50X1R5cGVzXS54bWxQSwECLQAUAAYA&#13;&#10;CAAAACEAOP0h/9YAAACUAQAACwAAAAAAAAAAAAAAAAAvAQAAX3JlbHMvLnJlbHNQSwECLQAUAAYA&#13;&#10;CAAAACEA6GPUahUCAAA4BAAADgAAAAAAAAAAAAAAAAAuAgAAZHJzL2Uyb0RvYy54bWxQSwECLQAU&#13;&#10;AAYACAAAACEAWA6Jz+MAAAAPAQAADwAAAAAAAAAAAAAAAABvBAAAZHJzL2Rvd25yZXYueG1sUEsF&#13;&#10;BgAAAAAEAAQA8wAAAH8FAAAAAA==&#13;&#10;" stroked="f">
                <v:textbox style="mso-fit-shape-to-text:t" inset="0,0,0,0">
                  <w:txbxContent>
                    <w:p w14:paraId="38FFD32A" w14:textId="2A4AE857" w:rsidR="00702D01" w:rsidRPr="003B439E" w:rsidRDefault="00702D01" w:rsidP="00026BB7">
                      <w:pPr>
                        <w:pStyle w:val="Caption"/>
                        <w:rPr>
                          <w:noProof/>
                          <w:lang w:val="en-US"/>
                        </w:rPr>
                      </w:pPr>
                      <w:bookmarkStart w:id="1" w:name="_Ref99040858"/>
                      <w:r>
                        <w:t xml:space="preserve">Figure </w:t>
                      </w:r>
                      <w:fldSimple w:instr=" SEQ Figure \* ARABIC ">
                        <w:r>
                          <w:rPr>
                            <w:noProof/>
                          </w:rPr>
                          <w:t>1</w:t>
                        </w:r>
                      </w:fldSimple>
                      <w:bookmarkEnd w:id="1"/>
                      <w:r>
                        <w:t xml:space="preserve"> – Results of SARS-COV-2 PCR and genotyping on serial nasopharyngeal swabs. </w:t>
                      </w:r>
                      <w:r w:rsidR="0004232A">
                        <w:t>Data points are ordered by length of hospital stay,</w:t>
                      </w:r>
                      <w:r>
                        <w:t xml:space="preserve"> normalised by day of admission</w:t>
                      </w:r>
                      <w:r w:rsidR="0004232A">
                        <w:t xml:space="preserve"> and colour coded according to the results of genotyping. </w:t>
                      </w:r>
                      <w:r w:rsidR="00AC4E76">
                        <w:t xml:space="preserve">Patients with a single positive swab collected were typically discharged prior to serial swabbing. </w:t>
                      </w:r>
                      <w:r w:rsidR="0004232A">
                        <w:t>Paired data points are connected by horizontal lines.</w:t>
                      </w:r>
                      <w:r w:rsidR="00AC4E76">
                        <w:t xml:space="preserve"> </w:t>
                      </w:r>
                    </w:p>
                  </w:txbxContent>
                </v:textbox>
                <w10:wrap type="square"/>
              </v:shape>
            </w:pict>
          </mc:Fallback>
        </mc:AlternateContent>
      </w:r>
      <w:r w:rsidR="00702D01">
        <w:rPr>
          <w:lang w:val="en-US"/>
        </w:rPr>
        <w:t>Figures</w:t>
      </w:r>
    </w:p>
    <w:p w14:paraId="714889DF" w14:textId="6B0CDE6F" w:rsidR="00702D01" w:rsidRPr="005D35D5" w:rsidRDefault="00702D01" w:rsidP="00026BB7">
      <w:pPr>
        <w:pStyle w:val="Heading1"/>
        <w:suppressLineNumbers/>
        <w:rPr>
          <w:lang w:val="en-US"/>
        </w:rPr>
      </w:pPr>
      <w:r>
        <w:rPr>
          <w:noProof/>
          <w:lang w:val="en-US"/>
        </w:rPr>
        <w:drawing>
          <wp:anchor distT="0" distB="0" distL="114300" distR="114300" simplePos="0" relativeHeight="251658240" behindDoc="0" locked="0" layoutInCell="1" allowOverlap="1" wp14:anchorId="0D2D36B2" wp14:editId="7EE6C584">
            <wp:simplePos x="0" y="0"/>
            <wp:positionH relativeFrom="margin">
              <wp:posOffset>0</wp:posOffset>
            </wp:positionH>
            <wp:positionV relativeFrom="margin">
              <wp:posOffset>611505</wp:posOffset>
            </wp:positionV>
            <wp:extent cx="5314315" cy="7086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5314315" cy="7086600"/>
                    </a:xfrm>
                    <a:prstGeom prst="rect">
                      <a:avLst/>
                    </a:prstGeom>
                  </pic:spPr>
                </pic:pic>
              </a:graphicData>
            </a:graphic>
            <wp14:sizeRelH relativeFrom="margin">
              <wp14:pctWidth>0</wp14:pctWidth>
            </wp14:sizeRelH>
            <wp14:sizeRelV relativeFrom="margin">
              <wp14:pctHeight>0</wp14:pctHeight>
            </wp14:sizeRelV>
          </wp:anchor>
        </w:drawing>
      </w:r>
    </w:p>
    <w:sectPr w:rsidR="00702D01" w:rsidRPr="005D35D5" w:rsidSect="008531EE">
      <w:pgSz w:w="11900" w:h="16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7838A4"/>
    <w:multiLevelType w:val="hybridMultilevel"/>
    <w:tmpl w:val="4C7EFC7A"/>
    <w:styleLink w:val="ImportedStyle1"/>
    <w:lvl w:ilvl="0" w:tplc="7F4CF13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13E59E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0E47C9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1A866B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C56931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1B80F5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82080D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17C83A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A4462D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E0B7CBA"/>
    <w:multiLevelType w:val="hybridMultilevel"/>
    <w:tmpl w:val="4C7EFC7A"/>
    <w:numStyleLink w:val="ImportedStyle1"/>
  </w:abstractNum>
  <w:num w:numId="1" w16cid:durableId="1329291923">
    <w:abstractNumId w:val="0"/>
  </w:num>
  <w:num w:numId="2" w16cid:durableId="434061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5D5"/>
    <w:rsid w:val="00004BC5"/>
    <w:rsid w:val="00010BFE"/>
    <w:rsid w:val="00026BB7"/>
    <w:rsid w:val="0004232A"/>
    <w:rsid w:val="000A34D0"/>
    <w:rsid w:val="000F1D82"/>
    <w:rsid w:val="00175EAD"/>
    <w:rsid w:val="00197DBD"/>
    <w:rsid w:val="001A61B6"/>
    <w:rsid w:val="001C777E"/>
    <w:rsid w:val="002F49FA"/>
    <w:rsid w:val="00342C51"/>
    <w:rsid w:val="003B04F9"/>
    <w:rsid w:val="003D4ECC"/>
    <w:rsid w:val="003E2C04"/>
    <w:rsid w:val="003F13C4"/>
    <w:rsid w:val="003F4D8F"/>
    <w:rsid w:val="00405316"/>
    <w:rsid w:val="00490FF7"/>
    <w:rsid w:val="00492CD0"/>
    <w:rsid w:val="004A05FC"/>
    <w:rsid w:val="004B60AA"/>
    <w:rsid w:val="00502EAE"/>
    <w:rsid w:val="005059B7"/>
    <w:rsid w:val="00510363"/>
    <w:rsid w:val="00531F97"/>
    <w:rsid w:val="005D35D5"/>
    <w:rsid w:val="005E1BBD"/>
    <w:rsid w:val="00636FCF"/>
    <w:rsid w:val="00647205"/>
    <w:rsid w:val="006703D9"/>
    <w:rsid w:val="00677483"/>
    <w:rsid w:val="006B16CD"/>
    <w:rsid w:val="006B5372"/>
    <w:rsid w:val="00702D01"/>
    <w:rsid w:val="007445E6"/>
    <w:rsid w:val="0079286C"/>
    <w:rsid w:val="007B7D95"/>
    <w:rsid w:val="007F2254"/>
    <w:rsid w:val="00812073"/>
    <w:rsid w:val="0082026A"/>
    <w:rsid w:val="00852B02"/>
    <w:rsid w:val="008531EE"/>
    <w:rsid w:val="00867B69"/>
    <w:rsid w:val="008B1D75"/>
    <w:rsid w:val="008C76CC"/>
    <w:rsid w:val="008D5DB6"/>
    <w:rsid w:val="0090601D"/>
    <w:rsid w:val="00994D7A"/>
    <w:rsid w:val="009A1A56"/>
    <w:rsid w:val="00A67D44"/>
    <w:rsid w:val="00A703FD"/>
    <w:rsid w:val="00A90720"/>
    <w:rsid w:val="00AA5064"/>
    <w:rsid w:val="00AC4E76"/>
    <w:rsid w:val="00AD5888"/>
    <w:rsid w:val="00AF4EB7"/>
    <w:rsid w:val="00B35721"/>
    <w:rsid w:val="00B52EAE"/>
    <w:rsid w:val="00B7027E"/>
    <w:rsid w:val="00C26049"/>
    <w:rsid w:val="00C61708"/>
    <w:rsid w:val="00C856A2"/>
    <w:rsid w:val="00CA0AD7"/>
    <w:rsid w:val="00CB4D84"/>
    <w:rsid w:val="00CC2C87"/>
    <w:rsid w:val="00CE050D"/>
    <w:rsid w:val="00D61021"/>
    <w:rsid w:val="00D709AD"/>
    <w:rsid w:val="00DC3831"/>
    <w:rsid w:val="00DE2417"/>
    <w:rsid w:val="00DF78C6"/>
    <w:rsid w:val="00E2032D"/>
    <w:rsid w:val="00E43A31"/>
    <w:rsid w:val="00E938A9"/>
    <w:rsid w:val="00EB037C"/>
    <w:rsid w:val="00EB2215"/>
    <w:rsid w:val="00F12E77"/>
    <w:rsid w:val="00F14F65"/>
    <w:rsid w:val="00F538B1"/>
    <w:rsid w:val="00F7678C"/>
    <w:rsid w:val="00FA7304"/>
    <w:rsid w:val="00FF6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A7A94"/>
  <w14:defaultImageDpi w14:val="32767"/>
  <w15:chartTrackingRefBased/>
  <w15:docId w15:val="{59C1BDE3-C0E5-2B43-97BD-A59E62C9B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4232A"/>
    <w:pPr>
      <w:spacing w:before="100" w:beforeAutospacing="1" w:after="100" w:afterAutospacing="1"/>
      <w:outlineLvl w:val="0"/>
    </w:pPr>
    <w:rPr>
      <w:rFonts w:ascii="Calibri" w:eastAsia="Times New Roman" w:hAnsi="Calibri" w:cs="Calibri"/>
      <w:b/>
      <w:bCs/>
      <w:kern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5D35D5"/>
    <w:pPr>
      <w:pBdr>
        <w:top w:val="nil"/>
        <w:left w:val="nil"/>
        <w:bottom w:val="nil"/>
        <w:right w:val="nil"/>
        <w:between w:val="nil"/>
        <w:bar w:val="nil"/>
      </w:pBdr>
    </w:pPr>
    <w:rPr>
      <w:rFonts w:ascii="Calibri" w:eastAsia="Arial Unicode MS" w:hAnsi="Calibri" w:cs="Arial Unicode MS"/>
      <w:color w:val="000000"/>
      <w:u w:color="000000"/>
      <w:bdr w:val="nil"/>
      <w:lang w:val="en-US" w:eastAsia="en-GB"/>
      <w14:textOutline w14:w="0" w14:cap="flat" w14:cmpd="sng" w14:algn="ctr">
        <w14:noFill/>
        <w14:prstDash w14:val="solid"/>
        <w14:bevel/>
      </w14:textOutline>
    </w:rPr>
  </w:style>
  <w:style w:type="character" w:customStyle="1" w:styleId="Hyperlink0">
    <w:name w:val="Hyperlink.0"/>
    <w:basedOn w:val="Hyperlink"/>
    <w:rsid w:val="005D35D5"/>
    <w:rPr>
      <w:outline w:val="0"/>
      <w:color w:val="0563C1"/>
      <w:u w:val="single" w:color="0563C1"/>
    </w:rPr>
  </w:style>
  <w:style w:type="paragraph" w:styleId="ListParagraph">
    <w:name w:val="List Paragraph"/>
    <w:rsid w:val="005D35D5"/>
    <w:pPr>
      <w:pBdr>
        <w:top w:val="nil"/>
        <w:left w:val="nil"/>
        <w:bottom w:val="nil"/>
        <w:right w:val="nil"/>
        <w:between w:val="nil"/>
        <w:bar w:val="nil"/>
      </w:pBdr>
      <w:ind w:left="720"/>
    </w:pPr>
    <w:rPr>
      <w:rFonts w:ascii="Calibri" w:eastAsia="Arial Unicode MS" w:hAnsi="Calibri" w:cs="Arial Unicode MS"/>
      <w:color w:val="000000"/>
      <w:u w:color="000000"/>
      <w:bdr w:val="nil"/>
      <w:lang w:val="en-US" w:eastAsia="en-GB"/>
    </w:rPr>
  </w:style>
  <w:style w:type="numbering" w:customStyle="1" w:styleId="ImportedStyle1">
    <w:name w:val="Imported Style 1"/>
    <w:rsid w:val="005D35D5"/>
    <w:pPr>
      <w:numPr>
        <w:numId w:val="1"/>
      </w:numPr>
    </w:pPr>
  </w:style>
  <w:style w:type="character" w:styleId="Hyperlink">
    <w:name w:val="Hyperlink"/>
    <w:basedOn w:val="DefaultParagraphFont"/>
    <w:uiPriority w:val="99"/>
    <w:unhideWhenUsed/>
    <w:rsid w:val="005D35D5"/>
    <w:rPr>
      <w:color w:val="0563C1" w:themeColor="hyperlink"/>
      <w:u w:val="single"/>
    </w:rPr>
  </w:style>
  <w:style w:type="character" w:customStyle="1" w:styleId="apple-converted-space">
    <w:name w:val="apple-converted-space"/>
    <w:basedOn w:val="DefaultParagraphFont"/>
    <w:rsid w:val="005D35D5"/>
  </w:style>
  <w:style w:type="character" w:customStyle="1" w:styleId="nlmmonth">
    <w:name w:val="nlm_month"/>
    <w:basedOn w:val="DefaultParagraphFont"/>
    <w:rsid w:val="005D35D5"/>
  </w:style>
  <w:style w:type="character" w:customStyle="1" w:styleId="nlmday">
    <w:name w:val="nlm_day"/>
    <w:basedOn w:val="DefaultParagraphFont"/>
    <w:rsid w:val="005D35D5"/>
  </w:style>
  <w:style w:type="character" w:customStyle="1" w:styleId="nlmyear">
    <w:name w:val="nlm_year"/>
    <w:basedOn w:val="DefaultParagraphFont"/>
    <w:rsid w:val="005D35D5"/>
  </w:style>
  <w:style w:type="character" w:customStyle="1" w:styleId="sr-only">
    <w:name w:val="sr-only"/>
    <w:basedOn w:val="DefaultParagraphFont"/>
    <w:rsid w:val="005D35D5"/>
  </w:style>
  <w:style w:type="character" w:customStyle="1" w:styleId="nlmstring-name">
    <w:name w:val="nlm_string-name"/>
    <w:basedOn w:val="DefaultParagraphFont"/>
    <w:rsid w:val="005D35D5"/>
  </w:style>
  <w:style w:type="character" w:styleId="UnresolvedMention">
    <w:name w:val="Unresolved Mention"/>
    <w:basedOn w:val="DefaultParagraphFont"/>
    <w:uiPriority w:val="99"/>
    <w:rsid w:val="005D35D5"/>
    <w:rPr>
      <w:color w:val="605E5C"/>
      <w:shd w:val="clear" w:color="auto" w:fill="E1DFDD"/>
    </w:rPr>
  </w:style>
  <w:style w:type="character" w:customStyle="1" w:styleId="Heading1Char">
    <w:name w:val="Heading 1 Char"/>
    <w:basedOn w:val="DefaultParagraphFont"/>
    <w:link w:val="Heading1"/>
    <w:uiPriority w:val="9"/>
    <w:rsid w:val="0004232A"/>
    <w:rPr>
      <w:rFonts w:ascii="Calibri" w:eastAsia="Times New Roman" w:hAnsi="Calibri" w:cs="Calibri"/>
      <w:b/>
      <w:bCs/>
      <w:kern w:val="36"/>
      <w:lang w:eastAsia="en-GB"/>
    </w:rPr>
  </w:style>
  <w:style w:type="paragraph" w:customStyle="1" w:styleId="m-article-headertype">
    <w:name w:val="m-article-header__type"/>
    <w:basedOn w:val="Normal"/>
    <w:rsid w:val="005D35D5"/>
    <w:pPr>
      <w:spacing w:before="100" w:beforeAutospacing="1" w:after="100" w:afterAutospacing="1"/>
    </w:pPr>
    <w:rPr>
      <w:rFonts w:ascii="Times New Roman" w:eastAsia="Times New Roman" w:hAnsi="Times New Roman" w:cs="Times New Roman"/>
      <w:lang w:eastAsia="en-GB"/>
    </w:rPr>
  </w:style>
  <w:style w:type="character" w:customStyle="1" w:styleId="titledefault">
    <w:name w:val="title_default"/>
    <w:basedOn w:val="DefaultParagraphFont"/>
    <w:rsid w:val="005D35D5"/>
  </w:style>
  <w:style w:type="character" w:styleId="FollowedHyperlink">
    <w:name w:val="FollowedHyperlink"/>
    <w:basedOn w:val="DefaultParagraphFont"/>
    <w:uiPriority w:val="99"/>
    <w:semiHidden/>
    <w:unhideWhenUsed/>
    <w:rsid w:val="005D35D5"/>
    <w:rPr>
      <w:color w:val="954F72" w:themeColor="followedHyperlink"/>
      <w:u w:val="single"/>
    </w:rPr>
  </w:style>
  <w:style w:type="paragraph" w:styleId="Title">
    <w:name w:val="Title"/>
    <w:basedOn w:val="Normal"/>
    <w:next w:val="Normal"/>
    <w:link w:val="TitleChar"/>
    <w:uiPriority w:val="10"/>
    <w:qFormat/>
    <w:rsid w:val="008531EE"/>
    <w:pPr>
      <w:suppressLineNumbers/>
      <w:contextualSpacing/>
      <w:jc w:val="both"/>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8531EE"/>
    <w:rPr>
      <w:rFonts w:asciiTheme="majorHAnsi" w:eastAsiaTheme="majorEastAsia" w:hAnsiTheme="majorHAnsi" w:cstheme="majorBidi"/>
      <w:spacing w:val="-10"/>
      <w:kern w:val="28"/>
      <w:sz w:val="56"/>
      <w:szCs w:val="56"/>
      <w:lang w:val="en-US"/>
    </w:rPr>
  </w:style>
  <w:style w:type="character" w:styleId="LineNumber">
    <w:name w:val="line number"/>
    <w:basedOn w:val="DefaultParagraphFont"/>
    <w:uiPriority w:val="99"/>
    <w:semiHidden/>
    <w:unhideWhenUsed/>
    <w:rsid w:val="008531EE"/>
  </w:style>
  <w:style w:type="paragraph" w:styleId="Revision">
    <w:name w:val="Revision"/>
    <w:hidden/>
    <w:uiPriority w:val="99"/>
    <w:semiHidden/>
    <w:rsid w:val="005059B7"/>
  </w:style>
  <w:style w:type="character" w:styleId="CommentReference">
    <w:name w:val="annotation reference"/>
    <w:basedOn w:val="DefaultParagraphFont"/>
    <w:uiPriority w:val="99"/>
    <w:semiHidden/>
    <w:unhideWhenUsed/>
    <w:rsid w:val="00C61708"/>
    <w:rPr>
      <w:sz w:val="16"/>
      <w:szCs w:val="16"/>
    </w:rPr>
  </w:style>
  <w:style w:type="paragraph" w:styleId="CommentText">
    <w:name w:val="annotation text"/>
    <w:basedOn w:val="Normal"/>
    <w:link w:val="CommentTextChar"/>
    <w:uiPriority w:val="99"/>
    <w:semiHidden/>
    <w:unhideWhenUsed/>
    <w:rsid w:val="00C61708"/>
    <w:rPr>
      <w:sz w:val="20"/>
      <w:szCs w:val="20"/>
    </w:rPr>
  </w:style>
  <w:style w:type="character" w:customStyle="1" w:styleId="CommentTextChar">
    <w:name w:val="Comment Text Char"/>
    <w:basedOn w:val="DefaultParagraphFont"/>
    <w:link w:val="CommentText"/>
    <w:uiPriority w:val="99"/>
    <w:semiHidden/>
    <w:rsid w:val="00C61708"/>
    <w:rPr>
      <w:sz w:val="20"/>
      <w:szCs w:val="20"/>
    </w:rPr>
  </w:style>
  <w:style w:type="paragraph" w:styleId="CommentSubject">
    <w:name w:val="annotation subject"/>
    <w:basedOn w:val="CommentText"/>
    <w:next w:val="CommentText"/>
    <w:link w:val="CommentSubjectChar"/>
    <w:uiPriority w:val="99"/>
    <w:semiHidden/>
    <w:unhideWhenUsed/>
    <w:rsid w:val="00C61708"/>
    <w:rPr>
      <w:b/>
      <w:bCs/>
    </w:rPr>
  </w:style>
  <w:style w:type="character" w:customStyle="1" w:styleId="CommentSubjectChar">
    <w:name w:val="Comment Subject Char"/>
    <w:basedOn w:val="CommentTextChar"/>
    <w:link w:val="CommentSubject"/>
    <w:uiPriority w:val="99"/>
    <w:semiHidden/>
    <w:rsid w:val="00C61708"/>
    <w:rPr>
      <w:b/>
      <w:bCs/>
      <w:sz w:val="20"/>
      <w:szCs w:val="20"/>
    </w:rPr>
  </w:style>
  <w:style w:type="paragraph" w:styleId="Caption">
    <w:name w:val="caption"/>
    <w:basedOn w:val="Normal"/>
    <w:next w:val="Normal"/>
    <w:uiPriority w:val="35"/>
    <w:unhideWhenUsed/>
    <w:qFormat/>
    <w:rsid w:val="00702D01"/>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975860">
      <w:bodyDiv w:val="1"/>
      <w:marLeft w:val="0"/>
      <w:marRight w:val="0"/>
      <w:marTop w:val="0"/>
      <w:marBottom w:val="0"/>
      <w:divBdr>
        <w:top w:val="none" w:sz="0" w:space="0" w:color="auto"/>
        <w:left w:val="none" w:sz="0" w:space="0" w:color="auto"/>
        <w:bottom w:val="none" w:sz="0" w:space="0" w:color="auto"/>
        <w:right w:val="none" w:sz="0" w:space="0" w:color="auto"/>
      </w:divBdr>
    </w:div>
    <w:div w:id="519703230">
      <w:bodyDiv w:val="1"/>
      <w:marLeft w:val="0"/>
      <w:marRight w:val="0"/>
      <w:marTop w:val="0"/>
      <w:marBottom w:val="0"/>
      <w:divBdr>
        <w:top w:val="none" w:sz="0" w:space="0" w:color="auto"/>
        <w:left w:val="none" w:sz="0" w:space="0" w:color="auto"/>
        <w:bottom w:val="none" w:sz="0" w:space="0" w:color="auto"/>
        <w:right w:val="none" w:sz="0" w:space="0" w:color="auto"/>
      </w:divBdr>
    </w:div>
    <w:div w:id="714277429">
      <w:bodyDiv w:val="1"/>
      <w:marLeft w:val="0"/>
      <w:marRight w:val="0"/>
      <w:marTop w:val="0"/>
      <w:marBottom w:val="0"/>
      <w:divBdr>
        <w:top w:val="none" w:sz="0" w:space="0" w:color="auto"/>
        <w:left w:val="none" w:sz="0" w:space="0" w:color="auto"/>
        <w:bottom w:val="none" w:sz="0" w:space="0" w:color="auto"/>
        <w:right w:val="none" w:sz="0" w:space="0" w:color="auto"/>
      </w:divBdr>
    </w:div>
    <w:div w:id="810097104">
      <w:bodyDiv w:val="1"/>
      <w:marLeft w:val="0"/>
      <w:marRight w:val="0"/>
      <w:marTop w:val="0"/>
      <w:marBottom w:val="0"/>
      <w:divBdr>
        <w:top w:val="none" w:sz="0" w:space="0" w:color="auto"/>
        <w:left w:val="none" w:sz="0" w:space="0" w:color="auto"/>
        <w:bottom w:val="none" w:sz="0" w:space="0" w:color="auto"/>
        <w:right w:val="none" w:sz="0" w:space="0" w:color="auto"/>
      </w:divBdr>
    </w:div>
    <w:div w:id="1153907355">
      <w:bodyDiv w:val="1"/>
      <w:marLeft w:val="0"/>
      <w:marRight w:val="0"/>
      <w:marTop w:val="0"/>
      <w:marBottom w:val="0"/>
      <w:divBdr>
        <w:top w:val="none" w:sz="0" w:space="0" w:color="auto"/>
        <w:left w:val="none" w:sz="0" w:space="0" w:color="auto"/>
        <w:bottom w:val="none" w:sz="0" w:space="0" w:color="auto"/>
        <w:right w:val="none" w:sz="0" w:space="0" w:color="auto"/>
      </w:divBdr>
    </w:div>
    <w:div w:id="1196887141">
      <w:bodyDiv w:val="1"/>
      <w:marLeft w:val="0"/>
      <w:marRight w:val="0"/>
      <w:marTop w:val="0"/>
      <w:marBottom w:val="0"/>
      <w:divBdr>
        <w:top w:val="none" w:sz="0" w:space="0" w:color="auto"/>
        <w:left w:val="none" w:sz="0" w:space="0" w:color="auto"/>
        <w:bottom w:val="none" w:sz="0" w:space="0" w:color="auto"/>
        <w:right w:val="none" w:sz="0" w:space="0" w:color="auto"/>
      </w:divBdr>
    </w:div>
    <w:div w:id="1548451456">
      <w:bodyDiv w:val="1"/>
      <w:marLeft w:val="0"/>
      <w:marRight w:val="0"/>
      <w:marTop w:val="0"/>
      <w:marBottom w:val="0"/>
      <w:divBdr>
        <w:top w:val="none" w:sz="0" w:space="0" w:color="auto"/>
        <w:left w:val="none" w:sz="0" w:space="0" w:color="auto"/>
        <w:bottom w:val="none" w:sz="0" w:space="0" w:color="auto"/>
        <w:right w:val="none" w:sz="0" w:space="0" w:color="auto"/>
      </w:divBdr>
    </w:div>
    <w:div w:id="1600335480">
      <w:bodyDiv w:val="1"/>
      <w:marLeft w:val="0"/>
      <w:marRight w:val="0"/>
      <w:marTop w:val="0"/>
      <w:marBottom w:val="0"/>
      <w:divBdr>
        <w:top w:val="none" w:sz="0" w:space="0" w:color="auto"/>
        <w:left w:val="none" w:sz="0" w:space="0" w:color="auto"/>
        <w:bottom w:val="none" w:sz="0" w:space="0" w:color="auto"/>
        <w:right w:val="none" w:sz="0" w:space="0" w:color="auto"/>
      </w:divBdr>
    </w:div>
    <w:div w:id="1849101948">
      <w:bodyDiv w:val="1"/>
      <w:marLeft w:val="0"/>
      <w:marRight w:val="0"/>
      <w:marTop w:val="0"/>
      <w:marBottom w:val="0"/>
      <w:divBdr>
        <w:top w:val="none" w:sz="0" w:space="0" w:color="auto"/>
        <w:left w:val="none" w:sz="0" w:space="0" w:color="auto"/>
        <w:bottom w:val="none" w:sz="0" w:space="0" w:color="auto"/>
        <w:right w:val="none" w:sz="0" w:space="0" w:color="auto"/>
      </w:divBdr>
    </w:div>
    <w:div w:id="1981156960">
      <w:bodyDiv w:val="1"/>
      <w:marLeft w:val="0"/>
      <w:marRight w:val="0"/>
      <w:marTop w:val="0"/>
      <w:marBottom w:val="0"/>
      <w:divBdr>
        <w:top w:val="none" w:sz="0" w:space="0" w:color="auto"/>
        <w:left w:val="none" w:sz="0" w:space="0" w:color="auto"/>
        <w:bottom w:val="none" w:sz="0" w:space="0" w:color="auto"/>
        <w:right w:val="none" w:sz="0" w:space="0" w:color="auto"/>
      </w:divBdr>
    </w:div>
    <w:div w:id="212726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gibani@imperial.ac.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70DAF-BB56-D349-8E2A-45A00DAAE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4761</Words>
  <Characters>27141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Davies</dc:creator>
  <cp:keywords/>
  <dc:description/>
  <cp:lastModifiedBy>Gibani, Malick M</cp:lastModifiedBy>
  <cp:revision>5</cp:revision>
  <dcterms:created xsi:type="dcterms:W3CDTF">2022-04-04T10:23:00Z</dcterms:created>
  <dcterms:modified xsi:type="dcterms:W3CDTF">2022-04-04T11:19:00Z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http://www.zotero.org/styles/plos-neglected-tropical-diseases</vt:lpwstr>
  </property>
  <property fmtid="{D5CDD505-2E9C-101B-9397-08002B2CF9AE}" pid="17" name="Mendeley Recent Style Name 7_1">
    <vt:lpwstr>PLOS Neglected Tropical Diseases</vt:lpwstr>
  </property>
  <property fmtid="{D5CDD505-2E9C-101B-9397-08002B2CF9AE}" pid="18" name="Mendeley Recent Style Id 8_1">
    <vt:lpwstr>http://www.zotero.org/styles/the-new-england-journal-of-medicine</vt:lpwstr>
  </property>
  <property fmtid="{D5CDD505-2E9C-101B-9397-08002B2CF9AE}" pid="19" name="Mendeley Recent Style Name 8_1">
    <vt:lpwstr>The New England Journal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http://www.zotero.org/styles/vancouver</vt:lpwstr>
  </property>
  <property fmtid="{D5CDD505-2E9C-101B-9397-08002B2CF9AE}" pid="24" name="Mendeley Unique User Id_1">
    <vt:lpwstr>c6f5cd92-e179-3308-8a50-336eaa109fb2</vt:lpwstr>
  </property>
</Properties>
</file>