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8E4E4" w14:textId="4731B8AD" w:rsidR="00F87833" w:rsidRPr="00A3005A" w:rsidRDefault="00F87833" w:rsidP="00F87833">
      <w:pPr>
        <w:spacing w:after="0" w:line="360" w:lineRule="auto"/>
        <w:rPr>
          <w:rFonts w:ascii="Arial" w:hAnsi="Arial" w:cs="Arial"/>
          <w:i/>
          <w:iCs/>
        </w:rPr>
      </w:pPr>
      <w:r w:rsidRPr="00A3005A">
        <w:rPr>
          <w:rFonts w:ascii="Arial" w:hAnsi="Arial" w:cs="Arial"/>
          <w:i/>
          <w:iCs/>
        </w:rPr>
        <w:t>Correspondence</w:t>
      </w:r>
    </w:p>
    <w:p w14:paraId="565F6F70" w14:textId="77777777" w:rsidR="00F87833" w:rsidRPr="00F87833" w:rsidRDefault="00F87833" w:rsidP="00F87833">
      <w:pPr>
        <w:spacing w:after="0" w:line="360" w:lineRule="auto"/>
        <w:rPr>
          <w:rFonts w:ascii="Arial" w:hAnsi="Arial" w:cs="Arial"/>
        </w:rPr>
      </w:pPr>
    </w:p>
    <w:p w14:paraId="0F9B0A02" w14:textId="1C4936D2" w:rsidR="00F87833" w:rsidRPr="00F87833" w:rsidRDefault="00F87833" w:rsidP="00F87833">
      <w:pPr>
        <w:spacing w:after="0" w:line="360" w:lineRule="auto"/>
        <w:rPr>
          <w:rFonts w:ascii="Arial" w:hAnsi="Arial" w:cs="Arial"/>
        </w:rPr>
      </w:pPr>
      <w:r w:rsidRPr="00F87833">
        <w:rPr>
          <w:rFonts w:ascii="Arial" w:hAnsi="Arial" w:cs="Arial"/>
        </w:rPr>
        <w:t>Letter to the Editor</w:t>
      </w:r>
    </w:p>
    <w:p w14:paraId="5F7303BC" w14:textId="5A632B25" w:rsidR="00F87833" w:rsidRPr="00F87833" w:rsidRDefault="00F87833" w:rsidP="00F87833">
      <w:pPr>
        <w:spacing w:after="0" w:line="360" w:lineRule="auto"/>
        <w:rPr>
          <w:rFonts w:ascii="Arial" w:hAnsi="Arial" w:cs="Arial"/>
        </w:rPr>
      </w:pPr>
    </w:p>
    <w:p w14:paraId="297B2134" w14:textId="32145001" w:rsidR="00F87833" w:rsidRDefault="00F87833" w:rsidP="00F87833">
      <w:pPr>
        <w:spacing w:after="0" w:line="360" w:lineRule="auto"/>
        <w:rPr>
          <w:rFonts w:ascii="Arial" w:hAnsi="Arial" w:cs="Arial"/>
          <w:b/>
          <w:bCs/>
        </w:rPr>
      </w:pPr>
      <w:r w:rsidRPr="00F87833">
        <w:rPr>
          <w:rFonts w:ascii="Arial" w:hAnsi="Arial" w:cs="Arial"/>
        </w:rPr>
        <w:t xml:space="preserve">Reply to: </w:t>
      </w:r>
      <w:r w:rsidRPr="00A3005A">
        <w:rPr>
          <w:rFonts w:ascii="Arial" w:hAnsi="Arial" w:cs="Arial"/>
          <w:b/>
          <w:bCs/>
        </w:rPr>
        <w:t>thelancetrm-D-20-02098</w:t>
      </w:r>
    </w:p>
    <w:p w14:paraId="504DFBD2" w14:textId="5AC28FBD" w:rsidR="00C223C9" w:rsidRDefault="00C223C9" w:rsidP="00F87833">
      <w:pPr>
        <w:spacing w:after="0" w:line="360" w:lineRule="auto"/>
        <w:rPr>
          <w:rFonts w:ascii="Arial" w:hAnsi="Arial" w:cs="Arial"/>
          <w:b/>
          <w:bCs/>
        </w:rPr>
      </w:pPr>
    </w:p>
    <w:p w14:paraId="3D1BA67E" w14:textId="333DD311" w:rsidR="00F87833" w:rsidRDefault="00AB73B3" w:rsidP="00F87833">
      <w:pPr>
        <w:spacing w:after="0" w:line="360" w:lineRule="auto"/>
        <w:rPr>
          <w:rFonts w:ascii="Arial" w:hAnsi="Arial" w:cs="Arial"/>
          <w:b/>
          <w:bCs/>
        </w:rPr>
      </w:pPr>
      <w:bookmarkStart w:id="0" w:name="_GoBack"/>
      <w:r w:rsidRPr="00AB73B3">
        <w:rPr>
          <w:rFonts w:ascii="Arial" w:hAnsi="Arial" w:cs="Arial"/>
          <w:b/>
          <w:bCs/>
        </w:rPr>
        <w:t>Serological assays for delayed SARS-CoV-2 case identification</w:t>
      </w:r>
      <w:r>
        <w:rPr>
          <w:rFonts w:ascii="Arial" w:hAnsi="Arial" w:cs="Arial"/>
          <w:b/>
          <w:bCs/>
        </w:rPr>
        <w:t>:</w:t>
      </w:r>
      <w:r w:rsidRPr="00AB73B3">
        <w:rPr>
          <w:rFonts w:ascii="Arial" w:hAnsi="Arial" w:cs="Arial"/>
          <w:b/>
          <w:bCs/>
        </w:rPr>
        <w:t xml:space="preserve"> Author’s reply</w:t>
      </w:r>
    </w:p>
    <w:bookmarkEnd w:id="0"/>
    <w:p w14:paraId="24A6EF7A" w14:textId="77777777" w:rsidR="00AB73B3" w:rsidRPr="00F87833" w:rsidRDefault="00AB73B3" w:rsidP="00F87833">
      <w:pPr>
        <w:spacing w:after="0" w:line="360" w:lineRule="auto"/>
        <w:rPr>
          <w:rFonts w:ascii="Arial" w:hAnsi="Arial" w:cs="Arial"/>
        </w:rPr>
      </w:pPr>
    </w:p>
    <w:p w14:paraId="6B79A924" w14:textId="5A19E13C" w:rsidR="00F87833" w:rsidRPr="00F87833" w:rsidRDefault="00F87833" w:rsidP="00F87833">
      <w:pPr>
        <w:spacing w:after="0" w:line="360" w:lineRule="auto"/>
        <w:rPr>
          <w:rFonts w:ascii="Arial" w:hAnsi="Arial" w:cs="Arial"/>
          <w:vertAlign w:val="superscript"/>
        </w:rPr>
      </w:pPr>
      <w:r w:rsidRPr="00F87833">
        <w:rPr>
          <w:rFonts w:ascii="Arial" w:hAnsi="Arial" w:cs="Arial"/>
        </w:rPr>
        <w:t>Scott JC Pallett</w:t>
      </w:r>
      <w:proofErr w:type="gramStart"/>
      <w:r>
        <w:rPr>
          <w:rFonts w:ascii="Arial" w:hAnsi="Arial" w:cs="Arial"/>
        </w:rPr>
        <w:t>,</w:t>
      </w:r>
      <w:r>
        <w:rPr>
          <w:rFonts w:ascii="Arial" w:hAnsi="Arial" w:cs="Arial"/>
          <w:vertAlign w:val="superscript"/>
        </w:rPr>
        <w:t>1,2</w:t>
      </w:r>
      <w:proofErr w:type="gramEnd"/>
      <w:r>
        <w:rPr>
          <w:rFonts w:ascii="Arial" w:hAnsi="Arial" w:cs="Arial"/>
        </w:rPr>
        <w:t xml:space="preserve"> MBBS</w:t>
      </w:r>
    </w:p>
    <w:p w14:paraId="6AAE51BD" w14:textId="3B3FD361" w:rsidR="00F87833" w:rsidRPr="00F87833" w:rsidRDefault="00F87833" w:rsidP="00F87833">
      <w:pPr>
        <w:spacing w:after="0" w:line="360" w:lineRule="auto"/>
        <w:rPr>
          <w:rFonts w:ascii="Arial" w:hAnsi="Arial" w:cs="Arial"/>
        </w:rPr>
      </w:pPr>
      <w:r w:rsidRPr="00F87833">
        <w:rPr>
          <w:rFonts w:ascii="Arial" w:hAnsi="Arial" w:cs="Arial"/>
        </w:rPr>
        <w:t>Michael Rayment</w:t>
      </w:r>
      <w:r>
        <w:rPr>
          <w:rFonts w:ascii="Arial" w:hAnsi="Arial" w:cs="Arial"/>
        </w:rPr>
        <w:t>,</w:t>
      </w:r>
      <w:r w:rsidR="00A3005A">
        <w:rPr>
          <w:rFonts w:ascii="Arial" w:hAnsi="Arial" w:cs="Arial"/>
          <w:vertAlign w:val="superscript"/>
        </w:rPr>
        <w:t xml:space="preserve">2 </w:t>
      </w:r>
      <w:r w:rsidR="00A3005A">
        <w:rPr>
          <w:rFonts w:ascii="Arial" w:hAnsi="Arial" w:cs="Arial"/>
        </w:rPr>
        <w:t>FRCP</w:t>
      </w:r>
      <w:r>
        <w:rPr>
          <w:rFonts w:ascii="Arial" w:hAnsi="Arial" w:cs="Arial"/>
        </w:rPr>
        <w:t xml:space="preserve"> </w:t>
      </w:r>
    </w:p>
    <w:p w14:paraId="12F6512C" w14:textId="2E53780E" w:rsidR="00F87833" w:rsidRPr="00A3005A" w:rsidRDefault="00F87833" w:rsidP="00F87833">
      <w:pPr>
        <w:spacing w:after="0" w:line="360" w:lineRule="auto"/>
        <w:rPr>
          <w:rFonts w:ascii="Arial" w:hAnsi="Arial" w:cs="Arial"/>
        </w:rPr>
      </w:pPr>
      <w:proofErr w:type="spellStart"/>
      <w:r w:rsidRPr="00F87833">
        <w:rPr>
          <w:rFonts w:ascii="Arial" w:hAnsi="Arial" w:cs="Arial"/>
        </w:rPr>
        <w:t>Aatish</w:t>
      </w:r>
      <w:proofErr w:type="spellEnd"/>
      <w:r w:rsidRPr="00F87833">
        <w:rPr>
          <w:rFonts w:ascii="Arial" w:hAnsi="Arial" w:cs="Arial"/>
        </w:rPr>
        <w:t xml:space="preserve"> Patel</w:t>
      </w:r>
      <w:r w:rsidR="00A3005A">
        <w:rPr>
          <w:rFonts w:ascii="Arial" w:hAnsi="Arial" w:cs="Arial"/>
        </w:rPr>
        <w:t>,</w:t>
      </w:r>
      <w:r w:rsidR="00A3005A">
        <w:rPr>
          <w:rFonts w:ascii="Arial" w:hAnsi="Arial" w:cs="Arial"/>
          <w:vertAlign w:val="superscript"/>
        </w:rPr>
        <w:t>2</w:t>
      </w:r>
      <w:r w:rsidR="00A3005A">
        <w:rPr>
          <w:rFonts w:ascii="Arial" w:hAnsi="Arial" w:cs="Arial"/>
        </w:rPr>
        <w:t xml:space="preserve"> MBBS</w:t>
      </w:r>
    </w:p>
    <w:p w14:paraId="4B97F404" w14:textId="61562276" w:rsidR="00F87833" w:rsidRPr="00A3005A" w:rsidRDefault="00F87833" w:rsidP="00F87833">
      <w:pPr>
        <w:spacing w:after="0" w:line="360" w:lineRule="auto"/>
        <w:rPr>
          <w:rFonts w:ascii="Arial" w:hAnsi="Arial" w:cs="Arial"/>
        </w:rPr>
      </w:pPr>
      <w:r w:rsidRPr="00F87833">
        <w:rPr>
          <w:rFonts w:ascii="Arial" w:hAnsi="Arial" w:cs="Arial"/>
        </w:rPr>
        <w:t>Esmita Charani</w:t>
      </w:r>
      <w:r w:rsidR="00A3005A">
        <w:rPr>
          <w:rFonts w:ascii="Arial" w:hAnsi="Arial" w:cs="Arial"/>
        </w:rPr>
        <w:t>,</w:t>
      </w:r>
      <w:r w:rsidR="00A3005A">
        <w:rPr>
          <w:rFonts w:ascii="Arial" w:hAnsi="Arial" w:cs="Arial"/>
          <w:vertAlign w:val="superscript"/>
        </w:rPr>
        <w:t>3</w:t>
      </w:r>
      <w:r w:rsidR="00A3005A">
        <w:rPr>
          <w:rFonts w:ascii="Arial" w:hAnsi="Arial" w:cs="Arial"/>
        </w:rPr>
        <w:t xml:space="preserve"> PhD</w:t>
      </w:r>
    </w:p>
    <w:p w14:paraId="3797AB46" w14:textId="6C73DCFF" w:rsidR="00F87833" w:rsidRDefault="00F87833" w:rsidP="00F87833">
      <w:pPr>
        <w:spacing w:after="0" w:line="360" w:lineRule="auto"/>
        <w:rPr>
          <w:rFonts w:ascii="Arial" w:hAnsi="Arial" w:cs="Arial"/>
        </w:rPr>
      </w:pPr>
      <w:r w:rsidRPr="00F87833">
        <w:rPr>
          <w:rFonts w:ascii="Arial" w:hAnsi="Arial" w:cs="Arial"/>
        </w:rPr>
        <w:t>Sarah Denny</w:t>
      </w:r>
      <w:r w:rsidR="00A3005A">
        <w:rPr>
          <w:rFonts w:ascii="Arial" w:hAnsi="Arial" w:cs="Arial"/>
        </w:rPr>
        <w:t>,</w:t>
      </w:r>
      <w:r w:rsidR="00A3005A">
        <w:rPr>
          <w:rFonts w:ascii="Arial" w:hAnsi="Arial" w:cs="Arial"/>
          <w:vertAlign w:val="superscript"/>
        </w:rPr>
        <w:t>2</w:t>
      </w:r>
      <w:r w:rsidR="00A3005A">
        <w:rPr>
          <w:rFonts w:ascii="Arial" w:hAnsi="Arial" w:cs="Arial"/>
        </w:rPr>
        <w:t xml:space="preserve"> MBBS</w:t>
      </w:r>
    </w:p>
    <w:p w14:paraId="33F201F2" w14:textId="7616A6A4" w:rsidR="00A3005A" w:rsidRPr="00A3005A" w:rsidRDefault="00A3005A" w:rsidP="00F87833">
      <w:pPr>
        <w:spacing w:after="0" w:line="360" w:lineRule="auto"/>
        <w:rPr>
          <w:rFonts w:ascii="Arial" w:hAnsi="Arial" w:cs="Arial"/>
        </w:rPr>
      </w:pPr>
      <w:r>
        <w:rPr>
          <w:rFonts w:ascii="Arial" w:hAnsi="Arial" w:cs="Arial"/>
        </w:rPr>
        <w:t>Sophia AM Fitzgerald-Smith,</w:t>
      </w:r>
      <w:r>
        <w:rPr>
          <w:rFonts w:ascii="Arial" w:hAnsi="Arial" w:cs="Arial"/>
          <w:vertAlign w:val="superscript"/>
        </w:rPr>
        <w:t>2</w:t>
      </w:r>
      <w:r>
        <w:rPr>
          <w:rFonts w:ascii="Arial" w:hAnsi="Arial" w:cs="Arial"/>
        </w:rPr>
        <w:t xml:space="preserve"> MBChB</w:t>
      </w:r>
    </w:p>
    <w:p w14:paraId="0E3DBB53" w14:textId="1348D72F" w:rsidR="00F87833" w:rsidRPr="00A3005A" w:rsidRDefault="00F87833" w:rsidP="00F87833">
      <w:pPr>
        <w:spacing w:after="0" w:line="360" w:lineRule="auto"/>
        <w:rPr>
          <w:rFonts w:ascii="Arial" w:hAnsi="Arial" w:cs="Arial"/>
        </w:rPr>
      </w:pPr>
      <w:r>
        <w:rPr>
          <w:rFonts w:ascii="Arial" w:hAnsi="Arial" w:cs="Arial"/>
        </w:rPr>
        <w:t>Nabeela Mughal</w:t>
      </w:r>
      <w:r w:rsidR="00A3005A">
        <w:rPr>
          <w:rFonts w:ascii="Arial" w:hAnsi="Arial" w:cs="Arial"/>
        </w:rPr>
        <w:t>,</w:t>
      </w:r>
      <w:r w:rsidR="00A3005A">
        <w:rPr>
          <w:rFonts w:ascii="Arial" w:hAnsi="Arial" w:cs="Arial"/>
          <w:vertAlign w:val="superscript"/>
        </w:rPr>
        <w:t xml:space="preserve">2,4 </w:t>
      </w:r>
      <w:proofErr w:type="spellStart"/>
      <w:r w:rsidR="00A3005A">
        <w:rPr>
          <w:rFonts w:ascii="Arial" w:hAnsi="Arial" w:cs="Arial"/>
        </w:rPr>
        <w:t>FRCPath</w:t>
      </w:r>
      <w:proofErr w:type="spellEnd"/>
    </w:p>
    <w:p w14:paraId="4C30287B" w14:textId="534D6E9C" w:rsidR="00F87833" w:rsidRPr="00A3005A" w:rsidRDefault="00F87833" w:rsidP="00F87833">
      <w:pPr>
        <w:spacing w:after="0" w:line="360" w:lineRule="auto"/>
        <w:rPr>
          <w:rFonts w:ascii="Arial" w:hAnsi="Arial" w:cs="Arial"/>
        </w:rPr>
      </w:pPr>
      <w:r>
        <w:rPr>
          <w:rFonts w:ascii="Arial" w:hAnsi="Arial" w:cs="Arial"/>
        </w:rPr>
        <w:t>Rachael Jones</w:t>
      </w:r>
      <w:r w:rsidR="00A3005A">
        <w:rPr>
          <w:rFonts w:ascii="Arial" w:hAnsi="Arial" w:cs="Arial"/>
        </w:rPr>
        <w:t>,</w:t>
      </w:r>
      <w:r w:rsidR="00A3005A">
        <w:rPr>
          <w:rFonts w:ascii="Arial" w:hAnsi="Arial" w:cs="Arial"/>
          <w:vertAlign w:val="superscript"/>
        </w:rPr>
        <w:t>2</w:t>
      </w:r>
      <w:r w:rsidR="00A3005A">
        <w:rPr>
          <w:rFonts w:ascii="Arial" w:hAnsi="Arial" w:cs="Arial"/>
        </w:rPr>
        <w:t xml:space="preserve"> FRCP</w:t>
      </w:r>
    </w:p>
    <w:p w14:paraId="00F46F63" w14:textId="6000C94F" w:rsidR="00F87833" w:rsidRPr="00A3005A" w:rsidRDefault="00F87833" w:rsidP="00F87833">
      <w:pPr>
        <w:spacing w:after="0" w:line="360" w:lineRule="auto"/>
        <w:rPr>
          <w:rFonts w:ascii="Arial" w:hAnsi="Arial" w:cs="Arial"/>
        </w:rPr>
      </w:pPr>
      <w:r>
        <w:rPr>
          <w:rFonts w:ascii="Arial" w:hAnsi="Arial" w:cs="Arial"/>
        </w:rPr>
        <w:t>Gary William Davies</w:t>
      </w:r>
      <w:r w:rsidR="00A3005A">
        <w:rPr>
          <w:rFonts w:ascii="Arial" w:hAnsi="Arial" w:cs="Arial"/>
        </w:rPr>
        <w:t>,</w:t>
      </w:r>
      <w:r w:rsidR="00A3005A">
        <w:rPr>
          <w:rFonts w:ascii="Arial" w:hAnsi="Arial" w:cs="Arial"/>
          <w:vertAlign w:val="superscript"/>
        </w:rPr>
        <w:t>2</w:t>
      </w:r>
      <w:r w:rsidR="00A3005A">
        <w:rPr>
          <w:rFonts w:ascii="Arial" w:hAnsi="Arial" w:cs="Arial"/>
        </w:rPr>
        <w:t xml:space="preserve"> MD</w:t>
      </w:r>
    </w:p>
    <w:p w14:paraId="7569B94E" w14:textId="58299487" w:rsidR="00F87833" w:rsidRPr="00A3005A" w:rsidRDefault="00F87833" w:rsidP="00F87833">
      <w:pPr>
        <w:spacing w:after="0" w:line="360" w:lineRule="auto"/>
        <w:rPr>
          <w:rFonts w:ascii="Arial" w:hAnsi="Arial" w:cs="Arial"/>
        </w:rPr>
      </w:pPr>
      <w:r>
        <w:rPr>
          <w:rFonts w:ascii="Arial" w:hAnsi="Arial" w:cs="Arial"/>
        </w:rPr>
        <w:t>Luke Stephen Prockter Moore</w:t>
      </w:r>
      <w:r w:rsidR="00A3005A">
        <w:rPr>
          <w:rFonts w:ascii="Arial" w:hAnsi="Arial" w:cs="Arial"/>
        </w:rPr>
        <w:t>,</w:t>
      </w:r>
      <w:r w:rsidR="00A3005A">
        <w:rPr>
          <w:rFonts w:ascii="Arial" w:hAnsi="Arial" w:cs="Arial"/>
          <w:vertAlign w:val="superscript"/>
        </w:rPr>
        <w:t xml:space="preserve">2,3,4 </w:t>
      </w:r>
      <w:r w:rsidR="00A3005A">
        <w:rPr>
          <w:rFonts w:ascii="Arial" w:hAnsi="Arial" w:cs="Arial"/>
        </w:rPr>
        <w:t>PhD</w:t>
      </w:r>
    </w:p>
    <w:p w14:paraId="08102BE8" w14:textId="77777777" w:rsidR="00F87833" w:rsidRPr="00F87833" w:rsidRDefault="00F87833" w:rsidP="00F87833">
      <w:pPr>
        <w:spacing w:after="0" w:line="360" w:lineRule="auto"/>
        <w:rPr>
          <w:rFonts w:ascii="Arial" w:hAnsi="Arial" w:cs="Arial"/>
        </w:rPr>
      </w:pPr>
    </w:p>
    <w:p w14:paraId="5EDC5528" w14:textId="28D5F906" w:rsidR="00F87833" w:rsidRDefault="00F87833" w:rsidP="00F87833">
      <w:pPr>
        <w:spacing w:after="0" w:line="360" w:lineRule="auto"/>
        <w:rPr>
          <w:rFonts w:ascii="Arial" w:hAnsi="Arial" w:cs="Arial"/>
        </w:rPr>
      </w:pPr>
      <w:r>
        <w:rPr>
          <w:rFonts w:ascii="Arial" w:hAnsi="Arial" w:cs="Arial"/>
        </w:rPr>
        <w:t>1.</w:t>
      </w:r>
      <w:r w:rsidRPr="00F87833">
        <w:rPr>
          <w:rFonts w:ascii="Arial" w:hAnsi="Arial" w:cs="Arial"/>
        </w:rPr>
        <w:t xml:space="preserve"> </w:t>
      </w:r>
      <w:r>
        <w:rPr>
          <w:rFonts w:ascii="Arial" w:hAnsi="Arial" w:cs="Arial"/>
        </w:rPr>
        <w:t xml:space="preserve">Centre of Defence Pathology, Royal Centre for Defence Medicine, Queen Elizabeth Hospital Birmingham, </w:t>
      </w:r>
      <w:proofErr w:type="spellStart"/>
      <w:r>
        <w:rPr>
          <w:rFonts w:ascii="Arial" w:hAnsi="Arial" w:cs="Arial"/>
        </w:rPr>
        <w:t>Mindelsohn</w:t>
      </w:r>
      <w:proofErr w:type="spellEnd"/>
      <w:r>
        <w:rPr>
          <w:rFonts w:ascii="Arial" w:hAnsi="Arial" w:cs="Arial"/>
        </w:rPr>
        <w:t xml:space="preserve"> Way, Edgbaston, Birmingham, B15 2WB.</w:t>
      </w:r>
    </w:p>
    <w:p w14:paraId="03E6B15C" w14:textId="00796AA6" w:rsidR="00F87833" w:rsidRDefault="00F87833" w:rsidP="00F87833">
      <w:pPr>
        <w:spacing w:after="0" w:line="360" w:lineRule="auto"/>
        <w:rPr>
          <w:rFonts w:ascii="Arial" w:hAnsi="Arial" w:cs="Arial"/>
        </w:rPr>
      </w:pPr>
      <w:r>
        <w:rPr>
          <w:rFonts w:ascii="Arial" w:hAnsi="Arial" w:cs="Arial"/>
        </w:rPr>
        <w:t>2. Chelsea and Westminster Hospital NHS Foundation Trust, 369 Fulham Road, London, SW10 9NH, UK.</w:t>
      </w:r>
    </w:p>
    <w:p w14:paraId="06D87399" w14:textId="616BEE29" w:rsidR="00F87833" w:rsidRDefault="00F87833" w:rsidP="00F87833">
      <w:pPr>
        <w:spacing w:after="0" w:line="360" w:lineRule="auto"/>
        <w:rPr>
          <w:rFonts w:ascii="Arial" w:hAnsi="Arial" w:cs="Arial"/>
        </w:rPr>
      </w:pPr>
      <w:r>
        <w:rPr>
          <w:rFonts w:ascii="Arial" w:hAnsi="Arial" w:cs="Arial"/>
        </w:rPr>
        <w:t>3. Imperial College London, NIHR Health Protection Research Unit in Healthcare Associated Infections and Antimicrobial Resistance, Du Cane Road, London, W12 0NN, UK.</w:t>
      </w:r>
    </w:p>
    <w:p w14:paraId="1F79031E" w14:textId="3CA5A344" w:rsidR="00F87833" w:rsidRDefault="00F87833" w:rsidP="00F87833">
      <w:pPr>
        <w:spacing w:after="0" w:line="360" w:lineRule="auto"/>
        <w:rPr>
          <w:rFonts w:ascii="Arial" w:hAnsi="Arial" w:cs="Arial"/>
        </w:rPr>
      </w:pPr>
      <w:r>
        <w:rPr>
          <w:rFonts w:ascii="Arial" w:hAnsi="Arial" w:cs="Arial"/>
        </w:rPr>
        <w:t xml:space="preserve">4. North West London Pathology, Fulham Palace Road, London, W6 8RF, UK. </w:t>
      </w:r>
    </w:p>
    <w:p w14:paraId="60744843" w14:textId="77777777" w:rsidR="00F87833" w:rsidRPr="00F87833" w:rsidRDefault="00F87833" w:rsidP="00F87833">
      <w:pPr>
        <w:spacing w:after="0" w:line="360" w:lineRule="auto"/>
        <w:rPr>
          <w:rFonts w:ascii="Arial" w:hAnsi="Arial" w:cs="Arial"/>
        </w:rPr>
      </w:pPr>
    </w:p>
    <w:p w14:paraId="52410F74" w14:textId="77777777" w:rsidR="00F87833" w:rsidRPr="00F87833" w:rsidRDefault="00F87833" w:rsidP="00F87833">
      <w:pPr>
        <w:spacing w:after="0" w:line="360" w:lineRule="auto"/>
        <w:rPr>
          <w:rFonts w:ascii="Arial" w:hAnsi="Arial" w:cs="Arial"/>
        </w:rPr>
      </w:pPr>
    </w:p>
    <w:p w14:paraId="40346390" w14:textId="77777777" w:rsidR="00F87833" w:rsidRPr="00F87833" w:rsidRDefault="00F87833" w:rsidP="00F87833">
      <w:pPr>
        <w:spacing w:after="0" w:line="360" w:lineRule="auto"/>
        <w:rPr>
          <w:rFonts w:ascii="Arial" w:hAnsi="Arial" w:cs="Arial"/>
        </w:rPr>
      </w:pPr>
    </w:p>
    <w:p w14:paraId="05A2E089" w14:textId="77777777" w:rsidR="00F87833" w:rsidRPr="00F87833" w:rsidRDefault="00F87833" w:rsidP="00F87833">
      <w:pPr>
        <w:spacing w:after="0" w:line="360" w:lineRule="auto"/>
        <w:rPr>
          <w:rFonts w:ascii="Arial" w:hAnsi="Arial" w:cs="Arial"/>
        </w:rPr>
      </w:pPr>
    </w:p>
    <w:p w14:paraId="2F88E471" w14:textId="77777777" w:rsidR="00F87833" w:rsidRPr="00F87833" w:rsidRDefault="00F87833" w:rsidP="00F87833">
      <w:pPr>
        <w:spacing w:after="0" w:line="360" w:lineRule="auto"/>
        <w:rPr>
          <w:rFonts w:ascii="Arial" w:hAnsi="Arial" w:cs="Arial"/>
        </w:rPr>
      </w:pPr>
    </w:p>
    <w:p w14:paraId="5D9CBE3A" w14:textId="77777777" w:rsidR="00F87833" w:rsidRPr="00F87833" w:rsidRDefault="00F87833" w:rsidP="00F87833">
      <w:pPr>
        <w:spacing w:after="0" w:line="360" w:lineRule="auto"/>
        <w:rPr>
          <w:rFonts w:ascii="Arial" w:hAnsi="Arial" w:cs="Arial"/>
        </w:rPr>
      </w:pPr>
    </w:p>
    <w:p w14:paraId="1F09C9FE" w14:textId="77777777" w:rsidR="00F87833" w:rsidRPr="00F87833" w:rsidRDefault="00F87833" w:rsidP="00F87833">
      <w:pPr>
        <w:spacing w:after="0" w:line="360" w:lineRule="auto"/>
        <w:rPr>
          <w:rFonts w:ascii="Arial" w:hAnsi="Arial" w:cs="Arial"/>
        </w:rPr>
      </w:pPr>
    </w:p>
    <w:p w14:paraId="14F0BBCE" w14:textId="77777777" w:rsidR="00F87833" w:rsidRDefault="00F87833" w:rsidP="00F87833">
      <w:pPr>
        <w:spacing w:after="0" w:line="360" w:lineRule="auto"/>
        <w:rPr>
          <w:rFonts w:ascii="Arial" w:hAnsi="Arial" w:cs="Arial"/>
        </w:rPr>
      </w:pPr>
    </w:p>
    <w:p w14:paraId="218DED08" w14:textId="77777777" w:rsidR="00F87833" w:rsidRDefault="00F87833" w:rsidP="00F87833">
      <w:pPr>
        <w:spacing w:after="0" w:line="360" w:lineRule="auto"/>
        <w:rPr>
          <w:rFonts w:ascii="Arial" w:hAnsi="Arial" w:cs="Arial"/>
        </w:rPr>
      </w:pPr>
    </w:p>
    <w:p w14:paraId="73102022" w14:textId="77777777" w:rsidR="00F87833" w:rsidRDefault="00F87833" w:rsidP="00F87833">
      <w:pPr>
        <w:spacing w:after="0" w:line="360" w:lineRule="auto"/>
        <w:rPr>
          <w:rFonts w:ascii="Arial" w:hAnsi="Arial" w:cs="Arial"/>
        </w:rPr>
      </w:pPr>
    </w:p>
    <w:p w14:paraId="3CF8CF14" w14:textId="77777777" w:rsidR="00F87833" w:rsidRDefault="00F87833" w:rsidP="00F87833">
      <w:pPr>
        <w:spacing w:after="0" w:line="360" w:lineRule="auto"/>
        <w:rPr>
          <w:rFonts w:ascii="Arial" w:hAnsi="Arial" w:cs="Arial"/>
        </w:rPr>
      </w:pPr>
    </w:p>
    <w:p w14:paraId="4A8121A1" w14:textId="77777777" w:rsidR="00F87833" w:rsidRDefault="00F87833" w:rsidP="00F87833">
      <w:pPr>
        <w:spacing w:after="0" w:line="360" w:lineRule="auto"/>
        <w:rPr>
          <w:rFonts w:ascii="Arial" w:hAnsi="Arial" w:cs="Arial"/>
        </w:rPr>
      </w:pPr>
    </w:p>
    <w:p w14:paraId="12A82447" w14:textId="40D06627" w:rsidR="00BF3694" w:rsidRPr="00762282" w:rsidRDefault="00D96966" w:rsidP="00F87833">
      <w:pPr>
        <w:spacing w:after="0" w:line="360" w:lineRule="auto"/>
        <w:rPr>
          <w:rFonts w:ascii="Arial" w:hAnsi="Arial" w:cs="Arial"/>
        </w:rPr>
      </w:pPr>
      <w:r w:rsidRPr="00762282">
        <w:rPr>
          <w:rFonts w:ascii="Arial" w:hAnsi="Arial" w:cs="Arial"/>
        </w:rPr>
        <w:t xml:space="preserve">Dear Editor, </w:t>
      </w:r>
    </w:p>
    <w:p w14:paraId="4D2461F5" w14:textId="07CEDF3B" w:rsidR="00D96966" w:rsidRPr="00762282" w:rsidRDefault="00D96966" w:rsidP="00F87833">
      <w:pPr>
        <w:spacing w:after="0" w:line="360" w:lineRule="auto"/>
        <w:rPr>
          <w:rFonts w:ascii="Arial" w:hAnsi="Arial" w:cs="Arial"/>
        </w:rPr>
      </w:pPr>
    </w:p>
    <w:p w14:paraId="26568B24" w14:textId="1AA6E9C4" w:rsidR="00D96966" w:rsidRPr="00762282" w:rsidRDefault="00D96966" w:rsidP="00F87833">
      <w:pPr>
        <w:spacing w:after="0" w:line="360" w:lineRule="auto"/>
        <w:rPr>
          <w:rFonts w:ascii="Arial" w:hAnsi="Arial" w:cs="Arial"/>
        </w:rPr>
      </w:pPr>
      <w:r w:rsidRPr="00762282">
        <w:rPr>
          <w:rFonts w:ascii="Arial" w:hAnsi="Arial" w:cs="Arial"/>
        </w:rPr>
        <w:t xml:space="preserve">We </w:t>
      </w:r>
      <w:r w:rsidR="001F5589" w:rsidRPr="00762282">
        <w:rPr>
          <w:rFonts w:ascii="Arial" w:hAnsi="Arial" w:cs="Arial"/>
        </w:rPr>
        <w:t xml:space="preserve">read with interest </w:t>
      </w:r>
      <w:r w:rsidR="004D5D9A" w:rsidRPr="00762282">
        <w:rPr>
          <w:rFonts w:ascii="Arial" w:hAnsi="Arial" w:cs="Arial"/>
        </w:rPr>
        <w:t xml:space="preserve">the </w:t>
      </w:r>
      <w:r w:rsidR="001F5589" w:rsidRPr="00762282">
        <w:rPr>
          <w:rFonts w:ascii="Arial" w:hAnsi="Arial" w:cs="Arial"/>
        </w:rPr>
        <w:t>insightful comments p</w:t>
      </w:r>
      <w:r w:rsidR="004D5D9A" w:rsidRPr="00762282">
        <w:rPr>
          <w:rFonts w:ascii="Arial" w:hAnsi="Arial" w:cs="Arial"/>
        </w:rPr>
        <w:t>ut forward</w:t>
      </w:r>
      <w:r w:rsidR="001F5589" w:rsidRPr="00762282">
        <w:rPr>
          <w:rFonts w:ascii="Arial" w:hAnsi="Arial" w:cs="Arial"/>
        </w:rPr>
        <w:t xml:space="preserve"> by</w:t>
      </w:r>
      <w:r w:rsidRPr="00762282">
        <w:rPr>
          <w:rFonts w:ascii="Arial" w:hAnsi="Arial" w:cs="Arial"/>
        </w:rPr>
        <w:t xml:space="preserve"> Kay Weng Choy</w:t>
      </w:r>
      <w:r w:rsidR="001F5589" w:rsidRPr="00762282">
        <w:rPr>
          <w:rFonts w:ascii="Arial" w:hAnsi="Arial" w:cs="Arial"/>
        </w:rPr>
        <w:t>,</w:t>
      </w:r>
      <w:r w:rsidRPr="00762282">
        <w:rPr>
          <w:rFonts w:ascii="Arial" w:hAnsi="Arial" w:cs="Arial"/>
        </w:rPr>
        <w:t xml:space="preserve"> </w:t>
      </w:r>
      <w:r w:rsidR="001F5589" w:rsidRPr="00762282">
        <w:rPr>
          <w:rFonts w:ascii="Arial" w:hAnsi="Arial" w:cs="Arial"/>
        </w:rPr>
        <w:t>raising</w:t>
      </w:r>
      <w:r w:rsidR="00842992" w:rsidRPr="00762282">
        <w:rPr>
          <w:rFonts w:ascii="Arial" w:hAnsi="Arial" w:cs="Arial"/>
        </w:rPr>
        <w:t xml:space="preserve"> important considerations for</w:t>
      </w:r>
      <w:r w:rsidR="001F5589" w:rsidRPr="00762282">
        <w:rPr>
          <w:rFonts w:ascii="Arial" w:hAnsi="Arial" w:cs="Arial"/>
        </w:rPr>
        <w:t xml:space="preserve"> clinicians </w:t>
      </w:r>
      <w:r w:rsidR="00842992" w:rsidRPr="00762282">
        <w:rPr>
          <w:rFonts w:ascii="Arial" w:hAnsi="Arial" w:cs="Arial"/>
        </w:rPr>
        <w:t>planning to</w:t>
      </w:r>
      <w:r w:rsidR="001F5589" w:rsidRPr="00762282">
        <w:rPr>
          <w:rFonts w:ascii="Arial" w:hAnsi="Arial" w:cs="Arial"/>
        </w:rPr>
        <w:t xml:space="preserve"> use</w:t>
      </w:r>
      <w:r w:rsidRPr="00762282">
        <w:rPr>
          <w:rFonts w:ascii="Arial" w:hAnsi="Arial" w:cs="Arial"/>
        </w:rPr>
        <w:t xml:space="preserve"> </w:t>
      </w:r>
      <w:r w:rsidR="001F5589" w:rsidRPr="00762282">
        <w:rPr>
          <w:rFonts w:ascii="Arial" w:hAnsi="Arial" w:cs="Arial"/>
        </w:rPr>
        <w:t>p</w:t>
      </w:r>
      <w:r w:rsidRPr="00762282">
        <w:rPr>
          <w:rFonts w:ascii="Arial" w:hAnsi="Arial" w:cs="Arial"/>
        </w:rPr>
        <w:t>oint-of-care serological assays for delayed case identification of SARS-CoV-2</w:t>
      </w:r>
      <w:r w:rsidR="001F5589" w:rsidRPr="00762282">
        <w:rPr>
          <w:rFonts w:ascii="Arial" w:hAnsi="Arial" w:cs="Arial"/>
        </w:rPr>
        <w:t xml:space="preserve"> infection</w:t>
      </w:r>
      <w:r w:rsidR="004D5D9A" w:rsidRPr="00762282">
        <w:rPr>
          <w:rFonts w:ascii="Arial" w:hAnsi="Arial" w:cs="Arial"/>
        </w:rPr>
        <w:t xml:space="preserve"> </w:t>
      </w:r>
      <w:r w:rsidR="00842992" w:rsidRPr="00762282">
        <w:rPr>
          <w:rFonts w:ascii="Arial" w:hAnsi="Arial" w:cs="Arial"/>
        </w:rPr>
        <w:t xml:space="preserve">in addition </w:t>
      </w:r>
      <w:r w:rsidR="004D5D9A" w:rsidRPr="00762282">
        <w:rPr>
          <w:rFonts w:ascii="Arial" w:hAnsi="Arial" w:cs="Arial"/>
        </w:rPr>
        <w:t xml:space="preserve">to those </w:t>
      </w:r>
      <w:r w:rsidR="00842992" w:rsidRPr="00762282">
        <w:rPr>
          <w:rFonts w:ascii="Arial" w:hAnsi="Arial" w:cs="Arial"/>
        </w:rPr>
        <w:t>presented</w:t>
      </w:r>
      <w:r w:rsidR="004D5D9A" w:rsidRPr="00762282">
        <w:rPr>
          <w:rFonts w:ascii="Arial" w:hAnsi="Arial" w:cs="Arial"/>
        </w:rPr>
        <w:t xml:space="preserve"> in our recent report</w:t>
      </w:r>
      <w:r w:rsidR="001F5589" w:rsidRPr="00762282">
        <w:rPr>
          <w:rFonts w:ascii="Arial" w:hAnsi="Arial" w:cs="Arial"/>
        </w:rPr>
        <w:t>.</w:t>
      </w:r>
      <w:r w:rsidR="0053579F">
        <w:rPr>
          <w:rFonts w:ascii="Arial" w:hAnsi="Arial" w:cs="Arial"/>
          <w:vertAlign w:val="superscript"/>
        </w:rPr>
        <w:t>1</w:t>
      </w:r>
      <w:r w:rsidR="001F5589" w:rsidRPr="00762282">
        <w:rPr>
          <w:rFonts w:ascii="Arial" w:hAnsi="Arial" w:cs="Arial"/>
        </w:rPr>
        <w:t xml:space="preserve"> </w:t>
      </w:r>
    </w:p>
    <w:p w14:paraId="28EE9B5B" w14:textId="77777777" w:rsidR="00842992" w:rsidRPr="00762282" w:rsidRDefault="00842992" w:rsidP="00F87833">
      <w:pPr>
        <w:spacing w:after="0" w:line="360" w:lineRule="auto"/>
        <w:rPr>
          <w:rFonts w:ascii="Arial" w:hAnsi="Arial" w:cs="Arial"/>
        </w:rPr>
      </w:pPr>
    </w:p>
    <w:p w14:paraId="4D3D1168" w14:textId="372637BA" w:rsidR="00644471" w:rsidRPr="00762282" w:rsidRDefault="00842992" w:rsidP="00F87833">
      <w:pPr>
        <w:spacing w:after="0" w:line="360" w:lineRule="auto"/>
        <w:rPr>
          <w:rFonts w:ascii="Arial" w:hAnsi="Arial" w:cs="Arial"/>
        </w:rPr>
      </w:pPr>
      <w:r w:rsidRPr="00762282">
        <w:rPr>
          <w:rFonts w:ascii="Arial" w:hAnsi="Arial" w:cs="Arial"/>
        </w:rPr>
        <w:t>We agree that</w:t>
      </w:r>
      <w:r w:rsidR="001F5589" w:rsidRPr="00762282">
        <w:rPr>
          <w:rFonts w:ascii="Arial" w:hAnsi="Arial" w:cs="Arial"/>
        </w:rPr>
        <w:t xml:space="preserve"> </w:t>
      </w:r>
      <w:r w:rsidR="004D5D9A" w:rsidRPr="00762282">
        <w:rPr>
          <w:rFonts w:ascii="Arial" w:hAnsi="Arial" w:cs="Arial"/>
        </w:rPr>
        <w:t>in addition to evaluating assays for cross-reactivity of IgM and IgG with common infectious diseases, further benefit could be derived by assessing the potential of assay performance in those with autoimmune disease</w:t>
      </w:r>
      <w:r w:rsidR="000C1992" w:rsidRPr="00762282">
        <w:rPr>
          <w:rFonts w:ascii="Arial" w:hAnsi="Arial" w:cs="Arial"/>
        </w:rPr>
        <w:t xml:space="preserve"> and immunodeficiency</w:t>
      </w:r>
      <w:r w:rsidR="004D5D9A" w:rsidRPr="00762282">
        <w:rPr>
          <w:rFonts w:ascii="Arial" w:hAnsi="Arial" w:cs="Arial"/>
        </w:rPr>
        <w:t>.</w:t>
      </w:r>
      <w:r w:rsidR="000C1992" w:rsidRPr="00762282">
        <w:rPr>
          <w:rFonts w:ascii="Arial" w:hAnsi="Arial" w:cs="Arial"/>
        </w:rPr>
        <w:t xml:space="preserve"> Indeed, previously reported work in SARS-CoV-1 would suggest the potential for cross-reactivity of autoantibodies for SARS-CoV-2 IgG.</w:t>
      </w:r>
      <w:r w:rsidR="00F87833" w:rsidRPr="0053579F">
        <w:rPr>
          <w:rFonts w:ascii="Arial" w:hAnsi="Arial" w:cs="Arial"/>
          <w:vertAlign w:val="superscript"/>
        </w:rPr>
        <w:t>2</w:t>
      </w:r>
      <w:r w:rsidR="000C1992" w:rsidRPr="00762282">
        <w:rPr>
          <w:rFonts w:ascii="Arial" w:hAnsi="Arial" w:cs="Arial"/>
        </w:rPr>
        <w:t xml:space="preserve"> </w:t>
      </w:r>
      <w:r w:rsidR="004316CE" w:rsidRPr="00762282">
        <w:rPr>
          <w:rFonts w:ascii="Arial" w:hAnsi="Arial" w:cs="Arial"/>
        </w:rPr>
        <w:t xml:space="preserve"> Similar</w:t>
      </w:r>
      <w:r w:rsidR="000C1992" w:rsidRPr="00762282">
        <w:rPr>
          <w:rFonts w:ascii="Arial" w:hAnsi="Arial" w:cs="Arial"/>
        </w:rPr>
        <w:t>ly,</w:t>
      </w:r>
      <w:r w:rsidR="004316CE" w:rsidRPr="00762282">
        <w:rPr>
          <w:rFonts w:ascii="Arial" w:hAnsi="Arial" w:cs="Arial"/>
        </w:rPr>
        <w:t xml:space="preserve"> consideration has</w:t>
      </w:r>
      <w:r w:rsidR="000C1992" w:rsidRPr="00762282">
        <w:rPr>
          <w:rFonts w:ascii="Arial" w:hAnsi="Arial" w:cs="Arial"/>
        </w:rPr>
        <w:t xml:space="preserve"> also</w:t>
      </w:r>
      <w:r w:rsidR="004316CE" w:rsidRPr="00762282">
        <w:rPr>
          <w:rFonts w:ascii="Arial" w:hAnsi="Arial" w:cs="Arial"/>
        </w:rPr>
        <w:t xml:space="preserve"> been given to how </w:t>
      </w:r>
      <w:r w:rsidR="00FA4AB9" w:rsidRPr="00762282">
        <w:rPr>
          <w:rFonts w:ascii="Arial" w:hAnsi="Arial" w:cs="Arial"/>
        </w:rPr>
        <w:t>age may affect</w:t>
      </w:r>
      <w:r w:rsidR="000C1992" w:rsidRPr="00762282">
        <w:rPr>
          <w:rFonts w:ascii="Arial" w:hAnsi="Arial" w:cs="Arial"/>
        </w:rPr>
        <w:t xml:space="preserve"> both viral load and the subsequent</w:t>
      </w:r>
      <w:r w:rsidR="00FA4AB9" w:rsidRPr="00762282">
        <w:rPr>
          <w:rFonts w:ascii="Arial" w:hAnsi="Arial" w:cs="Arial"/>
        </w:rPr>
        <w:t xml:space="preserve"> development of SARS-CoV-2 IgG antibodies</w:t>
      </w:r>
      <w:r w:rsidR="00C75F41" w:rsidRPr="00762282">
        <w:rPr>
          <w:rFonts w:ascii="Arial" w:hAnsi="Arial" w:cs="Arial"/>
        </w:rPr>
        <w:t>,</w:t>
      </w:r>
      <w:r w:rsidR="00F87833" w:rsidRPr="0053579F">
        <w:rPr>
          <w:rFonts w:ascii="Arial" w:hAnsi="Arial" w:cs="Arial"/>
          <w:vertAlign w:val="superscript"/>
        </w:rPr>
        <w:t>3</w:t>
      </w:r>
      <w:r w:rsidR="00FA4AB9" w:rsidRPr="00762282">
        <w:rPr>
          <w:rFonts w:ascii="Arial" w:hAnsi="Arial" w:cs="Arial"/>
        </w:rPr>
        <w:t xml:space="preserve"> </w:t>
      </w:r>
      <w:r w:rsidR="00C75F41" w:rsidRPr="00762282">
        <w:rPr>
          <w:rFonts w:ascii="Arial" w:hAnsi="Arial" w:cs="Arial"/>
        </w:rPr>
        <w:t>with</w:t>
      </w:r>
      <w:r w:rsidR="00FA4AB9" w:rsidRPr="00762282">
        <w:rPr>
          <w:rFonts w:ascii="Arial" w:hAnsi="Arial" w:cs="Arial"/>
        </w:rPr>
        <w:t xml:space="preserve"> this </w:t>
      </w:r>
      <w:r w:rsidR="00C75F41" w:rsidRPr="00762282">
        <w:rPr>
          <w:rFonts w:ascii="Arial" w:hAnsi="Arial" w:cs="Arial"/>
        </w:rPr>
        <w:t>being a</w:t>
      </w:r>
      <w:r w:rsidR="00FA4AB9" w:rsidRPr="00762282">
        <w:rPr>
          <w:rFonts w:ascii="Arial" w:hAnsi="Arial" w:cs="Arial"/>
        </w:rPr>
        <w:t xml:space="preserve"> focus of our </w:t>
      </w:r>
      <w:r w:rsidRPr="00762282">
        <w:rPr>
          <w:rFonts w:ascii="Arial" w:hAnsi="Arial" w:cs="Arial"/>
        </w:rPr>
        <w:t>ongoing</w:t>
      </w:r>
      <w:r w:rsidR="00FA4AB9" w:rsidRPr="00762282">
        <w:rPr>
          <w:rFonts w:ascii="Arial" w:hAnsi="Arial" w:cs="Arial"/>
        </w:rPr>
        <w:t xml:space="preserve"> work.</w:t>
      </w:r>
      <w:r w:rsidR="004D5D9A" w:rsidRPr="00762282">
        <w:rPr>
          <w:rFonts w:ascii="Arial" w:hAnsi="Arial" w:cs="Arial"/>
        </w:rPr>
        <w:t xml:space="preserve"> </w:t>
      </w:r>
      <w:r w:rsidR="00C84DD6">
        <w:rPr>
          <w:rFonts w:ascii="Arial" w:hAnsi="Arial" w:cs="Arial"/>
        </w:rPr>
        <w:t>O</w:t>
      </w:r>
      <w:r w:rsidR="004D5D9A" w:rsidRPr="00762282">
        <w:rPr>
          <w:rFonts w:ascii="Arial" w:hAnsi="Arial" w:cs="Arial"/>
        </w:rPr>
        <w:t>ur study was designed specifically to evaluate the use of point-of-care assays for front-line healthcare workers directly involved in the clinical care of patients with SARS-CoV-2 infection</w:t>
      </w:r>
      <w:r w:rsidR="00FA4AB9" w:rsidRPr="00762282">
        <w:rPr>
          <w:rFonts w:ascii="Arial" w:hAnsi="Arial" w:cs="Arial"/>
        </w:rPr>
        <w:t xml:space="preserve">, it was therefore not possible to </w:t>
      </w:r>
      <w:r w:rsidR="00C84DD6">
        <w:rPr>
          <w:rFonts w:ascii="Arial" w:hAnsi="Arial" w:cs="Arial"/>
        </w:rPr>
        <w:t xml:space="preserve">evaluate any </w:t>
      </w:r>
      <w:r w:rsidR="00C75F41" w:rsidRPr="00762282">
        <w:rPr>
          <w:rFonts w:ascii="Arial" w:hAnsi="Arial" w:cs="Arial"/>
        </w:rPr>
        <w:t>difference in detection</w:t>
      </w:r>
      <w:r w:rsidRPr="00762282">
        <w:rPr>
          <w:rFonts w:ascii="Arial" w:hAnsi="Arial" w:cs="Arial"/>
        </w:rPr>
        <w:t xml:space="preserve"> of SARS-CoV-2 IgG</w:t>
      </w:r>
      <w:r w:rsidR="00C75F41" w:rsidRPr="00762282">
        <w:rPr>
          <w:rFonts w:ascii="Arial" w:hAnsi="Arial" w:cs="Arial"/>
        </w:rPr>
        <w:t xml:space="preserve"> at extremes of age</w:t>
      </w:r>
      <w:r w:rsidR="004D5D9A" w:rsidRPr="00762282">
        <w:rPr>
          <w:rFonts w:ascii="Arial" w:hAnsi="Arial" w:cs="Arial"/>
        </w:rPr>
        <w:t>.</w:t>
      </w:r>
      <w:r w:rsidR="00C75F41" w:rsidRPr="00762282">
        <w:rPr>
          <w:rFonts w:ascii="Arial" w:hAnsi="Arial" w:cs="Arial"/>
        </w:rPr>
        <w:t xml:space="preserve"> </w:t>
      </w:r>
      <w:r w:rsidR="0061436D" w:rsidRPr="00762282">
        <w:rPr>
          <w:rFonts w:ascii="Arial" w:hAnsi="Arial" w:cs="Arial"/>
        </w:rPr>
        <w:t xml:space="preserve">At a strategic level, healthcare workers with autoimmune disease </w:t>
      </w:r>
      <w:r w:rsidR="007536CE" w:rsidRPr="00762282">
        <w:rPr>
          <w:rFonts w:ascii="Arial" w:hAnsi="Arial" w:cs="Arial"/>
        </w:rPr>
        <w:t xml:space="preserve">or </w:t>
      </w:r>
      <w:r w:rsidR="0061436D" w:rsidRPr="00762282">
        <w:rPr>
          <w:rFonts w:ascii="Arial" w:hAnsi="Arial" w:cs="Arial"/>
        </w:rPr>
        <w:t xml:space="preserve">known immunodeficiency </w:t>
      </w:r>
      <w:r w:rsidR="007536CE" w:rsidRPr="00762282">
        <w:rPr>
          <w:rFonts w:ascii="Arial" w:hAnsi="Arial" w:cs="Arial"/>
        </w:rPr>
        <w:t xml:space="preserve">were </w:t>
      </w:r>
      <w:r w:rsidR="00C75F41" w:rsidRPr="00762282">
        <w:rPr>
          <w:rFonts w:ascii="Arial" w:hAnsi="Arial" w:cs="Arial"/>
        </w:rPr>
        <w:t xml:space="preserve">required to be </w:t>
      </w:r>
      <w:r w:rsidR="007536CE" w:rsidRPr="00762282">
        <w:rPr>
          <w:rFonts w:ascii="Arial" w:hAnsi="Arial" w:cs="Arial"/>
        </w:rPr>
        <w:t xml:space="preserve">actively shielding during </w:t>
      </w:r>
      <w:r w:rsidR="00C75F41" w:rsidRPr="00762282">
        <w:rPr>
          <w:rFonts w:ascii="Arial" w:hAnsi="Arial" w:cs="Arial"/>
        </w:rPr>
        <w:t>the</w:t>
      </w:r>
      <w:r w:rsidR="007536CE" w:rsidRPr="00762282">
        <w:rPr>
          <w:rFonts w:ascii="Arial" w:hAnsi="Arial" w:cs="Arial"/>
        </w:rPr>
        <w:t xml:space="preserve"> study period and so were unable to take part.</w:t>
      </w:r>
      <w:r w:rsidR="00F87833" w:rsidRPr="0053579F">
        <w:rPr>
          <w:rFonts w:ascii="Arial" w:hAnsi="Arial" w:cs="Arial"/>
          <w:vertAlign w:val="superscript"/>
        </w:rPr>
        <w:t>4</w:t>
      </w:r>
      <w:r w:rsidR="007536CE" w:rsidRPr="00762282">
        <w:rPr>
          <w:rFonts w:ascii="Arial" w:hAnsi="Arial" w:cs="Arial"/>
        </w:rPr>
        <w:t xml:space="preserve"> While an evaluation of the potential effect of immunodeficiency on assay performance was therefore beyond the scope of our study, we </w:t>
      </w:r>
      <w:r w:rsidR="00644471" w:rsidRPr="00762282">
        <w:rPr>
          <w:rFonts w:ascii="Arial" w:hAnsi="Arial" w:cs="Arial"/>
        </w:rPr>
        <w:t xml:space="preserve">strongly </w:t>
      </w:r>
      <w:r w:rsidR="007536CE" w:rsidRPr="00762282">
        <w:rPr>
          <w:rFonts w:ascii="Arial" w:hAnsi="Arial" w:cs="Arial"/>
        </w:rPr>
        <w:t>agree that this is an important</w:t>
      </w:r>
      <w:r w:rsidR="00644471" w:rsidRPr="00762282">
        <w:rPr>
          <w:rFonts w:ascii="Arial" w:hAnsi="Arial" w:cs="Arial"/>
        </w:rPr>
        <w:t xml:space="preserve"> issue for future studies</w:t>
      </w:r>
      <w:r w:rsidR="007536CE" w:rsidRPr="00762282">
        <w:rPr>
          <w:rFonts w:ascii="Arial" w:hAnsi="Arial" w:cs="Arial"/>
        </w:rPr>
        <w:t xml:space="preserve"> </w:t>
      </w:r>
      <w:r w:rsidR="00644471" w:rsidRPr="00762282">
        <w:rPr>
          <w:rFonts w:ascii="Arial" w:hAnsi="Arial" w:cs="Arial"/>
        </w:rPr>
        <w:t>where</w:t>
      </w:r>
      <w:r w:rsidR="007536CE" w:rsidRPr="00762282">
        <w:rPr>
          <w:rFonts w:ascii="Arial" w:hAnsi="Arial" w:cs="Arial"/>
        </w:rPr>
        <w:t xml:space="preserve"> consider</w:t>
      </w:r>
      <w:r w:rsidR="00644471" w:rsidRPr="00762282">
        <w:rPr>
          <w:rFonts w:ascii="Arial" w:hAnsi="Arial" w:cs="Arial"/>
        </w:rPr>
        <w:t>ation may be given</w:t>
      </w:r>
      <w:r w:rsidR="007536CE" w:rsidRPr="00762282">
        <w:rPr>
          <w:rFonts w:ascii="Arial" w:hAnsi="Arial" w:cs="Arial"/>
        </w:rPr>
        <w:t xml:space="preserve"> to testing in different populations.</w:t>
      </w:r>
      <w:r w:rsidR="009260C7" w:rsidRPr="00762282">
        <w:rPr>
          <w:rFonts w:ascii="Arial" w:hAnsi="Arial" w:cs="Arial"/>
        </w:rPr>
        <w:t xml:space="preserve"> </w:t>
      </w:r>
    </w:p>
    <w:p w14:paraId="26E0281F" w14:textId="006FF532" w:rsidR="009260C7" w:rsidRPr="00762282" w:rsidRDefault="009260C7" w:rsidP="00F87833">
      <w:pPr>
        <w:spacing w:after="0" w:line="360" w:lineRule="auto"/>
        <w:rPr>
          <w:rFonts w:ascii="Arial" w:hAnsi="Arial" w:cs="Arial"/>
        </w:rPr>
      </w:pPr>
    </w:p>
    <w:p w14:paraId="7AA20FE5" w14:textId="5034AF9D" w:rsidR="004316CE" w:rsidRPr="00762282" w:rsidRDefault="00E25102" w:rsidP="00F87833">
      <w:pPr>
        <w:spacing w:after="0" w:line="360" w:lineRule="auto"/>
        <w:rPr>
          <w:rFonts w:ascii="Arial" w:hAnsi="Arial" w:cs="Arial"/>
        </w:rPr>
      </w:pPr>
      <w:r w:rsidRPr="00762282">
        <w:rPr>
          <w:rFonts w:ascii="Arial" w:hAnsi="Arial" w:cs="Arial"/>
        </w:rPr>
        <w:t>Additionally, Kay Weng Choy correctly points out that whole blood is likely to be the primary sample type at point-of-care and therefore evaluation of performance is warranted in both whole blood and sera. Further work involving our group has recently been reported comparing not only sera with whole blood in the laboratory, but also with finger-prick testing across a number of different point-of-care assays</w:t>
      </w:r>
      <w:r w:rsidR="00762282" w:rsidRPr="00762282">
        <w:rPr>
          <w:rFonts w:ascii="Arial" w:hAnsi="Arial" w:cs="Arial"/>
        </w:rPr>
        <w:t>.</w:t>
      </w:r>
      <w:r w:rsidR="00F87833" w:rsidRPr="0053579F">
        <w:rPr>
          <w:rFonts w:ascii="Arial" w:hAnsi="Arial" w:cs="Arial"/>
          <w:vertAlign w:val="superscript"/>
        </w:rPr>
        <w:t>5</w:t>
      </w:r>
      <w:r w:rsidR="00762282" w:rsidRPr="00762282">
        <w:rPr>
          <w:rFonts w:ascii="Arial" w:hAnsi="Arial" w:cs="Arial"/>
        </w:rPr>
        <w:t xml:space="preserve"> </w:t>
      </w:r>
      <w:r w:rsidRPr="00762282">
        <w:rPr>
          <w:rFonts w:ascii="Arial" w:hAnsi="Arial" w:cs="Arial"/>
        </w:rPr>
        <w:t xml:space="preserve">While observed test sensitivity was broadly similar, </w:t>
      </w:r>
      <w:r w:rsidR="00C84DD6">
        <w:rPr>
          <w:rFonts w:ascii="Arial" w:hAnsi="Arial" w:cs="Arial"/>
        </w:rPr>
        <w:t xml:space="preserve">the reported </w:t>
      </w:r>
      <w:r w:rsidRPr="00762282">
        <w:rPr>
          <w:rFonts w:ascii="Arial" w:hAnsi="Arial" w:cs="Arial"/>
        </w:rPr>
        <w:t xml:space="preserve">variation in assay performance across these three methods </w:t>
      </w:r>
      <w:r w:rsidR="00C84DD6">
        <w:rPr>
          <w:rFonts w:ascii="Arial" w:hAnsi="Arial" w:cs="Arial"/>
        </w:rPr>
        <w:t>highlights</w:t>
      </w:r>
      <w:r w:rsidR="00C84DD6" w:rsidRPr="00762282">
        <w:rPr>
          <w:rFonts w:ascii="Arial" w:hAnsi="Arial" w:cs="Arial"/>
        </w:rPr>
        <w:t xml:space="preserve"> </w:t>
      </w:r>
      <w:r w:rsidRPr="00762282">
        <w:rPr>
          <w:rFonts w:ascii="Arial" w:hAnsi="Arial" w:cs="Arial"/>
        </w:rPr>
        <w:t>the need for robust evaluation of individual kits</w:t>
      </w:r>
      <w:r w:rsidR="00C84DD6">
        <w:rPr>
          <w:rFonts w:ascii="Arial" w:hAnsi="Arial" w:cs="Arial"/>
        </w:rPr>
        <w:t xml:space="preserve"> -</w:t>
      </w:r>
      <w:r w:rsidRPr="00762282">
        <w:rPr>
          <w:rFonts w:ascii="Arial" w:hAnsi="Arial" w:cs="Arial"/>
        </w:rPr>
        <w:t xml:space="preserve"> as they become available</w:t>
      </w:r>
      <w:r w:rsidR="00C84DD6">
        <w:rPr>
          <w:rFonts w:ascii="Arial" w:hAnsi="Arial" w:cs="Arial"/>
        </w:rPr>
        <w:t xml:space="preserve"> - in specific</w:t>
      </w:r>
      <w:r w:rsidR="003F00AA" w:rsidRPr="00762282">
        <w:rPr>
          <w:rFonts w:ascii="Arial" w:hAnsi="Arial" w:cs="Arial"/>
        </w:rPr>
        <w:t xml:space="preserve"> population</w:t>
      </w:r>
      <w:r w:rsidR="00C84DD6">
        <w:rPr>
          <w:rFonts w:ascii="Arial" w:hAnsi="Arial" w:cs="Arial"/>
        </w:rPr>
        <w:t>s</w:t>
      </w:r>
      <w:r w:rsidR="003F00AA" w:rsidRPr="00762282">
        <w:rPr>
          <w:rFonts w:ascii="Arial" w:hAnsi="Arial" w:cs="Arial"/>
        </w:rPr>
        <w:t xml:space="preserve">. This is </w:t>
      </w:r>
      <w:r w:rsidRPr="00762282">
        <w:rPr>
          <w:rFonts w:ascii="Arial" w:hAnsi="Arial" w:cs="Arial"/>
        </w:rPr>
        <w:t>particularly</w:t>
      </w:r>
      <w:r w:rsidR="003F00AA" w:rsidRPr="00762282">
        <w:rPr>
          <w:rFonts w:ascii="Arial" w:hAnsi="Arial" w:cs="Arial"/>
        </w:rPr>
        <w:t xml:space="preserve"> the case</w:t>
      </w:r>
      <w:r w:rsidRPr="00762282">
        <w:rPr>
          <w:rFonts w:ascii="Arial" w:hAnsi="Arial" w:cs="Arial"/>
        </w:rPr>
        <w:t xml:space="preserve"> if consideration is being given to use with finger-prick blood.</w:t>
      </w:r>
      <w:r w:rsidR="003F00AA" w:rsidRPr="00762282">
        <w:rPr>
          <w:rFonts w:ascii="Arial" w:hAnsi="Arial" w:cs="Arial"/>
        </w:rPr>
        <w:t xml:space="preserve"> With </w:t>
      </w:r>
      <w:r w:rsidR="00C84DD6">
        <w:rPr>
          <w:rFonts w:ascii="Arial" w:hAnsi="Arial" w:cs="Arial"/>
        </w:rPr>
        <w:t>our study</w:t>
      </w:r>
      <w:r w:rsidR="003F00AA" w:rsidRPr="00762282">
        <w:rPr>
          <w:rFonts w:ascii="Arial" w:hAnsi="Arial" w:cs="Arial"/>
        </w:rPr>
        <w:t xml:space="preserve">, individuals were recruited on a single occasion, and no repeat testing was considered in the </w:t>
      </w:r>
      <w:r w:rsidR="00762282" w:rsidRPr="00762282">
        <w:rPr>
          <w:rFonts w:ascii="Arial" w:hAnsi="Arial" w:cs="Arial"/>
        </w:rPr>
        <w:t xml:space="preserve">performance </w:t>
      </w:r>
      <w:r w:rsidR="003F00AA" w:rsidRPr="00762282">
        <w:rPr>
          <w:rFonts w:ascii="Arial" w:hAnsi="Arial" w:cs="Arial"/>
        </w:rPr>
        <w:t xml:space="preserve">evaluation. </w:t>
      </w:r>
    </w:p>
    <w:p w14:paraId="40DC9CC1" w14:textId="6A767A6B" w:rsidR="003F00AA" w:rsidRPr="00762282" w:rsidRDefault="003F00AA" w:rsidP="00F87833">
      <w:pPr>
        <w:spacing w:after="0" w:line="360" w:lineRule="auto"/>
        <w:rPr>
          <w:rFonts w:ascii="Arial" w:hAnsi="Arial" w:cs="Arial"/>
        </w:rPr>
      </w:pPr>
    </w:p>
    <w:p w14:paraId="5E4340B2" w14:textId="1041FA19" w:rsidR="003F00AA" w:rsidRPr="00762282" w:rsidRDefault="003F00AA" w:rsidP="00F87833">
      <w:pPr>
        <w:spacing w:after="0" w:line="360" w:lineRule="auto"/>
        <w:rPr>
          <w:rFonts w:ascii="Arial" w:hAnsi="Arial" w:cs="Arial"/>
        </w:rPr>
      </w:pPr>
      <w:r w:rsidRPr="00762282">
        <w:rPr>
          <w:rFonts w:ascii="Arial" w:hAnsi="Arial" w:cs="Arial"/>
        </w:rPr>
        <w:t xml:space="preserve">Finally, Kay Weng Choy highlights the value of orthogonal testing algorithms, advocating for a second test, each with unique assay design characteristics, in order to improve the positive </w:t>
      </w:r>
      <w:r w:rsidRPr="00762282">
        <w:rPr>
          <w:rFonts w:ascii="Arial" w:hAnsi="Arial" w:cs="Arial"/>
        </w:rPr>
        <w:lastRenderedPageBreak/>
        <w:t xml:space="preserve">predictive value. Indeed, within our own institutions we have developed a testing algorithm that </w:t>
      </w:r>
      <w:r w:rsidR="00D549AB" w:rsidRPr="00762282">
        <w:rPr>
          <w:rFonts w:ascii="Arial" w:hAnsi="Arial" w:cs="Arial"/>
        </w:rPr>
        <w:t>utilises both a</w:t>
      </w:r>
      <w:r w:rsidR="00AA17DB" w:rsidRPr="00762282">
        <w:rPr>
          <w:rFonts w:ascii="Arial" w:hAnsi="Arial" w:cs="Arial"/>
        </w:rPr>
        <w:t xml:space="preserve">n anti-nucleocapsid and anti-spike protein immunoassay. While this </w:t>
      </w:r>
      <w:r w:rsidR="00F87833">
        <w:rPr>
          <w:rFonts w:ascii="Arial" w:hAnsi="Arial" w:cs="Arial"/>
        </w:rPr>
        <w:t xml:space="preserve">also </w:t>
      </w:r>
      <w:r w:rsidR="00AA17DB" w:rsidRPr="00762282">
        <w:rPr>
          <w:rFonts w:ascii="Arial" w:hAnsi="Arial" w:cs="Arial"/>
        </w:rPr>
        <w:t xml:space="preserve">has </w:t>
      </w:r>
      <w:r w:rsidR="00842992" w:rsidRPr="00762282">
        <w:rPr>
          <w:rFonts w:ascii="Arial" w:hAnsi="Arial" w:cs="Arial"/>
        </w:rPr>
        <w:t xml:space="preserve">potential </w:t>
      </w:r>
      <w:r w:rsidR="00AA17DB" w:rsidRPr="00762282">
        <w:rPr>
          <w:rFonts w:ascii="Arial" w:hAnsi="Arial" w:cs="Arial"/>
        </w:rPr>
        <w:t>to increase diagnostic yield</w:t>
      </w:r>
      <w:r w:rsidR="00F87833">
        <w:rPr>
          <w:rFonts w:ascii="Arial" w:hAnsi="Arial" w:cs="Arial"/>
        </w:rPr>
        <w:t>,</w:t>
      </w:r>
      <w:r w:rsidR="00AA17DB" w:rsidRPr="00762282">
        <w:rPr>
          <w:rFonts w:ascii="Arial" w:hAnsi="Arial" w:cs="Arial"/>
        </w:rPr>
        <w:t xml:space="preserve"> </w:t>
      </w:r>
      <w:r w:rsidR="00842992" w:rsidRPr="00762282">
        <w:rPr>
          <w:rFonts w:ascii="Arial" w:hAnsi="Arial" w:cs="Arial"/>
        </w:rPr>
        <w:t xml:space="preserve">it is worth noting that </w:t>
      </w:r>
      <w:r w:rsidR="00C84DD6">
        <w:rPr>
          <w:rFonts w:ascii="Arial" w:hAnsi="Arial" w:cs="Arial"/>
        </w:rPr>
        <w:t>the</w:t>
      </w:r>
      <w:r w:rsidR="00C84DD6" w:rsidRPr="00762282">
        <w:rPr>
          <w:rFonts w:ascii="Arial" w:hAnsi="Arial" w:cs="Arial"/>
        </w:rPr>
        <w:t xml:space="preserve"> </w:t>
      </w:r>
      <w:r w:rsidR="00C84DD6">
        <w:rPr>
          <w:rFonts w:ascii="Arial" w:hAnsi="Arial" w:cs="Arial"/>
        </w:rPr>
        <w:t>lack</w:t>
      </w:r>
      <w:r w:rsidR="00842992" w:rsidRPr="00762282">
        <w:rPr>
          <w:rFonts w:ascii="Arial" w:hAnsi="Arial" w:cs="Arial"/>
        </w:rPr>
        <w:t xml:space="preserve"> of antibody target data provided by a considerable number of manufacturers may </w:t>
      </w:r>
      <w:r w:rsidR="00762282" w:rsidRPr="00762282">
        <w:rPr>
          <w:rFonts w:ascii="Arial" w:hAnsi="Arial" w:cs="Arial"/>
        </w:rPr>
        <w:t xml:space="preserve">provide additional challenges to the design of </w:t>
      </w:r>
      <w:r w:rsidR="00762282">
        <w:rPr>
          <w:rFonts w:ascii="Arial" w:hAnsi="Arial" w:cs="Arial"/>
        </w:rPr>
        <w:t xml:space="preserve">similar </w:t>
      </w:r>
      <w:r w:rsidR="00762282" w:rsidRPr="00762282">
        <w:rPr>
          <w:rFonts w:ascii="Arial" w:hAnsi="Arial" w:cs="Arial"/>
        </w:rPr>
        <w:t>testing programmes.</w:t>
      </w:r>
      <w:r w:rsidR="00F87833" w:rsidRPr="0053579F">
        <w:rPr>
          <w:rFonts w:ascii="Arial" w:hAnsi="Arial" w:cs="Arial"/>
          <w:vertAlign w:val="superscript"/>
        </w:rPr>
        <w:t>6</w:t>
      </w:r>
      <w:r w:rsidR="00762282" w:rsidRPr="0053579F">
        <w:rPr>
          <w:rFonts w:ascii="Arial" w:hAnsi="Arial" w:cs="Arial"/>
          <w:vertAlign w:val="superscript"/>
        </w:rPr>
        <w:t xml:space="preserve"> </w:t>
      </w:r>
    </w:p>
    <w:p w14:paraId="20A32871" w14:textId="77777777" w:rsidR="004316CE" w:rsidRPr="00762282" w:rsidRDefault="004316CE" w:rsidP="00F87833">
      <w:pPr>
        <w:spacing w:after="0" w:line="360" w:lineRule="auto"/>
        <w:rPr>
          <w:rFonts w:ascii="Arial" w:hAnsi="Arial" w:cs="Arial"/>
        </w:rPr>
      </w:pPr>
    </w:p>
    <w:p w14:paraId="36674856" w14:textId="4BF80195" w:rsidR="007536CE" w:rsidRPr="00762282" w:rsidRDefault="007536CE" w:rsidP="00F87833">
      <w:pPr>
        <w:spacing w:after="0" w:line="360" w:lineRule="auto"/>
        <w:rPr>
          <w:rFonts w:ascii="Arial" w:hAnsi="Arial" w:cs="Arial"/>
        </w:rPr>
      </w:pPr>
    </w:p>
    <w:p w14:paraId="3E19CE4A" w14:textId="418EA353" w:rsidR="00762282" w:rsidRPr="00762282" w:rsidRDefault="000C1992" w:rsidP="00F87833">
      <w:pPr>
        <w:spacing w:after="0" w:line="360" w:lineRule="auto"/>
        <w:rPr>
          <w:rFonts w:ascii="Arial" w:hAnsi="Arial" w:cs="Arial"/>
        </w:rPr>
      </w:pPr>
      <w:r w:rsidRPr="00762282">
        <w:rPr>
          <w:rFonts w:ascii="Arial" w:hAnsi="Arial" w:cs="Arial"/>
        </w:rPr>
        <w:t xml:space="preserve">References: </w:t>
      </w:r>
    </w:p>
    <w:p w14:paraId="2EEBD941" w14:textId="33BA278B" w:rsidR="00F87833" w:rsidRPr="00F87833" w:rsidRDefault="00F87833" w:rsidP="00A3005A">
      <w:pPr>
        <w:pStyle w:val="ListParagraph"/>
        <w:numPr>
          <w:ilvl w:val="0"/>
          <w:numId w:val="3"/>
        </w:numPr>
        <w:spacing w:after="0" w:line="360" w:lineRule="auto"/>
      </w:pPr>
      <w:r w:rsidRPr="00A3005A">
        <w:rPr>
          <w:rFonts w:ascii="Arial" w:hAnsi="Arial" w:cs="Arial"/>
        </w:rPr>
        <w:t xml:space="preserve">SJC Pallett, M Rayment, A Patel, SAM </w:t>
      </w:r>
      <w:proofErr w:type="spellStart"/>
      <w:r w:rsidRPr="00A3005A">
        <w:rPr>
          <w:rFonts w:ascii="Arial" w:hAnsi="Arial" w:cs="Arial"/>
        </w:rPr>
        <w:t>Fitzgeral</w:t>
      </w:r>
      <w:proofErr w:type="spellEnd"/>
      <w:r w:rsidRPr="00A3005A">
        <w:rPr>
          <w:rFonts w:ascii="Arial" w:hAnsi="Arial" w:cs="Arial"/>
        </w:rPr>
        <w:t xml:space="preserve">-Smith, SJ Denny, E Charani et al. Point-of-care serological assays for delayed SARS-CoV-2 case identification among health-care workers in the UK: a prospective multicentre cohort study. Lancet Respir Med. 2020; </w:t>
      </w:r>
      <w:r w:rsidRPr="00F87833">
        <w:t>24;S2213-2600(20)30315-5.</w:t>
      </w:r>
      <w:r w:rsidRPr="00A3005A">
        <w:rPr>
          <w:rFonts w:ascii="Arial" w:hAnsi="Arial" w:cs="Arial"/>
        </w:rPr>
        <w:t> </w:t>
      </w:r>
      <w:proofErr w:type="spellStart"/>
      <w:r w:rsidRPr="00F87833">
        <w:t>doi</w:t>
      </w:r>
      <w:proofErr w:type="spellEnd"/>
      <w:r w:rsidRPr="00F87833">
        <w:t>: 10.1016/S2213-2600(20)30315-5.</w:t>
      </w:r>
      <w:r w:rsidRPr="00A3005A">
        <w:rPr>
          <w:rFonts w:ascii="Arial" w:hAnsi="Arial" w:cs="Arial"/>
        </w:rPr>
        <w:t> </w:t>
      </w:r>
      <w:r w:rsidRPr="00F87833">
        <w:t>Online ahead of print.</w:t>
      </w:r>
    </w:p>
    <w:p w14:paraId="56C2F600" w14:textId="2BCF29D5" w:rsidR="00F87833" w:rsidRPr="00A3005A" w:rsidRDefault="000C1992" w:rsidP="00A3005A">
      <w:pPr>
        <w:pStyle w:val="ListParagraph"/>
        <w:numPr>
          <w:ilvl w:val="0"/>
          <w:numId w:val="3"/>
        </w:numPr>
        <w:spacing w:after="0" w:line="360" w:lineRule="auto"/>
        <w:rPr>
          <w:rFonts w:ascii="Arial" w:hAnsi="Arial" w:cs="Arial"/>
        </w:rPr>
      </w:pPr>
      <w:r w:rsidRPr="00A3005A">
        <w:rPr>
          <w:rFonts w:ascii="Arial" w:hAnsi="Arial" w:cs="Arial"/>
        </w:rPr>
        <w:t xml:space="preserve">YS Wang, H Shen, SH Sun, LH Jiang, Y Liu, ZW Zhu et al. [Analysis of false-positive associated with antibody tests for SARS-CoV in SLE patients]. Shi Yan Sheng Wu </w:t>
      </w:r>
      <w:proofErr w:type="spellStart"/>
      <w:r w:rsidRPr="00A3005A">
        <w:rPr>
          <w:rFonts w:ascii="Arial" w:hAnsi="Arial" w:cs="Arial"/>
        </w:rPr>
        <w:t>Xue</w:t>
      </w:r>
      <w:proofErr w:type="spellEnd"/>
      <w:r w:rsidRPr="00A3005A">
        <w:rPr>
          <w:rFonts w:ascii="Arial" w:hAnsi="Arial" w:cs="Arial"/>
        </w:rPr>
        <w:t xml:space="preserve"> </w:t>
      </w:r>
      <w:proofErr w:type="spellStart"/>
      <w:r w:rsidRPr="00A3005A">
        <w:rPr>
          <w:rFonts w:ascii="Arial" w:hAnsi="Arial" w:cs="Arial"/>
        </w:rPr>
        <w:t>Bao</w:t>
      </w:r>
      <w:proofErr w:type="spellEnd"/>
      <w:r w:rsidRPr="00A3005A">
        <w:rPr>
          <w:rFonts w:ascii="Arial" w:hAnsi="Arial" w:cs="Arial"/>
        </w:rPr>
        <w:t>. 2003; 36(4):314-17.</w:t>
      </w:r>
    </w:p>
    <w:p w14:paraId="0D2053DC" w14:textId="53AC1952" w:rsidR="00F87833" w:rsidRPr="00A3005A" w:rsidRDefault="000C1992" w:rsidP="00A3005A">
      <w:pPr>
        <w:pStyle w:val="ListParagraph"/>
        <w:numPr>
          <w:ilvl w:val="0"/>
          <w:numId w:val="3"/>
        </w:numPr>
        <w:spacing w:after="0" w:line="360" w:lineRule="auto"/>
        <w:rPr>
          <w:rFonts w:ascii="Arial" w:hAnsi="Arial" w:cs="Arial"/>
        </w:rPr>
      </w:pPr>
      <w:r w:rsidRPr="00A3005A">
        <w:rPr>
          <w:rFonts w:ascii="Arial" w:hAnsi="Arial" w:cs="Arial"/>
        </w:rPr>
        <w:t xml:space="preserve">Y Chen, L Li. SARS-CoV-2: virus dynamics and host response. Lancet Infect Dis. 2020. 20(5):515-516. </w:t>
      </w:r>
      <w:proofErr w:type="spellStart"/>
      <w:r w:rsidRPr="00A3005A">
        <w:rPr>
          <w:rFonts w:ascii="Arial" w:hAnsi="Arial" w:cs="Arial"/>
        </w:rPr>
        <w:t>doi</w:t>
      </w:r>
      <w:proofErr w:type="spellEnd"/>
      <w:r w:rsidRPr="00A3005A">
        <w:rPr>
          <w:rFonts w:ascii="Arial" w:hAnsi="Arial" w:cs="Arial"/>
        </w:rPr>
        <w:t>: 0.1016/S1473-3099(20)30235-8.</w:t>
      </w:r>
    </w:p>
    <w:p w14:paraId="44432FFF" w14:textId="0E3561B8" w:rsidR="00F87833" w:rsidRPr="00A3005A" w:rsidRDefault="000C1992" w:rsidP="00A3005A">
      <w:pPr>
        <w:pStyle w:val="ListParagraph"/>
        <w:numPr>
          <w:ilvl w:val="0"/>
          <w:numId w:val="3"/>
        </w:numPr>
        <w:spacing w:after="0" w:line="360" w:lineRule="auto"/>
        <w:rPr>
          <w:rFonts w:ascii="Arial" w:hAnsi="Arial" w:cs="Arial"/>
        </w:rPr>
      </w:pPr>
      <w:r w:rsidRPr="00A3005A">
        <w:rPr>
          <w:rFonts w:ascii="Arial" w:hAnsi="Arial" w:cs="Arial"/>
        </w:rPr>
        <w:t xml:space="preserve">Public Health England. Guidance on shielding and protecting people who are clinically extremely vulnerable from COVID-19. </w:t>
      </w:r>
      <w:hyperlink r:id="rId7" w:history="1">
        <w:r w:rsidRPr="00A3005A">
          <w:rPr>
            <w:rFonts w:ascii="Arial" w:hAnsi="Arial" w:cs="Arial"/>
          </w:rPr>
          <w:t>https://www.gov.uk/government/publications/guidance-on-shielding-and-protecting-extremely-vulnerable-persons-from-covid-19/guidance-on-shielding-and-protecting-extremely-vulnerable-persons-from-covid-19</w:t>
        </w:r>
      </w:hyperlink>
      <w:r w:rsidR="00762282" w:rsidRPr="00A3005A">
        <w:rPr>
          <w:rFonts w:ascii="Arial" w:hAnsi="Arial" w:cs="Arial"/>
        </w:rPr>
        <w:t xml:space="preserve">. Accessed on 26 August 2020. </w:t>
      </w:r>
    </w:p>
    <w:p w14:paraId="6C4E281C" w14:textId="4C550222" w:rsidR="00F87833" w:rsidRPr="00A3005A" w:rsidRDefault="00762282" w:rsidP="00A3005A">
      <w:pPr>
        <w:pStyle w:val="ListParagraph"/>
        <w:numPr>
          <w:ilvl w:val="0"/>
          <w:numId w:val="3"/>
        </w:numPr>
        <w:spacing w:after="0" w:line="360" w:lineRule="auto"/>
        <w:rPr>
          <w:rFonts w:ascii="Arial" w:hAnsi="Arial" w:cs="Arial"/>
        </w:rPr>
      </w:pPr>
      <w:r w:rsidRPr="00A3005A">
        <w:rPr>
          <w:rFonts w:ascii="Arial" w:hAnsi="Arial" w:cs="Arial"/>
        </w:rPr>
        <w:t xml:space="preserve">B Flower, JC Brown, B Simmons, M Moshe, R </w:t>
      </w:r>
      <w:proofErr w:type="spellStart"/>
      <w:r w:rsidRPr="00A3005A">
        <w:rPr>
          <w:rFonts w:ascii="Arial" w:hAnsi="Arial" w:cs="Arial"/>
        </w:rPr>
        <w:t>Frise</w:t>
      </w:r>
      <w:proofErr w:type="spellEnd"/>
      <w:r w:rsidRPr="00A3005A">
        <w:rPr>
          <w:rFonts w:ascii="Arial" w:hAnsi="Arial" w:cs="Arial"/>
        </w:rPr>
        <w:t xml:space="preserve">, R Penn et al. Clinical and laboratory evaluation of SARS-CoV-2 lateral flow assays for use in a national COVID-19 seroprevalence survey. Thorax. 2020. </w:t>
      </w:r>
      <w:proofErr w:type="spellStart"/>
      <w:r w:rsidRPr="00F87833">
        <w:t>doi</w:t>
      </w:r>
      <w:proofErr w:type="spellEnd"/>
      <w:r w:rsidRPr="00F87833">
        <w:t>:</w:t>
      </w:r>
      <w:r w:rsidRPr="00A3005A">
        <w:rPr>
          <w:rFonts w:ascii="Arial" w:hAnsi="Arial" w:cs="Arial"/>
        </w:rPr>
        <w:t xml:space="preserve"> 10.1136/thoraxjnl-2020-215732. Online ahead of print. </w:t>
      </w:r>
    </w:p>
    <w:p w14:paraId="024B3842" w14:textId="446FA7F7" w:rsidR="00762282" w:rsidRPr="00A3005A" w:rsidRDefault="00762282" w:rsidP="00A3005A">
      <w:pPr>
        <w:pStyle w:val="ListParagraph"/>
        <w:numPr>
          <w:ilvl w:val="0"/>
          <w:numId w:val="3"/>
        </w:numPr>
        <w:spacing w:after="0" w:line="360" w:lineRule="auto"/>
        <w:rPr>
          <w:rFonts w:ascii="Arial" w:hAnsi="Arial" w:cs="Arial"/>
        </w:rPr>
      </w:pPr>
      <w:r w:rsidRPr="00A3005A">
        <w:rPr>
          <w:rFonts w:ascii="Arial" w:hAnsi="Arial" w:cs="Arial"/>
        </w:rPr>
        <w:t xml:space="preserve">SJC Pallett, R Jones, MA Pallett, M Rayment, N Mughal, GW Davies et al. Characterising differential antibody response is integral to future SARS-CoV-2 </w:t>
      </w:r>
      <w:proofErr w:type="spellStart"/>
      <w:r w:rsidRPr="00A3005A">
        <w:rPr>
          <w:rFonts w:ascii="Arial" w:hAnsi="Arial" w:cs="Arial"/>
        </w:rPr>
        <w:t>serostudies</w:t>
      </w:r>
      <w:proofErr w:type="spellEnd"/>
      <w:r w:rsidRPr="00A3005A">
        <w:rPr>
          <w:rFonts w:ascii="Arial" w:hAnsi="Arial" w:cs="Arial"/>
        </w:rPr>
        <w:t xml:space="preserve">. J Infect. 2020; </w:t>
      </w:r>
      <w:r w:rsidRPr="00F87833">
        <w:t xml:space="preserve">S0163-4453(20)30511-9. </w:t>
      </w:r>
      <w:proofErr w:type="spellStart"/>
      <w:r w:rsidRPr="00F87833">
        <w:t>doi</w:t>
      </w:r>
      <w:proofErr w:type="spellEnd"/>
      <w:r w:rsidRPr="00F87833">
        <w:t>: 10.1016/j.jinf.2020.07.029.</w:t>
      </w:r>
    </w:p>
    <w:p w14:paraId="2D221C6F" w14:textId="5EC3A90B" w:rsidR="00762282" w:rsidRDefault="00762282" w:rsidP="00F87833">
      <w:pPr>
        <w:spacing w:after="0" w:line="360" w:lineRule="auto"/>
        <w:rPr>
          <w:rFonts w:ascii="Arial" w:hAnsi="Arial" w:cs="Arial"/>
        </w:rPr>
      </w:pPr>
    </w:p>
    <w:p w14:paraId="1374C30A" w14:textId="77777777" w:rsidR="00176E9C" w:rsidRDefault="00176E9C" w:rsidP="00176E9C">
      <w:pPr>
        <w:spacing w:after="0" w:line="360" w:lineRule="auto"/>
        <w:rPr>
          <w:rFonts w:ascii="Arial" w:hAnsi="Arial" w:cs="Arial"/>
          <w:b/>
        </w:rPr>
      </w:pPr>
      <w:r>
        <w:rPr>
          <w:rFonts w:ascii="Arial" w:hAnsi="Arial" w:cs="Arial"/>
          <w:b/>
        </w:rPr>
        <w:t>Acknowledgements</w:t>
      </w:r>
    </w:p>
    <w:p w14:paraId="016B1C65" w14:textId="77777777" w:rsidR="00176E9C" w:rsidRDefault="00176E9C" w:rsidP="00176E9C">
      <w:pPr>
        <w:spacing w:after="0" w:line="360" w:lineRule="auto"/>
        <w:rPr>
          <w:rFonts w:ascii="Arial" w:hAnsi="Arial" w:cs="Arial"/>
        </w:rPr>
      </w:pPr>
      <w:r>
        <w:rPr>
          <w:rFonts w:ascii="Arial" w:hAnsi="Arial" w:cs="Arial"/>
        </w:rPr>
        <w:t xml:space="preserve">LSPM acknowledges support from the National Institute of Health Research (NIHR) Imperial Biomedical Research Centre (BRC) and the National Institute for Health Research Health Protection Research Unit (HPRU) in Healthcare Associated Infection and Antimicrobial Resistance at Imperial College London in partnership with Public Health England. JH, KCG </w:t>
      </w:r>
      <w:r>
        <w:rPr>
          <w:rFonts w:ascii="Arial" w:hAnsi="Arial" w:cs="Arial"/>
        </w:rPr>
        <w:lastRenderedPageBreak/>
        <w:t xml:space="preserve">and ALM acknowledge the support by the NIHR GOSH BRC The views expressed in this publication are those of the authors and not necessarily those of the NHS, the National Institute for Health Research, or the UK Department of Health. We thank North-west London Pathology services for performing the diagnostic PCR tests as part of routine clinical care. EC acknowledges funding from the National Institute of Health Research (NIHR) Health Protection Research Unit in Healthcare Associated Infection and Antimicrobial Resistance and the Economic and Social Science Research Council. </w:t>
      </w:r>
    </w:p>
    <w:p w14:paraId="43E02B31" w14:textId="77777777" w:rsidR="00176E9C" w:rsidRDefault="00176E9C" w:rsidP="00F87833">
      <w:pPr>
        <w:spacing w:after="0" w:line="360" w:lineRule="auto"/>
        <w:rPr>
          <w:rFonts w:ascii="Arial" w:hAnsi="Arial" w:cs="Arial"/>
        </w:rPr>
      </w:pPr>
    </w:p>
    <w:p w14:paraId="0921F384" w14:textId="77777777" w:rsidR="00442418" w:rsidRDefault="00442418" w:rsidP="00442418">
      <w:pPr>
        <w:spacing w:after="0" w:line="360" w:lineRule="auto"/>
        <w:rPr>
          <w:rFonts w:ascii="Arial" w:hAnsi="Arial" w:cs="Arial"/>
          <w:b/>
        </w:rPr>
      </w:pPr>
      <w:r>
        <w:rPr>
          <w:rFonts w:ascii="Arial" w:hAnsi="Arial" w:cs="Arial"/>
          <w:b/>
        </w:rPr>
        <w:t>Authors’ contributions</w:t>
      </w:r>
    </w:p>
    <w:p w14:paraId="7687B623" w14:textId="533B4788" w:rsidR="00442418" w:rsidRDefault="00442418" w:rsidP="00442418">
      <w:pPr>
        <w:spacing w:after="0" w:line="360" w:lineRule="auto"/>
        <w:rPr>
          <w:rFonts w:ascii="Arial" w:hAnsi="Arial" w:cs="Arial"/>
        </w:rPr>
      </w:pPr>
      <w:r>
        <w:rPr>
          <w:rFonts w:ascii="Arial" w:hAnsi="Arial" w:cs="Arial"/>
        </w:rPr>
        <w:t>All authors discussed comments raised in correspondence. SJCP drafted the initial response, with all authors contributing to revising this for submission. All authors agreed on the final version for submission to the journal.</w:t>
      </w:r>
    </w:p>
    <w:p w14:paraId="4F635CD7" w14:textId="77777777" w:rsidR="00442418" w:rsidRDefault="00442418" w:rsidP="00442418">
      <w:pPr>
        <w:spacing w:after="0" w:line="360" w:lineRule="auto"/>
        <w:rPr>
          <w:rFonts w:ascii="Arial" w:hAnsi="Arial" w:cs="Arial"/>
        </w:rPr>
      </w:pPr>
    </w:p>
    <w:p w14:paraId="31ED9553" w14:textId="77777777" w:rsidR="00442418" w:rsidRDefault="00442418" w:rsidP="00442418">
      <w:pPr>
        <w:spacing w:after="0" w:line="360" w:lineRule="auto"/>
        <w:rPr>
          <w:rFonts w:ascii="Arial" w:hAnsi="Arial" w:cs="Arial"/>
          <w:b/>
        </w:rPr>
      </w:pPr>
      <w:r>
        <w:rPr>
          <w:rFonts w:ascii="Arial" w:hAnsi="Arial" w:cs="Arial"/>
          <w:b/>
        </w:rPr>
        <w:t>Funding</w:t>
      </w:r>
    </w:p>
    <w:p w14:paraId="5B1C3A98" w14:textId="047EF504" w:rsidR="00442418" w:rsidRDefault="00442418" w:rsidP="00176E9C">
      <w:pPr>
        <w:spacing w:after="0" w:line="360" w:lineRule="auto"/>
        <w:rPr>
          <w:rFonts w:ascii="Arial" w:hAnsi="Arial" w:cs="Arial"/>
          <w:b/>
        </w:rPr>
      </w:pPr>
      <w:r>
        <w:rPr>
          <w:rFonts w:ascii="Arial" w:hAnsi="Arial" w:cs="Arial"/>
        </w:rPr>
        <w:t xml:space="preserve">This </w:t>
      </w:r>
      <w:r w:rsidR="00560AB5">
        <w:rPr>
          <w:rFonts w:ascii="Arial" w:hAnsi="Arial" w:cs="Arial"/>
        </w:rPr>
        <w:t>manuscript</w:t>
      </w:r>
      <w:r>
        <w:rPr>
          <w:rFonts w:ascii="Arial" w:hAnsi="Arial" w:cs="Arial"/>
        </w:rPr>
        <w:t xml:space="preserve"> did not receive any specific grant from funding agencies in the public, commercial, or not-for-profit sectors. </w:t>
      </w:r>
    </w:p>
    <w:p w14:paraId="6937FD38" w14:textId="77777777" w:rsidR="00442418" w:rsidRDefault="00442418" w:rsidP="00176E9C">
      <w:pPr>
        <w:spacing w:after="0" w:line="360" w:lineRule="auto"/>
        <w:rPr>
          <w:rFonts w:ascii="Arial" w:hAnsi="Arial" w:cs="Arial"/>
          <w:b/>
        </w:rPr>
      </w:pPr>
    </w:p>
    <w:p w14:paraId="5155DC06" w14:textId="767AABC2" w:rsidR="00176E9C" w:rsidRDefault="00176E9C" w:rsidP="00176E9C">
      <w:pPr>
        <w:spacing w:after="0" w:line="360" w:lineRule="auto"/>
        <w:rPr>
          <w:rFonts w:ascii="Arial" w:hAnsi="Arial" w:cs="Arial"/>
          <w:b/>
        </w:rPr>
      </w:pPr>
      <w:r>
        <w:rPr>
          <w:rFonts w:ascii="Arial" w:hAnsi="Arial" w:cs="Arial"/>
          <w:b/>
        </w:rPr>
        <w:t>Potential conflicts of interests</w:t>
      </w:r>
    </w:p>
    <w:p w14:paraId="65E6B53C" w14:textId="5B609EC3" w:rsidR="00176E9C" w:rsidRDefault="00176E9C" w:rsidP="00176E9C">
      <w:pPr>
        <w:shd w:val="clear" w:color="auto" w:fill="FFFFFF"/>
        <w:spacing w:after="0" w:line="360" w:lineRule="auto"/>
        <w:rPr>
          <w:rFonts w:ascii="Arial" w:hAnsi="Arial" w:cs="Arial"/>
        </w:rPr>
      </w:pPr>
      <w:r>
        <w:rPr>
          <w:rFonts w:ascii="Arial" w:hAnsi="Arial" w:cs="Arial"/>
        </w:rPr>
        <w:t xml:space="preserve">LSPM has consulted for </w:t>
      </w:r>
      <w:proofErr w:type="spellStart"/>
      <w:r>
        <w:rPr>
          <w:rFonts w:ascii="Arial" w:hAnsi="Arial" w:cs="Arial"/>
        </w:rPr>
        <w:t>bioMerieux</w:t>
      </w:r>
      <w:proofErr w:type="spellEnd"/>
      <w:r>
        <w:rPr>
          <w:rFonts w:ascii="Arial" w:hAnsi="Arial" w:cs="Arial"/>
        </w:rPr>
        <w:t xml:space="preserve"> (2013-2020), </w:t>
      </w:r>
      <w:proofErr w:type="spellStart"/>
      <w:r>
        <w:rPr>
          <w:rFonts w:ascii="Arial" w:hAnsi="Arial" w:cs="Arial"/>
        </w:rPr>
        <w:t>DNAelectronics</w:t>
      </w:r>
      <w:proofErr w:type="spellEnd"/>
      <w:r>
        <w:rPr>
          <w:rFonts w:ascii="Arial" w:hAnsi="Arial" w:cs="Arial"/>
        </w:rPr>
        <w:t xml:space="preserve"> (2015-18), Dairy Crest (2017–2018), </w:t>
      </w:r>
      <w:proofErr w:type="spellStart"/>
      <w:r>
        <w:rPr>
          <w:rFonts w:ascii="Arial" w:hAnsi="Arial" w:cs="Arial"/>
        </w:rPr>
        <w:t>Umovis</w:t>
      </w:r>
      <w:proofErr w:type="spellEnd"/>
      <w:r>
        <w:rPr>
          <w:rFonts w:ascii="Arial" w:hAnsi="Arial" w:cs="Arial"/>
        </w:rPr>
        <w:t xml:space="preserve"> Lab (2020), and Pfizer (2018-2020), received speaker fees from Profile Pharma (2018), received research grants from the National Institute for Health Research (2013-2020), CW+ Charity (2018-2019), and Leo Pharma (2016), and received educational support from </w:t>
      </w:r>
      <w:proofErr w:type="spellStart"/>
      <w:r>
        <w:rPr>
          <w:rFonts w:ascii="Arial" w:hAnsi="Arial" w:cs="Arial"/>
        </w:rPr>
        <w:t>Eumedica</w:t>
      </w:r>
      <w:proofErr w:type="spellEnd"/>
      <w:r>
        <w:rPr>
          <w:rFonts w:ascii="Arial" w:hAnsi="Arial" w:cs="Arial"/>
        </w:rPr>
        <w:t xml:space="preserve"> (2016–2018). NM has received speaker fees from Beyer (2016) and Pfizer (2019) and received educational support from </w:t>
      </w:r>
      <w:proofErr w:type="spellStart"/>
      <w:r>
        <w:rPr>
          <w:rFonts w:ascii="Arial" w:hAnsi="Arial" w:cs="Arial"/>
        </w:rPr>
        <w:t>Eumedica</w:t>
      </w:r>
      <w:proofErr w:type="spellEnd"/>
      <w:r>
        <w:rPr>
          <w:rFonts w:ascii="Arial" w:hAnsi="Arial" w:cs="Arial"/>
        </w:rPr>
        <w:t xml:space="preserve"> (2016) and Baxter (2017). </w:t>
      </w:r>
      <w:r>
        <w:rPr>
          <w:rFonts w:ascii="Arial" w:eastAsia="Times New Roman" w:hAnsi="Arial" w:cs="Arial"/>
          <w:color w:val="212121"/>
          <w:lang w:eastAsia="en-GB"/>
        </w:rPr>
        <w:t xml:space="preserve">RJ has received honoraria, speaker fees, travel support and/or research grant funding from Gilead, </w:t>
      </w:r>
      <w:proofErr w:type="spellStart"/>
      <w:r>
        <w:rPr>
          <w:rFonts w:ascii="Arial" w:eastAsia="Times New Roman" w:hAnsi="Arial" w:cs="Arial"/>
          <w:color w:val="212121"/>
          <w:lang w:eastAsia="en-GB"/>
        </w:rPr>
        <w:t>ViiV</w:t>
      </w:r>
      <w:proofErr w:type="spellEnd"/>
      <w:r>
        <w:rPr>
          <w:rFonts w:ascii="Arial" w:eastAsia="Times New Roman" w:hAnsi="Arial" w:cs="Arial"/>
          <w:color w:val="212121"/>
          <w:lang w:eastAsia="en-GB"/>
        </w:rPr>
        <w:t xml:space="preserve"> Healthcare, BMS, </w:t>
      </w:r>
      <w:proofErr w:type="spellStart"/>
      <w:r>
        <w:rPr>
          <w:rFonts w:ascii="Arial" w:eastAsia="Times New Roman" w:hAnsi="Arial" w:cs="Arial"/>
          <w:color w:val="212121"/>
          <w:lang w:eastAsia="en-GB"/>
        </w:rPr>
        <w:t>Abbvie</w:t>
      </w:r>
      <w:proofErr w:type="spellEnd"/>
      <w:r>
        <w:rPr>
          <w:rFonts w:ascii="Arial" w:eastAsia="Times New Roman" w:hAnsi="Arial" w:cs="Arial"/>
          <w:color w:val="212121"/>
          <w:lang w:eastAsia="en-GB"/>
        </w:rPr>
        <w:t xml:space="preserve">, Janssen and Merck. </w:t>
      </w:r>
      <w:r>
        <w:rPr>
          <w:rFonts w:ascii="Arial" w:hAnsi="Arial" w:cs="Arial"/>
        </w:rPr>
        <w:t xml:space="preserve"> SJCP has received a research grant from the Scientific Exploration Society with support from the Viscount Gough. EC has received speaker fees from </w:t>
      </w:r>
      <w:proofErr w:type="spellStart"/>
      <w:r>
        <w:rPr>
          <w:rFonts w:ascii="Arial" w:hAnsi="Arial" w:cs="Arial"/>
        </w:rPr>
        <w:t>bioMerieux</w:t>
      </w:r>
      <w:proofErr w:type="spellEnd"/>
      <w:r>
        <w:rPr>
          <w:rFonts w:ascii="Arial" w:hAnsi="Arial" w:cs="Arial"/>
        </w:rPr>
        <w:t xml:space="preserve"> (2019). All other authors have no conflicts of interest to declare. </w:t>
      </w:r>
    </w:p>
    <w:p w14:paraId="258A1110" w14:textId="77777777" w:rsidR="00176E9C" w:rsidRPr="00F87833" w:rsidRDefault="00176E9C" w:rsidP="00F87833">
      <w:pPr>
        <w:spacing w:after="0" w:line="360" w:lineRule="auto"/>
        <w:rPr>
          <w:rFonts w:ascii="Arial" w:hAnsi="Arial" w:cs="Arial"/>
        </w:rPr>
      </w:pPr>
    </w:p>
    <w:sectPr w:rsidR="00176E9C" w:rsidRPr="00F878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7595"/>
    <w:multiLevelType w:val="hybridMultilevel"/>
    <w:tmpl w:val="B9C8C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B16DB"/>
    <w:multiLevelType w:val="hybridMultilevel"/>
    <w:tmpl w:val="860CE288"/>
    <w:lvl w:ilvl="0" w:tplc="4726D8FA">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1A7A3C"/>
    <w:multiLevelType w:val="hybridMultilevel"/>
    <w:tmpl w:val="41A029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966"/>
    <w:rsid w:val="000C1992"/>
    <w:rsid w:val="00176E9C"/>
    <w:rsid w:val="001F5589"/>
    <w:rsid w:val="003F00AA"/>
    <w:rsid w:val="004316CE"/>
    <w:rsid w:val="00442418"/>
    <w:rsid w:val="00477572"/>
    <w:rsid w:val="004D5D9A"/>
    <w:rsid w:val="0053579F"/>
    <w:rsid w:val="00560AB5"/>
    <w:rsid w:val="0061436D"/>
    <w:rsid w:val="00644471"/>
    <w:rsid w:val="007536CE"/>
    <w:rsid w:val="00762282"/>
    <w:rsid w:val="00842992"/>
    <w:rsid w:val="009260C7"/>
    <w:rsid w:val="00A3005A"/>
    <w:rsid w:val="00AA17DB"/>
    <w:rsid w:val="00AB73B3"/>
    <w:rsid w:val="00B57DAC"/>
    <w:rsid w:val="00BD2BD0"/>
    <w:rsid w:val="00BF3694"/>
    <w:rsid w:val="00C223C9"/>
    <w:rsid w:val="00C75F41"/>
    <w:rsid w:val="00C84DD6"/>
    <w:rsid w:val="00D549AB"/>
    <w:rsid w:val="00D96966"/>
    <w:rsid w:val="00E25102"/>
    <w:rsid w:val="00F87833"/>
    <w:rsid w:val="00FA4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C19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992"/>
    <w:pPr>
      <w:ind w:left="720"/>
      <w:contextualSpacing/>
    </w:pPr>
  </w:style>
  <w:style w:type="character" w:customStyle="1" w:styleId="Heading1Char">
    <w:name w:val="Heading 1 Char"/>
    <w:basedOn w:val="DefaultParagraphFont"/>
    <w:link w:val="Heading1"/>
    <w:uiPriority w:val="9"/>
    <w:rsid w:val="000C1992"/>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0C1992"/>
    <w:rPr>
      <w:color w:val="0000FF"/>
      <w:u w:val="single"/>
    </w:rPr>
  </w:style>
  <w:style w:type="character" w:customStyle="1" w:styleId="UnresolvedMention">
    <w:name w:val="Unresolved Mention"/>
    <w:basedOn w:val="DefaultParagraphFont"/>
    <w:uiPriority w:val="99"/>
    <w:semiHidden/>
    <w:unhideWhenUsed/>
    <w:rsid w:val="000C1992"/>
    <w:rPr>
      <w:color w:val="605E5C"/>
      <w:shd w:val="clear" w:color="auto" w:fill="E1DFDD"/>
    </w:rPr>
  </w:style>
  <w:style w:type="character" w:customStyle="1" w:styleId="label">
    <w:name w:val="label"/>
    <w:basedOn w:val="DefaultParagraphFont"/>
    <w:rsid w:val="00762282"/>
  </w:style>
  <w:style w:type="character" w:customStyle="1" w:styleId="cit">
    <w:name w:val="cit"/>
    <w:basedOn w:val="DefaultParagraphFont"/>
    <w:rsid w:val="00762282"/>
  </w:style>
  <w:style w:type="character" w:customStyle="1" w:styleId="citation-doi">
    <w:name w:val="citation-doi"/>
    <w:basedOn w:val="DefaultParagraphFont"/>
    <w:rsid w:val="00762282"/>
  </w:style>
  <w:style w:type="character" w:customStyle="1" w:styleId="ahead-of-print">
    <w:name w:val="ahead-of-print"/>
    <w:basedOn w:val="DefaultParagraphFont"/>
    <w:rsid w:val="00762282"/>
  </w:style>
  <w:style w:type="paragraph" w:styleId="BalloonText">
    <w:name w:val="Balloon Text"/>
    <w:basedOn w:val="Normal"/>
    <w:link w:val="BalloonTextChar"/>
    <w:uiPriority w:val="99"/>
    <w:semiHidden/>
    <w:unhideWhenUsed/>
    <w:rsid w:val="00C84DD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4DD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84DD6"/>
    <w:rPr>
      <w:sz w:val="16"/>
      <w:szCs w:val="16"/>
    </w:rPr>
  </w:style>
  <w:style w:type="paragraph" w:styleId="CommentText">
    <w:name w:val="annotation text"/>
    <w:basedOn w:val="Normal"/>
    <w:link w:val="CommentTextChar"/>
    <w:uiPriority w:val="99"/>
    <w:semiHidden/>
    <w:unhideWhenUsed/>
    <w:rsid w:val="00C84DD6"/>
    <w:pPr>
      <w:spacing w:line="240" w:lineRule="auto"/>
    </w:pPr>
    <w:rPr>
      <w:sz w:val="20"/>
      <w:szCs w:val="20"/>
    </w:rPr>
  </w:style>
  <w:style w:type="character" w:customStyle="1" w:styleId="CommentTextChar">
    <w:name w:val="Comment Text Char"/>
    <w:basedOn w:val="DefaultParagraphFont"/>
    <w:link w:val="CommentText"/>
    <w:uiPriority w:val="99"/>
    <w:semiHidden/>
    <w:rsid w:val="00C84DD6"/>
    <w:rPr>
      <w:sz w:val="20"/>
      <w:szCs w:val="20"/>
    </w:rPr>
  </w:style>
  <w:style w:type="paragraph" w:styleId="CommentSubject">
    <w:name w:val="annotation subject"/>
    <w:basedOn w:val="CommentText"/>
    <w:next w:val="CommentText"/>
    <w:link w:val="CommentSubjectChar"/>
    <w:uiPriority w:val="99"/>
    <w:semiHidden/>
    <w:unhideWhenUsed/>
    <w:rsid w:val="00C84DD6"/>
    <w:rPr>
      <w:b/>
      <w:bCs/>
    </w:rPr>
  </w:style>
  <w:style w:type="character" w:customStyle="1" w:styleId="CommentSubjectChar">
    <w:name w:val="Comment Subject Char"/>
    <w:basedOn w:val="CommentTextChar"/>
    <w:link w:val="CommentSubject"/>
    <w:uiPriority w:val="99"/>
    <w:semiHidden/>
    <w:rsid w:val="00C84DD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C19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992"/>
    <w:pPr>
      <w:ind w:left="720"/>
      <w:contextualSpacing/>
    </w:pPr>
  </w:style>
  <w:style w:type="character" w:customStyle="1" w:styleId="Heading1Char">
    <w:name w:val="Heading 1 Char"/>
    <w:basedOn w:val="DefaultParagraphFont"/>
    <w:link w:val="Heading1"/>
    <w:uiPriority w:val="9"/>
    <w:rsid w:val="000C1992"/>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0C1992"/>
    <w:rPr>
      <w:color w:val="0000FF"/>
      <w:u w:val="single"/>
    </w:rPr>
  </w:style>
  <w:style w:type="character" w:customStyle="1" w:styleId="UnresolvedMention">
    <w:name w:val="Unresolved Mention"/>
    <w:basedOn w:val="DefaultParagraphFont"/>
    <w:uiPriority w:val="99"/>
    <w:semiHidden/>
    <w:unhideWhenUsed/>
    <w:rsid w:val="000C1992"/>
    <w:rPr>
      <w:color w:val="605E5C"/>
      <w:shd w:val="clear" w:color="auto" w:fill="E1DFDD"/>
    </w:rPr>
  </w:style>
  <w:style w:type="character" w:customStyle="1" w:styleId="label">
    <w:name w:val="label"/>
    <w:basedOn w:val="DefaultParagraphFont"/>
    <w:rsid w:val="00762282"/>
  </w:style>
  <w:style w:type="character" w:customStyle="1" w:styleId="cit">
    <w:name w:val="cit"/>
    <w:basedOn w:val="DefaultParagraphFont"/>
    <w:rsid w:val="00762282"/>
  </w:style>
  <w:style w:type="character" w:customStyle="1" w:styleId="citation-doi">
    <w:name w:val="citation-doi"/>
    <w:basedOn w:val="DefaultParagraphFont"/>
    <w:rsid w:val="00762282"/>
  </w:style>
  <w:style w:type="character" w:customStyle="1" w:styleId="ahead-of-print">
    <w:name w:val="ahead-of-print"/>
    <w:basedOn w:val="DefaultParagraphFont"/>
    <w:rsid w:val="00762282"/>
  </w:style>
  <w:style w:type="paragraph" w:styleId="BalloonText">
    <w:name w:val="Balloon Text"/>
    <w:basedOn w:val="Normal"/>
    <w:link w:val="BalloonTextChar"/>
    <w:uiPriority w:val="99"/>
    <w:semiHidden/>
    <w:unhideWhenUsed/>
    <w:rsid w:val="00C84DD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4DD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84DD6"/>
    <w:rPr>
      <w:sz w:val="16"/>
      <w:szCs w:val="16"/>
    </w:rPr>
  </w:style>
  <w:style w:type="paragraph" w:styleId="CommentText">
    <w:name w:val="annotation text"/>
    <w:basedOn w:val="Normal"/>
    <w:link w:val="CommentTextChar"/>
    <w:uiPriority w:val="99"/>
    <w:semiHidden/>
    <w:unhideWhenUsed/>
    <w:rsid w:val="00C84DD6"/>
    <w:pPr>
      <w:spacing w:line="240" w:lineRule="auto"/>
    </w:pPr>
    <w:rPr>
      <w:sz w:val="20"/>
      <w:szCs w:val="20"/>
    </w:rPr>
  </w:style>
  <w:style w:type="character" w:customStyle="1" w:styleId="CommentTextChar">
    <w:name w:val="Comment Text Char"/>
    <w:basedOn w:val="DefaultParagraphFont"/>
    <w:link w:val="CommentText"/>
    <w:uiPriority w:val="99"/>
    <w:semiHidden/>
    <w:rsid w:val="00C84DD6"/>
    <w:rPr>
      <w:sz w:val="20"/>
      <w:szCs w:val="20"/>
    </w:rPr>
  </w:style>
  <w:style w:type="paragraph" w:styleId="CommentSubject">
    <w:name w:val="annotation subject"/>
    <w:basedOn w:val="CommentText"/>
    <w:next w:val="CommentText"/>
    <w:link w:val="CommentSubjectChar"/>
    <w:uiPriority w:val="99"/>
    <w:semiHidden/>
    <w:unhideWhenUsed/>
    <w:rsid w:val="00C84DD6"/>
    <w:rPr>
      <w:b/>
      <w:bCs/>
    </w:rPr>
  </w:style>
  <w:style w:type="character" w:customStyle="1" w:styleId="CommentSubjectChar">
    <w:name w:val="Comment Subject Char"/>
    <w:basedOn w:val="CommentTextChar"/>
    <w:link w:val="CommentSubject"/>
    <w:uiPriority w:val="99"/>
    <w:semiHidden/>
    <w:rsid w:val="00C84D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5362">
      <w:bodyDiv w:val="1"/>
      <w:marLeft w:val="0"/>
      <w:marRight w:val="0"/>
      <w:marTop w:val="0"/>
      <w:marBottom w:val="0"/>
      <w:divBdr>
        <w:top w:val="none" w:sz="0" w:space="0" w:color="auto"/>
        <w:left w:val="none" w:sz="0" w:space="0" w:color="auto"/>
        <w:bottom w:val="none" w:sz="0" w:space="0" w:color="auto"/>
        <w:right w:val="none" w:sz="0" w:space="0" w:color="auto"/>
      </w:divBdr>
    </w:div>
    <w:div w:id="114299485">
      <w:bodyDiv w:val="1"/>
      <w:marLeft w:val="0"/>
      <w:marRight w:val="0"/>
      <w:marTop w:val="0"/>
      <w:marBottom w:val="0"/>
      <w:divBdr>
        <w:top w:val="none" w:sz="0" w:space="0" w:color="auto"/>
        <w:left w:val="none" w:sz="0" w:space="0" w:color="auto"/>
        <w:bottom w:val="none" w:sz="0" w:space="0" w:color="auto"/>
        <w:right w:val="none" w:sz="0" w:space="0" w:color="auto"/>
      </w:divBdr>
      <w:divsChild>
        <w:div w:id="1907764427">
          <w:marLeft w:val="0"/>
          <w:marRight w:val="0"/>
          <w:marTop w:val="0"/>
          <w:marBottom w:val="0"/>
          <w:divBdr>
            <w:top w:val="none" w:sz="0" w:space="0" w:color="auto"/>
            <w:left w:val="none" w:sz="0" w:space="0" w:color="auto"/>
            <w:bottom w:val="none" w:sz="0" w:space="0" w:color="auto"/>
            <w:right w:val="none" w:sz="0" w:space="0" w:color="auto"/>
          </w:divBdr>
        </w:div>
      </w:divsChild>
    </w:div>
    <w:div w:id="243492368">
      <w:bodyDiv w:val="1"/>
      <w:marLeft w:val="0"/>
      <w:marRight w:val="0"/>
      <w:marTop w:val="0"/>
      <w:marBottom w:val="0"/>
      <w:divBdr>
        <w:top w:val="none" w:sz="0" w:space="0" w:color="auto"/>
        <w:left w:val="none" w:sz="0" w:space="0" w:color="auto"/>
        <w:bottom w:val="none" w:sz="0" w:space="0" w:color="auto"/>
        <w:right w:val="none" w:sz="0" w:space="0" w:color="auto"/>
      </w:divBdr>
      <w:divsChild>
        <w:div w:id="1168911690">
          <w:marLeft w:val="0"/>
          <w:marRight w:val="0"/>
          <w:marTop w:val="0"/>
          <w:marBottom w:val="0"/>
          <w:divBdr>
            <w:top w:val="none" w:sz="0" w:space="0" w:color="auto"/>
            <w:left w:val="none" w:sz="0" w:space="0" w:color="auto"/>
            <w:bottom w:val="none" w:sz="0" w:space="0" w:color="auto"/>
            <w:right w:val="none" w:sz="0" w:space="0" w:color="auto"/>
          </w:divBdr>
        </w:div>
      </w:divsChild>
    </w:div>
    <w:div w:id="286543628">
      <w:bodyDiv w:val="1"/>
      <w:marLeft w:val="0"/>
      <w:marRight w:val="0"/>
      <w:marTop w:val="0"/>
      <w:marBottom w:val="0"/>
      <w:divBdr>
        <w:top w:val="none" w:sz="0" w:space="0" w:color="auto"/>
        <w:left w:val="none" w:sz="0" w:space="0" w:color="auto"/>
        <w:bottom w:val="none" w:sz="0" w:space="0" w:color="auto"/>
        <w:right w:val="none" w:sz="0" w:space="0" w:color="auto"/>
      </w:divBdr>
    </w:div>
    <w:div w:id="302004425">
      <w:bodyDiv w:val="1"/>
      <w:marLeft w:val="0"/>
      <w:marRight w:val="0"/>
      <w:marTop w:val="0"/>
      <w:marBottom w:val="0"/>
      <w:divBdr>
        <w:top w:val="none" w:sz="0" w:space="0" w:color="auto"/>
        <w:left w:val="none" w:sz="0" w:space="0" w:color="auto"/>
        <w:bottom w:val="none" w:sz="0" w:space="0" w:color="auto"/>
        <w:right w:val="none" w:sz="0" w:space="0" w:color="auto"/>
      </w:divBdr>
    </w:div>
    <w:div w:id="303584915">
      <w:bodyDiv w:val="1"/>
      <w:marLeft w:val="0"/>
      <w:marRight w:val="0"/>
      <w:marTop w:val="0"/>
      <w:marBottom w:val="0"/>
      <w:divBdr>
        <w:top w:val="none" w:sz="0" w:space="0" w:color="auto"/>
        <w:left w:val="none" w:sz="0" w:space="0" w:color="auto"/>
        <w:bottom w:val="none" w:sz="0" w:space="0" w:color="auto"/>
        <w:right w:val="none" w:sz="0" w:space="0" w:color="auto"/>
      </w:divBdr>
    </w:div>
    <w:div w:id="747313209">
      <w:bodyDiv w:val="1"/>
      <w:marLeft w:val="0"/>
      <w:marRight w:val="0"/>
      <w:marTop w:val="0"/>
      <w:marBottom w:val="0"/>
      <w:divBdr>
        <w:top w:val="none" w:sz="0" w:space="0" w:color="auto"/>
        <w:left w:val="none" w:sz="0" w:space="0" w:color="auto"/>
        <w:bottom w:val="none" w:sz="0" w:space="0" w:color="auto"/>
        <w:right w:val="none" w:sz="0" w:space="0" w:color="auto"/>
      </w:divBdr>
    </w:div>
    <w:div w:id="808326299">
      <w:bodyDiv w:val="1"/>
      <w:marLeft w:val="0"/>
      <w:marRight w:val="0"/>
      <w:marTop w:val="0"/>
      <w:marBottom w:val="0"/>
      <w:divBdr>
        <w:top w:val="none" w:sz="0" w:space="0" w:color="auto"/>
        <w:left w:val="none" w:sz="0" w:space="0" w:color="auto"/>
        <w:bottom w:val="none" w:sz="0" w:space="0" w:color="auto"/>
        <w:right w:val="none" w:sz="0" w:space="0" w:color="auto"/>
      </w:divBdr>
    </w:div>
    <w:div w:id="1054425391">
      <w:bodyDiv w:val="1"/>
      <w:marLeft w:val="0"/>
      <w:marRight w:val="0"/>
      <w:marTop w:val="0"/>
      <w:marBottom w:val="0"/>
      <w:divBdr>
        <w:top w:val="none" w:sz="0" w:space="0" w:color="auto"/>
        <w:left w:val="none" w:sz="0" w:space="0" w:color="auto"/>
        <w:bottom w:val="none" w:sz="0" w:space="0" w:color="auto"/>
        <w:right w:val="none" w:sz="0" w:space="0" w:color="auto"/>
      </w:divBdr>
    </w:div>
    <w:div w:id="1415585535">
      <w:bodyDiv w:val="1"/>
      <w:marLeft w:val="0"/>
      <w:marRight w:val="0"/>
      <w:marTop w:val="0"/>
      <w:marBottom w:val="0"/>
      <w:divBdr>
        <w:top w:val="none" w:sz="0" w:space="0" w:color="auto"/>
        <w:left w:val="none" w:sz="0" w:space="0" w:color="auto"/>
        <w:bottom w:val="none" w:sz="0" w:space="0" w:color="auto"/>
        <w:right w:val="none" w:sz="0" w:space="0" w:color="auto"/>
      </w:divBdr>
    </w:div>
    <w:div w:id="1530097888">
      <w:bodyDiv w:val="1"/>
      <w:marLeft w:val="0"/>
      <w:marRight w:val="0"/>
      <w:marTop w:val="0"/>
      <w:marBottom w:val="0"/>
      <w:divBdr>
        <w:top w:val="none" w:sz="0" w:space="0" w:color="auto"/>
        <w:left w:val="none" w:sz="0" w:space="0" w:color="auto"/>
        <w:bottom w:val="none" w:sz="0" w:space="0" w:color="auto"/>
        <w:right w:val="none" w:sz="0" w:space="0" w:color="auto"/>
      </w:divBdr>
    </w:div>
    <w:div w:id="1687634449">
      <w:bodyDiv w:val="1"/>
      <w:marLeft w:val="0"/>
      <w:marRight w:val="0"/>
      <w:marTop w:val="0"/>
      <w:marBottom w:val="0"/>
      <w:divBdr>
        <w:top w:val="none" w:sz="0" w:space="0" w:color="auto"/>
        <w:left w:val="none" w:sz="0" w:space="0" w:color="auto"/>
        <w:bottom w:val="none" w:sz="0" w:space="0" w:color="auto"/>
        <w:right w:val="none" w:sz="0" w:space="0" w:color="auto"/>
      </w:divBdr>
    </w:div>
    <w:div w:id="183016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3B913-5B76-43B9-8573-ECD20E62D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 User</dc:creator>
  <cp:lastModifiedBy>Luke Moore</cp:lastModifiedBy>
  <cp:revision>2</cp:revision>
  <dcterms:created xsi:type="dcterms:W3CDTF">2020-09-25T12:31:00Z</dcterms:created>
  <dcterms:modified xsi:type="dcterms:W3CDTF">2020-09-25T12:31:00Z</dcterms:modified>
</cp:coreProperties>
</file>